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Intensive Treatment Services 31163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in-force/acts/disability-act-2006" TargetMode="External"/>
<Relationship Id="rId12" Type="http://schemas.openxmlformats.org/officeDocument/2006/relationships/hyperlink" Target="https://providers.dffh.vic.gov.au/human-services-standards" TargetMode="External"/>
<Relationship Id="rId13" Type="http://schemas.openxmlformats.org/officeDocument/2006/relationships/hyperlink" Target="http://www.cpmanual.vic.gov.au/policies-and-procedures/out-home-care/leaving-care" TargetMode="External"/>
<Relationship Id="rId14" Type="http://schemas.openxmlformats.org/officeDocument/2006/relationships/hyperlink" Target="https://providers.dffh.vic.gov.au/children-youth-and-families" TargetMode="External"/>
<Relationship Id="rId15" Type="http://schemas.openxmlformats.org/officeDocument/2006/relationships/hyperlink" Target="http://providers.dffh.vic.gov.au/families-fairness-housing-health-activity-search" TargetMode="External"/>
<Relationship Id="rId16"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Intensive Treatment Services</w:t>
            </w:r>
          </w:p>
          <w:p>
            <w:pPr>
              <w:spacing w:line="560" w:lineRule="atLeast"/>
              <w:rPr>
                <w:rFonts w:ascii="Arial" w:hAnsi="Arial" w:eastAsia="Arial" w:cs="Arial"/>
                <w:color w:val="201547"/>
                <w:sz w:val="44"/>
              </w:rPr>
            </w:pPr>
            <w:r>
              <w:rPr>
                <w:rFonts w:ascii="Arial" w:hAnsi="Arial" w:eastAsia="Arial" w:cs="Arial"/>
                <w:color w:val="201547"/>
                <w:sz w:val="44"/>
              </w:rPr>
              <w:t>31163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Specialist Support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enhance the emotional and behavioural functioning, safety and wellbeing of children and young people subject to child protection intervention, who have been identified as requiring specialist therapeutic and treatment interventions due to the aftermath of abuse or neglect.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intensive treatment service is delivered by Berry Street Take Two and aims to improve the functioning, safety and wellbeing of children and young people subject to child protection intervention through the provision of specialist intensive therapeutic counselling and multiple treatment methods aimed at addressing trauma and attachment problems involving children, their families and carers.</w:t>
      </w:r>
      <w:r>
        <w:br/>
      </w:r>
      <w:r>
        <w:rPr>
          <w:rFonts w:ascii="Arial" w:hAnsi="Arial" w:eastAsia="Arial" w:cs="Arial"/>
          <w:color w:val="000000"/>
          <w:sz w:val="20"/>
        </w:rPr>
        <w:t>The service provider works in close association with the child protection program with a range of tools for use by child protection managers and practitioners to assess and measure outcomes, which help to inform the most effective approach to take for each individual.</w:t>
      </w:r>
      <w:r>
        <w:br/>
      </w:r>
      <w:r>
        <w:rPr>
          <w:rFonts w:ascii="Arial" w:hAnsi="Arial" w:eastAsia="Arial" w:cs="Arial"/>
          <w:color w:val="000000"/>
          <w:sz w:val="20"/>
        </w:rPr>
        <w:t>The service is centrally coordinated by Berry Street Take Two and delivered by teams across the four divisions with an Aboriginal team delivering a statewide service located in the North Division. An assessment and recommendation service is provided for children and young people in secure welfare services. Clients are assessed as far as possible in their own home environment with children living in out-of-home care and at home.</w:t>
      </w:r>
      <w:r>
        <w:br/>
      </w:r>
      <w:r>
        <w:rPr>
          <w:rFonts w:ascii="Arial" w:hAnsi="Arial" w:eastAsia="Arial" w:cs="Arial"/>
          <w:color w:val="000000"/>
          <w:sz w:val="20"/>
        </w:rPr>
        <w:t>Take Two also provides research, evaluation and training services through its research, information management, training and practice development teams.</w:t>
      </w:r>
      <w:r>
        <w:br/>
      </w:r>
      <w:r>
        <w:rPr>
          <w:rFonts w:ascii="Arial" w:hAnsi="Arial" w:eastAsia="Arial" w:cs="Arial"/>
          <w:color w:val="000000"/>
          <w:sz w:val="20"/>
        </w:rPr>
        <w:t>Therapeutic specialists also provide services to children in therapeutic foster care and therapeutic residential care services, as well as family coaching, sexual abuse prevention programs and other local initiatives. Most of these services are provided through area-based teams.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Children or young people who have been seriously abused or neglected, who are exhibiting or at risk of developing severe emotional or behavioural disturbance. All referrals are from the Department of Health and Human Services (the department) child protection service for the core service.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Disability Act 2006</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&lt;https://www.legislation.vic.gov.au/in-force/acts/disability-act-2006&gt;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about clients receiving specialist intensive therapeutic treatment services on any day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Number of clients in the reporting period, divided by number of days in the reporting period</w:t>
            </w:r>
            <w:r>
              <w:br/>
            </w:r>
            <w:r>
              <w:rPr>
                <w:rFonts w:ascii="Arial" w:hAnsi="Arial" w:eastAsia="Arial" w:cs="Arial"/>
                <w:color w:val="000000"/>
                <w:sz w:val="20"/>
              </w:rPr>
              <w:t>For example:</w:t>
            </w:r>
            <w:r>
              <w:br/>
            </w:r>
            <w:r>
              <w:rPr>
                <w:rFonts w:ascii="Arial" w:hAnsi="Arial" w:eastAsia="Arial" w:cs="Arial"/>
                <w:color w:val="000000"/>
                <w:sz w:val="20"/>
              </w:rPr>
              <w:t>Number of clients = 52</w:t>
            </w:r>
            <w:r>
              <w:br/>
            </w:r>
            <w:r>
              <w:rPr>
                <w:rFonts w:ascii="Arial" w:hAnsi="Arial" w:eastAsia="Arial" w:cs="Arial"/>
                <w:color w:val="000000"/>
                <w:sz w:val="20"/>
              </w:rPr>
              <w:t>Total days per month = 31</w:t>
            </w:r>
            <w:r>
              <w:br/>
            </w:r>
            <w:r>
              <w:rPr>
                <w:rFonts w:ascii="Arial" w:hAnsi="Arial" w:eastAsia="Arial" w:cs="Arial"/>
                <w:color w:val="000000"/>
                <w:sz w:val="20"/>
              </w:rPr>
              <w:t>Daily average number of clients per month 52/31 = 1.6</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Out of Home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Daily average number is the sum of daily clients during the reporting period divided by the number of reporting period days (i.e. quarterly = 91.25 days).</w:t>
            </w:r>
            <w:r>
              <w:br/>
            </w:r>
            <w:r>
              <w:rPr>
                <w:rFonts w:ascii="Arial" w:hAnsi="Arial" w:eastAsia="Arial" w:cs="Arial"/>
                <w:color w:val="000000"/>
                <w:sz w:val="20"/>
              </w:rPr>
              <w:t>Placement refers to the accommodation and associated support provided</w:t>
            </w:r>
            <w:r>
              <w:br/>
            </w:r>
            <w:r>
              <w:rPr>
                <w:rFonts w:ascii="Arial" w:hAnsi="Arial" w:eastAsia="Arial" w:cs="Arial"/>
                <w:color w:val="000000"/>
                <w:sz w:val="20"/>
              </w:rPr>
              <w:t>Service means the provision of specialist intensive therapeutic treatment services to enhance the emotional and behavioural functioning of children who are subject to departmental child protection intervention services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clients referred by the Department of Health &amp; Human Services Child Protection to the intensive therapeutic service more than once in a 12-month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which is used to analyse the effectiveness of the intensive treatment services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number of clients referred to the service between the start date and end date of the reporting period where there was a previous (closed) referral for that client in the preceding 12 months.</w:t>
            </w:r>
            <w:r>
              <w:br/>
            </w:r>
            <w:r>
              <w:rPr>
                <w:rFonts w:ascii="Arial" w:hAnsi="Arial" w:eastAsia="Arial" w:cs="Arial"/>
                <w:color w:val="000000"/>
                <w:sz w:val="20"/>
              </w:rPr>
              <w:t>Divide this by the total amount of referrals within 12 months.</w:t>
            </w:r>
            <w:r>
              <w:br/>
            </w:r>
            <w:r>
              <w:rPr>
                <w:rFonts w:ascii="Arial" w:hAnsi="Arial" w:eastAsia="Arial" w:cs="Arial"/>
                <w:color w:val="000000"/>
                <w:sz w:val="20"/>
              </w:rPr>
              <w:t>For example:</w:t>
            </w:r>
            <w:r>
              <w:br/>
            </w:r>
            <w:r>
              <w:rPr>
                <w:rFonts w:ascii="Arial" w:hAnsi="Arial" w:eastAsia="Arial" w:cs="Arial"/>
                <w:color w:val="000000"/>
                <w:sz w:val="20"/>
              </w:rPr>
              <w:t>Total number of clients referred to the service more than once in 12 months = 6</w:t>
            </w:r>
            <w:r>
              <w:br/>
            </w:r>
            <w:r>
              <w:rPr>
                <w:rFonts w:ascii="Arial" w:hAnsi="Arial" w:eastAsia="Arial" w:cs="Arial"/>
                <w:color w:val="000000"/>
                <w:sz w:val="20"/>
              </w:rPr>
              <w:t>Total number of clients = 10</w:t>
            </w:r>
            <w:r>
              <w:br/>
            </w:r>
            <w:r>
              <w:rPr>
                <w:rFonts w:ascii="Arial" w:hAnsi="Arial" w:eastAsia="Arial" w:cs="Arial"/>
                <w:color w:val="000000"/>
                <w:sz w:val="20"/>
              </w:rPr>
              <w:t>Percentage of clients referred more than once in a 12 month period</w:t>
            </w:r>
            <w:r>
              <w:br/>
            </w:r>
            <w:r>
              <w:rPr>
                <w:rFonts w:ascii="Arial" w:hAnsi="Arial" w:eastAsia="Arial" w:cs="Arial"/>
                <w:color w:val="000000"/>
                <w:sz w:val="20"/>
              </w:rPr>
              <w:t>(6/10) x 100 = 60%</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Out of Home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Service means the provision of specialist intensive therapeutic treatment services to enhance the emotional and behavioural functioning of children who are subject to departmental child protection intervention services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about clients receiving specialist intensive therapeutic and treatment services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that have received a service within the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Out of Home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Service means the provision of specialist intensive therapeutic treatment services to enhance the emotional and behavioural functioning of children who are subject to departmental child protection intervention services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Out of Home Care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DFFH Monthly Report – Take Two - Targets Summary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5"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31163 Intensive Treatment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