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C55FF3" w14:textId="77777777" w:rsidR="006B741A" w:rsidRDefault="009D00C9">
      <w:pPr>
        <w:tabs>
          <w:tab w:val="left" w:pos="1728"/>
        </w:tabs>
        <w:spacing w:before="100" w:line="288" w:lineRule="auto"/>
        <w:ind w:left="-699"/>
      </w:pPr>
      <w:r>
        <w:rPr>
          <w:noProof/>
        </w:rPr>
        <w:drawing>
          <wp:inline distT="0" distB="0" distL="0" distR="0" wp14:anchorId="7B113786" wp14:editId="5E8BFA27">
            <wp:extent cx="7562215" cy="1415123"/>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7">
                      <a:extLst>
                        <a:ext uri="{28A0092B-C50C-407E-A947-70E740481C1C}">
                          <a14:useLocalDpi xmlns:a14="http://schemas.microsoft.com/office/drawing/2010/main" val="0"/>
                        </a:ext>
                      </a:extLst>
                    </a:blip>
                    <a:stretch>
                      <a:fillRect/>
                    </a:stretch>
                  </pic:blipFill>
                  <pic:spPr>
                    <a:xfrm>
                      <a:off x="0" y="0"/>
                      <a:ext cx="7562215" cy="1415123"/>
                    </a:xfrm>
                    <a:prstGeom prst="rect">
                      <a:avLst/>
                    </a:prstGeom>
                  </pic:spPr>
                </pic:pic>
              </a:graphicData>
            </a:graphic>
          </wp:inline>
        </w:drawing>
      </w:r>
    </w:p>
    <w:tbl>
      <w:tblPr>
        <w:tblW w:w="0" w:type="auto"/>
        <w:tblInd w:w="111" w:type="dxa"/>
        <w:tblLayout w:type="fixed"/>
        <w:tblCellMar>
          <w:left w:w="0" w:type="dxa"/>
          <w:right w:w="0" w:type="dxa"/>
        </w:tblCellMar>
        <w:tblLook w:val="04A0" w:firstRow="1" w:lastRow="0" w:firstColumn="1" w:lastColumn="0" w:noHBand="0" w:noVBand="1"/>
      </w:tblPr>
      <w:tblGrid>
        <w:gridCol w:w="10206"/>
      </w:tblGrid>
      <w:tr w:rsidR="006B741A" w14:paraId="20E37C1C" w14:textId="77777777">
        <w:tc>
          <w:tcPr>
            <w:tcW w:w="10206" w:type="dxa"/>
            <w:shd w:val="clear" w:color="auto" w:fill="FFFFFF"/>
            <w:vAlign w:val="bottom"/>
          </w:tcPr>
          <w:p w14:paraId="1DFEC878" w14:textId="77777777" w:rsidR="006B741A" w:rsidRDefault="006B741A">
            <w:pPr>
              <w:spacing w:line="560" w:lineRule="atLeast"/>
              <w:jc w:val="center"/>
              <w:rPr>
                <w:rFonts w:ascii="Arial" w:eastAsia="Arial" w:hAnsi="Arial" w:cs="Arial"/>
                <w:color w:val="000000"/>
                <w:sz w:val="20"/>
              </w:rPr>
            </w:pPr>
          </w:p>
          <w:p w14:paraId="525D64B5" w14:textId="77777777" w:rsidR="006B741A" w:rsidRDefault="009D00C9">
            <w:pPr>
              <w:spacing w:line="560" w:lineRule="atLeast"/>
              <w:rPr>
                <w:rFonts w:ascii="Arial" w:eastAsia="Arial" w:hAnsi="Arial" w:cs="Arial"/>
                <w:color w:val="201547"/>
                <w:sz w:val="44"/>
              </w:rPr>
            </w:pPr>
            <w:r>
              <w:rPr>
                <w:rFonts w:ascii="Arial" w:eastAsia="Arial" w:hAnsi="Arial" w:cs="Arial"/>
                <w:color w:val="201547"/>
                <w:sz w:val="44"/>
              </w:rPr>
              <w:t>Intake</w:t>
            </w:r>
          </w:p>
          <w:p w14:paraId="63ED47AC" w14:textId="77777777" w:rsidR="006B741A" w:rsidRDefault="009D00C9">
            <w:pPr>
              <w:spacing w:line="560" w:lineRule="atLeast"/>
              <w:rPr>
                <w:rFonts w:ascii="Arial" w:eastAsia="Arial" w:hAnsi="Arial" w:cs="Arial"/>
                <w:color w:val="201547"/>
                <w:sz w:val="44"/>
              </w:rPr>
            </w:pPr>
            <w:r>
              <w:rPr>
                <w:rFonts w:ascii="Arial" w:eastAsia="Arial" w:hAnsi="Arial" w:cs="Arial"/>
                <w:color w:val="201547"/>
                <w:sz w:val="44"/>
              </w:rPr>
              <w:t>34306</w:t>
            </w:r>
          </w:p>
        </w:tc>
      </w:tr>
      <w:tr w:rsidR="006B741A" w14:paraId="22C9C51E" w14:textId="77777777">
        <w:tc>
          <w:tcPr>
            <w:tcW w:w="10206" w:type="dxa"/>
            <w:shd w:val="clear" w:color="auto" w:fill="FFFFFF"/>
          </w:tcPr>
          <w:p w14:paraId="521D03DB" w14:textId="77777777" w:rsidR="006B741A" w:rsidRDefault="009D00C9">
            <w:pPr>
              <w:spacing w:after="120"/>
              <w:rPr>
                <w:rFonts w:ascii="Arial" w:eastAsia="Arial" w:hAnsi="Arial" w:cs="Arial"/>
                <w:color w:val="201547"/>
                <w:sz w:val="28"/>
              </w:rPr>
            </w:pPr>
            <w:r>
              <w:rPr>
                <w:rFonts w:ascii="Arial" w:eastAsia="Arial" w:hAnsi="Arial" w:cs="Arial"/>
                <w:color w:val="201547"/>
                <w:sz w:val="28"/>
              </w:rPr>
              <w:t>Outcome objective: Victorians are connected to culture and community</w:t>
            </w:r>
          </w:p>
          <w:p w14:paraId="3E29BF8D" w14:textId="77777777" w:rsidR="006B741A" w:rsidRDefault="009D00C9">
            <w:pPr>
              <w:spacing w:after="120"/>
              <w:rPr>
                <w:rFonts w:ascii="Arial" w:eastAsia="Arial" w:hAnsi="Arial" w:cs="Arial"/>
                <w:color w:val="201547"/>
                <w:sz w:val="28"/>
              </w:rPr>
            </w:pPr>
            <w:r>
              <w:rPr>
                <w:rFonts w:ascii="Arial" w:eastAsia="Arial" w:hAnsi="Arial" w:cs="Arial"/>
                <w:color w:val="201547"/>
                <w:sz w:val="28"/>
              </w:rPr>
              <w:t>Output group: Drug Services</w:t>
            </w:r>
          </w:p>
          <w:p w14:paraId="62A659A4" w14:textId="77777777" w:rsidR="006B741A" w:rsidRDefault="009D00C9">
            <w:pPr>
              <w:spacing w:after="120"/>
              <w:rPr>
                <w:rFonts w:ascii="Arial" w:eastAsia="Arial" w:hAnsi="Arial" w:cs="Arial"/>
                <w:color w:val="201547"/>
                <w:sz w:val="28"/>
              </w:rPr>
            </w:pPr>
            <w:r>
              <w:rPr>
                <w:rFonts w:ascii="Arial" w:eastAsia="Arial" w:hAnsi="Arial" w:cs="Arial"/>
                <w:color w:val="201547"/>
                <w:sz w:val="28"/>
              </w:rPr>
              <w:t>Output: Drug Treatment And Rehabilitation</w:t>
            </w:r>
          </w:p>
        </w:tc>
      </w:tr>
    </w:tbl>
    <w:p w14:paraId="319BCFE3" w14:textId="77777777" w:rsidR="006B741A" w:rsidRDefault="009D00C9">
      <w:pPr>
        <w:spacing w:line="560" w:lineRule="atLeast"/>
        <w:ind w:left="111" w:right="105"/>
        <w:rPr>
          <w:rFonts w:ascii="Arial" w:eastAsia="Arial" w:hAnsi="Arial" w:cs="Arial"/>
          <w:b/>
          <w:bCs/>
          <w:color w:val="000000"/>
          <w:sz w:val="20"/>
        </w:rPr>
      </w:pPr>
      <w:r>
        <w:rPr>
          <w:rFonts w:ascii="Arial" w:eastAsia="Arial" w:hAnsi="Arial" w:cs="Arial"/>
          <w:b/>
          <w:bCs/>
          <w:color w:val="000000"/>
          <w:sz w:val="20"/>
        </w:rPr>
        <w:t>OFFICIAL</w:t>
      </w:r>
    </w:p>
    <w:p w14:paraId="418315F3" w14:textId="77777777" w:rsidR="006B741A" w:rsidRDefault="009D00C9">
      <w:pPr>
        <w:keepNext/>
        <w:keepLines/>
        <w:spacing w:before="320" w:after="200" w:line="440" w:lineRule="atLeast"/>
        <w:ind w:left="111" w:right="105"/>
        <w:rPr>
          <w:rFonts w:ascii="Arial" w:eastAsia="Arial" w:hAnsi="Arial" w:cs="Arial"/>
          <w:b/>
          <w:bCs/>
          <w:color w:val="201547"/>
          <w:sz w:val="28"/>
        </w:rPr>
      </w:pPr>
      <w:r>
        <w:rPr>
          <w:rFonts w:ascii="Arial" w:eastAsia="Arial" w:hAnsi="Arial" w:cs="Arial"/>
          <w:b/>
          <w:bCs/>
          <w:color w:val="201547"/>
          <w:sz w:val="28"/>
        </w:rPr>
        <w:t>1. Service objective</w:t>
      </w:r>
    </w:p>
    <w:p w14:paraId="5CEDE6FD" w14:textId="77777777" w:rsidR="006B741A" w:rsidRDefault="009D00C9">
      <w:pPr>
        <w:spacing w:line="270" w:lineRule="atLeast"/>
        <w:ind w:left="111" w:right="105"/>
        <w:rPr>
          <w:rFonts w:ascii="Arial" w:eastAsia="Arial" w:hAnsi="Arial" w:cs="Arial"/>
          <w:color w:val="000000"/>
          <w:sz w:val="20"/>
        </w:rPr>
      </w:pPr>
      <w:r>
        <w:rPr>
          <w:rFonts w:ascii="Arial" w:eastAsia="Arial" w:hAnsi="Arial" w:cs="Arial"/>
          <w:color w:val="000000"/>
          <w:sz w:val="20"/>
        </w:rPr>
        <w:t xml:space="preserve">The intake function delivers standardised good-practice </w:t>
      </w:r>
      <w:r>
        <w:rPr>
          <w:rFonts w:ascii="Arial" w:eastAsia="Arial" w:hAnsi="Arial" w:cs="Arial"/>
          <w:color w:val="000000"/>
          <w:sz w:val="20"/>
        </w:rPr>
        <w:t>triage, via face-to-face, telephone, online, and outreach as required, to identify a person’s need for, and prioritise their referral to, specialist alcohol and other drug treatment and other services. This activity includes brief interventions and bridgin</w:t>
      </w:r>
      <w:r>
        <w:rPr>
          <w:rFonts w:ascii="Arial" w:eastAsia="Arial" w:hAnsi="Arial" w:cs="Arial"/>
          <w:color w:val="000000"/>
          <w:sz w:val="20"/>
        </w:rPr>
        <w:t>g support as necessary.</w:t>
      </w:r>
    </w:p>
    <w:p w14:paraId="2DC35E57" w14:textId="77777777" w:rsidR="006B741A" w:rsidRDefault="009D00C9">
      <w:pPr>
        <w:keepNext/>
        <w:keepLines/>
        <w:spacing w:before="320" w:after="200" w:line="440" w:lineRule="atLeast"/>
        <w:ind w:left="111" w:right="105"/>
        <w:rPr>
          <w:rFonts w:ascii="Arial" w:eastAsia="Arial" w:hAnsi="Arial" w:cs="Arial"/>
          <w:b/>
          <w:bCs/>
          <w:color w:val="201547"/>
          <w:sz w:val="28"/>
        </w:rPr>
      </w:pPr>
      <w:r>
        <w:rPr>
          <w:rFonts w:ascii="Arial" w:eastAsia="Arial" w:hAnsi="Arial" w:cs="Arial"/>
          <w:b/>
          <w:bCs/>
          <w:color w:val="201547"/>
          <w:sz w:val="28"/>
        </w:rPr>
        <w:t>2. Description of the service</w:t>
      </w:r>
    </w:p>
    <w:p w14:paraId="3B06EEB2" w14:textId="77777777" w:rsidR="006B741A" w:rsidRDefault="009D00C9">
      <w:pPr>
        <w:spacing w:line="270" w:lineRule="atLeast"/>
        <w:ind w:left="111" w:right="105"/>
        <w:rPr>
          <w:rFonts w:ascii="Arial" w:eastAsia="Arial" w:hAnsi="Arial" w:cs="Arial"/>
          <w:color w:val="000000"/>
          <w:sz w:val="20"/>
        </w:rPr>
      </w:pPr>
      <w:r>
        <w:rPr>
          <w:rFonts w:ascii="Arial" w:eastAsia="Arial" w:hAnsi="Arial" w:cs="Arial"/>
          <w:color w:val="000000"/>
          <w:sz w:val="20"/>
        </w:rPr>
        <w:t xml:space="preserve">Catchment-based intake services are the critical entry points into the Victorian AOD service system. Catchment-based intake services support the movement of existing AOD clients through the system. </w:t>
      </w:r>
      <w:r>
        <w:br/>
      </w:r>
      <w:r>
        <w:rPr>
          <w:rFonts w:ascii="Arial" w:eastAsia="Arial" w:hAnsi="Arial" w:cs="Arial"/>
          <w:color w:val="000000"/>
          <w:sz w:val="20"/>
        </w:rPr>
        <w:t>The catchment-based intake function provides local knowledge and clinical judgement to support client pathways to all Victorian AOD services, inclusive of youth, adult, residential and non-residential, Aboriginal, state and commonwealth-funded AOD services</w:t>
      </w:r>
      <w:r>
        <w:rPr>
          <w:rFonts w:ascii="Arial" w:eastAsia="Arial" w:hAnsi="Arial" w:cs="Arial"/>
          <w:color w:val="000000"/>
          <w:sz w:val="20"/>
        </w:rPr>
        <w:t xml:space="preserve">. Intake services assist people navigate the AOD service system and engage proactively with treatment providers on behalf of, and in partnership with, AOD clients and their families. </w:t>
      </w:r>
      <w:r>
        <w:br/>
      </w:r>
      <w:r>
        <w:rPr>
          <w:rFonts w:ascii="Arial" w:eastAsia="Arial" w:hAnsi="Arial" w:cs="Arial"/>
          <w:color w:val="000000"/>
          <w:sz w:val="20"/>
        </w:rPr>
        <w:t>Catchment-based intake services improve equity of access to treatment by</w:t>
      </w:r>
      <w:r>
        <w:rPr>
          <w:rFonts w:ascii="Arial" w:eastAsia="Arial" w:hAnsi="Arial" w:cs="Arial"/>
          <w:color w:val="000000"/>
          <w:sz w:val="20"/>
        </w:rPr>
        <w:t xml:space="preserve"> prioritising vulnerable and at-risk clients. People entering the treatment system go through intake and are triaged according to risk and need. Prioritisation and referrals are made according to client’s needs and service availability, rather than being b</w:t>
      </w:r>
      <w:r>
        <w:rPr>
          <w:rFonts w:ascii="Arial" w:eastAsia="Arial" w:hAnsi="Arial" w:cs="Arial"/>
          <w:color w:val="000000"/>
          <w:sz w:val="20"/>
        </w:rPr>
        <w:t>ased on relationships between service providers.</w:t>
      </w:r>
      <w:r>
        <w:br/>
      </w:r>
      <w:r>
        <w:rPr>
          <w:rFonts w:ascii="Arial" w:eastAsia="Arial" w:hAnsi="Arial" w:cs="Arial"/>
          <w:color w:val="000000"/>
          <w:sz w:val="20"/>
        </w:rPr>
        <w:t xml:space="preserve">Person-centred treatment is a governing principle in the delivery of intake services. Clients may choose to seek intake services outside their residential catchment. Access to AOD services is not limited by </w:t>
      </w:r>
      <w:r>
        <w:rPr>
          <w:rFonts w:ascii="Arial" w:eastAsia="Arial" w:hAnsi="Arial" w:cs="Arial"/>
          <w:color w:val="000000"/>
          <w:sz w:val="20"/>
        </w:rPr>
        <w:t>catchment boundaries.</w:t>
      </w:r>
    </w:p>
    <w:p w14:paraId="13FFFA42" w14:textId="77777777" w:rsidR="006B741A" w:rsidRDefault="009D00C9">
      <w:pPr>
        <w:keepNext/>
        <w:keepLines/>
        <w:spacing w:before="320" w:after="200" w:line="440" w:lineRule="atLeast"/>
        <w:ind w:left="111" w:right="105"/>
        <w:rPr>
          <w:rFonts w:ascii="Arial" w:eastAsia="Arial" w:hAnsi="Arial" w:cs="Arial"/>
          <w:b/>
          <w:bCs/>
          <w:color w:val="201547"/>
          <w:sz w:val="28"/>
        </w:rPr>
      </w:pPr>
      <w:r>
        <w:rPr>
          <w:rFonts w:ascii="Arial" w:eastAsia="Arial" w:hAnsi="Arial" w:cs="Arial"/>
          <w:b/>
          <w:bCs/>
          <w:color w:val="201547"/>
          <w:sz w:val="28"/>
        </w:rPr>
        <w:t>3. Client group</w:t>
      </w:r>
    </w:p>
    <w:p w14:paraId="5E30766A" w14:textId="77777777" w:rsidR="006B741A" w:rsidRDefault="009D00C9">
      <w:pPr>
        <w:spacing w:line="288" w:lineRule="auto"/>
        <w:ind w:left="111" w:right="105"/>
        <w:rPr>
          <w:rFonts w:ascii="Arial" w:eastAsia="Arial" w:hAnsi="Arial" w:cs="Arial"/>
          <w:color w:val="000000"/>
          <w:sz w:val="20"/>
        </w:rPr>
      </w:pPr>
      <w:r>
        <w:rPr>
          <w:rFonts w:ascii="Arial" w:eastAsia="Arial" w:hAnsi="Arial" w:cs="Arial"/>
          <w:color w:val="000000"/>
          <w:sz w:val="20"/>
        </w:rPr>
        <w:t xml:space="preserve">The target client group for this activity is people aged 16 years and older. Young people aged up to 25 years are offered the choice between attending a youth AOD service or an adult AOD service, as appropriate. There </w:t>
      </w:r>
      <w:r>
        <w:rPr>
          <w:rFonts w:ascii="Arial" w:eastAsia="Arial" w:hAnsi="Arial" w:cs="Arial"/>
          <w:color w:val="000000"/>
          <w:sz w:val="20"/>
        </w:rPr>
        <w:t>is no upper age limit in place for AOD services.</w:t>
      </w:r>
      <w:r>
        <w:br/>
      </w:r>
      <w:r>
        <w:rPr>
          <w:rFonts w:ascii="Arial" w:eastAsia="Arial" w:hAnsi="Arial" w:cs="Arial"/>
          <w:color w:val="000000"/>
          <w:sz w:val="20"/>
        </w:rPr>
        <w:t>Intake services also support families and significant others of people with AOD issues.</w:t>
      </w:r>
      <w:r>
        <w:br/>
      </w:r>
      <w:r>
        <w:rPr>
          <w:rFonts w:ascii="Arial" w:eastAsia="Arial" w:hAnsi="Arial" w:cs="Arial"/>
          <w:color w:val="000000"/>
          <w:sz w:val="20"/>
        </w:rPr>
        <w:t>While the Australian Community Support Organisation’s (ACSOs) Community Offenders Advice and Treatment Services (COATS)</w:t>
      </w:r>
      <w:r>
        <w:rPr>
          <w:rFonts w:ascii="Arial" w:eastAsia="Arial" w:hAnsi="Arial" w:cs="Arial"/>
          <w:color w:val="000000"/>
          <w:sz w:val="20"/>
        </w:rPr>
        <w:t xml:space="preserve"> program undertakes the majority of intake services for forensic clients, catchment-based intake </w:t>
      </w:r>
      <w:r>
        <w:rPr>
          <w:rFonts w:ascii="Arial" w:eastAsia="Arial" w:hAnsi="Arial" w:cs="Arial"/>
          <w:color w:val="000000"/>
          <w:sz w:val="20"/>
        </w:rPr>
        <w:lastRenderedPageBreak/>
        <w:t>may receive referrals for court based diversion programs clients such as the Court Integrated Services Program (CISP), Court Referral and Evaluation for Drug I</w:t>
      </w:r>
      <w:r>
        <w:rPr>
          <w:rFonts w:ascii="Arial" w:eastAsia="Arial" w:hAnsi="Arial" w:cs="Arial"/>
          <w:color w:val="000000"/>
          <w:sz w:val="20"/>
        </w:rPr>
        <w:t>ntervention and Treatment (CREDIT) program and the Assessment and Referral Court List (ARC List). These clients are then referred on to assessment and treatment services as required and COATS are notified of the referral.</w:t>
      </w:r>
      <w:r>
        <w:br/>
      </w:r>
      <w:r>
        <w:rPr>
          <w:rFonts w:ascii="Arial" w:eastAsia="Arial" w:hAnsi="Arial" w:cs="Arial"/>
          <w:color w:val="000000"/>
          <w:sz w:val="20"/>
        </w:rPr>
        <w:t>For further information, see Foren</w:t>
      </w:r>
      <w:r>
        <w:rPr>
          <w:rFonts w:ascii="Arial" w:eastAsia="Arial" w:hAnsi="Arial" w:cs="Arial"/>
          <w:color w:val="000000"/>
          <w:sz w:val="20"/>
        </w:rPr>
        <w:t>sic programs and services in the Alcohol and other drugs program guidelines.</w:t>
      </w:r>
    </w:p>
    <w:p w14:paraId="043BA271" w14:textId="77777777" w:rsidR="006B741A" w:rsidRDefault="009D00C9">
      <w:pPr>
        <w:keepNext/>
        <w:keepLines/>
        <w:spacing w:before="320" w:after="200" w:line="440" w:lineRule="atLeast"/>
        <w:ind w:left="111" w:right="105"/>
        <w:rPr>
          <w:rFonts w:ascii="Arial" w:eastAsia="Arial" w:hAnsi="Arial" w:cs="Arial"/>
          <w:b/>
          <w:bCs/>
          <w:color w:val="201547"/>
          <w:sz w:val="28"/>
        </w:rPr>
      </w:pPr>
      <w:r>
        <w:rPr>
          <w:rFonts w:ascii="Arial" w:eastAsia="Arial" w:hAnsi="Arial" w:cs="Arial"/>
          <w:b/>
          <w:bCs/>
          <w:color w:val="201547"/>
          <w:sz w:val="28"/>
        </w:rPr>
        <w:t>4. Obligations specific to this activity</w:t>
      </w:r>
    </w:p>
    <w:p w14:paraId="7ED38C08" w14:textId="77777777" w:rsidR="006B741A" w:rsidRDefault="009D00C9">
      <w:pPr>
        <w:spacing w:line="288" w:lineRule="auto"/>
        <w:ind w:left="111" w:right="105"/>
        <w:rPr>
          <w:rFonts w:ascii="Arial" w:eastAsia="Arial" w:hAnsi="Arial" w:cs="Arial"/>
          <w:color w:val="000000"/>
          <w:sz w:val="20"/>
        </w:rPr>
      </w:pPr>
      <w:r>
        <w:rPr>
          <w:rFonts w:ascii="Arial" w:eastAsia="Arial" w:hAnsi="Arial" w:cs="Arial"/>
          <w:color w:val="000000"/>
          <w:sz w:val="20"/>
        </w:rPr>
        <w:t>In addition to the obligations listed in the Service Agreement, organisations funded to deliver this activity must comply with the followi</w:t>
      </w:r>
      <w:r>
        <w:rPr>
          <w:rFonts w:ascii="Arial" w:eastAsia="Arial" w:hAnsi="Arial" w:cs="Arial"/>
          <w:color w:val="000000"/>
          <w:sz w:val="20"/>
        </w:rPr>
        <w:t>ng:</w:t>
      </w:r>
    </w:p>
    <w:p w14:paraId="14B01DF3" w14:textId="77777777" w:rsidR="006B741A" w:rsidRDefault="009D00C9">
      <w:pPr>
        <w:spacing w:before="240" w:after="90" w:line="320" w:lineRule="atLeast"/>
        <w:ind w:left="111" w:right="105"/>
        <w:rPr>
          <w:rFonts w:ascii="Arial" w:eastAsia="Arial" w:hAnsi="Arial" w:cs="Arial"/>
          <w:b/>
          <w:bCs/>
          <w:color w:val="201547"/>
        </w:rPr>
      </w:pPr>
      <w:r>
        <w:rPr>
          <w:rFonts w:ascii="Arial" w:eastAsia="Arial" w:hAnsi="Arial" w:cs="Arial"/>
          <w:b/>
          <w:bCs/>
          <w:color w:val="201547"/>
        </w:rPr>
        <w:t>4a. Registration and Accreditation</w:t>
      </w:r>
    </w:p>
    <w:p w14:paraId="43799D50" w14:textId="77777777" w:rsidR="006B741A" w:rsidRDefault="009D00C9">
      <w:pPr>
        <w:spacing w:after="40" w:line="270" w:lineRule="atLeast"/>
        <w:ind w:left="111" w:right="105"/>
        <w:rPr>
          <w:rFonts w:ascii="Arial" w:eastAsia="Arial" w:hAnsi="Arial" w:cs="Arial"/>
          <w:color w:val="000000"/>
          <w:sz w:val="20"/>
        </w:rPr>
      </w:pPr>
      <w:r>
        <w:rPr>
          <w:rFonts w:ascii="Arial" w:eastAsia="Arial" w:hAnsi="Arial" w:cs="Arial"/>
          <w:color w:val="000000"/>
          <w:sz w:val="20"/>
        </w:rPr>
        <w:t>N/A</w:t>
      </w:r>
    </w:p>
    <w:p w14:paraId="2B94DC15" w14:textId="77777777" w:rsidR="006B741A" w:rsidRDefault="009D00C9">
      <w:pPr>
        <w:spacing w:before="240" w:after="90" w:line="320" w:lineRule="atLeast"/>
        <w:ind w:left="111" w:right="105"/>
        <w:rPr>
          <w:rFonts w:ascii="Arial" w:eastAsia="Arial" w:hAnsi="Arial" w:cs="Arial"/>
          <w:color w:val="000000"/>
        </w:rPr>
      </w:pPr>
      <w:r>
        <w:rPr>
          <w:rFonts w:ascii="Arial" w:eastAsia="Arial" w:hAnsi="Arial" w:cs="Arial"/>
          <w:b/>
          <w:bCs/>
          <w:color w:val="201547"/>
        </w:rPr>
        <w:t>4b. Program requirements and other policy guidelines</w:t>
      </w:r>
    </w:p>
    <w:p w14:paraId="08CBD930" w14:textId="77777777" w:rsidR="006B741A" w:rsidRDefault="009D00C9">
      <w:pPr>
        <w:numPr>
          <w:ilvl w:val="0"/>
          <w:numId w:val="13"/>
        </w:numPr>
        <w:spacing w:after="40" w:line="270" w:lineRule="atLeast"/>
        <w:rPr>
          <w:rFonts w:ascii="Arial" w:eastAsia="Arial" w:hAnsi="Arial" w:cs="Arial"/>
          <w:color w:val="3366FF"/>
          <w:sz w:val="20"/>
        </w:rPr>
      </w:pPr>
      <w:hyperlink r:id="rId8" w:tgtFrame="_blank" w:history="1">
        <w:r>
          <w:rPr>
            <w:rFonts w:ascii="Arial" w:eastAsia="Arial" w:hAnsi="Arial" w:cs="Arial"/>
            <w:color w:val="3366FF"/>
            <w:sz w:val="20"/>
          </w:rPr>
          <w:t>Alcohol &amp; Other Drug Progra</w:t>
        </w:r>
        <w:r>
          <w:rPr>
            <w:rFonts w:ascii="Arial" w:eastAsia="Arial" w:hAnsi="Arial" w:cs="Arial"/>
            <w:color w:val="3366FF"/>
            <w:sz w:val="20"/>
          </w:rPr>
          <w:t>m Guidelines</w:t>
        </w:r>
      </w:hyperlink>
    </w:p>
    <w:p w14:paraId="0F57CBD3" w14:textId="77777777" w:rsidR="006B741A" w:rsidRDefault="009D00C9">
      <w:pPr>
        <w:spacing w:after="40" w:line="270" w:lineRule="atLeast"/>
        <w:ind w:left="395" w:right="105"/>
        <w:rPr>
          <w:rFonts w:ascii="Arial" w:eastAsia="Arial" w:hAnsi="Arial" w:cs="Arial"/>
          <w:color w:val="000000"/>
          <w:sz w:val="20"/>
        </w:rPr>
      </w:pPr>
      <w:r>
        <w:rPr>
          <w:rFonts w:ascii="Arial" w:eastAsia="Arial" w:hAnsi="Arial" w:cs="Arial"/>
          <w:color w:val="000000"/>
          <w:sz w:val="20"/>
        </w:rPr>
        <w:t>&lt;https://www2.health.vic.gov.au/alcohol-and-drugs/aod-service-standards-guidelines/aod-program-guidelines&gt;</w:t>
      </w:r>
    </w:p>
    <w:p w14:paraId="363318C6" w14:textId="77777777" w:rsidR="006B741A" w:rsidRDefault="009D00C9">
      <w:pPr>
        <w:numPr>
          <w:ilvl w:val="0"/>
          <w:numId w:val="13"/>
        </w:numPr>
        <w:spacing w:after="40" w:line="270" w:lineRule="atLeast"/>
        <w:rPr>
          <w:rFonts w:ascii="Arial" w:eastAsia="Arial" w:hAnsi="Arial" w:cs="Arial"/>
          <w:color w:val="3366FF"/>
          <w:sz w:val="20"/>
        </w:rPr>
      </w:pPr>
      <w:hyperlink r:id="rId9" w:tgtFrame="_blank" w:history="1">
        <w:r>
          <w:rPr>
            <w:rFonts w:ascii="Arial" w:eastAsia="Arial" w:hAnsi="Arial" w:cs="Arial"/>
            <w:color w:val="3366FF"/>
            <w:sz w:val="20"/>
          </w:rPr>
          <w:t xml:space="preserve">Policy and funding </w:t>
        </w:r>
        <w:r>
          <w:rPr>
            <w:rFonts w:ascii="Arial" w:eastAsia="Arial" w:hAnsi="Arial" w:cs="Arial"/>
            <w:color w:val="3366FF"/>
            <w:sz w:val="20"/>
          </w:rPr>
          <w:t>guidelines for health services</w:t>
        </w:r>
      </w:hyperlink>
    </w:p>
    <w:p w14:paraId="614A2378" w14:textId="77777777" w:rsidR="006B741A" w:rsidRDefault="009D00C9">
      <w:pPr>
        <w:spacing w:after="40" w:line="270" w:lineRule="atLeast"/>
        <w:ind w:left="395" w:right="105"/>
        <w:rPr>
          <w:rFonts w:ascii="Arial" w:eastAsia="Arial" w:hAnsi="Arial" w:cs="Arial"/>
          <w:color w:val="000000"/>
          <w:sz w:val="20"/>
        </w:rPr>
      </w:pPr>
      <w:r>
        <w:rPr>
          <w:rFonts w:ascii="Arial" w:eastAsia="Arial" w:hAnsi="Arial" w:cs="Arial"/>
          <w:color w:val="000000"/>
          <w:sz w:val="20"/>
        </w:rPr>
        <w:t>&lt;https://www.health.vic.gov.au/policy-and-funding-guidelines-for-health-services&gt;</w:t>
      </w:r>
    </w:p>
    <w:p w14:paraId="743F8DA1" w14:textId="77777777" w:rsidR="006B741A" w:rsidRDefault="006B741A">
      <w:pPr>
        <w:spacing w:line="270" w:lineRule="atLeast"/>
        <w:ind w:left="111" w:right="105"/>
        <w:rPr>
          <w:rFonts w:ascii="Arial" w:eastAsia="Arial" w:hAnsi="Arial" w:cs="Arial"/>
          <w:color w:val="000000"/>
          <w:sz w:val="20"/>
        </w:rPr>
      </w:pPr>
    </w:p>
    <w:p w14:paraId="45294DED" w14:textId="77777777" w:rsidR="006B741A" w:rsidRDefault="009D00C9">
      <w:pPr>
        <w:spacing w:before="320" w:after="200" w:line="440" w:lineRule="atLeast"/>
        <w:ind w:left="111" w:right="105"/>
        <w:rPr>
          <w:rFonts w:ascii="Arial" w:eastAsia="Arial" w:hAnsi="Arial" w:cs="Arial"/>
          <w:color w:val="000000"/>
          <w:sz w:val="20"/>
        </w:rPr>
      </w:pPr>
      <w:r>
        <w:rPr>
          <w:rFonts w:ascii="Arial" w:eastAsia="Arial" w:hAnsi="Arial" w:cs="Arial"/>
          <w:b/>
          <w:bCs/>
          <w:color w:val="201547"/>
          <w:sz w:val="28"/>
        </w:rPr>
        <w:t>5. Performance</w:t>
      </w:r>
    </w:p>
    <w:p w14:paraId="5C9F616D" w14:textId="77777777" w:rsidR="006B741A" w:rsidRDefault="009D00C9">
      <w:pPr>
        <w:spacing w:line="288" w:lineRule="auto"/>
        <w:ind w:left="111" w:right="105"/>
        <w:rPr>
          <w:rFonts w:ascii="Arial" w:eastAsia="Arial" w:hAnsi="Arial" w:cs="Arial"/>
          <w:color w:val="000000"/>
          <w:sz w:val="20"/>
        </w:rPr>
      </w:pPr>
      <w:r>
        <w:rPr>
          <w:rFonts w:ascii="Arial" w:eastAsia="Arial" w:hAnsi="Arial" w:cs="Arial"/>
          <w:color w:val="000000"/>
          <w:sz w:val="20"/>
        </w:rPr>
        <w:t xml:space="preserve">Funding is subject to achieving the performance targets specified in Schedule 2 of the Service Agreement. </w:t>
      </w:r>
    </w:p>
    <w:p w14:paraId="696974C0" w14:textId="77777777" w:rsidR="006B741A" w:rsidRDefault="009D00C9">
      <w:pPr>
        <w:spacing w:before="100" w:line="288" w:lineRule="auto"/>
        <w:ind w:left="111" w:right="105"/>
        <w:rPr>
          <w:rFonts w:ascii="Arial" w:eastAsia="Arial" w:hAnsi="Arial" w:cs="Arial"/>
          <w:b/>
          <w:bCs/>
          <w:color w:val="000000"/>
          <w:sz w:val="20"/>
        </w:rPr>
      </w:pPr>
      <w:r>
        <w:rPr>
          <w:rFonts w:ascii="Arial" w:eastAsia="Arial" w:hAnsi="Arial" w:cs="Arial"/>
          <w:color w:val="000000"/>
          <w:sz w:val="20"/>
        </w:rPr>
        <w:t>Performance is measured as follows:</w:t>
      </w:r>
      <w:r>
        <w:rPr>
          <w:rFonts w:ascii="Arial" w:eastAsia="Arial" w:hAnsi="Arial" w:cs="Arial"/>
          <w:b/>
          <w:bCs/>
          <w:color w:val="000000"/>
          <w:sz w:val="20"/>
        </w:rPr>
        <w:t xml:space="preserve"> </w:t>
      </w:r>
    </w:p>
    <w:p w14:paraId="0DB0E802" w14:textId="77777777" w:rsidR="006B741A" w:rsidRDefault="009D00C9">
      <w:pPr>
        <w:spacing w:before="100" w:line="288" w:lineRule="auto"/>
        <w:ind w:left="111" w:right="105"/>
        <w:rPr>
          <w:rFonts w:ascii="Arial" w:eastAsia="Arial" w:hAnsi="Arial" w:cs="Arial"/>
          <w:b/>
          <w:bCs/>
          <w:color w:val="201547"/>
          <w:sz w:val="20"/>
        </w:rPr>
      </w:pPr>
      <w:r>
        <w:rPr>
          <w:rFonts w:ascii="Arial" w:eastAsia="Arial" w:hAnsi="Arial" w:cs="Arial"/>
          <w:b/>
          <w:bCs/>
          <w:color w:val="201547"/>
          <w:sz w:val="20"/>
        </w:rPr>
        <w:t>Key performance measure 1: Number of Drug Treatment Activity Units (DTAU)</w:t>
      </w:r>
    </w:p>
    <w:tbl>
      <w:tblPr>
        <w:tblW w:w="0" w:type="auto"/>
        <w:tblInd w:w="111" w:type="dxa"/>
        <w:tblLayout w:type="fixed"/>
        <w:tblCellMar>
          <w:left w:w="0" w:type="dxa"/>
          <w:right w:w="0" w:type="dxa"/>
        </w:tblCellMar>
        <w:tblLook w:val="04A0" w:firstRow="1" w:lastRow="0" w:firstColumn="1" w:lastColumn="0" w:noHBand="0" w:noVBand="1"/>
      </w:tblPr>
      <w:tblGrid>
        <w:gridCol w:w="2835"/>
        <w:gridCol w:w="7379"/>
      </w:tblGrid>
      <w:tr w:rsidR="006B741A" w14:paraId="3FC44818" w14:textId="77777777">
        <w:trPr>
          <w:cantSplit/>
        </w:trPr>
        <w:tc>
          <w:tcPr>
            <w:tcW w:w="2835" w:type="dxa"/>
            <w:tcBorders>
              <w:top w:val="single" w:sz="4" w:space="0" w:color="000000"/>
              <w:left w:val="single" w:sz="4" w:space="0" w:color="000000"/>
              <w:bottom w:val="single" w:sz="4" w:space="0" w:color="000000"/>
              <w:right w:val="single" w:sz="4" w:space="0" w:color="000000"/>
            </w:tcBorders>
            <w:shd w:val="clear" w:color="auto" w:fill="FFFFFF"/>
          </w:tcPr>
          <w:p w14:paraId="56C14AAD" w14:textId="77777777" w:rsidR="006B741A" w:rsidRDefault="009D00C9">
            <w:pPr>
              <w:keepLines/>
              <w:spacing w:before="100" w:line="288" w:lineRule="auto"/>
              <w:ind w:left="108" w:right="108"/>
              <w:rPr>
                <w:rFonts w:ascii="Arial" w:eastAsia="Arial" w:hAnsi="Arial" w:cs="Arial"/>
                <w:b/>
                <w:bCs/>
                <w:color w:val="201547"/>
                <w:sz w:val="20"/>
              </w:rPr>
            </w:pPr>
            <w:r>
              <w:rPr>
                <w:rFonts w:ascii="Arial" w:eastAsia="Arial" w:hAnsi="Arial" w:cs="Arial"/>
                <w:b/>
                <w:bCs/>
                <w:color w:val="201547"/>
                <w:sz w:val="20"/>
              </w:rPr>
              <w:t>Aim/objective</w:t>
            </w:r>
          </w:p>
        </w:tc>
        <w:tc>
          <w:tcPr>
            <w:tcW w:w="7379" w:type="dxa"/>
            <w:tcBorders>
              <w:top w:val="single" w:sz="4" w:space="0" w:color="000000"/>
              <w:left w:val="single" w:sz="4" w:space="0" w:color="000000"/>
              <w:bottom w:val="single" w:sz="4" w:space="0" w:color="000000"/>
              <w:right w:val="single" w:sz="4" w:space="0" w:color="000000"/>
            </w:tcBorders>
            <w:shd w:val="clear" w:color="auto" w:fill="FFFFFF"/>
          </w:tcPr>
          <w:p w14:paraId="505AA04B" w14:textId="77777777" w:rsidR="006B741A" w:rsidRDefault="009D00C9">
            <w:pPr>
              <w:keepLines/>
              <w:spacing w:before="100" w:line="288" w:lineRule="auto"/>
              <w:ind w:left="108" w:right="108"/>
              <w:rPr>
                <w:rFonts w:ascii="Arial" w:eastAsia="Arial" w:hAnsi="Arial" w:cs="Arial"/>
                <w:color w:val="000000"/>
                <w:sz w:val="20"/>
              </w:rPr>
            </w:pPr>
            <w:r>
              <w:rPr>
                <w:rFonts w:ascii="Arial" w:eastAsia="Arial" w:hAnsi="Arial" w:cs="Arial"/>
                <w:color w:val="000000"/>
                <w:sz w:val="20"/>
              </w:rPr>
              <w:t>To ensure that the servi</w:t>
            </w:r>
            <w:r>
              <w:rPr>
                <w:rFonts w:ascii="Arial" w:eastAsia="Arial" w:hAnsi="Arial" w:cs="Arial"/>
                <w:color w:val="000000"/>
                <w:sz w:val="20"/>
              </w:rPr>
              <w:t>ce provider has delivered the quantity of services recorded in the service agreement</w:t>
            </w:r>
          </w:p>
        </w:tc>
      </w:tr>
      <w:tr w:rsidR="006B741A" w14:paraId="3BD89D0F" w14:textId="77777777">
        <w:trPr>
          <w:cantSplit/>
        </w:trPr>
        <w:tc>
          <w:tcPr>
            <w:tcW w:w="2835" w:type="dxa"/>
            <w:tcBorders>
              <w:top w:val="single" w:sz="4" w:space="0" w:color="000000"/>
              <w:left w:val="single" w:sz="4" w:space="0" w:color="000000"/>
              <w:bottom w:val="single" w:sz="4" w:space="0" w:color="000000"/>
              <w:right w:val="single" w:sz="4" w:space="0" w:color="000000"/>
            </w:tcBorders>
            <w:shd w:val="clear" w:color="auto" w:fill="FFFFFF"/>
          </w:tcPr>
          <w:p w14:paraId="680E9B4E" w14:textId="77777777" w:rsidR="006B741A" w:rsidRDefault="009D00C9">
            <w:pPr>
              <w:keepLines/>
              <w:spacing w:before="100" w:line="288" w:lineRule="auto"/>
              <w:ind w:left="108" w:right="108"/>
              <w:rPr>
                <w:rFonts w:ascii="Arial" w:eastAsia="Arial" w:hAnsi="Arial" w:cs="Arial"/>
                <w:b/>
                <w:bCs/>
                <w:color w:val="201547"/>
                <w:sz w:val="20"/>
              </w:rPr>
            </w:pPr>
            <w:r>
              <w:rPr>
                <w:rFonts w:ascii="Arial" w:eastAsia="Arial" w:hAnsi="Arial" w:cs="Arial"/>
                <w:b/>
                <w:bCs/>
                <w:color w:val="201547"/>
                <w:sz w:val="20"/>
              </w:rPr>
              <w:t>Target</w:t>
            </w:r>
          </w:p>
        </w:tc>
        <w:tc>
          <w:tcPr>
            <w:tcW w:w="7379" w:type="dxa"/>
            <w:tcBorders>
              <w:top w:val="single" w:sz="4" w:space="0" w:color="000000"/>
              <w:left w:val="single" w:sz="4" w:space="0" w:color="000000"/>
              <w:bottom w:val="single" w:sz="4" w:space="0" w:color="000000"/>
              <w:right w:val="single" w:sz="4" w:space="0" w:color="000000"/>
            </w:tcBorders>
            <w:shd w:val="clear" w:color="auto" w:fill="FFFFFF"/>
          </w:tcPr>
          <w:p w14:paraId="1368F055" w14:textId="77777777" w:rsidR="006B741A" w:rsidRDefault="009D00C9">
            <w:pPr>
              <w:keepLines/>
              <w:spacing w:before="100" w:line="288" w:lineRule="auto"/>
              <w:ind w:left="108" w:right="108"/>
              <w:rPr>
                <w:rFonts w:ascii="Arial" w:eastAsia="Arial" w:hAnsi="Arial" w:cs="Arial"/>
                <w:color w:val="000000"/>
                <w:sz w:val="20"/>
              </w:rPr>
            </w:pPr>
            <w:r>
              <w:rPr>
                <w:rFonts w:ascii="Arial" w:eastAsia="Arial" w:hAnsi="Arial" w:cs="Arial"/>
                <w:color w:val="000000"/>
                <w:sz w:val="20"/>
              </w:rPr>
              <w:t>The performance measure target is provided in the Service Agreement</w:t>
            </w:r>
          </w:p>
        </w:tc>
      </w:tr>
      <w:tr w:rsidR="006B741A" w14:paraId="1C92AC76" w14:textId="77777777">
        <w:trPr>
          <w:cantSplit/>
        </w:trPr>
        <w:tc>
          <w:tcPr>
            <w:tcW w:w="2835" w:type="dxa"/>
            <w:tcBorders>
              <w:top w:val="single" w:sz="4" w:space="0" w:color="000000"/>
              <w:left w:val="single" w:sz="4" w:space="0" w:color="000000"/>
              <w:bottom w:val="single" w:sz="4" w:space="0" w:color="000000"/>
              <w:right w:val="single" w:sz="4" w:space="0" w:color="000000"/>
            </w:tcBorders>
            <w:shd w:val="clear" w:color="auto" w:fill="FFFFFF"/>
          </w:tcPr>
          <w:p w14:paraId="000E1A6D" w14:textId="77777777" w:rsidR="006B741A" w:rsidRDefault="009D00C9">
            <w:pPr>
              <w:keepLines/>
              <w:spacing w:before="100" w:line="288" w:lineRule="auto"/>
              <w:ind w:left="108" w:right="108"/>
              <w:rPr>
                <w:rFonts w:ascii="Arial" w:eastAsia="Arial" w:hAnsi="Arial" w:cs="Arial"/>
                <w:b/>
                <w:bCs/>
                <w:color w:val="201547"/>
                <w:sz w:val="20"/>
              </w:rPr>
            </w:pPr>
            <w:r>
              <w:rPr>
                <w:rFonts w:ascii="Arial" w:eastAsia="Arial" w:hAnsi="Arial" w:cs="Arial"/>
                <w:b/>
                <w:bCs/>
                <w:color w:val="201547"/>
                <w:sz w:val="20"/>
              </w:rPr>
              <w:t>Type of count</w:t>
            </w:r>
          </w:p>
        </w:tc>
        <w:tc>
          <w:tcPr>
            <w:tcW w:w="7379" w:type="dxa"/>
            <w:tcBorders>
              <w:top w:val="single" w:sz="4" w:space="0" w:color="000000"/>
              <w:left w:val="single" w:sz="4" w:space="0" w:color="000000"/>
              <w:bottom w:val="single" w:sz="4" w:space="0" w:color="000000"/>
              <w:right w:val="single" w:sz="4" w:space="0" w:color="000000"/>
            </w:tcBorders>
            <w:shd w:val="clear" w:color="auto" w:fill="FFFFFF"/>
          </w:tcPr>
          <w:p w14:paraId="38187022" w14:textId="77777777" w:rsidR="006B741A" w:rsidRDefault="009D00C9">
            <w:pPr>
              <w:keepLines/>
              <w:spacing w:before="100" w:line="288" w:lineRule="auto"/>
              <w:ind w:left="108" w:right="108"/>
              <w:rPr>
                <w:rFonts w:ascii="Arial" w:eastAsia="Arial" w:hAnsi="Arial" w:cs="Arial"/>
                <w:color w:val="000000"/>
                <w:sz w:val="20"/>
              </w:rPr>
            </w:pPr>
            <w:r>
              <w:rPr>
                <w:rFonts w:ascii="Arial" w:eastAsia="Arial" w:hAnsi="Arial" w:cs="Arial"/>
                <w:color w:val="000000"/>
                <w:sz w:val="20"/>
              </w:rPr>
              <w:t>Cumulative</w:t>
            </w:r>
          </w:p>
        </w:tc>
      </w:tr>
      <w:tr w:rsidR="006B741A" w14:paraId="1809E271" w14:textId="77777777">
        <w:trPr>
          <w:cantSplit/>
        </w:trPr>
        <w:tc>
          <w:tcPr>
            <w:tcW w:w="2835" w:type="dxa"/>
            <w:tcBorders>
              <w:top w:val="single" w:sz="4" w:space="0" w:color="000000"/>
              <w:left w:val="single" w:sz="4" w:space="0" w:color="000000"/>
              <w:bottom w:val="single" w:sz="4" w:space="0" w:color="000000"/>
              <w:right w:val="single" w:sz="4" w:space="0" w:color="000000"/>
            </w:tcBorders>
            <w:shd w:val="clear" w:color="auto" w:fill="FFFFFF"/>
          </w:tcPr>
          <w:p w14:paraId="41EEDF64" w14:textId="77777777" w:rsidR="006B741A" w:rsidRDefault="009D00C9">
            <w:pPr>
              <w:keepLines/>
              <w:spacing w:before="100" w:line="288" w:lineRule="auto"/>
              <w:ind w:left="108" w:right="108"/>
              <w:rPr>
                <w:rFonts w:ascii="Arial" w:eastAsia="Arial" w:hAnsi="Arial" w:cs="Arial"/>
                <w:b/>
                <w:bCs/>
                <w:color w:val="201547"/>
                <w:sz w:val="20"/>
              </w:rPr>
            </w:pPr>
            <w:r>
              <w:rPr>
                <w:rFonts w:ascii="Arial" w:eastAsia="Arial" w:hAnsi="Arial" w:cs="Arial"/>
                <w:b/>
                <w:bCs/>
                <w:color w:val="201547"/>
                <w:sz w:val="20"/>
              </w:rPr>
              <w:t>Counting rule</w:t>
            </w:r>
          </w:p>
        </w:tc>
        <w:tc>
          <w:tcPr>
            <w:tcW w:w="7379" w:type="dxa"/>
            <w:tcBorders>
              <w:top w:val="single" w:sz="4" w:space="0" w:color="000000"/>
              <w:left w:val="single" w:sz="4" w:space="0" w:color="000000"/>
              <w:bottom w:val="single" w:sz="4" w:space="0" w:color="000000"/>
              <w:right w:val="single" w:sz="4" w:space="0" w:color="000000"/>
            </w:tcBorders>
            <w:shd w:val="clear" w:color="auto" w:fill="FFFFFF"/>
          </w:tcPr>
          <w:p w14:paraId="03FCE5D6" w14:textId="77777777" w:rsidR="006B741A" w:rsidRDefault="009D00C9">
            <w:pPr>
              <w:keepLines/>
              <w:spacing w:before="100" w:line="288" w:lineRule="auto"/>
              <w:ind w:left="108" w:right="108"/>
              <w:rPr>
                <w:rFonts w:ascii="Arial" w:eastAsia="Arial" w:hAnsi="Arial" w:cs="Arial"/>
                <w:color w:val="000000"/>
                <w:sz w:val="20"/>
              </w:rPr>
            </w:pPr>
            <w:r>
              <w:rPr>
                <w:rFonts w:ascii="Arial" w:eastAsia="Arial" w:hAnsi="Arial" w:cs="Arial"/>
                <w:color w:val="000000"/>
                <w:sz w:val="20"/>
              </w:rPr>
              <w:t xml:space="preserve">For intake and referral of all modes as well as </w:t>
            </w:r>
            <w:r>
              <w:rPr>
                <w:rFonts w:ascii="Arial" w:eastAsia="Arial" w:hAnsi="Arial" w:cs="Arial"/>
                <w:color w:val="000000"/>
                <w:sz w:val="20"/>
              </w:rPr>
              <w:t>bridging support the counting rule is on completed referral, brief interventions and family single session intake counting units are on completed contact.</w:t>
            </w:r>
            <w:r>
              <w:br/>
            </w:r>
            <w:r>
              <w:rPr>
                <w:rFonts w:ascii="Arial" w:eastAsia="Arial" w:hAnsi="Arial" w:cs="Arial"/>
                <w:color w:val="000000"/>
                <w:sz w:val="20"/>
              </w:rPr>
              <w:t>DTAUs and their operation are further described in Part 3, Section 4.1 of the AOD program guidelines.</w:t>
            </w:r>
            <w:r>
              <w:rPr>
                <w:rFonts w:ascii="Arial" w:eastAsia="Arial" w:hAnsi="Arial" w:cs="Arial"/>
                <w:color w:val="000000"/>
                <w:sz w:val="20"/>
              </w:rPr>
              <w:t xml:space="preserve"> These are available on the department’s website. &lt;https://www2.health.vic.gov.au/alcohol-and-drugs/aod-service-standards-guidelines/aod-program-guidelines&gt;</w:t>
            </w:r>
          </w:p>
        </w:tc>
      </w:tr>
      <w:tr w:rsidR="006B741A" w14:paraId="4030152A" w14:textId="77777777">
        <w:trPr>
          <w:cantSplit/>
        </w:trPr>
        <w:tc>
          <w:tcPr>
            <w:tcW w:w="2835" w:type="dxa"/>
            <w:tcBorders>
              <w:top w:val="single" w:sz="4" w:space="0" w:color="000000"/>
              <w:left w:val="single" w:sz="4" w:space="0" w:color="000000"/>
              <w:bottom w:val="single" w:sz="4" w:space="0" w:color="000000"/>
              <w:right w:val="single" w:sz="4" w:space="0" w:color="000000"/>
            </w:tcBorders>
            <w:shd w:val="clear" w:color="auto" w:fill="FFFFFF"/>
          </w:tcPr>
          <w:p w14:paraId="4E40B628" w14:textId="77777777" w:rsidR="006B741A" w:rsidRDefault="009D00C9">
            <w:pPr>
              <w:keepLines/>
              <w:spacing w:before="100" w:line="288" w:lineRule="auto"/>
              <w:ind w:left="108" w:right="108"/>
              <w:rPr>
                <w:rFonts w:ascii="Arial" w:eastAsia="Arial" w:hAnsi="Arial" w:cs="Arial"/>
                <w:b/>
                <w:bCs/>
                <w:color w:val="201547"/>
                <w:sz w:val="20"/>
              </w:rPr>
            </w:pPr>
            <w:r>
              <w:rPr>
                <w:rFonts w:ascii="Arial" w:eastAsia="Arial" w:hAnsi="Arial" w:cs="Arial"/>
                <w:b/>
                <w:bCs/>
                <w:color w:val="201547"/>
                <w:sz w:val="20"/>
              </w:rPr>
              <w:t>Data source(s) collection</w:t>
            </w:r>
          </w:p>
        </w:tc>
        <w:tc>
          <w:tcPr>
            <w:tcW w:w="7379" w:type="dxa"/>
            <w:tcBorders>
              <w:top w:val="single" w:sz="4" w:space="0" w:color="000000"/>
              <w:left w:val="single" w:sz="4" w:space="0" w:color="000000"/>
              <w:bottom w:val="single" w:sz="4" w:space="0" w:color="000000"/>
              <w:right w:val="single" w:sz="4" w:space="0" w:color="000000"/>
            </w:tcBorders>
            <w:shd w:val="clear" w:color="auto" w:fill="FFFFFF"/>
          </w:tcPr>
          <w:p w14:paraId="239903B6" w14:textId="77777777" w:rsidR="006B741A" w:rsidRDefault="009D00C9">
            <w:pPr>
              <w:keepLines/>
              <w:numPr>
                <w:ilvl w:val="0"/>
                <w:numId w:val="13"/>
              </w:numPr>
              <w:spacing w:line="270" w:lineRule="atLeast"/>
              <w:rPr>
                <w:rFonts w:ascii="Arial" w:eastAsia="Arial" w:hAnsi="Arial" w:cs="Arial"/>
                <w:color w:val="000000"/>
                <w:sz w:val="20"/>
              </w:rPr>
            </w:pPr>
            <w:r>
              <w:rPr>
                <w:rFonts w:ascii="Arial" w:eastAsia="Arial" w:hAnsi="Arial" w:cs="Arial"/>
                <w:color w:val="000000"/>
                <w:sz w:val="20"/>
              </w:rPr>
              <w:t>Victorian Alcohol and Drug Collection (VADC) / Alcohol and other drug tr</w:t>
            </w:r>
            <w:r>
              <w:rPr>
                <w:rFonts w:ascii="Arial" w:eastAsia="Arial" w:hAnsi="Arial" w:cs="Arial"/>
                <w:color w:val="000000"/>
                <w:sz w:val="20"/>
              </w:rPr>
              <w:t>eatment services national minimum dataset</w:t>
            </w:r>
          </w:p>
        </w:tc>
      </w:tr>
      <w:tr w:rsidR="006B741A" w14:paraId="3A8B6AF0" w14:textId="77777777">
        <w:trPr>
          <w:cantSplit/>
        </w:trPr>
        <w:tc>
          <w:tcPr>
            <w:tcW w:w="2835" w:type="dxa"/>
            <w:tcBorders>
              <w:top w:val="single" w:sz="4" w:space="0" w:color="000000"/>
              <w:left w:val="single" w:sz="4" w:space="0" w:color="000000"/>
              <w:bottom w:val="single" w:sz="4" w:space="0" w:color="000000"/>
              <w:right w:val="single" w:sz="4" w:space="0" w:color="000000"/>
            </w:tcBorders>
            <w:shd w:val="clear" w:color="auto" w:fill="FFFFFF"/>
          </w:tcPr>
          <w:p w14:paraId="0FA8C101" w14:textId="77777777" w:rsidR="006B741A" w:rsidRDefault="009D00C9">
            <w:pPr>
              <w:keepLines/>
              <w:spacing w:before="100" w:line="288" w:lineRule="auto"/>
              <w:ind w:left="108" w:right="108"/>
              <w:rPr>
                <w:rFonts w:ascii="Arial" w:eastAsia="Arial" w:hAnsi="Arial" w:cs="Arial"/>
                <w:b/>
                <w:bCs/>
                <w:color w:val="201547"/>
                <w:sz w:val="20"/>
              </w:rPr>
            </w:pPr>
            <w:r>
              <w:rPr>
                <w:rFonts w:ascii="Arial" w:eastAsia="Arial" w:hAnsi="Arial" w:cs="Arial"/>
                <w:b/>
                <w:bCs/>
                <w:color w:val="201547"/>
                <w:sz w:val="20"/>
              </w:rPr>
              <w:t>Definition of terms</w:t>
            </w:r>
          </w:p>
        </w:tc>
        <w:tc>
          <w:tcPr>
            <w:tcW w:w="7379" w:type="dxa"/>
            <w:tcBorders>
              <w:top w:val="single" w:sz="4" w:space="0" w:color="000000"/>
              <w:left w:val="single" w:sz="4" w:space="0" w:color="000000"/>
              <w:bottom w:val="single" w:sz="4" w:space="0" w:color="000000"/>
              <w:right w:val="single" w:sz="4" w:space="0" w:color="000000"/>
            </w:tcBorders>
            <w:shd w:val="clear" w:color="auto" w:fill="FFFFFF"/>
          </w:tcPr>
          <w:p w14:paraId="5801078C" w14:textId="77777777" w:rsidR="006B741A" w:rsidRDefault="009D00C9">
            <w:pPr>
              <w:keepLines/>
              <w:spacing w:before="100" w:line="288" w:lineRule="auto"/>
              <w:ind w:left="108" w:right="108"/>
              <w:rPr>
                <w:rFonts w:ascii="Arial" w:eastAsia="Arial" w:hAnsi="Arial" w:cs="Arial"/>
                <w:color w:val="000000"/>
                <w:sz w:val="20"/>
              </w:rPr>
            </w:pPr>
            <w:r>
              <w:rPr>
                <w:rFonts w:ascii="Arial" w:eastAsia="Arial" w:hAnsi="Arial" w:cs="Arial"/>
                <w:color w:val="000000"/>
                <w:sz w:val="20"/>
              </w:rPr>
              <w:t xml:space="preserve">A DTAU unit is the measure used to quantify AOD service delivery. DTAUs have a fixed dollar value which is subject to indexation. Different activity types have different DTAU </w:t>
            </w:r>
            <w:r>
              <w:rPr>
                <w:rFonts w:ascii="Arial" w:eastAsia="Arial" w:hAnsi="Arial" w:cs="Arial"/>
                <w:color w:val="000000"/>
                <w:sz w:val="20"/>
              </w:rPr>
              <w:t>weightings and some priority populations attract an additional weighting</w:t>
            </w:r>
          </w:p>
        </w:tc>
      </w:tr>
    </w:tbl>
    <w:p w14:paraId="1192544E" w14:textId="77777777" w:rsidR="006B741A" w:rsidRDefault="009D00C9">
      <w:pPr>
        <w:keepNext/>
        <w:keepLines/>
        <w:spacing w:before="320" w:after="200" w:line="440" w:lineRule="atLeast"/>
        <w:ind w:left="111" w:right="105"/>
        <w:rPr>
          <w:rFonts w:ascii="Arial" w:eastAsia="Arial" w:hAnsi="Arial" w:cs="Arial"/>
          <w:b/>
          <w:bCs/>
          <w:color w:val="201547"/>
          <w:sz w:val="28"/>
        </w:rPr>
      </w:pPr>
      <w:r>
        <w:rPr>
          <w:rFonts w:ascii="Arial" w:eastAsia="Arial" w:hAnsi="Arial" w:cs="Arial"/>
          <w:b/>
          <w:bCs/>
          <w:color w:val="201547"/>
          <w:sz w:val="28"/>
        </w:rPr>
        <w:lastRenderedPageBreak/>
        <w:t>6. Data collection</w:t>
      </w:r>
    </w:p>
    <w:p w14:paraId="35B8E304" w14:textId="77777777" w:rsidR="006B741A" w:rsidRDefault="009D00C9">
      <w:pPr>
        <w:spacing w:line="288" w:lineRule="auto"/>
        <w:ind w:left="111" w:right="105"/>
        <w:rPr>
          <w:rFonts w:ascii="Arial" w:eastAsia="Arial" w:hAnsi="Arial" w:cs="Arial"/>
          <w:b/>
          <w:bCs/>
          <w:color w:val="000000"/>
          <w:sz w:val="20"/>
        </w:rPr>
      </w:pPr>
      <w:r>
        <w:rPr>
          <w:rFonts w:ascii="Arial" w:eastAsia="Arial" w:hAnsi="Arial" w:cs="Arial"/>
          <w:color w:val="000000"/>
          <w:sz w:val="20"/>
        </w:rPr>
        <w:t>The reporting requirements for this service are:</w:t>
      </w:r>
      <w:r>
        <w:rPr>
          <w:rFonts w:ascii="Arial" w:eastAsia="Arial" w:hAnsi="Arial" w:cs="Arial"/>
          <w:b/>
          <w:bCs/>
          <w:color w:val="000000"/>
          <w:sz w:val="20"/>
        </w:rPr>
        <w:t xml:space="preserve"> </w:t>
      </w:r>
    </w:p>
    <w:tbl>
      <w:tblPr>
        <w:tblW w:w="0" w:type="auto"/>
        <w:tblInd w:w="111" w:type="dxa"/>
        <w:tblLayout w:type="fixed"/>
        <w:tblCellMar>
          <w:left w:w="0" w:type="dxa"/>
          <w:right w:w="0" w:type="dxa"/>
        </w:tblCellMar>
        <w:tblLook w:val="04A0" w:firstRow="1" w:lastRow="0" w:firstColumn="1" w:lastColumn="0" w:noHBand="0" w:noVBand="1"/>
      </w:tblPr>
      <w:tblGrid>
        <w:gridCol w:w="2580"/>
        <w:gridCol w:w="2580"/>
        <w:gridCol w:w="2580"/>
        <w:gridCol w:w="2508"/>
      </w:tblGrid>
      <w:tr w:rsidR="006B741A" w14:paraId="2996968E" w14:textId="77777777">
        <w:trPr>
          <w:tblHeader/>
        </w:trPr>
        <w:tc>
          <w:tcPr>
            <w:tcW w:w="2580" w:type="dxa"/>
            <w:tcBorders>
              <w:top w:val="single" w:sz="4" w:space="0" w:color="000000"/>
              <w:left w:val="single" w:sz="4" w:space="0" w:color="000000"/>
              <w:bottom w:val="single" w:sz="4" w:space="0" w:color="000000"/>
              <w:right w:val="single" w:sz="4" w:space="0" w:color="000000"/>
            </w:tcBorders>
            <w:shd w:val="clear" w:color="auto" w:fill="FFFFFF"/>
          </w:tcPr>
          <w:p w14:paraId="10E9F084" w14:textId="77777777" w:rsidR="006B741A" w:rsidRDefault="009D00C9">
            <w:pPr>
              <w:spacing w:before="100" w:line="288" w:lineRule="auto"/>
              <w:ind w:left="108" w:right="108"/>
              <w:rPr>
                <w:rFonts w:ascii="Arial" w:eastAsia="Arial" w:hAnsi="Arial" w:cs="Arial"/>
                <w:b/>
                <w:bCs/>
                <w:color w:val="201547"/>
                <w:sz w:val="20"/>
              </w:rPr>
            </w:pPr>
            <w:r>
              <w:rPr>
                <w:rFonts w:ascii="Arial" w:eastAsia="Arial" w:hAnsi="Arial" w:cs="Arial"/>
                <w:b/>
                <w:bCs/>
                <w:color w:val="201547"/>
                <w:sz w:val="20"/>
              </w:rPr>
              <w:t>Data collection name</w:t>
            </w:r>
          </w:p>
        </w:tc>
        <w:tc>
          <w:tcPr>
            <w:tcW w:w="2580" w:type="dxa"/>
            <w:tcBorders>
              <w:top w:val="single" w:sz="4" w:space="0" w:color="000000"/>
              <w:left w:val="single" w:sz="4" w:space="0" w:color="000000"/>
              <w:bottom w:val="single" w:sz="4" w:space="0" w:color="000000"/>
              <w:right w:val="single" w:sz="4" w:space="0" w:color="000000"/>
            </w:tcBorders>
            <w:shd w:val="clear" w:color="auto" w:fill="FFFFFF"/>
          </w:tcPr>
          <w:p w14:paraId="79BCA62E" w14:textId="77777777" w:rsidR="006B741A" w:rsidRDefault="009D00C9">
            <w:pPr>
              <w:spacing w:before="100" w:line="288" w:lineRule="auto"/>
              <w:ind w:left="108" w:right="108"/>
              <w:rPr>
                <w:rFonts w:ascii="Arial" w:eastAsia="Arial" w:hAnsi="Arial" w:cs="Arial"/>
                <w:b/>
                <w:bCs/>
                <w:color w:val="000000"/>
                <w:sz w:val="20"/>
              </w:rPr>
            </w:pPr>
            <w:r>
              <w:rPr>
                <w:rFonts w:ascii="Arial" w:eastAsia="Arial" w:hAnsi="Arial" w:cs="Arial"/>
                <w:b/>
                <w:bCs/>
                <w:color w:val="201547"/>
                <w:sz w:val="20"/>
              </w:rPr>
              <w:t>Data system</w:t>
            </w:r>
            <w:r>
              <w:rPr>
                <w:rFonts w:ascii="Arial" w:eastAsia="Arial" w:hAnsi="Arial" w:cs="Arial"/>
                <w:b/>
                <w:bCs/>
                <w:color w:val="000000"/>
                <w:sz w:val="20"/>
              </w:rPr>
              <w:t xml:space="preserve"> </w:t>
            </w:r>
          </w:p>
        </w:tc>
        <w:tc>
          <w:tcPr>
            <w:tcW w:w="2580" w:type="dxa"/>
            <w:tcBorders>
              <w:top w:val="single" w:sz="4" w:space="0" w:color="000000"/>
              <w:left w:val="single" w:sz="4" w:space="0" w:color="000000"/>
              <w:bottom w:val="single" w:sz="4" w:space="0" w:color="000000"/>
              <w:right w:val="single" w:sz="4" w:space="0" w:color="000000"/>
            </w:tcBorders>
            <w:shd w:val="clear" w:color="auto" w:fill="FFFFFF"/>
          </w:tcPr>
          <w:p w14:paraId="554035AF" w14:textId="77777777" w:rsidR="006B741A" w:rsidRDefault="009D00C9">
            <w:pPr>
              <w:spacing w:before="100" w:line="288" w:lineRule="auto"/>
              <w:ind w:left="108" w:right="108"/>
              <w:rPr>
                <w:rFonts w:ascii="Arial" w:eastAsia="Arial" w:hAnsi="Arial" w:cs="Arial"/>
                <w:b/>
                <w:bCs/>
                <w:color w:val="000000"/>
                <w:sz w:val="20"/>
              </w:rPr>
            </w:pPr>
            <w:r>
              <w:rPr>
                <w:rFonts w:ascii="Arial" w:eastAsia="Arial" w:hAnsi="Arial" w:cs="Arial"/>
                <w:b/>
                <w:bCs/>
                <w:color w:val="201547"/>
                <w:sz w:val="20"/>
              </w:rPr>
              <w:t>Data set</w:t>
            </w:r>
            <w:r>
              <w:rPr>
                <w:rFonts w:ascii="Arial" w:eastAsia="Arial" w:hAnsi="Arial" w:cs="Arial"/>
                <w:b/>
                <w:bCs/>
                <w:color w:val="000000"/>
                <w:sz w:val="20"/>
              </w:rPr>
              <w:t xml:space="preserve"> </w:t>
            </w:r>
          </w:p>
        </w:tc>
        <w:tc>
          <w:tcPr>
            <w:tcW w:w="2508" w:type="dxa"/>
            <w:tcBorders>
              <w:top w:val="single" w:sz="4" w:space="0" w:color="000000"/>
              <w:left w:val="single" w:sz="4" w:space="0" w:color="000000"/>
              <w:bottom w:val="single" w:sz="4" w:space="0" w:color="000000"/>
              <w:right w:val="single" w:sz="4" w:space="0" w:color="000000"/>
            </w:tcBorders>
            <w:shd w:val="clear" w:color="auto" w:fill="FFFFFF"/>
          </w:tcPr>
          <w:p w14:paraId="1B5867E6" w14:textId="77777777" w:rsidR="006B741A" w:rsidRDefault="009D00C9">
            <w:pPr>
              <w:spacing w:before="100" w:line="288" w:lineRule="auto"/>
              <w:ind w:left="108" w:right="108"/>
              <w:rPr>
                <w:rFonts w:ascii="Arial" w:eastAsia="Arial" w:hAnsi="Arial" w:cs="Arial"/>
                <w:b/>
                <w:bCs/>
                <w:color w:val="201547"/>
                <w:sz w:val="20"/>
              </w:rPr>
            </w:pPr>
            <w:r>
              <w:rPr>
                <w:rFonts w:ascii="Arial" w:eastAsia="Arial" w:hAnsi="Arial" w:cs="Arial"/>
                <w:b/>
                <w:bCs/>
                <w:color w:val="201547"/>
                <w:sz w:val="20"/>
              </w:rPr>
              <w:t>Reporting cycle</w:t>
            </w:r>
          </w:p>
        </w:tc>
      </w:tr>
      <w:tr w:rsidR="006B741A" w14:paraId="702E8EE7" w14:textId="77777777">
        <w:tc>
          <w:tcPr>
            <w:tcW w:w="2580" w:type="dxa"/>
            <w:tcBorders>
              <w:top w:val="single" w:sz="4" w:space="0" w:color="000000"/>
              <w:left w:val="single" w:sz="4" w:space="0" w:color="000000"/>
              <w:bottom w:val="single" w:sz="4" w:space="0" w:color="000000"/>
              <w:right w:val="single" w:sz="4" w:space="0" w:color="000000"/>
            </w:tcBorders>
            <w:shd w:val="clear" w:color="auto" w:fill="FFFFFF"/>
          </w:tcPr>
          <w:p w14:paraId="111AA1AD" w14:textId="77777777" w:rsidR="006B741A" w:rsidRDefault="009D00C9">
            <w:pPr>
              <w:spacing w:before="100" w:line="288" w:lineRule="auto"/>
              <w:ind w:left="108" w:right="108"/>
              <w:rPr>
                <w:rFonts w:ascii="Arial" w:eastAsia="Arial" w:hAnsi="Arial" w:cs="Arial"/>
                <w:color w:val="000000"/>
                <w:sz w:val="20"/>
              </w:rPr>
            </w:pPr>
            <w:r>
              <w:rPr>
                <w:rFonts w:ascii="Arial" w:eastAsia="Arial" w:hAnsi="Arial" w:cs="Arial"/>
                <w:color w:val="000000"/>
                <w:sz w:val="20"/>
              </w:rPr>
              <w:t xml:space="preserve">Victorian Alcohol and Drug Collection (VADC) / </w:t>
            </w:r>
            <w:r>
              <w:rPr>
                <w:rFonts w:ascii="Arial" w:eastAsia="Arial" w:hAnsi="Arial" w:cs="Arial"/>
                <w:color w:val="000000"/>
                <w:sz w:val="20"/>
              </w:rPr>
              <w:t>Alcohol and other drug treatment services national minimum dataset</w:t>
            </w:r>
          </w:p>
        </w:tc>
        <w:tc>
          <w:tcPr>
            <w:tcW w:w="2580" w:type="dxa"/>
            <w:tcBorders>
              <w:top w:val="single" w:sz="4" w:space="0" w:color="000000"/>
              <w:left w:val="single" w:sz="4" w:space="0" w:color="000000"/>
              <w:bottom w:val="single" w:sz="4" w:space="0" w:color="000000"/>
              <w:right w:val="single" w:sz="4" w:space="0" w:color="000000"/>
            </w:tcBorders>
            <w:shd w:val="clear" w:color="auto" w:fill="FFFFFF"/>
          </w:tcPr>
          <w:p w14:paraId="45B92664" w14:textId="77777777" w:rsidR="006B741A" w:rsidRDefault="009D00C9">
            <w:pPr>
              <w:spacing w:before="100" w:line="288" w:lineRule="auto"/>
              <w:ind w:left="108" w:right="108"/>
              <w:rPr>
                <w:rFonts w:ascii="Arial" w:eastAsia="Arial" w:hAnsi="Arial" w:cs="Arial"/>
                <w:color w:val="000000"/>
                <w:sz w:val="20"/>
              </w:rPr>
            </w:pPr>
            <w:r>
              <w:rPr>
                <w:rFonts w:ascii="Arial" w:eastAsia="Arial" w:hAnsi="Arial" w:cs="Arial"/>
                <w:color w:val="000000"/>
                <w:sz w:val="20"/>
              </w:rPr>
              <w:t xml:space="preserve">VADC </w:t>
            </w:r>
          </w:p>
        </w:tc>
        <w:tc>
          <w:tcPr>
            <w:tcW w:w="2580" w:type="dxa"/>
            <w:tcBorders>
              <w:top w:val="single" w:sz="4" w:space="0" w:color="000000"/>
              <w:left w:val="single" w:sz="4" w:space="0" w:color="000000"/>
              <w:bottom w:val="single" w:sz="4" w:space="0" w:color="000000"/>
              <w:right w:val="single" w:sz="4" w:space="0" w:color="000000"/>
            </w:tcBorders>
            <w:shd w:val="clear" w:color="auto" w:fill="FFFFFF"/>
          </w:tcPr>
          <w:p w14:paraId="6B029B2C" w14:textId="77777777" w:rsidR="006B741A" w:rsidRDefault="009D00C9">
            <w:pPr>
              <w:spacing w:before="100" w:line="288" w:lineRule="auto"/>
              <w:ind w:left="108" w:right="108"/>
              <w:rPr>
                <w:rFonts w:ascii="Arial" w:eastAsia="Arial" w:hAnsi="Arial" w:cs="Arial"/>
                <w:color w:val="000000"/>
                <w:sz w:val="20"/>
              </w:rPr>
            </w:pPr>
            <w:r>
              <w:rPr>
                <w:rFonts w:ascii="Arial" w:eastAsia="Arial" w:hAnsi="Arial" w:cs="Arial"/>
                <w:color w:val="000000"/>
                <w:sz w:val="20"/>
              </w:rPr>
              <w:t xml:space="preserve"> </w:t>
            </w:r>
          </w:p>
        </w:tc>
        <w:tc>
          <w:tcPr>
            <w:tcW w:w="2508" w:type="dxa"/>
            <w:tcBorders>
              <w:top w:val="single" w:sz="4" w:space="0" w:color="000000"/>
              <w:left w:val="single" w:sz="4" w:space="0" w:color="000000"/>
              <w:bottom w:val="single" w:sz="4" w:space="0" w:color="000000"/>
              <w:right w:val="single" w:sz="4" w:space="0" w:color="000000"/>
            </w:tcBorders>
            <w:shd w:val="clear" w:color="auto" w:fill="FFFFFF"/>
          </w:tcPr>
          <w:p w14:paraId="5E07E6CF" w14:textId="77777777" w:rsidR="006B741A" w:rsidRDefault="009D00C9">
            <w:pPr>
              <w:spacing w:before="100" w:line="288" w:lineRule="auto"/>
              <w:ind w:left="108" w:right="108"/>
              <w:rPr>
                <w:rFonts w:ascii="Arial" w:eastAsia="Arial" w:hAnsi="Arial" w:cs="Arial"/>
                <w:color w:val="000000"/>
                <w:sz w:val="20"/>
              </w:rPr>
            </w:pPr>
            <w:r>
              <w:rPr>
                <w:rFonts w:ascii="Arial" w:eastAsia="Arial" w:hAnsi="Arial" w:cs="Arial"/>
                <w:color w:val="000000"/>
                <w:sz w:val="20"/>
              </w:rPr>
              <w:t>Monthly</w:t>
            </w:r>
          </w:p>
        </w:tc>
      </w:tr>
    </w:tbl>
    <w:p w14:paraId="452D2FD9" w14:textId="77777777" w:rsidR="006B741A" w:rsidRDefault="006B741A">
      <w:pPr>
        <w:spacing w:before="100" w:line="288" w:lineRule="auto"/>
        <w:ind w:left="111" w:right="105"/>
        <w:rPr>
          <w:rFonts w:ascii="Arial" w:eastAsia="Arial" w:hAnsi="Arial" w:cs="Arial"/>
          <w:color w:val="000000"/>
          <w:sz w:val="18"/>
        </w:rPr>
      </w:pPr>
    </w:p>
    <w:tbl>
      <w:tblPr>
        <w:tblW w:w="0" w:type="auto"/>
        <w:tblInd w:w="3" w:type="dxa"/>
        <w:tblLayout w:type="fixed"/>
        <w:tblCellMar>
          <w:left w:w="0" w:type="dxa"/>
          <w:right w:w="0" w:type="dxa"/>
        </w:tblCellMar>
        <w:tblLook w:val="04A0" w:firstRow="1" w:lastRow="0" w:firstColumn="1" w:lastColumn="0" w:noHBand="0" w:noVBand="1"/>
      </w:tblPr>
      <w:tblGrid>
        <w:gridCol w:w="10312"/>
      </w:tblGrid>
      <w:tr w:rsidR="006B741A" w14:paraId="50750395" w14:textId="77777777">
        <w:trPr>
          <w:cantSplit/>
        </w:trPr>
        <w:tc>
          <w:tcPr>
            <w:tcW w:w="10312" w:type="dxa"/>
            <w:tcBorders>
              <w:top w:val="single" w:sz="4" w:space="0" w:color="000000"/>
              <w:left w:val="single" w:sz="4" w:space="0" w:color="000000"/>
              <w:bottom w:val="single" w:sz="4" w:space="0" w:color="000000"/>
              <w:right w:val="single" w:sz="4" w:space="0" w:color="000000"/>
            </w:tcBorders>
            <w:shd w:val="clear" w:color="auto" w:fill="FFFFFF"/>
            <w:vAlign w:val="bottom"/>
          </w:tcPr>
          <w:p w14:paraId="71918274" w14:textId="77777777" w:rsidR="006B741A" w:rsidRDefault="009D00C9">
            <w:pPr>
              <w:keepLines/>
              <w:spacing w:before="100" w:line="288" w:lineRule="auto"/>
              <w:ind w:left="108" w:right="108"/>
              <w:rPr>
                <w:rFonts w:ascii="Arial" w:eastAsia="Arial" w:hAnsi="Arial" w:cs="Arial"/>
                <w:color w:val="3366FF"/>
                <w:sz w:val="24"/>
              </w:rPr>
            </w:pPr>
            <w:r>
              <w:rPr>
                <w:rFonts w:ascii="Arial" w:eastAsia="Arial" w:hAnsi="Arial" w:cs="Arial"/>
                <w:color w:val="000000"/>
                <w:sz w:val="24"/>
              </w:rPr>
              <w:t>To receive this publication in an accessible format, email</w:t>
            </w:r>
            <w:r>
              <w:rPr>
                <w:rFonts w:ascii="Arial" w:eastAsia="Arial" w:hAnsi="Arial" w:cs="Arial"/>
                <w:color w:val="3366FF"/>
                <w:sz w:val="24"/>
              </w:rPr>
              <w:t xml:space="preserve"> Monitoring Framework Helpdesk &lt;monitoringframework.helpdesk@dffh.vic.gov.au&gt;</w:t>
            </w:r>
          </w:p>
          <w:p w14:paraId="7646882F" w14:textId="77777777" w:rsidR="006B741A" w:rsidRDefault="009D00C9">
            <w:pPr>
              <w:keepLines/>
              <w:spacing w:before="100" w:line="288" w:lineRule="auto"/>
              <w:ind w:left="108" w:right="108"/>
              <w:rPr>
                <w:rFonts w:ascii="Arial" w:eastAsia="Arial" w:hAnsi="Arial" w:cs="Arial"/>
                <w:color w:val="000000"/>
                <w:sz w:val="16"/>
              </w:rPr>
            </w:pPr>
            <w:r>
              <w:rPr>
                <w:rFonts w:ascii="Arial" w:eastAsia="Arial" w:hAnsi="Arial" w:cs="Arial"/>
                <w:color w:val="000000"/>
                <w:sz w:val="16"/>
              </w:rPr>
              <w:t xml:space="preserve">Authorised and published by the Victorian Government, 1 Treasury Place, Melbourne. © State of Victoria, Department of Health, July 2019. </w:t>
            </w:r>
          </w:p>
          <w:p w14:paraId="0AE37095" w14:textId="77777777" w:rsidR="006B741A" w:rsidRDefault="009D00C9">
            <w:pPr>
              <w:keepLines/>
              <w:spacing w:before="100" w:line="288" w:lineRule="auto"/>
              <w:ind w:left="108" w:right="108"/>
              <w:rPr>
                <w:rFonts w:ascii="Arial" w:eastAsia="Arial" w:hAnsi="Arial" w:cs="Arial"/>
                <w:color w:val="000000"/>
                <w:sz w:val="16"/>
              </w:rPr>
            </w:pPr>
            <w:r>
              <w:rPr>
                <w:rFonts w:ascii="Arial" w:eastAsia="Arial" w:hAnsi="Arial" w:cs="Arial"/>
                <w:color w:val="000000"/>
                <w:sz w:val="16"/>
              </w:rPr>
              <w:t>In this document, ‘Aboriginal’ refers to</w:t>
            </w:r>
            <w:r>
              <w:rPr>
                <w:rFonts w:ascii="Arial" w:eastAsia="Arial" w:hAnsi="Arial" w:cs="Arial"/>
                <w:color w:val="000000"/>
                <w:sz w:val="16"/>
              </w:rPr>
              <w:t xml:space="preserve"> both Aboriginal and Torres Strait Islander people. ‘Indigenous’ or ‘Koori/Koorie' is retained when part of the title of a report, program or quotation.</w:t>
            </w:r>
          </w:p>
          <w:p w14:paraId="5262C132" w14:textId="77777777" w:rsidR="006B741A" w:rsidRDefault="009D00C9">
            <w:pPr>
              <w:keepLines/>
              <w:spacing w:before="100" w:line="288" w:lineRule="auto"/>
              <w:ind w:left="108" w:right="108"/>
              <w:rPr>
                <w:rFonts w:ascii="Arial" w:eastAsia="Arial" w:hAnsi="Arial" w:cs="Arial"/>
                <w:color w:val="000000"/>
                <w:sz w:val="16"/>
              </w:rPr>
            </w:pPr>
            <w:r>
              <w:rPr>
                <w:rFonts w:ascii="Arial" w:eastAsia="Arial" w:hAnsi="Arial" w:cs="Arial"/>
                <w:color w:val="000000"/>
                <w:sz w:val="16"/>
              </w:rPr>
              <w:t>ISSN 2653-0937 – Online (PDF/Word)</w:t>
            </w:r>
          </w:p>
          <w:p w14:paraId="319A766E" w14:textId="77777777" w:rsidR="006B741A" w:rsidRDefault="009D00C9">
            <w:pPr>
              <w:keepLines/>
              <w:spacing w:before="100" w:line="288" w:lineRule="auto"/>
              <w:ind w:left="108" w:right="108"/>
              <w:rPr>
                <w:rFonts w:ascii="Arial" w:eastAsia="Arial" w:hAnsi="Arial" w:cs="Arial"/>
                <w:color w:val="000000"/>
                <w:sz w:val="20"/>
              </w:rPr>
            </w:pPr>
            <w:r>
              <w:rPr>
                <w:rFonts w:ascii="Arial" w:eastAsia="Arial" w:hAnsi="Arial" w:cs="Arial"/>
                <w:color w:val="000000"/>
                <w:sz w:val="20"/>
              </w:rPr>
              <w:t xml:space="preserve">Available at </w:t>
            </w:r>
            <w:r>
              <w:rPr>
                <w:rFonts w:ascii="Arial" w:eastAsia="Arial" w:hAnsi="Arial" w:cs="Arial"/>
                <w:color w:val="3366FF"/>
                <w:sz w:val="20"/>
              </w:rPr>
              <w:t>Department of Families, Fairness and Housing and Depart</w:t>
            </w:r>
            <w:r>
              <w:rPr>
                <w:rFonts w:ascii="Arial" w:eastAsia="Arial" w:hAnsi="Arial" w:cs="Arial"/>
                <w:color w:val="3366FF"/>
                <w:sz w:val="20"/>
              </w:rPr>
              <w:t xml:space="preserve">ment of Health </w:t>
            </w:r>
            <w:r>
              <w:rPr>
                <w:rFonts w:ascii="Arial" w:eastAsia="Arial" w:hAnsi="Arial" w:cs="Arial"/>
                <w:color w:val="000000"/>
                <w:sz w:val="20"/>
              </w:rPr>
              <w:t>activity search</w:t>
            </w:r>
          </w:p>
          <w:p w14:paraId="0DBE1695" w14:textId="77777777" w:rsidR="006B741A" w:rsidRDefault="009D00C9">
            <w:pPr>
              <w:keepLines/>
              <w:spacing w:before="100" w:line="288" w:lineRule="auto"/>
              <w:ind w:left="108" w:right="108"/>
              <w:rPr>
                <w:rFonts w:ascii="Arial" w:eastAsia="Arial" w:hAnsi="Arial" w:cs="Arial"/>
                <w:color w:val="000000"/>
                <w:sz w:val="20"/>
              </w:rPr>
            </w:pPr>
            <w:hyperlink r:id="rId10" w:tgtFrame="_blank" w:history="1">
              <w:r>
                <w:rPr>
                  <w:rFonts w:ascii="Arial" w:eastAsia="Arial" w:hAnsi="Arial" w:cs="Arial"/>
                  <w:color w:val="3366FF"/>
                  <w:sz w:val="20"/>
                </w:rPr>
                <w:t>&lt;http://providers.dffh.vic.gov.au/families-fairness-housing-health-activity-search</w:t>
              </w:r>
            </w:hyperlink>
            <w:r>
              <w:rPr>
                <w:rFonts w:ascii="Arial" w:eastAsia="Arial" w:hAnsi="Arial" w:cs="Arial"/>
                <w:color w:val="000000"/>
                <w:sz w:val="20"/>
              </w:rPr>
              <w:t>&gt;</w:t>
            </w:r>
          </w:p>
        </w:tc>
      </w:tr>
    </w:tbl>
    <w:p w14:paraId="34174079" w14:textId="77777777" w:rsidR="006B741A" w:rsidRDefault="006B741A">
      <w:pPr>
        <w:spacing w:before="100" w:line="288" w:lineRule="auto"/>
        <w:ind w:left="111" w:right="105"/>
        <w:rPr>
          <w:rFonts w:ascii="Arial" w:eastAsia="Arial" w:hAnsi="Arial" w:cs="Arial"/>
          <w:color w:val="000000"/>
          <w:sz w:val="18"/>
        </w:rPr>
      </w:pPr>
      <w:bookmarkStart w:id="0" w:name="page_total_master0"/>
      <w:bookmarkStart w:id="1" w:name="page_total"/>
      <w:bookmarkEnd w:id="0"/>
      <w:bookmarkEnd w:id="1"/>
    </w:p>
    <w:sectPr w:rsidR="006B741A">
      <w:headerReference w:type="even" r:id="rId11"/>
      <w:headerReference w:type="default" r:id="rId12"/>
      <w:footerReference w:type="even" r:id="rId13"/>
      <w:footerReference w:type="default" r:id="rId14"/>
      <w:headerReference w:type="first" r:id="rId15"/>
      <w:footerReference w:type="first" r:id="rId16"/>
      <w:pgSz w:w="11900" w:h="16820"/>
      <w:pgMar w:top="560" w:right="740" w:bottom="1120" w:left="740" w:header="567" w:footer="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15ADE1" w14:textId="77777777" w:rsidR="00000000" w:rsidRDefault="009D00C9">
      <w:r>
        <w:separator/>
      </w:r>
    </w:p>
  </w:endnote>
  <w:endnote w:type="continuationSeparator" w:id="0">
    <w:p w14:paraId="4733E955" w14:textId="77777777" w:rsidR="00000000" w:rsidRDefault="009D00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CE92FD" w14:textId="77777777" w:rsidR="009D00C9" w:rsidRDefault="009D00C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C4B9B3" w14:textId="200B4A16" w:rsidR="006B741A" w:rsidRDefault="009D00C9">
    <w:pPr>
      <w:tabs>
        <w:tab w:val="left" w:pos="4428"/>
        <w:tab w:val="left" w:pos="9123"/>
        <w:tab w:val="right" w:pos="10314"/>
      </w:tabs>
      <w:ind w:left="111" w:right="105"/>
    </w:pPr>
    <w:r>
      <w:rPr>
        <w:rFonts w:ascii="Arial" w:eastAsia="Arial" w:hAnsi="Arial" w:cs="Arial"/>
        <w:noProof/>
        <w:color w:val="000000"/>
        <w:sz w:val="18"/>
      </w:rPr>
      <mc:AlternateContent>
        <mc:Choice Requires="wps">
          <w:drawing>
            <wp:anchor distT="0" distB="0" distL="114300" distR="114300" simplePos="0" relativeHeight="251659264" behindDoc="0" locked="0" layoutInCell="0" allowOverlap="1" wp14:anchorId="6C25EA28" wp14:editId="36504BD2">
              <wp:simplePos x="0" y="0"/>
              <wp:positionH relativeFrom="page">
                <wp:posOffset>0</wp:posOffset>
              </wp:positionH>
              <wp:positionV relativeFrom="page">
                <wp:posOffset>10177780</wp:posOffset>
              </wp:positionV>
              <wp:extent cx="7556500" cy="311785"/>
              <wp:effectExtent l="0" t="0" r="0" b="12065"/>
              <wp:wrapNone/>
              <wp:docPr id="4" name="MSIPCM62514a5497201e1881ea1ece" descr="{&quot;HashCode&quot;:904758361,&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5650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1671441" w14:textId="7F3B0399" w:rsidR="009D00C9" w:rsidRPr="009D00C9" w:rsidRDefault="009D00C9" w:rsidP="009D00C9">
                          <w:pPr>
                            <w:jc w:val="center"/>
                            <w:rPr>
                              <w:rFonts w:ascii="Arial Black" w:hAnsi="Arial Black"/>
                              <w:color w:val="000000"/>
                              <w:sz w:val="20"/>
                            </w:rPr>
                          </w:pPr>
                          <w:r w:rsidRPr="009D00C9">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6C25EA28" id="_x0000_t202" coordsize="21600,21600" o:spt="202" path="m,l,21600r21600,l21600,xe">
              <v:stroke joinstyle="miter"/>
              <v:path gradientshapeok="t" o:connecttype="rect"/>
            </v:shapetype>
            <v:shape id="MSIPCM62514a5497201e1881ea1ece" o:spid="_x0000_s1026" type="#_x0000_t202" alt="{&quot;HashCode&quot;:904758361,&quot;Height&quot;:841.0,&quot;Width&quot;:595.0,&quot;Placement&quot;:&quot;Footer&quot;,&quot;Index&quot;:&quot;Primary&quot;,&quot;Section&quot;:1,&quot;Top&quot;:0.0,&quot;Left&quot;:0.0}" style="position:absolute;left:0;text-align:left;margin-left:0;margin-top:801.4pt;width:595pt;height:24.55pt;z-index:25165926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" o:allowincell="f" filled="f" stroked="f" strokeweight=".5pt">
              <v:fill o:detectmouseclick="t"/>
              <v:textbox inset=",0,,0">
                <w:txbxContent>
                  <w:p w14:paraId="31671441" w14:textId="7F3B0399" w:rsidR="009D00C9" w:rsidRPr="009D00C9" w:rsidRDefault="009D00C9" w:rsidP="009D00C9">
                    <w:pPr>
                      <w:jc w:val="center"/>
                      <w:rPr>
                        <w:rFonts w:ascii="Arial Black" w:hAnsi="Arial Black"/>
                        <w:color w:val="000000"/>
                        <w:sz w:val="20"/>
                      </w:rPr>
                    </w:pPr>
                    <w:r w:rsidRPr="009D00C9">
                      <w:rPr>
                        <w:rFonts w:ascii="Arial Black" w:hAnsi="Arial Black"/>
                        <w:color w:val="000000"/>
                        <w:sz w:val="20"/>
                      </w:rPr>
                      <w:t>OFFICIAL</w:t>
                    </w:r>
                  </w:p>
                </w:txbxContent>
              </v:textbox>
              <w10:wrap anchorx="page" anchory="page"/>
            </v:shape>
          </w:pict>
        </mc:Fallback>
      </mc:AlternateContent>
    </w:r>
    <w:r>
      <w:rPr>
        <w:rFonts w:ascii="Arial" w:eastAsia="Arial" w:hAnsi="Arial" w:cs="Arial"/>
        <w:color w:val="000000"/>
        <w:sz w:val="18"/>
      </w:rPr>
      <w:tab/>
    </w:r>
  </w:p>
  <w:tbl>
    <w:tblPr>
      <w:tblW w:w="0" w:type="auto"/>
      <w:tblInd w:w="-177" w:type="dxa"/>
      <w:tblLayout w:type="fixed"/>
      <w:tblCellMar>
        <w:left w:w="0" w:type="dxa"/>
        <w:right w:w="0" w:type="dxa"/>
      </w:tblCellMar>
      <w:tblLook w:val="04A0" w:firstRow="1" w:lastRow="0" w:firstColumn="1" w:lastColumn="0" w:noHBand="0" w:noVBand="1"/>
    </w:tblPr>
    <w:tblGrid>
      <w:gridCol w:w="3473"/>
      <w:gridCol w:w="3473"/>
      <w:gridCol w:w="3474"/>
    </w:tblGrid>
    <w:tr w:rsidR="006B741A" w14:paraId="39ED5FAA" w14:textId="77777777">
      <w:tc>
        <w:tcPr>
          <w:tcW w:w="3473" w:type="dxa"/>
          <w:shd w:val="clear" w:color="auto" w:fill="FFFFFF"/>
        </w:tcPr>
        <w:p w14:paraId="0114ED69" w14:textId="77777777" w:rsidR="006B741A" w:rsidRDefault="009D00C9">
          <w:pPr>
            <w:tabs>
              <w:tab w:val="right" w:pos="10314"/>
            </w:tabs>
            <w:spacing w:before="240"/>
            <w:ind w:left="108" w:right="108"/>
          </w:pPr>
          <w:r>
            <w:rPr>
              <w:noProof/>
            </w:rPr>
            <w:drawing>
              <wp:inline distT="0" distB="0" distL="0" distR="0" wp14:anchorId="00C2BF5A" wp14:editId="4A338A2E">
                <wp:extent cx="1666875" cy="5334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66875" cy="533400"/>
                        </a:xfrm>
                        <a:prstGeom prst="rect">
                          <a:avLst/>
                        </a:prstGeom>
                      </pic:spPr>
                    </pic:pic>
                  </a:graphicData>
                </a:graphic>
              </wp:inline>
            </w:drawing>
          </w:r>
        </w:p>
      </w:tc>
      <w:tc>
        <w:tcPr>
          <w:tcW w:w="3473" w:type="dxa"/>
          <w:shd w:val="clear" w:color="auto" w:fill="FFFFFF"/>
          <w:vAlign w:val="bottom"/>
        </w:tcPr>
        <w:p w14:paraId="1AE47F68" w14:textId="77777777" w:rsidR="006B741A" w:rsidRDefault="009D00C9">
          <w:pPr>
            <w:tabs>
              <w:tab w:val="right" w:pos="10314"/>
            </w:tabs>
            <w:spacing w:before="240"/>
            <w:ind w:left="108" w:right="108"/>
            <w:jc w:val="center"/>
            <w:rPr>
              <w:rFonts w:ascii="Arial" w:eastAsia="Arial" w:hAnsi="Arial" w:cs="Arial"/>
              <w:b/>
              <w:bCs/>
              <w:color w:val="000000"/>
              <w:sz w:val="20"/>
            </w:rPr>
          </w:pPr>
          <w:r>
            <w:rPr>
              <w:rFonts w:ascii="Arial" w:eastAsia="Arial" w:hAnsi="Arial" w:cs="Arial"/>
              <w:b/>
              <w:bCs/>
              <w:color w:val="000000"/>
              <w:sz w:val="20"/>
            </w:rPr>
            <w:t xml:space="preserve">OFFICIAL                           </w:t>
          </w:r>
        </w:p>
      </w:tc>
      <w:tc>
        <w:tcPr>
          <w:tcW w:w="3474" w:type="dxa"/>
          <w:shd w:val="clear" w:color="auto" w:fill="FFFFFF"/>
        </w:tcPr>
        <w:p w14:paraId="4AF87D57" w14:textId="77777777" w:rsidR="006B741A" w:rsidRDefault="009D00C9">
          <w:pPr>
            <w:tabs>
              <w:tab w:val="right" w:pos="10314"/>
            </w:tabs>
            <w:spacing w:before="240"/>
            <w:ind w:left="108" w:right="108"/>
            <w:jc w:val="center"/>
            <w:rPr>
              <w:rFonts w:ascii="Arial" w:eastAsia="Arial" w:hAnsi="Arial" w:cs="Arial"/>
              <w:color w:val="000000"/>
              <w:sz w:val="18"/>
            </w:rPr>
          </w:pPr>
          <w:r>
            <w:rPr>
              <w:rFonts w:ascii="Arial" w:eastAsia="Arial" w:hAnsi="Arial" w:cs="Arial"/>
              <w:color w:val="000000"/>
              <w:sz w:val="18"/>
            </w:rPr>
            <w:t xml:space="preserve">             </w:t>
          </w:r>
        </w:p>
      </w:tc>
    </w:tr>
  </w:tbl>
  <w:p w14:paraId="627BD1E0" w14:textId="77777777" w:rsidR="006B741A" w:rsidRDefault="006B741A">
    <w:pPr>
      <w:tabs>
        <w:tab w:val="right" w:pos="10314"/>
      </w:tabs>
      <w:ind w:left="111" w:right="105"/>
      <w:jc w:val="center"/>
      <w:rPr>
        <w:rFonts w:ascii="Arial" w:eastAsia="Arial" w:hAnsi="Arial" w:cs="Arial"/>
        <w:color w:val="000000"/>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Ind w:w="-177" w:type="dxa"/>
      <w:tblLayout w:type="fixed"/>
      <w:tblCellMar>
        <w:left w:w="0" w:type="dxa"/>
        <w:right w:w="0" w:type="dxa"/>
      </w:tblCellMar>
      <w:tblLook w:val="04A0" w:firstRow="1" w:lastRow="0" w:firstColumn="1" w:lastColumn="0" w:noHBand="0" w:noVBand="1"/>
    </w:tblPr>
    <w:tblGrid>
      <w:gridCol w:w="3473"/>
      <w:gridCol w:w="3473"/>
      <w:gridCol w:w="3474"/>
    </w:tblGrid>
    <w:tr w:rsidR="006B741A" w14:paraId="79F670CC" w14:textId="77777777">
      <w:tc>
        <w:tcPr>
          <w:tcW w:w="3473" w:type="dxa"/>
          <w:shd w:val="clear" w:color="auto" w:fill="FFFFFF"/>
        </w:tcPr>
        <w:p w14:paraId="30D1105D" w14:textId="6FE3EF1B" w:rsidR="006B741A" w:rsidRDefault="009D00C9">
          <w:pPr>
            <w:tabs>
              <w:tab w:val="left" w:pos="318"/>
              <w:tab w:val="right" w:pos="10314"/>
            </w:tabs>
            <w:spacing w:before="240"/>
            <w:ind w:left="108" w:right="108"/>
          </w:pPr>
          <w:r>
            <w:rPr>
              <w:noProof/>
            </w:rPr>
            <mc:AlternateContent>
              <mc:Choice Requires="wps">
                <w:drawing>
                  <wp:anchor distT="0" distB="0" distL="114300" distR="114300" simplePos="0" relativeHeight="251660288" behindDoc="0" locked="0" layoutInCell="0" allowOverlap="1" wp14:anchorId="1658D37A" wp14:editId="1C7AE8A0">
                    <wp:simplePos x="0" y="0"/>
                    <wp:positionH relativeFrom="page">
                      <wp:posOffset>0</wp:posOffset>
                    </wp:positionH>
                    <wp:positionV relativeFrom="page">
                      <wp:posOffset>10177780</wp:posOffset>
                    </wp:positionV>
                    <wp:extent cx="7556500" cy="311785"/>
                    <wp:effectExtent l="0" t="0" r="0" b="12065"/>
                    <wp:wrapNone/>
                    <wp:docPr id="5" name="MSIPCM51c44aa8af1ea0b1db354461" descr="{&quot;HashCode&quot;:904758361,&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5650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9FB1953" w14:textId="008C9D58" w:rsidR="009D00C9" w:rsidRPr="009D00C9" w:rsidRDefault="009D00C9" w:rsidP="009D00C9">
                                <w:pPr>
                                  <w:jc w:val="center"/>
                                  <w:rPr>
                                    <w:rFonts w:ascii="Arial Black" w:hAnsi="Arial Black"/>
                                    <w:color w:val="000000"/>
                                    <w:sz w:val="20"/>
                                  </w:rPr>
                                </w:pPr>
                                <w:r w:rsidRPr="009D00C9">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1658D37A" id="_x0000_t202" coordsize="21600,21600" o:spt="202" path="m,l,21600r21600,l21600,xe">
                    <v:stroke joinstyle="miter"/>
                    <v:path gradientshapeok="t" o:connecttype="rect"/>
                  </v:shapetype>
                  <v:shape id="MSIPCM51c44aa8af1ea0b1db354461" o:spid="_x0000_s1027" type="#_x0000_t202" alt="{&quot;HashCode&quot;:904758361,&quot;Height&quot;:841.0,&quot;Width&quot;:595.0,&quot;Placement&quot;:&quot;Footer&quot;,&quot;Index&quot;:&quot;FirstPage&quot;,&quot;Section&quot;:1,&quot;Top&quot;:0.0,&quot;Left&quot;:0.0}" style="position:absolute;left:0;text-align:left;margin-left:0;margin-top:801.4pt;width:595pt;height:24.55pt;z-index:251660288;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" o:allowincell="f" filled="f" stroked="f" strokeweight=".5pt">
                    <v:fill o:detectmouseclick="t"/>
                    <v:textbox inset=",0,,0">
                      <w:txbxContent>
                        <w:p w14:paraId="19FB1953" w14:textId="008C9D58" w:rsidR="009D00C9" w:rsidRPr="009D00C9" w:rsidRDefault="009D00C9" w:rsidP="009D00C9">
                          <w:pPr>
                            <w:jc w:val="center"/>
                            <w:rPr>
                              <w:rFonts w:ascii="Arial Black" w:hAnsi="Arial Black"/>
                              <w:color w:val="000000"/>
                              <w:sz w:val="20"/>
                            </w:rPr>
                          </w:pPr>
                          <w:r w:rsidRPr="009D00C9">
                            <w:rPr>
                              <w:rFonts w:ascii="Arial Black" w:hAnsi="Arial Black"/>
                              <w:color w:val="000000"/>
                              <w:sz w:val="20"/>
                            </w:rPr>
                            <w:t>OFFICIAL</w:t>
                          </w:r>
                        </w:p>
                      </w:txbxContent>
                    </v:textbox>
                    <w10:wrap anchorx="page" anchory="page"/>
                  </v:shape>
                </w:pict>
              </mc:Fallback>
            </mc:AlternateContent>
          </w:r>
          <w:r>
            <w:rPr>
              <w:noProof/>
            </w:rPr>
            <w:drawing>
              <wp:inline distT="0" distB="0" distL="0" distR="0" wp14:anchorId="3648E02D" wp14:editId="24CCFF02">
                <wp:extent cx="1666875" cy="533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66875" cy="533400"/>
                        </a:xfrm>
                        <a:prstGeom prst="rect">
                          <a:avLst/>
                        </a:prstGeom>
                      </pic:spPr>
                    </pic:pic>
                  </a:graphicData>
                </a:graphic>
              </wp:inline>
            </w:drawing>
          </w:r>
        </w:p>
      </w:tc>
      <w:tc>
        <w:tcPr>
          <w:tcW w:w="3473" w:type="dxa"/>
          <w:shd w:val="clear" w:color="auto" w:fill="FFFFFF"/>
          <w:vAlign w:val="bottom"/>
        </w:tcPr>
        <w:p w14:paraId="5F6D858B" w14:textId="77777777" w:rsidR="006B741A" w:rsidRDefault="009D00C9">
          <w:pPr>
            <w:tabs>
              <w:tab w:val="right" w:pos="10314"/>
            </w:tabs>
            <w:spacing w:before="240"/>
            <w:ind w:left="108" w:right="108"/>
            <w:jc w:val="center"/>
            <w:rPr>
              <w:rFonts w:ascii="Arial" w:eastAsia="Arial" w:hAnsi="Arial" w:cs="Arial"/>
              <w:b/>
              <w:bCs/>
              <w:color w:val="000000"/>
              <w:sz w:val="20"/>
            </w:rPr>
          </w:pPr>
          <w:r>
            <w:rPr>
              <w:rFonts w:ascii="Arial" w:eastAsia="Arial" w:hAnsi="Arial" w:cs="Arial"/>
              <w:b/>
              <w:bCs/>
              <w:color w:val="000000"/>
              <w:sz w:val="20"/>
            </w:rPr>
            <w:t xml:space="preserve">OFFICIAL                           </w:t>
          </w:r>
        </w:p>
      </w:tc>
      <w:tc>
        <w:tcPr>
          <w:tcW w:w="3474" w:type="dxa"/>
          <w:shd w:val="clear" w:color="auto" w:fill="FFFFFF"/>
        </w:tcPr>
        <w:p w14:paraId="07A90376" w14:textId="77777777" w:rsidR="006B741A" w:rsidRDefault="009D00C9">
          <w:pPr>
            <w:tabs>
              <w:tab w:val="right" w:pos="10314"/>
            </w:tabs>
            <w:spacing w:before="240"/>
            <w:ind w:left="108" w:right="108"/>
            <w:jc w:val="center"/>
            <w:rPr>
              <w:rFonts w:ascii="Arial" w:eastAsia="Arial" w:hAnsi="Arial" w:cs="Arial"/>
              <w:color w:val="000000"/>
              <w:sz w:val="18"/>
            </w:rPr>
          </w:pPr>
          <w:r>
            <w:rPr>
              <w:rFonts w:ascii="Arial" w:eastAsia="Arial" w:hAnsi="Arial" w:cs="Arial"/>
              <w:color w:val="000000"/>
              <w:sz w:val="18"/>
            </w:rPr>
            <w:t xml:space="preserve">            </w:t>
          </w:r>
        </w:p>
      </w:tc>
    </w:tr>
  </w:tbl>
  <w:p w14:paraId="7E524561" w14:textId="77777777" w:rsidR="006B741A" w:rsidRDefault="006B741A">
    <w:pPr>
      <w:tabs>
        <w:tab w:val="right" w:pos="10314"/>
      </w:tabs>
      <w:spacing w:before="240"/>
      <w:ind w:left="111" w:right="105"/>
      <w:rPr>
        <w:rFonts w:ascii="Arial" w:eastAsia="Arial" w:hAnsi="Arial" w:cs="Arial"/>
        <w:color w:val="000000"/>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08885A" w14:textId="77777777" w:rsidR="00000000" w:rsidRDefault="009D00C9">
      <w:r>
        <w:separator/>
      </w:r>
    </w:p>
  </w:footnote>
  <w:footnote w:type="continuationSeparator" w:id="0">
    <w:p w14:paraId="7C6BAA19" w14:textId="77777777" w:rsidR="00000000" w:rsidRDefault="009D00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B2CC77" w14:textId="77777777" w:rsidR="009D00C9" w:rsidRDefault="009D00C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540C7A" w14:textId="77777777" w:rsidR="006B741A" w:rsidRDefault="009D00C9">
    <w:pPr>
      <w:tabs>
        <w:tab w:val="left" w:pos="408"/>
        <w:tab w:val="right" w:pos="10312"/>
      </w:tabs>
      <w:ind w:left="111" w:right="105"/>
      <w:rPr>
        <w:rFonts w:ascii="Arial" w:eastAsia="Arial" w:hAnsi="Arial" w:cs="Arial"/>
        <w:color w:val="000000"/>
        <w:sz w:val="18"/>
      </w:rPr>
    </w:pPr>
    <w:r>
      <w:rPr>
        <w:rFonts w:ascii="Arial" w:eastAsia="Arial" w:hAnsi="Arial" w:cs="Arial"/>
        <w:color w:val="000000"/>
        <w:sz w:val="18"/>
      </w:rPr>
      <w:t xml:space="preserve">Drug </w:t>
    </w:r>
    <w:r>
      <w:rPr>
        <w:rFonts w:ascii="Arial" w:eastAsia="Arial" w:hAnsi="Arial" w:cs="Arial"/>
        <w:color w:val="000000"/>
        <w:sz w:val="18"/>
      </w:rPr>
      <w:t>Services 34306 Intake</w:t>
    </w:r>
    <w:r>
      <w:rPr>
        <w:rFonts w:ascii="Arial" w:eastAsia="Arial" w:hAnsi="Arial" w:cs="Arial"/>
        <w:color w:val="000000"/>
        <w:sz w:val="18"/>
      </w:rPr>
      <w:tab/>
    </w:r>
    <w:r>
      <w:rPr>
        <w:rFonts w:ascii="Arial" w:eastAsia="Arial" w:hAnsi="Arial" w:cs="Arial"/>
        <w:color w:val="000000"/>
        <w:sz w:val="18"/>
      </w:rPr>
      <w:fldChar w:fldCharType="begin"/>
    </w:r>
    <w:r>
      <w:rPr>
        <w:rFonts w:ascii="Arial" w:eastAsia="Arial" w:hAnsi="Arial" w:cs="Arial"/>
        <w:color w:val="000000"/>
        <w:sz w:val="18"/>
      </w:rPr>
      <w:instrText xml:space="preserve"> PAGE   \* MERGEFORMAT </w:instrText>
    </w:r>
    <w:r>
      <w:rPr>
        <w:rFonts w:ascii="Arial" w:eastAsia="Arial" w:hAnsi="Arial" w:cs="Arial"/>
        <w:color w:val="000000"/>
        <w:sz w:val="18"/>
      </w:rPr>
      <w:fldChar w:fldCharType="separate"/>
    </w:r>
    <w:r>
      <w:rPr>
        <w:rFonts w:ascii="Arial" w:eastAsia="Arial" w:hAnsi="Arial" w:cs="Arial"/>
        <w:color w:val="000000"/>
        <w:sz w:val="18"/>
      </w:rPr>
      <w:t>1</w:t>
    </w:r>
    <w:r>
      <w:rPr>
        <w:rFonts w:ascii="Arial" w:eastAsia="Arial" w:hAnsi="Arial" w:cs="Arial"/>
        <w:color w:val="000000"/>
        <w:sz w:val="18"/>
      </w:rPr>
      <w:fldChar w:fldCharType="end"/>
    </w:r>
  </w:p>
  <w:p w14:paraId="666F7371" w14:textId="77777777" w:rsidR="006B741A" w:rsidRDefault="006B741A">
    <w:pPr>
      <w:tabs>
        <w:tab w:val="right" w:pos="10314"/>
      </w:tabs>
      <w:ind w:left="111" w:right="105"/>
      <w:rPr>
        <w:rFonts w:ascii="Arial" w:eastAsia="Arial" w:hAnsi="Arial" w:cs="Arial"/>
        <w:color w:val="000000"/>
        <w:sz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51F0E5" w14:textId="77777777" w:rsidR="006B741A" w:rsidRDefault="006B741A">
    <w:pPr>
      <w:tabs>
        <w:tab w:val="right" w:pos="10314"/>
      </w:tabs>
      <w:ind w:left="111" w:right="105"/>
      <w:rPr>
        <w:rFonts w:ascii="Arial" w:eastAsia="Arial" w:hAnsi="Arial" w:cs="Arial"/>
        <w:color w:val="000000"/>
        <w:sz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FC7FFE"/>
    <w:multiLevelType w:val="hybridMultilevel"/>
    <w:tmpl w:val="347AA19E"/>
    <w:lvl w:ilvl="0" w:tplc="C60C76E4">
      <w:start w:val="1"/>
      <w:numFmt w:val="decimal"/>
      <w:lvlText w:val="%1."/>
      <w:lvlJc w:val="left"/>
      <w:pPr>
        <w:ind w:left="505" w:hanging="397"/>
      </w:pPr>
      <w:rPr>
        <w:rFonts w:ascii="Calibri" w:eastAsia="Calibri" w:hAnsi="Calibri" w:cs="Calibri" w:hint="default"/>
        <w:color w:val="000000"/>
        <w:sz w:val="24"/>
      </w:rPr>
    </w:lvl>
    <w:lvl w:ilvl="1" w:tplc="76AC2034">
      <w:start w:val="1"/>
      <w:numFmt w:val="decimal"/>
      <w:lvlText w:val="%2."/>
      <w:lvlJc w:val="left"/>
      <w:pPr>
        <w:ind w:left="902" w:hanging="397"/>
      </w:pPr>
      <w:rPr>
        <w:rFonts w:ascii="Calibri" w:eastAsia="Calibri" w:hAnsi="Calibri" w:cs="Calibri" w:hint="default"/>
        <w:color w:val="000000"/>
        <w:sz w:val="24"/>
      </w:rPr>
    </w:lvl>
    <w:lvl w:ilvl="2" w:tplc="C324BEEA">
      <w:start w:val="1"/>
      <w:numFmt w:val="lowerLetter"/>
      <w:lvlText w:val="(%3)"/>
      <w:lvlJc w:val="left"/>
      <w:pPr>
        <w:ind w:left="505" w:hanging="397"/>
      </w:pPr>
      <w:rPr>
        <w:rFonts w:ascii="Calibri" w:eastAsia="Calibri" w:hAnsi="Calibri" w:cs="Calibri" w:hint="default"/>
        <w:color w:val="000000"/>
        <w:sz w:val="24"/>
      </w:rPr>
    </w:lvl>
    <w:lvl w:ilvl="3" w:tplc="CE74CC60">
      <w:start w:val="1"/>
      <w:numFmt w:val="lowerLetter"/>
      <w:lvlText w:val="(%4)"/>
      <w:lvlJc w:val="left"/>
      <w:pPr>
        <w:ind w:left="902" w:hanging="397"/>
      </w:pPr>
      <w:rPr>
        <w:rFonts w:ascii="Calibri" w:eastAsia="Calibri" w:hAnsi="Calibri" w:cs="Calibri" w:hint="default"/>
        <w:color w:val="000000"/>
        <w:sz w:val="24"/>
      </w:rPr>
    </w:lvl>
    <w:lvl w:ilvl="4" w:tplc="3E6E8504">
      <w:start w:val="1"/>
      <w:numFmt w:val="lowerRoman"/>
      <w:lvlText w:val="(%5)"/>
      <w:lvlJc w:val="left"/>
      <w:pPr>
        <w:ind w:left="505" w:hanging="397"/>
      </w:pPr>
      <w:rPr>
        <w:rFonts w:ascii="Calibri" w:eastAsia="Calibri" w:hAnsi="Calibri" w:cs="Calibri" w:hint="default"/>
        <w:color w:val="000000"/>
        <w:sz w:val="24"/>
      </w:rPr>
    </w:lvl>
    <w:lvl w:ilvl="5" w:tplc="87BE05E6">
      <w:start w:val="1"/>
      <w:numFmt w:val="lowerRoman"/>
      <w:lvlText w:val="(%6)"/>
      <w:lvlJc w:val="left"/>
      <w:pPr>
        <w:ind w:left="902" w:hanging="397"/>
      </w:pPr>
      <w:rPr>
        <w:rFonts w:ascii="Calibri" w:eastAsia="Calibri" w:hAnsi="Calibri" w:cs="Calibri" w:hint="default"/>
        <w:color w:val="000000"/>
        <w:sz w:val="24"/>
      </w:rPr>
    </w:lvl>
    <w:lvl w:ilvl="6" w:tplc="98848AA2">
      <w:start w:val="1"/>
      <w:numFmt w:val="none"/>
      <w:lvlText w:val=""/>
      <w:lvlJc w:val="left"/>
      <w:pPr>
        <w:ind w:left="108" w:firstLine="0"/>
      </w:pPr>
      <w:rPr>
        <w:rFonts w:ascii="Calibri" w:eastAsia="Calibri" w:hAnsi="Calibri" w:cs="Calibri" w:hint="default"/>
        <w:color w:val="000000"/>
        <w:sz w:val="24"/>
      </w:rPr>
    </w:lvl>
    <w:lvl w:ilvl="7" w:tplc="DB9C6FA4">
      <w:start w:val="1"/>
      <w:numFmt w:val="none"/>
      <w:lvlText w:val=""/>
      <w:lvlJc w:val="left"/>
      <w:pPr>
        <w:ind w:left="108" w:firstLine="0"/>
      </w:pPr>
      <w:rPr>
        <w:rFonts w:ascii="Calibri" w:eastAsia="Calibri" w:hAnsi="Calibri" w:cs="Calibri" w:hint="default"/>
        <w:color w:val="000000"/>
        <w:sz w:val="24"/>
      </w:rPr>
    </w:lvl>
    <w:lvl w:ilvl="8" w:tplc="5BDA3F70">
      <w:start w:val="1"/>
      <w:numFmt w:val="none"/>
      <w:lvlText w:val=""/>
      <w:lvlJc w:val="right"/>
      <w:pPr>
        <w:ind w:left="108" w:firstLine="0"/>
      </w:pPr>
      <w:rPr>
        <w:rFonts w:ascii="Calibri" w:eastAsia="Calibri" w:hAnsi="Calibri" w:cs="Calibri" w:hint="default"/>
        <w:color w:val="000000"/>
        <w:sz w:val="24"/>
      </w:rPr>
    </w:lvl>
  </w:abstractNum>
  <w:abstractNum w:abstractNumId="1" w15:restartNumberingAfterBreak="0">
    <w:nsid w:val="096104C3"/>
    <w:multiLevelType w:val="hybridMultilevel"/>
    <w:tmpl w:val="B01E1508"/>
    <w:lvl w:ilvl="0" w:tplc="22CAFE54">
      <w:start w:val="1"/>
      <w:numFmt w:val="bullet"/>
      <w:lvlText w:val=""/>
      <w:lvlJc w:val="left"/>
      <w:pPr>
        <w:ind w:left="828" w:hanging="360"/>
      </w:pPr>
      <w:rPr>
        <w:rFonts w:ascii="Symbol" w:eastAsia="Symbol" w:hAnsi="Symbol" w:cs="Symbol" w:hint="default"/>
        <w:color w:val="000000"/>
        <w:sz w:val="24"/>
      </w:rPr>
    </w:lvl>
    <w:lvl w:ilvl="1" w:tplc="95F0A6E8">
      <w:start w:val="1"/>
      <w:numFmt w:val="bullet"/>
      <w:lvlText w:val="o"/>
      <w:lvlJc w:val="left"/>
      <w:pPr>
        <w:ind w:left="1548" w:hanging="360"/>
      </w:pPr>
      <w:rPr>
        <w:rFonts w:ascii="Courier New" w:eastAsia="Courier New" w:hAnsi="Courier New" w:cs="Courier New" w:hint="default"/>
        <w:color w:val="000000"/>
        <w:sz w:val="24"/>
      </w:rPr>
    </w:lvl>
    <w:lvl w:ilvl="2" w:tplc="944CCC30">
      <w:start w:val="1"/>
      <w:numFmt w:val="bullet"/>
      <w:lvlText w:val=""/>
      <w:lvlJc w:val="left"/>
      <w:pPr>
        <w:ind w:left="2268" w:hanging="360"/>
      </w:pPr>
      <w:rPr>
        <w:rFonts w:ascii="Wingdings" w:eastAsia="Wingdings" w:hAnsi="Wingdings" w:cs="Wingdings" w:hint="default"/>
        <w:color w:val="000000"/>
        <w:sz w:val="24"/>
      </w:rPr>
    </w:lvl>
    <w:lvl w:ilvl="3" w:tplc="0A42E4EC">
      <w:start w:val="1"/>
      <w:numFmt w:val="bullet"/>
      <w:lvlText w:val=""/>
      <w:lvlJc w:val="left"/>
      <w:pPr>
        <w:ind w:left="2988" w:hanging="360"/>
      </w:pPr>
      <w:rPr>
        <w:rFonts w:ascii="Symbol" w:eastAsia="Symbol" w:hAnsi="Symbol" w:cs="Symbol" w:hint="default"/>
        <w:color w:val="000000"/>
        <w:sz w:val="24"/>
      </w:rPr>
    </w:lvl>
    <w:lvl w:ilvl="4" w:tplc="DB5868FA">
      <w:start w:val="1"/>
      <w:numFmt w:val="bullet"/>
      <w:lvlText w:val="o"/>
      <w:lvlJc w:val="left"/>
      <w:pPr>
        <w:ind w:left="3708" w:hanging="360"/>
      </w:pPr>
      <w:rPr>
        <w:rFonts w:ascii="Courier New" w:eastAsia="Courier New" w:hAnsi="Courier New" w:cs="Courier New" w:hint="default"/>
        <w:color w:val="000000"/>
        <w:sz w:val="24"/>
      </w:rPr>
    </w:lvl>
    <w:lvl w:ilvl="5" w:tplc="B18CC1AE">
      <w:start w:val="1"/>
      <w:numFmt w:val="bullet"/>
      <w:lvlText w:val=""/>
      <w:lvlJc w:val="left"/>
      <w:pPr>
        <w:ind w:left="4428" w:hanging="360"/>
      </w:pPr>
      <w:rPr>
        <w:rFonts w:ascii="Wingdings" w:eastAsia="Wingdings" w:hAnsi="Wingdings" w:cs="Wingdings" w:hint="default"/>
        <w:color w:val="000000"/>
        <w:sz w:val="24"/>
      </w:rPr>
    </w:lvl>
    <w:lvl w:ilvl="6" w:tplc="CF16FE3C">
      <w:start w:val="1"/>
      <w:numFmt w:val="bullet"/>
      <w:lvlText w:val=""/>
      <w:lvlJc w:val="left"/>
      <w:pPr>
        <w:ind w:left="5148" w:hanging="360"/>
      </w:pPr>
      <w:rPr>
        <w:rFonts w:ascii="Symbol" w:eastAsia="Symbol" w:hAnsi="Symbol" w:cs="Symbol" w:hint="default"/>
        <w:color w:val="000000"/>
        <w:sz w:val="24"/>
      </w:rPr>
    </w:lvl>
    <w:lvl w:ilvl="7" w:tplc="E4DA406E">
      <w:start w:val="1"/>
      <w:numFmt w:val="bullet"/>
      <w:lvlText w:val="o"/>
      <w:lvlJc w:val="left"/>
      <w:pPr>
        <w:ind w:left="5868" w:hanging="360"/>
      </w:pPr>
      <w:rPr>
        <w:rFonts w:ascii="Courier New" w:eastAsia="Courier New" w:hAnsi="Courier New" w:cs="Courier New" w:hint="default"/>
        <w:color w:val="000000"/>
        <w:sz w:val="24"/>
      </w:rPr>
    </w:lvl>
    <w:lvl w:ilvl="8" w:tplc="4704BD30">
      <w:start w:val="1"/>
      <w:numFmt w:val="bullet"/>
      <w:lvlText w:val=""/>
      <w:lvlJc w:val="left"/>
      <w:pPr>
        <w:ind w:left="6588" w:hanging="360"/>
      </w:pPr>
      <w:rPr>
        <w:rFonts w:ascii="Wingdings" w:eastAsia="Wingdings" w:hAnsi="Wingdings" w:cs="Wingdings" w:hint="default"/>
        <w:color w:val="000000"/>
        <w:sz w:val="24"/>
      </w:rPr>
    </w:lvl>
  </w:abstractNum>
  <w:abstractNum w:abstractNumId="2" w15:restartNumberingAfterBreak="0">
    <w:nsid w:val="167D00BD"/>
    <w:multiLevelType w:val="hybridMultilevel"/>
    <w:tmpl w:val="F7807B9A"/>
    <w:lvl w:ilvl="0" w:tplc="37A66240">
      <w:start w:val="1"/>
      <w:numFmt w:val="decimal"/>
      <w:lvlText w:val="%1."/>
      <w:lvlJc w:val="left"/>
      <w:pPr>
        <w:ind w:left="505" w:hanging="397"/>
      </w:pPr>
      <w:rPr>
        <w:rFonts w:ascii="Calibri" w:eastAsia="Calibri" w:hAnsi="Calibri" w:cs="Calibri" w:hint="default"/>
        <w:color w:val="000000"/>
        <w:sz w:val="24"/>
      </w:rPr>
    </w:lvl>
    <w:lvl w:ilvl="1" w:tplc="858E183E">
      <w:start w:val="1"/>
      <w:numFmt w:val="decimal"/>
      <w:lvlText w:val="%2."/>
      <w:lvlJc w:val="left"/>
      <w:pPr>
        <w:ind w:left="902" w:hanging="397"/>
      </w:pPr>
      <w:rPr>
        <w:rFonts w:ascii="Calibri" w:eastAsia="Calibri" w:hAnsi="Calibri" w:cs="Calibri" w:hint="default"/>
        <w:color w:val="000000"/>
        <w:sz w:val="24"/>
      </w:rPr>
    </w:lvl>
    <w:lvl w:ilvl="2" w:tplc="8620FC52">
      <w:start w:val="1"/>
      <w:numFmt w:val="lowerLetter"/>
      <w:lvlText w:val="(%3)"/>
      <w:lvlJc w:val="left"/>
      <w:pPr>
        <w:ind w:left="505" w:hanging="397"/>
      </w:pPr>
      <w:rPr>
        <w:rFonts w:ascii="Calibri" w:eastAsia="Calibri" w:hAnsi="Calibri" w:cs="Calibri" w:hint="default"/>
        <w:color w:val="000000"/>
        <w:sz w:val="24"/>
      </w:rPr>
    </w:lvl>
    <w:lvl w:ilvl="3" w:tplc="8034F13C">
      <w:start w:val="1"/>
      <w:numFmt w:val="lowerLetter"/>
      <w:lvlText w:val="(%4)"/>
      <w:lvlJc w:val="left"/>
      <w:pPr>
        <w:ind w:left="902" w:hanging="397"/>
      </w:pPr>
      <w:rPr>
        <w:rFonts w:ascii="Calibri" w:eastAsia="Calibri" w:hAnsi="Calibri" w:cs="Calibri" w:hint="default"/>
        <w:color w:val="000000"/>
        <w:sz w:val="24"/>
      </w:rPr>
    </w:lvl>
    <w:lvl w:ilvl="4" w:tplc="44D64A1A">
      <w:start w:val="1"/>
      <w:numFmt w:val="lowerRoman"/>
      <w:lvlText w:val="(%5)"/>
      <w:lvlJc w:val="left"/>
      <w:pPr>
        <w:ind w:left="505" w:hanging="397"/>
      </w:pPr>
      <w:rPr>
        <w:rFonts w:ascii="Calibri" w:eastAsia="Calibri" w:hAnsi="Calibri" w:cs="Calibri" w:hint="default"/>
        <w:color w:val="000000"/>
        <w:sz w:val="24"/>
      </w:rPr>
    </w:lvl>
    <w:lvl w:ilvl="5" w:tplc="2CFE7BF0">
      <w:start w:val="1"/>
      <w:numFmt w:val="lowerRoman"/>
      <w:lvlText w:val="(%6)"/>
      <w:lvlJc w:val="left"/>
      <w:pPr>
        <w:ind w:left="902" w:hanging="397"/>
      </w:pPr>
      <w:rPr>
        <w:rFonts w:ascii="Calibri" w:eastAsia="Calibri" w:hAnsi="Calibri" w:cs="Calibri" w:hint="default"/>
        <w:color w:val="000000"/>
        <w:sz w:val="24"/>
      </w:rPr>
    </w:lvl>
    <w:lvl w:ilvl="6" w:tplc="4D508734">
      <w:start w:val="1"/>
      <w:numFmt w:val="none"/>
      <w:lvlText w:val=""/>
      <w:lvlJc w:val="left"/>
      <w:pPr>
        <w:ind w:left="108" w:firstLine="0"/>
      </w:pPr>
      <w:rPr>
        <w:rFonts w:ascii="Calibri" w:eastAsia="Calibri" w:hAnsi="Calibri" w:cs="Calibri" w:hint="default"/>
        <w:color w:val="000000"/>
        <w:sz w:val="24"/>
      </w:rPr>
    </w:lvl>
    <w:lvl w:ilvl="7" w:tplc="7C6CC2AA">
      <w:start w:val="1"/>
      <w:numFmt w:val="none"/>
      <w:lvlText w:val=""/>
      <w:lvlJc w:val="left"/>
      <w:pPr>
        <w:ind w:left="108" w:firstLine="0"/>
      </w:pPr>
      <w:rPr>
        <w:rFonts w:ascii="Calibri" w:eastAsia="Calibri" w:hAnsi="Calibri" w:cs="Calibri" w:hint="default"/>
        <w:color w:val="000000"/>
        <w:sz w:val="24"/>
      </w:rPr>
    </w:lvl>
    <w:lvl w:ilvl="8" w:tplc="A558A1C4">
      <w:start w:val="1"/>
      <w:numFmt w:val="none"/>
      <w:lvlText w:val=""/>
      <w:lvlJc w:val="right"/>
      <w:pPr>
        <w:ind w:left="108" w:firstLine="0"/>
      </w:pPr>
      <w:rPr>
        <w:rFonts w:ascii="Calibri" w:eastAsia="Calibri" w:hAnsi="Calibri" w:cs="Calibri" w:hint="default"/>
        <w:color w:val="000000"/>
        <w:sz w:val="24"/>
      </w:rPr>
    </w:lvl>
  </w:abstractNum>
  <w:abstractNum w:abstractNumId="3" w15:restartNumberingAfterBreak="0">
    <w:nsid w:val="21130FC5"/>
    <w:multiLevelType w:val="hybridMultilevel"/>
    <w:tmpl w:val="49DE4924"/>
    <w:lvl w:ilvl="0" w:tplc="59B016B4">
      <w:start w:val="1"/>
      <w:numFmt w:val="bullet"/>
      <w:lvlText w:val=""/>
      <w:lvlJc w:val="left"/>
      <w:pPr>
        <w:ind w:left="828" w:hanging="360"/>
      </w:pPr>
      <w:rPr>
        <w:rFonts w:ascii="Symbol" w:eastAsia="Symbol" w:hAnsi="Symbol" w:cs="Symbol" w:hint="default"/>
        <w:color w:val="000000"/>
        <w:sz w:val="24"/>
      </w:rPr>
    </w:lvl>
    <w:lvl w:ilvl="1" w:tplc="5052EF20">
      <w:start w:val="1"/>
      <w:numFmt w:val="bullet"/>
      <w:lvlText w:val="o"/>
      <w:lvlJc w:val="left"/>
      <w:pPr>
        <w:ind w:left="1548" w:hanging="360"/>
      </w:pPr>
      <w:rPr>
        <w:rFonts w:ascii="Courier New" w:eastAsia="Courier New" w:hAnsi="Courier New" w:cs="Courier New" w:hint="default"/>
        <w:color w:val="000000"/>
        <w:sz w:val="24"/>
      </w:rPr>
    </w:lvl>
    <w:lvl w:ilvl="2" w:tplc="501CAE4E">
      <w:start w:val="1"/>
      <w:numFmt w:val="bullet"/>
      <w:lvlText w:val=""/>
      <w:lvlJc w:val="left"/>
      <w:pPr>
        <w:ind w:left="2268" w:hanging="360"/>
      </w:pPr>
      <w:rPr>
        <w:rFonts w:ascii="Wingdings" w:eastAsia="Wingdings" w:hAnsi="Wingdings" w:cs="Wingdings" w:hint="default"/>
        <w:color w:val="000000"/>
        <w:sz w:val="24"/>
      </w:rPr>
    </w:lvl>
    <w:lvl w:ilvl="3" w:tplc="72FE0B10">
      <w:start w:val="1"/>
      <w:numFmt w:val="bullet"/>
      <w:lvlText w:val=""/>
      <w:lvlJc w:val="left"/>
      <w:pPr>
        <w:ind w:left="2988" w:hanging="360"/>
      </w:pPr>
      <w:rPr>
        <w:rFonts w:ascii="Symbol" w:eastAsia="Symbol" w:hAnsi="Symbol" w:cs="Symbol" w:hint="default"/>
        <w:color w:val="000000"/>
        <w:sz w:val="24"/>
      </w:rPr>
    </w:lvl>
    <w:lvl w:ilvl="4" w:tplc="B944DB32">
      <w:start w:val="1"/>
      <w:numFmt w:val="bullet"/>
      <w:lvlText w:val="o"/>
      <w:lvlJc w:val="left"/>
      <w:pPr>
        <w:ind w:left="3708" w:hanging="360"/>
      </w:pPr>
      <w:rPr>
        <w:rFonts w:ascii="Courier New" w:eastAsia="Courier New" w:hAnsi="Courier New" w:cs="Courier New" w:hint="default"/>
        <w:color w:val="000000"/>
        <w:sz w:val="24"/>
      </w:rPr>
    </w:lvl>
    <w:lvl w:ilvl="5" w:tplc="BBB478D2">
      <w:start w:val="1"/>
      <w:numFmt w:val="bullet"/>
      <w:lvlText w:val=""/>
      <w:lvlJc w:val="left"/>
      <w:pPr>
        <w:ind w:left="4428" w:hanging="360"/>
      </w:pPr>
      <w:rPr>
        <w:rFonts w:ascii="Wingdings" w:eastAsia="Wingdings" w:hAnsi="Wingdings" w:cs="Wingdings" w:hint="default"/>
        <w:color w:val="000000"/>
        <w:sz w:val="24"/>
      </w:rPr>
    </w:lvl>
    <w:lvl w:ilvl="6" w:tplc="A740C33A">
      <w:start w:val="1"/>
      <w:numFmt w:val="bullet"/>
      <w:lvlText w:val=""/>
      <w:lvlJc w:val="left"/>
      <w:pPr>
        <w:ind w:left="5148" w:hanging="360"/>
      </w:pPr>
      <w:rPr>
        <w:rFonts w:ascii="Symbol" w:eastAsia="Symbol" w:hAnsi="Symbol" w:cs="Symbol" w:hint="default"/>
        <w:color w:val="000000"/>
        <w:sz w:val="24"/>
      </w:rPr>
    </w:lvl>
    <w:lvl w:ilvl="7" w:tplc="176E5352">
      <w:start w:val="1"/>
      <w:numFmt w:val="bullet"/>
      <w:lvlText w:val="o"/>
      <w:lvlJc w:val="left"/>
      <w:pPr>
        <w:ind w:left="5868" w:hanging="360"/>
      </w:pPr>
      <w:rPr>
        <w:rFonts w:ascii="Courier New" w:eastAsia="Courier New" w:hAnsi="Courier New" w:cs="Courier New" w:hint="default"/>
        <w:color w:val="000000"/>
        <w:sz w:val="24"/>
      </w:rPr>
    </w:lvl>
    <w:lvl w:ilvl="8" w:tplc="C66808BE">
      <w:start w:val="1"/>
      <w:numFmt w:val="bullet"/>
      <w:lvlText w:val=""/>
      <w:lvlJc w:val="left"/>
      <w:pPr>
        <w:ind w:left="6588" w:hanging="360"/>
      </w:pPr>
      <w:rPr>
        <w:rFonts w:ascii="Wingdings" w:eastAsia="Wingdings" w:hAnsi="Wingdings" w:cs="Wingdings" w:hint="default"/>
        <w:color w:val="000000"/>
        <w:sz w:val="24"/>
      </w:rPr>
    </w:lvl>
  </w:abstractNum>
  <w:abstractNum w:abstractNumId="4" w15:restartNumberingAfterBreak="0">
    <w:nsid w:val="229F5901"/>
    <w:multiLevelType w:val="hybridMultilevel"/>
    <w:tmpl w:val="9140E228"/>
    <w:lvl w:ilvl="0" w:tplc="AB5EC95E">
      <w:start w:val="1"/>
      <w:numFmt w:val="bullet"/>
      <w:lvlText w:val=""/>
      <w:lvlJc w:val="left"/>
      <w:pPr>
        <w:ind w:left="828" w:hanging="360"/>
      </w:pPr>
      <w:rPr>
        <w:rFonts w:ascii="Symbol" w:eastAsia="Symbol" w:hAnsi="Symbol" w:cs="Symbol" w:hint="default"/>
        <w:color w:val="000000"/>
        <w:sz w:val="24"/>
      </w:rPr>
    </w:lvl>
    <w:lvl w:ilvl="1" w:tplc="C8AC0CFA">
      <w:start w:val="1"/>
      <w:numFmt w:val="bullet"/>
      <w:lvlText w:val="o"/>
      <w:lvlJc w:val="left"/>
      <w:pPr>
        <w:ind w:left="1548" w:hanging="360"/>
      </w:pPr>
      <w:rPr>
        <w:rFonts w:ascii="Courier New" w:eastAsia="Courier New" w:hAnsi="Courier New" w:cs="Courier New" w:hint="default"/>
        <w:color w:val="000000"/>
        <w:sz w:val="24"/>
      </w:rPr>
    </w:lvl>
    <w:lvl w:ilvl="2" w:tplc="4838F756">
      <w:start w:val="1"/>
      <w:numFmt w:val="bullet"/>
      <w:lvlText w:val=""/>
      <w:lvlJc w:val="left"/>
      <w:pPr>
        <w:ind w:left="2268" w:hanging="360"/>
      </w:pPr>
      <w:rPr>
        <w:rFonts w:ascii="Wingdings" w:eastAsia="Wingdings" w:hAnsi="Wingdings" w:cs="Wingdings" w:hint="default"/>
        <w:color w:val="000000"/>
        <w:sz w:val="24"/>
      </w:rPr>
    </w:lvl>
    <w:lvl w:ilvl="3" w:tplc="36D851EC">
      <w:start w:val="1"/>
      <w:numFmt w:val="bullet"/>
      <w:lvlText w:val=""/>
      <w:lvlJc w:val="left"/>
      <w:pPr>
        <w:ind w:left="2988" w:hanging="360"/>
      </w:pPr>
      <w:rPr>
        <w:rFonts w:ascii="Symbol" w:eastAsia="Symbol" w:hAnsi="Symbol" w:cs="Symbol" w:hint="default"/>
        <w:color w:val="000000"/>
        <w:sz w:val="24"/>
      </w:rPr>
    </w:lvl>
    <w:lvl w:ilvl="4" w:tplc="5BAE8A2E">
      <w:start w:val="1"/>
      <w:numFmt w:val="bullet"/>
      <w:lvlText w:val="o"/>
      <w:lvlJc w:val="left"/>
      <w:pPr>
        <w:ind w:left="3708" w:hanging="360"/>
      </w:pPr>
      <w:rPr>
        <w:rFonts w:ascii="Courier New" w:eastAsia="Courier New" w:hAnsi="Courier New" w:cs="Courier New" w:hint="default"/>
        <w:color w:val="000000"/>
        <w:sz w:val="24"/>
      </w:rPr>
    </w:lvl>
    <w:lvl w:ilvl="5" w:tplc="75C68D7A">
      <w:start w:val="1"/>
      <w:numFmt w:val="bullet"/>
      <w:lvlText w:val=""/>
      <w:lvlJc w:val="left"/>
      <w:pPr>
        <w:ind w:left="4428" w:hanging="360"/>
      </w:pPr>
      <w:rPr>
        <w:rFonts w:ascii="Wingdings" w:eastAsia="Wingdings" w:hAnsi="Wingdings" w:cs="Wingdings" w:hint="default"/>
        <w:color w:val="000000"/>
        <w:sz w:val="24"/>
      </w:rPr>
    </w:lvl>
    <w:lvl w:ilvl="6" w:tplc="1B3C524A">
      <w:start w:val="1"/>
      <w:numFmt w:val="bullet"/>
      <w:lvlText w:val=""/>
      <w:lvlJc w:val="left"/>
      <w:pPr>
        <w:ind w:left="5148" w:hanging="360"/>
      </w:pPr>
      <w:rPr>
        <w:rFonts w:ascii="Symbol" w:eastAsia="Symbol" w:hAnsi="Symbol" w:cs="Symbol" w:hint="default"/>
        <w:color w:val="000000"/>
        <w:sz w:val="24"/>
      </w:rPr>
    </w:lvl>
    <w:lvl w:ilvl="7" w:tplc="6E1C9E98">
      <w:start w:val="1"/>
      <w:numFmt w:val="bullet"/>
      <w:lvlText w:val="o"/>
      <w:lvlJc w:val="left"/>
      <w:pPr>
        <w:ind w:left="5868" w:hanging="360"/>
      </w:pPr>
      <w:rPr>
        <w:rFonts w:ascii="Courier New" w:eastAsia="Courier New" w:hAnsi="Courier New" w:cs="Courier New" w:hint="default"/>
        <w:color w:val="000000"/>
        <w:sz w:val="24"/>
      </w:rPr>
    </w:lvl>
    <w:lvl w:ilvl="8" w:tplc="C28852D6">
      <w:start w:val="1"/>
      <w:numFmt w:val="bullet"/>
      <w:lvlText w:val=""/>
      <w:lvlJc w:val="left"/>
      <w:pPr>
        <w:ind w:left="6588" w:hanging="360"/>
      </w:pPr>
      <w:rPr>
        <w:rFonts w:ascii="Wingdings" w:eastAsia="Wingdings" w:hAnsi="Wingdings" w:cs="Wingdings" w:hint="default"/>
        <w:color w:val="000000"/>
        <w:sz w:val="24"/>
      </w:rPr>
    </w:lvl>
  </w:abstractNum>
  <w:abstractNum w:abstractNumId="5" w15:restartNumberingAfterBreak="0">
    <w:nsid w:val="22E14000"/>
    <w:multiLevelType w:val="hybridMultilevel"/>
    <w:tmpl w:val="1E365FE6"/>
    <w:lvl w:ilvl="0" w:tplc="4DD689F0">
      <w:start w:val="1"/>
      <w:numFmt w:val="bullet"/>
      <w:lvlText w:val="•"/>
      <w:lvlJc w:val="left"/>
      <w:pPr>
        <w:ind w:left="392" w:hanging="284"/>
      </w:pPr>
      <w:rPr>
        <w:rFonts w:ascii="Calibri" w:eastAsia="Calibri" w:hAnsi="Calibri" w:cs="Calibri" w:hint="default"/>
        <w:color w:val="000000"/>
        <w:sz w:val="20"/>
      </w:rPr>
    </w:lvl>
    <w:lvl w:ilvl="1" w:tplc="6570F1C8">
      <w:start w:val="1"/>
      <w:numFmt w:val="bullet"/>
      <w:lvlText w:val="•"/>
      <w:lvlJc w:val="left"/>
      <w:pPr>
        <w:ind w:left="392" w:hanging="284"/>
      </w:pPr>
      <w:rPr>
        <w:rFonts w:ascii="Calibri" w:eastAsia="Calibri" w:hAnsi="Calibri" w:cs="Calibri" w:hint="default"/>
        <w:color w:val="000000"/>
        <w:sz w:val="24"/>
      </w:rPr>
    </w:lvl>
    <w:lvl w:ilvl="2" w:tplc="334E8F46">
      <w:start w:val="1"/>
      <w:numFmt w:val="bullet"/>
      <w:lvlText w:val="–"/>
      <w:lvlJc w:val="left"/>
      <w:pPr>
        <w:ind w:left="675" w:hanging="283"/>
      </w:pPr>
      <w:rPr>
        <w:rFonts w:ascii="Arial" w:eastAsia="Arial" w:hAnsi="Arial" w:cs="Arial" w:hint="default"/>
        <w:color w:val="000000"/>
        <w:sz w:val="24"/>
      </w:rPr>
    </w:lvl>
    <w:lvl w:ilvl="3" w:tplc="0A06EB76">
      <w:start w:val="1"/>
      <w:numFmt w:val="bullet"/>
      <w:lvlText w:val="–"/>
      <w:lvlJc w:val="left"/>
      <w:pPr>
        <w:ind w:left="675" w:hanging="283"/>
      </w:pPr>
      <w:rPr>
        <w:rFonts w:ascii="Arial" w:eastAsia="Arial" w:hAnsi="Arial" w:cs="Arial" w:hint="default"/>
        <w:color w:val="000000"/>
        <w:sz w:val="24"/>
      </w:rPr>
    </w:lvl>
    <w:lvl w:ilvl="4" w:tplc="9DCE8A2E">
      <w:start w:val="1"/>
      <w:numFmt w:val="bullet"/>
      <w:lvlText w:val="•"/>
      <w:lvlJc w:val="left"/>
      <w:pPr>
        <w:ind w:left="788" w:hanging="283"/>
      </w:pPr>
      <w:rPr>
        <w:rFonts w:ascii="Calibri" w:eastAsia="Calibri" w:hAnsi="Calibri" w:cs="Calibri" w:hint="default"/>
        <w:color w:val="000000"/>
        <w:sz w:val="24"/>
      </w:rPr>
    </w:lvl>
    <w:lvl w:ilvl="5" w:tplc="7CB215F0">
      <w:start w:val="1"/>
      <w:numFmt w:val="bullet"/>
      <w:lvlText w:val="•"/>
      <w:lvlJc w:val="left"/>
      <w:pPr>
        <w:ind w:left="788" w:hanging="283"/>
      </w:pPr>
      <w:rPr>
        <w:rFonts w:ascii="Calibri" w:eastAsia="Calibri" w:hAnsi="Calibri" w:cs="Calibri" w:hint="default"/>
        <w:color w:val="000000"/>
        <w:sz w:val="24"/>
      </w:rPr>
    </w:lvl>
    <w:lvl w:ilvl="6" w:tplc="12CA39C2">
      <w:start w:val="1"/>
      <w:numFmt w:val="bullet"/>
      <w:lvlText w:val="•"/>
      <w:lvlJc w:val="left"/>
      <w:pPr>
        <w:ind w:left="335" w:hanging="227"/>
      </w:pPr>
      <w:rPr>
        <w:rFonts w:ascii="Calibri" w:eastAsia="Calibri" w:hAnsi="Calibri" w:cs="Calibri" w:hint="default"/>
        <w:color w:val="000000"/>
        <w:sz w:val="24"/>
      </w:rPr>
    </w:lvl>
    <w:lvl w:ilvl="7" w:tplc="13703176">
      <w:start w:val="1"/>
      <w:numFmt w:val="none"/>
      <w:lvlText w:val=""/>
      <w:lvlJc w:val="left"/>
      <w:pPr>
        <w:ind w:left="108" w:firstLine="0"/>
      </w:pPr>
      <w:rPr>
        <w:rFonts w:ascii="Calibri" w:eastAsia="Calibri" w:hAnsi="Calibri" w:cs="Calibri" w:hint="default"/>
        <w:color w:val="000000"/>
        <w:sz w:val="24"/>
      </w:rPr>
    </w:lvl>
    <w:lvl w:ilvl="8" w:tplc="E7B6E6CE">
      <w:start w:val="1"/>
      <w:numFmt w:val="none"/>
      <w:lvlText w:val=""/>
      <w:lvlJc w:val="left"/>
      <w:pPr>
        <w:ind w:left="108" w:firstLine="0"/>
      </w:pPr>
      <w:rPr>
        <w:rFonts w:ascii="Calibri" w:eastAsia="Calibri" w:hAnsi="Calibri" w:cs="Calibri" w:hint="default"/>
        <w:color w:val="000000"/>
        <w:sz w:val="24"/>
      </w:rPr>
    </w:lvl>
  </w:abstractNum>
  <w:abstractNum w:abstractNumId="6" w15:restartNumberingAfterBreak="0">
    <w:nsid w:val="24144803"/>
    <w:multiLevelType w:val="hybridMultilevel"/>
    <w:tmpl w:val="D362FBA6"/>
    <w:lvl w:ilvl="0" w:tplc="BAEA549C">
      <w:start w:val="1"/>
      <w:numFmt w:val="bullet"/>
      <w:lvlText w:val=""/>
      <w:lvlJc w:val="left"/>
      <w:pPr>
        <w:ind w:left="828" w:hanging="360"/>
      </w:pPr>
      <w:rPr>
        <w:rFonts w:ascii="Symbol" w:eastAsia="Symbol" w:hAnsi="Symbol" w:cs="Symbol" w:hint="default"/>
        <w:color w:val="000000"/>
        <w:sz w:val="24"/>
      </w:rPr>
    </w:lvl>
    <w:lvl w:ilvl="1" w:tplc="7BCA6F40">
      <w:start w:val="1"/>
      <w:numFmt w:val="bullet"/>
      <w:lvlText w:val="o"/>
      <w:lvlJc w:val="left"/>
      <w:pPr>
        <w:ind w:left="1548" w:hanging="360"/>
      </w:pPr>
      <w:rPr>
        <w:rFonts w:ascii="Courier New" w:eastAsia="Courier New" w:hAnsi="Courier New" w:cs="Courier New" w:hint="default"/>
        <w:color w:val="000000"/>
        <w:sz w:val="24"/>
      </w:rPr>
    </w:lvl>
    <w:lvl w:ilvl="2" w:tplc="82A0B270">
      <w:start w:val="1"/>
      <w:numFmt w:val="bullet"/>
      <w:lvlText w:val=""/>
      <w:lvlJc w:val="left"/>
      <w:pPr>
        <w:ind w:left="2268" w:hanging="360"/>
      </w:pPr>
      <w:rPr>
        <w:rFonts w:ascii="Wingdings" w:eastAsia="Wingdings" w:hAnsi="Wingdings" w:cs="Wingdings" w:hint="default"/>
        <w:color w:val="000000"/>
        <w:sz w:val="24"/>
      </w:rPr>
    </w:lvl>
    <w:lvl w:ilvl="3" w:tplc="FABCC5BE">
      <w:start w:val="1"/>
      <w:numFmt w:val="bullet"/>
      <w:lvlText w:val=""/>
      <w:lvlJc w:val="left"/>
      <w:pPr>
        <w:ind w:left="2988" w:hanging="360"/>
      </w:pPr>
      <w:rPr>
        <w:rFonts w:ascii="Symbol" w:eastAsia="Symbol" w:hAnsi="Symbol" w:cs="Symbol" w:hint="default"/>
        <w:color w:val="000000"/>
        <w:sz w:val="24"/>
      </w:rPr>
    </w:lvl>
    <w:lvl w:ilvl="4" w:tplc="B374E096">
      <w:start w:val="1"/>
      <w:numFmt w:val="bullet"/>
      <w:lvlText w:val="o"/>
      <w:lvlJc w:val="left"/>
      <w:pPr>
        <w:ind w:left="3708" w:hanging="360"/>
      </w:pPr>
      <w:rPr>
        <w:rFonts w:ascii="Courier New" w:eastAsia="Courier New" w:hAnsi="Courier New" w:cs="Courier New" w:hint="default"/>
        <w:color w:val="000000"/>
        <w:sz w:val="24"/>
      </w:rPr>
    </w:lvl>
    <w:lvl w:ilvl="5" w:tplc="96D84B92">
      <w:start w:val="1"/>
      <w:numFmt w:val="bullet"/>
      <w:lvlText w:val=""/>
      <w:lvlJc w:val="left"/>
      <w:pPr>
        <w:ind w:left="4428" w:hanging="360"/>
      </w:pPr>
      <w:rPr>
        <w:rFonts w:ascii="Wingdings" w:eastAsia="Wingdings" w:hAnsi="Wingdings" w:cs="Wingdings" w:hint="default"/>
        <w:color w:val="000000"/>
        <w:sz w:val="24"/>
      </w:rPr>
    </w:lvl>
    <w:lvl w:ilvl="6" w:tplc="6F407B58">
      <w:start w:val="1"/>
      <w:numFmt w:val="bullet"/>
      <w:lvlText w:val=""/>
      <w:lvlJc w:val="left"/>
      <w:pPr>
        <w:ind w:left="5148" w:hanging="360"/>
      </w:pPr>
      <w:rPr>
        <w:rFonts w:ascii="Symbol" w:eastAsia="Symbol" w:hAnsi="Symbol" w:cs="Symbol" w:hint="default"/>
        <w:color w:val="000000"/>
        <w:sz w:val="24"/>
      </w:rPr>
    </w:lvl>
    <w:lvl w:ilvl="7" w:tplc="55A8A372">
      <w:start w:val="1"/>
      <w:numFmt w:val="bullet"/>
      <w:lvlText w:val="o"/>
      <w:lvlJc w:val="left"/>
      <w:pPr>
        <w:ind w:left="5868" w:hanging="360"/>
      </w:pPr>
      <w:rPr>
        <w:rFonts w:ascii="Courier New" w:eastAsia="Courier New" w:hAnsi="Courier New" w:cs="Courier New" w:hint="default"/>
        <w:color w:val="000000"/>
        <w:sz w:val="24"/>
      </w:rPr>
    </w:lvl>
    <w:lvl w:ilvl="8" w:tplc="D25470B8">
      <w:start w:val="1"/>
      <w:numFmt w:val="bullet"/>
      <w:lvlText w:val=""/>
      <w:lvlJc w:val="left"/>
      <w:pPr>
        <w:ind w:left="6588" w:hanging="360"/>
      </w:pPr>
      <w:rPr>
        <w:rFonts w:ascii="Wingdings" w:eastAsia="Wingdings" w:hAnsi="Wingdings" w:cs="Wingdings" w:hint="default"/>
        <w:color w:val="000000"/>
        <w:sz w:val="24"/>
      </w:rPr>
    </w:lvl>
  </w:abstractNum>
  <w:abstractNum w:abstractNumId="7" w15:restartNumberingAfterBreak="0">
    <w:nsid w:val="47FF4FAF"/>
    <w:multiLevelType w:val="hybridMultilevel"/>
    <w:tmpl w:val="71A2B2AC"/>
    <w:lvl w:ilvl="0" w:tplc="E8C675B2">
      <w:start w:val="1"/>
      <w:numFmt w:val="bullet"/>
      <w:lvlText w:val=""/>
      <w:lvlJc w:val="left"/>
      <w:pPr>
        <w:ind w:left="392" w:hanging="284"/>
      </w:pPr>
      <w:rPr>
        <w:rFonts w:ascii="Symbol" w:eastAsia="Symbol" w:hAnsi="Symbol" w:cs="Symbol" w:hint="default"/>
        <w:color w:val="000000"/>
        <w:sz w:val="24"/>
      </w:rPr>
    </w:lvl>
    <w:lvl w:ilvl="1" w:tplc="95E4B93A">
      <w:start w:val="1"/>
      <w:numFmt w:val="bullet"/>
      <w:lvlText w:val=""/>
      <w:lvlJc w:val="left"/>
      <w:pPr>
        <w:ind w:left="392" w:hanging="284"/>
      </w:pPr>
      <w:rPr>
        <w:rFonts w:ascii="Symbol" w:eastAsia="Symbol" w:hAnsi="Symbol" w:cs="Symbol" w:hint="default"/>
        <w:color w:val="000000"/>
        <w:sz w:val="24"/>
      </w:rPr>
    </w:lvl>
    <w:lvl w:ilvl="2" w:tplc="86422878">
      <w:start w:val="1"/>
      <w:numFmt w:val="bullet"/>
      <w:lvlText w:val="–"/>
      <w:lvlJc w:val="left"/>
      <w:pPr>
        <w:ind w:left="675" w:hanging="283"/>
      </w:pPr>
      <w:rPr>
        <w:rFonts w:ascii="Calibri" w:eastAsia="Calibri" w:hAnsi="Calibri" w:cs="Calibri" w:hint="default"/>
        <w:color w:val="000000"/>
        <w:sz w:val="24"/>
      </w:rPr>
    </w:lvl>
    <w:lvl w:ilvl="3" w:tplc="FF0CF9A6">
      <w:start w:val="1"/>
      <w:numFmt w:val="bullet"/>
      <w:lvlText w:val="–"/>
      <w:lvlJc w:val="left"/>
      <w:pPr>
        <w:ind w:left="675" w:hanging="283"/>
      </w:pPr>
      <w:rPr>
        <w:rFonts w:ascii="Calibri" w:eastAsia="Calibri" w:hAnsi="Calibri" w:cs="Calibri" w:hint="default"/>
        <w:color w:val="000000"/>
        <w:sz w:val="24"/>
      </w:rPr>
    </w:lvl>
    <w:lvl w:ilvl="4" w:tplc="02F851AE">
      <w:start w:val="1"/>
      <w:numFmt w:val="bullet"/>
      <w:lvlText w:val=""/>
      <w:lvlJc w:val="left"/>
      <w:pPr>
        <w:ind w:left="788" w:hanging="283"/>
      </w:pPr>
      <w:rPr>
        <w:rFonts w:ascii="Symbol" w:eastAsia="Symbol" w:hAnsi="Symbol" w:cs="Symbol" w:hint="default"/>
        <w:color w:val="000000"/>
        <w:sz w:val="24"/>
      </w:rPr>
    </w:lvl>
    <w:lvl w:ilvl="5" w:tplc="EE82B3B4">
      <w:start w:val="1"/>
      <w:numFmt w:val="bullet"/>
      <w:lvlText w:val=""/>
      <w:lvlJc w:val="left"/>
      <w:pPr>
        <w:ind w:left="788" w:hanging="283"/>
      </w:pPr>
      <w:rPr>
        <w:rFonts w:ascii="Symbol" w:eastAsia="Symbol" w:hAnsi="Symbol" w:cs="Symbol" w:hint="default"/>
        <w:color w:val="000000"/>
        <w:sz w:val="24"/>
      </w:rPr>
    </w:lvl>
    <w:lvl w:ilvl="6" w:tplc="ACAE053C">
      <w:start w:val="1"/>
      <w:numFmt w:val="bullet"/>
      <w:lvlText w:val=""/>
      <w:lvlJc w:val="left"/>
      <w:pPr>
        <w:ind w:left="335" w:hanging="227"/>
      </w:pPr>
      <w:rPr>
        <w:rFonts w:ascii="Symbol" w:eastAsia="Symbol" w:hAnsi="Symbol" w:cs="Symbol" w:hint="default"/>
        <w:color w:val="000000"/>
        <w:sz w:val="24"/>
      </w:rPr>
    </w:lvl>
    <w:lvl w:ilvl="7" w:tplc="30742808">
      <w:start w:val="1"/>
      <w:numFmt w:val="none"/>
      <w:lvlText w:val=""/>
      <w:lvlJc w:val="left"/>
      <w:pPr>
        <w:ind w:left="108" w:firstLine="0"/>
      </w:pPr>
      <w:rPr>
        <w:rFonts w:ascii="Calibri" w:eastAsia="Calibri" w:hAnsi="Calibri" w:cs="Calibri" w:hint="default"/>
        <w:color w:val="000000"/>
        <w:sz w:val="24"/>
      </w:rPr>
    </w:lvl>
    <w:lvl w:ilvl="8" w:tplc="155CC1E4">
      <w:start w:val="1"/>
      <w:numFmt w:val="none"/>
      <w:lvlText w:val=""/>
      <w:lvlJc w:val="left"/>
      <w:pPr>
        <w:ind w:left="108" w:firstLine="0"/>
      </w:pPr>
      <w:rPr>
        <w:rFonts w:ascii="Calibri" w:eastAsia="Calibri" w:hAnsi="Calibri" w:cs="Calibri" w:hint="default"/>
        <w:color w:val="000000"/>
        <w:sz w:val="24"/>
      </w:rPr>
    </w:lvl>
  </w:abstractNum>
  <w:abstractNum w:abstractNumId="8" w15:restartNumberingAfterBreak="0">
    <w:nsid w:val="4B83179C"/>
    <w:multiLevelType w:val="hybridMultilevel"/>
    <w:tmpl w:val="D17C08C0"/>
    <w:lvl w:ilvl="0" w:tplc="F9943180">
      <w:start w:val="1"/>
      <w:numFmt w:val="bullet"/>
      <w:lvlText w:val=""/>
      <w:lvlJc w:val="left"/>
      <w:pPr>
        <w:ind w:left="468" w:hanging="360"/>
      </w:pPr>
      <w:rPr>
        <w:rFonts w:ascii="Symbol" w:eastAsia="Symbol" w:hAnsi="Symbol" w:cs="Symbol" w:hint="default"/>
        <w:color w:val="000000"/>
        <w:sz w:val="24"/>
      </w:rPr>
    </w:lvl>
    <w:lvl w:ilvl="1" w:tplc="74CE63D6">
      <w:start w:val="1"/>
      <w:numFmt w:val="bullet"/>
      <w:lvlText w:val="o"/>
      <w:lvlJc w:val="left"/>
      <w:pPr>
        <w:ind w:left="1188" w:hanging="360"/>
      </w:pPr>
      <w:rPr>
        <w:rFonts w:ascii="Courier New" w:eastAsia="Courier New" w:hAnsi="Courier New" w:cs="Courier New" w:hint="default"/>
        <w:color w:val="000000"/>
        <w:sz w:val="24"/>
      </w:rPr>
    </w:lvl>
    <w:lvl w:ilvl="2" w:tplc="6FA4525E">
      <w:start w:val="1"/>
      <w:numFmt w:val="bullet"/>
      <w:lvlText w:val=""/>
      <w:lvlJc w:val="left"/>
      <w:pPr>
        <w:ind w:left="1908" w:hanging="360"/>
      </w:pPr>
      <w:rPr>
        <w:rFonts w:ascii="Wingdings" w:eastAsia="Wingdings" w:hAnsi="Wingdings" w:cs="Wingdings" w:hint="default"/>
        <w:color w:val="000000"/>
        <w:sz w:val="24"/>
      </w:rPr>
    </w:lvl>
    <w:lvl w:ilvl="3" w:tplc="43628440">
      <w:start w:val="1"/>
      <w:numFmt w:val="bullet"/>
      <w:lvlText w:val=""/>
      <w:lvlJc w:val="left"/>
      <w:pPr>
        <w:ind w:left="2628" w:hanging="360"/>
      </w:pPr>
      <w:rPr>
        <w:rFonts w:ascii="Symbol" w:eastAsia="Symbol" w:hAnsi="Symbol" w:cs="Symbol" w:hint="default"/>
        <w:color w:val="000000"/>
        <w:sz w:val="24"/>
      </w:rPr>
    </w:lvl>
    <w:lvl w:ilvl="4" w:tplc="2EEEC52E">
      <w:start w:val="1"/>
      <w:numFmt w:val="bullet"/>
      <w:lvlText w:val="o"/>
      <w:lvlJc w:val="left"/>
      <w:pPr>
        <w:ind w:left="3348" w:hanging="360"/>
      </w:pPr>
      <w:rPr>
        <w:rFonts w:ascii="Courier New" w:eastAsia="Courier New" w:hAnsi="Courier New" w:cs="Courier New" w:hint="default"/>
        <w:color w:val="000000"/>
        <w:sz w:val="24"/>
      </w:rPr>
    </w:lvl>
    <w:lvl w:ilvl="5" w:tplc="F8D0FF44">
      <w:start w:val="1"/>
      <w:numFmt w:val="bullet"/>
      <w:lvlText w:val=""/>
      <w:lvlJc w:val="left"/>
      <w:pPr>
        <w:ind w:left="4068" w:hanging="360"/>
      </w:pPr>
      <w:rPr>
        <w:rFonts w:ascii="Wingdings" w:eastAsia="Wingdings" w:hAnsi="Wingdings" w:cs="Wingdings" w:hint="default"/>
        <w:color w:val="000000"/>
        <w:sz w:val="24"/>
      </w:rPr>
    </w:lvl>
    <w:lvl w:ilvl="6" w:tplc="65ACF49C">
      <w:start w:val="1"/>
      <w:numFmt w:val="bullet"/>
      <w:lvlText w:val=""/>
      <w:lvlJc w:val="left"/>
      <w:pPr>
        <w:ind w:left="4788" w:hanging="360"/>
      </w:pPr>
      <w:rPr>
        <w:rFonts w:ascii="Symbol" w:eastAsia="Symbol" w:hAnsi="Symbol" w:cs="Symbol" w:hint="default"/>
        <w:color w:val="000000"/>
        <w:sz w:val="24"/>
      </w:rPr>
    </w:lvl>
    <w:lvl w:ilvl="7" w:tplc="B0A401A2">
      <w:start w:val="1"/>
      <w:numFmt w:val="bullet"/>
      <w:lvlText w:val="o"/>
      <w:lvlJc w:val="left"/>
      <w:pPr>
        <w:ind w:left="5508" w:hanging="360"/>
      </w:pPr>
      <w:rPr>
        <w:rFonts w:ascii="Courier New" w:eastAsia="Courier New" w:hAnsi="Courier New" w:cs="Courier New" w:hint="default"/>
        <w:color w:val="000000"/>
        <w:sz w:val="24"/>
      </w:rPr>
    </w:lvl>
    <w:lvl w:ilvl="8" w:tplc="027E0E06">
      <w:start w:val="1"/>
      <w:numFmt w:val="bullet"/>
      <w:lvlText w:val=""/>
      <w:lvlJc w:val="left"/>
      <w:pPr>
        <w:ind w:left="6228" w:hanging="360"/>
      </w:pPr>
      <w:rPr>
        <w:rFonts w:ascii="Wingdings" w:eastAsia="Wingdings" w:hAnsi="Wingdings" w:cs="Wingdings" w:hint="default"/>
        <w:color w:val="000000"/>
        <w:sz w:val="24"/>
      </w:rPr>
    </w:lvl>
  </w:abstractNum>
  <w:abstractNum w:abstractNumId="9" w15:restartNumberingAfterBreak="0">
    <w:nsid w:val="4D130FE0"/>
    <w:multiLevelType w:val="hybridMultilevel"/>
    <w:tmpl w:val="788C2278"/>
    <w:lvl w:ilvl="0" w:tplc="D85250F0">
      <w:start w:val="1"/>
      <w:numFmt w:val="decimal"/>
      <w:lvlText w:val="%1."/>
      <w:lvlJc w:val="left"/>
      <w:pPr>
        <w:ind w:left="828" w:hanging="360"/>
      </w:pPr>
      <w:rPr>
        <w:rFonts w:ascii="Calibri" w:eastAsia="Calibri" w:hAnsi="Calibri" w:cs="Calibri" w:hint="default"/>
        <w:color w:val="000000"/>
        <w:sz w:val="24"/>
      </w:rPr>
    </w:lvl>
    <w:lvl w:ilvl="1" w:tplc="70E22888">
      <w:start w:val="1"/>
      <w:numFmt w:val="lowerLetter"/>
      <w:lvlText w:val="%2."/>
      <w:lvlJc w:val="left"/>
      <w:pPr>
        <w:ind w:left="1548" w:hanging="360"/>
      </w:pPr>
      <w:rPr>
        <w:rFonts w:ascii="Calibri" w:eastAsia="Calibri" w:hAnsi="Calibri" w:cs="Calibri" w:hint="default"/>
        <w:color w:val="000000"/>
        <w:sz w:val="24"/>
      </w:rPr>
    </w:lvl>
    <w:lvl w:ilvl="2" w:tplc="76680DB4">
      <w:start w:val="1"/>
      <w:numFmt w:val="lowerRoman"/>
      <w:lvlText w:val="%3."/>
      <w:lvlJc w:val="right"/>
      <w:pPr>
        <w:ind w:left="2268" w:hanging="180"/>
      </w:pPr>
      <w:rPr>
        <w:rFonts w:ascii="Calibri" w:eastAsia="Calibri" w:hAnsi="Calibri" w:cs="Calibri" w:hint="default"/>
        <w:color w:val="000000"/>
        <w:sz w:val="24"/>
      </w:rPr>
    </w:lvl>
    <w:lvl w:ilvl="3" w:tplc="F1CEED96">
      <w:start w:val="1"/>
      <w:numFmt w:val="decimal"/>
      <w:lvlText w:val="%4."/>
      <w:lvlJc w:val="left"/>
      <w:pPr>
        <w:ind w:left="2988" w:hanging="360"/>
      </w:pPr>
      <w:rPr>
        <w:rFonts w:ascii="Calibri" w:eastAsia="Calibri" w:hAnsi="Calibri" w:cs="Calibri" w:hint="default"/>
        <w:color w:val="000000"/>
        <w:sz w:val="24"/>
      </w:rPr>
    </w:lvl>
    <w:lvl w:ilvl="4" w:tplc="2B6082D0">
      <w:start w:val="1"/>
      <w:numFmt w:val="lowerLetter"/>
      <w:lvlText w:val="%5."/>
      <w:lvlJc w:val="left"/>
      <w:pPr>
        <w:ind w:left="3708" w:hanging="360"/>
      </w:pPr>
      <w:rPr>
        <w:rFonts w:ascii="Calibri" w:eastAsia="Calibri" w:hAnsi="Calibri" w:cs="Calibri" w:hint="default"/>
        <w:color w:val="000000"/>
        <w:sz w:val="24"/>
      </w:rPr>
    </w:lvl>
    <w:lvl w:ilvl="5" w:tplc="DE92471E">
      <w:start w:val="1"/>
      <w:numFmt w:val="lowerRoman"/>
      <w:lvlText w:val="%6."/>
      <w:lvlJc w:val="right"/>
      <w:pPr>
        <w:ind w:left="4428" w:hanging="180"/>
      </w:pPr>
      <w:rPr>
        <w:rFonts w:ascii="Calibri" w:eastAsia="Calibri" w:hAnsi="Calibri" w:cs="Calibri" w:hint="default"/>
        <w:color w:val="000000"/>
        <w:sz w:val="24"/>
      </w:rPr>
    </w:lvl>
    <w:lvl w:ilvl="6" w:tplc="B678B612">
      <w:start w:val="1"/>
      <w:numFmt w:val="decimal"/>
      <w:lvlText w:val="%7."/>
      <w:lvlJc w:val="left"/>
      <w:pPr>
        <w:ind w:left="5148" w:hanging="360"/>
      </w:pPr>
      <w:rPr>
        <w:rFonts w:ascii="Calibri" w:eastAsia="Calibri" w:hAnsi="Calibri" w:cs="Calibri" w:hint="default"/>
        <w:color w:val="000000"/>
        <w:sz w:val="24"/>
      </w:rPr>
    </w:lvl>
    <w:lvl w:ilvl="7" w:tplc="4D42361C">
      <w:start w:val="1"/>
      <w:numFmt w:val="lowerLetter"/>
      <w:lvlText w:val="%8."/>
      <w:lvlJc w:val="left"/>
      <w:pPr>
        <w:ind w:left="5868" w:hanging="360"/>
      </w:pPr>
      <w:rPr>
        <w:rFonts w:ascii="Calibri" w:eastAsia="Calibri" w:hAnsi="Calibri" w:cs="Calibri" w:hint="default"/>
        <w:color w:val="000000"/>
        <w:sz w:val="24"/>
      </w:rPr>
    </w:lvl>
    <w:lvl w:ilvl="8" w:tplc="30B4E616">
      <w:start w:val="1"/>
      <w:numFmt w:val="lowerRoman"/>
      <w:lvlText w:val="%9."/>
      <w:lvlJc w:val="right"/>
      <w:pPr>
        <w:ind w:left="6588" w:hanging="180"/>
      </w:pPr>
      <w:rPr>
        <w:rFonts w:ascii="Calibri" w:eastAsia="Calibri" w:hAnsi="Calibri" w:cs="Calibri" w:hint="default"/>
        <w:color w:val="000000"/>
        <w:sz w:val="24"/>
      </w:rPr>
    </w:lvl>
  </w:abstractNum>
  <w:abstractNum w:abstractNumId="10" w15:restartNumberingAfterBreak="0">
    <w:nsid w:val="4D65516A"/>
    <w:multiLevelType w:val="hybridMultilevel"/>
    <w:tmpl w:val="170EEFE0"/>
    <w:lvl w:ilvl="0" w:tplc="18A6F664">
      <w:start w:val="1"/>
      <w:numFmt w:val="decimal"/>
      <w:lvlText w:val="%1."/>
      <w:lvlJc w:val="left"/>
      <w:pPr>
        <w:ind w:left="505" w:hanging="397"/>
      </w:pPr>
      <w:rPr>
        <w:rFonts w:ascii="Calibri" w:eastAsia="Calibri" w:hAnsi="Calibri" w:cs="Calibri" w:hint="default"/>
        <w:color w:val="000000"/>
        <w:sz w:val="24"/>
      </w:rPr>
    </w:lvl>
    <w:lvl w:ilvl="1" w:tplc="0E309B70">
      <w:start w:val="1"/>
      <w:numFmt w:val="decimal"/>
      <w:lvlText w:val="%2."/>
      <w:lvlJc w:val="left"/>
      <w:pPr>
        <w:ind w:left="902" w:hanging="397"/>
      </w:pPr>
      <w:rPr>
        <w:rFonts w:ascii="Calibri" w:eastAsia="Calibri" w:hAnsi="Calibri" w:cs="Calibri" w:hint="default"/>
        <w:color w:val="000000"/>
        <w:sz w:val="24"/>
      </w:rPr>
    </w:lvl>
    <w:lvl w:ilvl="2" w:tplc="BE72D380">
      <w:start w:val="1"/>
      <w:numFmt w:val="lowerLetter"/>
      <w:lvlText w:val="(%3)"/>
      <w:lvlJc w:val="left"/>
      <w:pPr>
        <w:ind w:left="505" w:hanging="397"/>
      </w:pPr>
      <w:rPr>
        <w:rFonts w:ascii="Calibri" w:eastAsia="Calibri" w:hAnsi="Calibri" w:cs="Calibri" w:hint="default"/>
        <w:color w:val="000000"/>
        <w:sz w:val="24"/>
      </w:rPr>
    </w:lvl>
    <w:lvl w:ilvl="3" w:tplc="7BB41692">
      <w:start w:val="1"/>
      <w:numFmt w:val="lowerLetter"/>
      <w:lvlText w:val="(%4)"/>
      <w:lvlJc w:val="left"/>
      <w:pPr>
        <w:ind w:left="902" w:hanging="397"/>
      </w:pPr>
      <w:rPr>
        <w:rFonts w:ascii="Calibri" w:eastAsia="Calibri" w:hAnsi="Calibri" w:cs="Calibri" w:hint="default"/>
        <w:color w:val="000000"/>
        <w:sz w:val="24"/>
      </w:rPr>
    </w:lvl>
    <w:lvl w:ilvl="4" w:tplc="35521C88">
      <w:start w:val="1"/>
      <w:numFmt w:val="lowerRoman"/>
      <w:lvlText w:val="(%5)"/>
      <w:lvlJc w:val="left"/>
      <w:pPr>
        <w:ind w:left="505" w:hanging="397"/>
      </w:pPr>
      <w:rPr>
        <w:rFonts w:ascii="Calibri" w:eastAsia="Calibri" w:hAnsi="Calibri" w:cs="Calibri" w:hint="default"/>
        <w:color w:val="000000"/>
        <w:sz w:val="24"/>
      </w:rPr>
    </w:lvl>
    <w:lvl w:ilvl="5" w:tplc="DAA46868">
      <w:start w:val="1"/>
      <w:numFmt w:val="lowerRoman"/>
      <w:lvlText w:val="(%6)"/>
      <w:lvlJc w:val="left"/>
      <w:pPr>
        <w:ind w:left="902" w:hanging="397"/>
      </w:pPr>
      <w:rPr>
        <w:rFonts w:ascii="Calibri" w:eastAsia="Calibri" w:hAnsi="Calibri" w:cs="Calibri" w:hint="default"/>
        <w:color w:val="000000"/>
        <w:sz w:val="24"/>
      </w:rPr>
    </w:lvl>
    <w:lvl w:ilvl="6" w:tplc="FCF6181A">
      <w:start w:val="1"/>
      <w:numFmt w:val="none"/>
      <w:lvlText w:val=""/>
      <w:lvlJc w:val="left"/>
      <w:pPr>
        <w:ind w:left="108" w:firstLine="0"/>
      </w:pPr>
      <w:rPr>
        <w:rFonts w:ascii="Calibri" w:eastAsia="Calibri" w:hAnsi="Calibri" w:cs="Calibri" w:hint="default"/>
        <w:color w:val="000000"/>
        <w:sz w:val="24"/>
      </w:rPr>
    </w:lvl>
    <w:lvl w:ilvl="7" w:tplc="0E04FED2">
      <w:start w:val="1"/>
      <w:numFmt w:val="none"/>
      <w:lvlText w:val=""/>
      <w:lvlJc w:val="left"/>
      <w:pPr>
        <w:ind w:left="108" w:firstLine="0"/>
      </w:pPr>
      <w:rPr>
        <w:rFonts w:ascii="Calibri" w:eastAsia="Calibri" w:hAnsi="Calibri" w:cs="Calibri" w:hint="default"/>
        <w:color w:val="000000"/>
        <w:sz w:val="24"/>
      </w:rPr>
    </w:lvl>
    <w:lvl w:ilvl="8" w:tplc="7674E4F2">
      <w:start w:val="1"/>
      <w:numFmt w:val="none"/>
      <w:lvlText w:val=""/>
      <w:lvlJc w:val="right"/>
      <w:pPr>
        <w:ind w:left="108" w:firstLine="0"/>
      </w:pPr>
      <w:rPr>
        <w:rFonts w:ascii="Calibri" w:eastAsia="Calibri" w:hAnsi="Calibri" w:cs="Calibri" w:hint="default"/>
        <w:color w:val="000000"/>
        <w:sz w:val="24"/>
      </w:rPr>
    </w:lvl>
  </w:abstractNum>
  <w:abstractNum w:abstractNumId="11" w15:restartNumberingAfterBreak="0">
    <w:nsid w:val="50A3428B"/>
    <w:multiLevelType w:val="hybridMultilevel"/>
    <w:tmpl w:val="3FDAE844"/>
    <w:lvl w:ilvl="0" w:tplc="29620DAC">
      <w:start w:val="1"/>
      <w:numFmt w:val="bullet"/>
      <w:lvlText w:val=""/>
      <w:lvlJc w:val="left"/>
      <w:pPr>
        <w:ind w:left="468" w:hanging="360"/>
      </w:pPr>
      <w:rPr>
        <w:rFonts w:ascii="Symbol" w:eastAsia="Symbol" w:hAnsi="Symbol" w:cs="Symbol" w:hint="default"/>
        <w:color w:val="000000"/>
        <w:sz w:val="24"/>
      </w:rPr>
    </w:lvl>
    <w:lvl w:ilvl="1" w:tplc="D19C0A12">
      <w:start w:val="1"/>
      <w:numFmt w:val="bullet"/>
      <w:lvlText w:val="o"/>
      <w:lvlJc w:val="left"/>
      <w:pPr>
        <w:ind w:left="1188" w:hanging="360"/>
      </w:pPr>
      <w:rPr>
        <w:rFonts w:ascii="Courier New" w:eastAsia="Courier New" w:hAnsi="Courier New" w:cs="Courier New" w:hint="default"/>
        <w:color w:val="000000"/>
        <w:sz w:val="24"/>
      </w:rPr>
    </w:lvl>
    <w:lvl w:ilvl="2" w:tplc="9020BB96">
      <w:start w:val="1"/>
      <w:numFmt w:val="bullet"/>
      <w:lvlText w:val=""/>
      <w:lvlJc w:val="left"/>
      <w:pPr>
        <w:ind w:left="1908" w:hanging="360"/>
      </w:pPr>
      <w:rPr>
        <w:rFonts w:ascii="Wingdings" w:eastAsia="Wingdings" w:hAnsi="Wingdings" w:cs="Wingdings" w:hint="default"/>
        <w:color w:val="000000"/>
        <w:sz w:val="24"/>
      </w:rPr>
    </w:lvl>
    <w:lvl w:ilvl="3" w:tplc="E9109EC6">
      <w:start w:val="1"/>
      <w:numFmt w:val="bullet"/>
      <w:lvlText w:val=""/>
      <w:lvlJc w:val="left"/>
      <w:pPr>
        <w:ind w:left="2628" w:hanging="360"/>
      </w:pPr>
      <w:rPr>
        <w:rFonts w:ascii="Symbol" w:eastAsia="Symbol" w:hAnsi="Symbol" w:cs="Symbol" w:hint="default"/>
        <w:color w:val="000000"/>
        <w:sz w:val="24"/>
      </w:rPr>
    </w:lvl>
    <w:lvl w:ilvl="4" w:tplc="B0DA3C80">
      <w:start w:val="1"/>
      <w:numFmt w:val="bullet"/>
      <w:lvlText w:val="o"/>
      <w:lvlJc w:val="left"/>
      <w:pPr>
        <w:ind w:left="3348" w:hanging="360"/>
      </w:pPr>
      <w:rPr>
        <w:rFonts w:ascii="Courier New" w:eastAsia="Courier New" w:hAnsi="Courier New" w:cs="Courier New" w:hint="default"/>
        <w:color w:val="000000"/>
        <w:sz w:val="24"/>
      </w:rPr>
    </w:lvl>
    <w:lvl w:ilvl="5" w:tplc="457AAEE8">
      <w:start w:val="1"/>
      <w:numFmt w:val="bullet"/>
      <w:lvlText w:val=""/>
      <w:lvlJc w:val="left"/>
      <w:pPr>
        <w:ind w:left="4068" w:hanging="360"/>
      </w:pPr>
      <w:rPr>
        <w:rFonts w:ascii="Wingdings" w:eastAsia="Wingdings" w:hAnsi="Wingdings" w:cs="Wingdings" w:hint="default"/>
        <w:color w:val="000000"/>
        <w:sz w:val="24"/>
      </w:rPr>
    </w:lvl>
    <w:lvl w:ilvl="6" w:tplc="A6E8ACE8">
      <w:start w:val="1"/>
      <w:numFmt w:val="bullet"/>
      <w:lvlText w:val=""/>
      <w:lvlJc w:val="left"/>
      <w:pPr>
        <w:ind w:left="4788" w:hanging="360"/>
      </w:pPr>
      <w:rPr>
        <w:rFonts w:ascii="Symbol" w:eastAsia="Symbol" w:hAnsi="Symbol" w:cs="Symbol" w:hint="default"/>
        <w:color w:val="000000"/>
        <w:sz w:val="24"/>
      </w:rPr>
    </w:lvl>
    <w:lvl w:ilvl="7" w:tplc="EB7C9B0E">
      <w:start w:val="1"/>
      <w:numFmt w:val="bullet"/>
      <w:lvlText w:val="o"/>
      <w:lvlJc w:val="left"/>
      <w:pPr>
        <w:ind w:left="5508" w:hanging="360"/>
      </w:pPr>
      <w:rPr>
        <w:rFonts w:ascii="Courier New" w:eastAsia="Courier New" w:hAnsi="Courier New" w:cs="Courier New" w:hint="default"/>
        <w:color w:val="000000"/>
        <w:sz w:val="24"/>
      </w:rPr>
    </w:lvl>
    <w:lvl w:ilvl="8" w:tplc="F4CE156C">
      <w:start w:val="1"/>
      <w:numFmt w:val="bullet"/>
      <w:lvlText w:val=""/>
      <w:lvlJc w:val="left"/>
      <w:pPr>
        <w:ind w:left="6228" w:hanging="360"/>
      </w:pPr>
      <w:rPr>
        <w:rFonts w:ascii="Wingdings" w:eastAsia="Wingdings" w:hAnsi="Wingdings" w:cs="Wingdings" w:hint="default"/>
        <w:color w:val="000000"/>
        <w:sz w:val="24"/>
      </w:rPr>
    </w:lvl>
  </w:abstractNum>
  <w:abstractNum w:abstractNumId="12" w15:restartNumberingAfterBreak="0">
    <w:nsid w:val="52F25EB5"/>
    <w:multiLevelType w:val="hybridMultilevel"/>
    <w:tmpl w:val="0C30E568"/>
    <w:lvl w:ilvl="0" w:tplc="8CB2F38A">
      <w:start w:val="1"/>
      <w:numFmt w:val="decimal"/>
      <w:lvlText w:val="%1."/>
      <w:lvlJc w:val="left"/>
      <w:pPr>
        <w:ind w:left="828" w:hanging="360"/>
      </w:pPr>
      <w:rPr>
        <w:rFonts w:ascii="Calibri" w:eastAsia="Calibri" w:hAnsi="Calibri" w:cs="Calibri" w:hint="default"/>
        <w:color w:val="000000"/>
        <w:sz w:val="24"/>
      </w:rPr>
    </w:lvl>
    <w:lvl w:ilvl="1" w:tplc="98E4E94C">
      <w:start w:val="1"/>
      <w:numFmt w:val="lowerLetter"/>
      <w:lvlText w:val="%2."/>
      <w:lvlJc w:val="left"/>
      <w:pPr>
        <w:ind w:left="1548" w:hanging="360"/>
      </w:pPr>
      <w:rPr>
        <w:rFonts w:ascii="Calibri" w:eastAsia="Calibri" w:hAnsi="Calibri" w:cs="Calibri" w:hint="default"/>
        <w:color w:val="000000"/>
        <w:sz w:val="24"/>
      </w:rPr>
    </w:lvl>
    <w:lvl w:ilvl="2" w:tplc="A70E698E">
      <w:start w:val="1"/>
      <w:numFmt w:val="lowerRoman"/>
      <w:lvlText w:val="%3."/>
      <w:lvlJc w:val="right"/>
      <w:pPr>
        <w:ind w:left="2268" w:hanging="180"/>
      </w:pPr>
      <w:rPr>
        <w:rFonts w:ascii="Calibri" w:eastAsia="Calibri" w:hAnsi="Calibri" w:cs="Calibri" w:hint="default"/>
        <w:color w:val="000000"/>
        <w:sz w:val="24"/>
      </w:rPr>
    </w:lvl>
    <w:lvl w:ilvl="3" w:tplc="E31AE6F8">
      <w:start w:val="1"/>
      <w:numFmt w:val="decimal"/>
      <w:lvlText w:val="%4."/>
      <w:lvlJc w:val="left"/>
      <w:pPr>
        <w:ind w:left="2988" w:hanging="360"/>
      </w:pPr>
      <w:rPr>
        <w:rFonts w:ascii="Calibri" w:eastAsia="Calibri" w:hAnsi="Calibri" w:cs="Calibri" w:hint="default"/>
        <w:color w:val="000000"/>
        <w:sz w:val="24"/>
      </w:rPr>
    </w:lvl>
    <w:lvl w:ilvl="4" w:tplc="61D46A7A">
      <w:start w:val="1"/>
      <w:numFmt w:val="lowerLetter"/>
      <w:lvlText w:val="%5."/>
      <w:lvlJc w:val="left"/>
      <w:pPr>
        <w:ind w:left="3708" w:hanging="360"/>
      </w:pPr>
      <w:rPr>
        <w:rFonts w:ascii="Calibri" w:eastAsia="Calibri" w:hAnsi="Calibri" w:cs="Calibri" w:hint="default"/>
        <w:color w:val="000000"/>
        <w:sz w:val="24"/>
      </w:rPr>
    </w:lvl>
    <w:lvl w:ilvl="5" w:tplc="6220BA58">
      <w:start w:val="1"/>
      <w:numFmt w:val="lowerRoman"/>
      <w:lvlText w:val="%6."/>
      <w:lvlJc w:val="right"/>
      <w:pPr>
        <w:ind w:left="4428" w:hanging="180"/>
      </w:pPr>
      <w:rPr>
        <w:rFonts w:ascii="Calibri" w:eastAsia="Calibri" w:hAnsi="Calibri" w:cs="Calibri" w:hint="default"/>
        <w:color w:val="000000"/>
        <w:sz w:val="24"/>
      </w:rPr>
    </w:lvl>
    <w:lvl w:ilvl="6" w:tplc="44E80B1C">
      <w:start w:val="1"/>
      <w:numFmt w:val="decimal"/>
      <w:lvlText w:val="%7."/>
      <w:lvlJc w:val="left"/>
      <w:pPr>
        <w:ind w:left="5148" w:hanging="360"/>
      </w:pPr>
      <w:rPr>
        <w:rFonts w:ascii="Calibri" w:eastAsia="Calibri" w:hAnsi="Calibri" w:cs="Calibri" w:hint="default"/>
        <w:color w:val="000000"/>
        <w:sz w:val="24"/>
      </w:rPr>
    </w:lvl>
    <w:lvl w:ilvl="7" w:tplc="8CB46632">
      <w:start w:val="1"/>
      <w:numFmt w:val="lowerLetter"/>
      <w:lvlText w:val="%8."/>
      <w:lvlJc w:val="left"/>
      <w:pPr>
        <w:ind w:left="5868" w:hanging="360"/>
      </w:pPr>
      <w:rPr>
        <w:rFonts w:ascii="Calibri" w:eastAsia="Calibri" w:hAnsi="Calibri" w:cs="Calibri" w:hint="default"/>
        <w:color w:val="000000"/>
        <w:sz w:val="24"/>
      </w:rPr>
    </w:lvl>
    <w:lvl w:ilvl="8" w:tplc="1E9E017A">
      <w:start w:val="1"/>
      <w:numFmt w:val="lowerRoman"/>
      <w:lvlText w:val="%9."/>
      <w:lvlJc w:val="right"/>
      <w:pPr>
        <w:ind w:left="6588" w:hanging="180"/>
      </w:pPr>
      <w:rPr>
        <w:rFonts w:ascii="Calibri" w:eastAsia="Calibri" w:hAnsi="Calibri" w:cs="Calibri" w:hint="default"/>
        <w:color w:val="000000"/>
        <w:sz w:val="24"/>
      </w:rPr>
    </w:lvl>
  </w:abstractNum>
  <w:abstractNum w:abstractNumId="13" w15:restartNumberingAfterBreak="0">
    <w:nsid w:val="684734C6"/>
    <w:multiLevelType w:val="hybridMultilevel"/>
    <w:tmpl w:val="7D62995A"/>
    <w:lvl w:ilvl="0" w:tplc="7C7047A8">
      <w:start w:val="1"/>
      <w:numFmt w:val="decimal"/>
      <w:lvlText w:val="%1."/>
      <w:lvlJc w:val="left"/>
      <w:pPr>
        <w:ind w:left="468" w:hanging="360"/>
      </w:pPr>
      <w:rPr>
        <w:rFonts w:ascii="Calibri" w:eastAsia="Calibri" w:hAnsi="Calibri" w:cs="Calibri" w:hint="default"/>
        <w:color w:val="000000"/>
        <w:sz w:val="24"/>
      </w:rPr>
    </w:lvl>
    <w:lvl w:ilvl="1" w:tplc="49EA064A">
      <w:start w:val="1"/>
      <w:numFmt w:val="lowerLetter"/>
      <w:lvlText w:val="%2."/>
      <w:lvlJc w:val="left"/>
      <w:pPr>
        <w:ind w:left="1188" w:hanging="360"/>
      </w:pPr>
      <w:rPr>
        <w:rFonts w:ascii="Calibri" w:eastAsia="Calibri" w:hAnsi="Calibri" w:cs="Calibri" w:hint="default"/>
        <w:color w:val="000000"/>
        <w:sz w:val="24"/>
      </w:rPr>
    </w:lvl>
    <w:lvl w:ilvl="2" w:tplc="9134178A">
      <w:start w:val="1"/>
      <w:numFmt w:val="lowerRoman"/>
      <w:lvlText w:val="%3."/>
      <w:lvlJc w:val="right"/>
      <w:pPr>
        <w:ind w:left="1908" w:hanging="180"/>
      </w:pPr>
      <w:rPr>
        <w:rFonts w:ascii="Calibri" w:eastAsia="Calibri" w:hAnsi="Calibri" w:cs="Calibri" w:hint="default"/>
        <w:color w:val="000000"/>
        <w:sz w:val="24"/>
      </w:rPr>
    </w:lvl>
    <w:lvl w:ilvl="3" w:tplc="82F4727A">
      <w:start w:val="1"/>
      <w:numFmt w:val="decimal"/>
      <w:lvlText w:val="%4."/>
      <w:lvlJc w:val="left"/>
      <w:pPr>
        <w:ind w:left="2628" w:hanging="360"/>
      </w:pPr>
      <w:rPr>
        <w:rFonts w:ascii="Calibri" w:eastAsia="Calibri" w:hAnsi="Calibri" w:cs="Calibri" w:hint="default"/>
        <w:color w:val="000000"/>
        <w:sz w:val="24"/>
      </w:rPr>
    </w:lvl>
    <w:lvl w:ilvl="4" w:tplc="2BB2A31C">
      <w:start w:val="1"/>
      <w:numFmt w:val="lowerLetter"/>
      <w:lvlText w:val="%5."/>
      <w:lvlJc w:val="left"/>
      <w:pPr>
        <w:ind w:left="3348" w:hanging="360"/>
      </w:pPr>
      <w:rPr>
        <w:rFonts w:ascii="Calibri" w:eastAsia="Calibri" w:hAnsi="Calibri" w:cs="Calibri" w:hint="default"/>
        <w:color w:val="000000"/>
        <w:sz w:val="24"/>
      </w:rPr>
    </w:lvl>
    <w:lvl w:ilvl="5" w:tplc="DDF24B90">
      <w:start w:val="1"/>
      <w:numFmt w:val="lowerRoman"/>
      <w:lvlText w:val="%6."/>
      <w:lvlJc w:val="right"/>
      <w:pPr>
        <w:ind w:left="4068" w:hanging="180"/>
      </w:pPr>
      <w:rPr>
        <w:rFonts w:ascii="Calibri" w:eastAsia="Calibri" w:hAnsi="Calibri" w:cs="Calibri" w:hint="default"/>
        <w:color w:val="000000"/>
        <w:sz w:val="24"/>
      </w:rPr>
    </w:lvl>
    <w:lvl w:ilvl="6" w:tplc="4B22DF04">
      <w:start w:val="1"/>
      <w:numFmt w:val="decimal"/>
      <w:lvlText w:val="%7."/>
      <w:lvlJc w:val="left"/>
      <w:pPr>
        <w:ind w:left="4788" w:hanging="360"/>
      </w:pPr>
      <w:rPr>
        <w:rFonts w:ascii="Calibri" w:eastAsia="Calibri" w:hAnsi="Calibri" w:cs="Calibri" w:hint="default"/>
        <w:color w:val="000000"/>
        <w:sz w:val="24"/>
      </w:rPr>
    </w:lvl>
    <w:lvl w:ilvl="7" w:tplc="55620C08">
      <w:start w:val="1"/>
      <w:numFmt w:val="lowerLetter"/>
      <w:lvlText w:val="%8."/>
      <w:lvlJc w:val="left"/>
      <w:pPr>
        <w:ind w:left="5508" w:hanging="360"/>
      </w:pPr>
      <w:rPr>
        <w:rFonts w:ascii="Calibri" w:eastAsia="Calibri" w:hAnsi="Calibri" w:cs="Calibri" w:hint="default"/>
        <w:color w:val="000000"/>
        <w:sz w:val="24"/>
      </w:rPr>
    </w:lvl>
    <w:lvl w:ilvl="8" w:tplc="DAF2F00C">
      <w:start w:val="1"/>
      <w:numFmt w:val="lowerRoman"/>
      <w:lvlText w:val="%9."/>
      <w:lvlJc w:val="right"/>
      <w:pPr>
        <w:ind w:left="6228" w:hanging="180"/>
      </w:pPr>
      <w:rPr>
        <w:rFonts w:ascii="Calibri" w:eastAsia="Calibri" w:hAnsi="Calibri" w:cs="Calibri" w:hint="default"/>
        <w:color w:val="000000"/>
        <w:sz w:val="24"/>
      </w:rPr>
    </w:lvl>
  </w:abstractNum>
  <w:abstractNum w:abstractNumId="14" w15:restartNumberingAfterBreak="0">
    <w:nsid w:val="79DF3C0E"/>
    <w:multiLevelType w:val="hybridMultilevel"/>
    <w:tmpl w:val="6406AA84"/>
    <w:lvl w:ilvl="0" w:tplc="FD02CF5E">
      <w:start w:val="1"/>
      <w:numFmt w:val="decimal"/>
      <w:lvlText w:val="%1."/>
      <w:lvlJc w:val="left"/>
      <w:pPr>
        <w:ind w:left="828" w:hanging="360"/>
      </w:pPr>
      <w:rPr>
        <w:rFonts w:ascii="Calibri" w:eastAsia="Calibri" w:hAnsi="Calibri" w:cs="Calibri" w:hint="default"/>
        <w:color w:val="000000"/>
        <w:sz w:val="24"/>
      </w:rPr>
    </w:lvl>
    <w:lvl w:ilvl="1" w:tplc="C4EAEF46">
      <w:start w:val="1"/>
      <w:numFmt w:val="lowerLetter"/>
      <w:lvlText w:val="%2."/>
      <w:lvlJc w:val="left"/>
      <w:pPr>
        <w:ind w:left="1548" w:hanging="360"/>
      </w:pPr>
      <w:rPr>
        <w:rFonts w:ascii="Calibri" w:eastAsia="Calibri" w:hAnsi="Calibri" w:cs="Calibri" w:hint="default"/>
        <w:color w:val="000000"/>
        <w:sz w:val="24"/>
      </w:rPr>
    </w:lvl>
    <w:lvl w:ilvl="2" w:tplc="10922524">
      <w:start w:val="1"/>
      <w:numFmt w:val="lowerRoman"/>
      <w:lvlText w:val="%3."/>
      <w:lvlJc w:val="right"/>
      <w:pPr>
        <w:ind w:left="2268" w:hanging="180"/>
      </w:pPr>
      <w:rPr>
        <w:rFonts w:ascii="Calibri" w:eastAsia="Calibri" w:hAnsi="Calibri" w:cs="Calibri" w:hint="default"/>
        <w:color w:val="000000"/>
        <w:sz w:val="24"/>
      </w:rPr>
    </w:lvl>
    <w:lvl w:ilvl="3" w:tplc="4DF043CE">
      <w:start w:val="1"/>
      <w:numFmt w:val="decimal"/>
      <w:lvlText w:val="%4."/>
      <w:lvlJc w:val="left"/>
      <w:pPr>
        <w:ind w:left="2988" w:hanging="360"/>
      </w:pPr>
      <w:rPr>
        <w:rFonts w:ascii="Calibri" w:eastAsia="Calibri" w:hAnsi="Calibri" w:cs="Calibri" w:hint="default"/>
        <w:color w:val="000000"/>
        <w:sz w:val="24"/>
      </w:rPr>
    </w:lvl>
    <w:lvl w:ilvl="4" w:tplc="9B98AAB6">
      <w:start w:val="1"/>
      <w:numFmt w:val="lowerLetter"/>
      <w:lvlText w:val="%5."/>
      <w:lvlJc w:val="left"/>
      <w:pPr>
        <w:ind w:left="3708" w:hanging="360"/>
      </w:pPr>
      <w:rPr>
        <w:rFonts w:ascii="Calibri" w:eastAsia="Calibri" w:hAnsi="Calibri" w:cs="Calibri" w:hint="default"/>
        <w:color w:val="000000"/>
        <w:sz w:val="24"/>
      </w:rPr>
    </w:lvl>
    <w:lvl w:ilvl="5" w:tplc="8E3CF6F4">
      <w:start w:val="1"/>
      <w:numFmt w:val="lowerRoman"/>
      <w:lvlText w:val="%6."/>
      <w:lvlJc w:val="right"/>
      <w:pPr>
        <w:ind w:left="4428" w:hanging="180"/>
      </w:pPr>
      <w:rPr>
        <w:rFonts w:ascii="Calibri" w:eastAsia="Calibri" w:hAnsi="Calibri" w:cs="Calibri" w:hint="default"/>
        <w:color w:val="000000"/>
        <w:sz w:val="24"/>
      </w:rPr>
    </w:lvl>
    <w:lvl w:ilvl="6" w:tplc="B12465F4">
      <w:start w:val="1"/>
      <w:numFmt w:val="decimal"/>
      <w:lvlText w:val="%7."/>
      <w:lvlJc w:val="left"/>
      <w:pPr>
        <w:ind w:left="5148" w:hanging="360"/>
      </w:pPr>
      <w:rPr>
        <w:rFonts w:ascii="Calibri" w:eastAsia="Calibri" w:hAnsi="Calibri" w:cs="Calibri" w:hint="default"/>
        <w:color w:val="000000"/>
        <w:sz w:val="24"/>
      </w:rPr>
    </w:lvl>
    <w:lvl w:ilvl="7" w:tplc="A1B8AF08">
      <w:start w:val="1"/>
      <w:numFmt w:val="lowerLetter"/>
      <w:lvlText w:val="%8."/>
      <w:lvlJc w:val="left"/>
      <w:pPr>
        <w:ind w:left="5868" w:hanging="360"/>
      </w:pPr>
      <w:rPr>
        <w:rFonts w:ascii="Calibri" w:eastAsia="Calibri" w:hAnsi="Calibri" w:cs="Calibri" w:hint="default"/>
        <w:color w:val="000000"/>
        <w:sz w:val="24"/>
      </w:rPr>
    </w:lvl>
    <w:lvl w:ilvl="8" w:tplc="76D411A6">
      <w:start w:val="1"/>
      <w:numFmt w:val="lowerRoman"/>
      <w:lvlText w:val="%9."/>
      <w:lvlJc w:val="right"/>
      <w:pPr>
        <w:ind w:left="6588" w:hanging="180"/>
      </w:pPr>
      <w:rPr>
        <w:rFonts w:ascii="Calibri" w:eastAsia="Calibri" w:hAnsi="Calibri" w:cs="Calibri" w:hint="default"/>
        <w:color w:val="000000"/>
        <w:sz w:val="24"/>
      </w:rPr>
    </w:lvl>
  </w:abstractNum>
  <w:num w:numId="1" w16cid:durableId="1908302078">
    <w:abstractNumId w:val="4"/>
  </w:num>
  <w:num w:numId="2" w16cid:durableId="1358627460">
    <w:abstractNumId w:val="5"/>
  </w:num>
  <w:num w:numId="3" w16cid:durableId="1640651134">
    <w:abstractNumId w:val="9"/>
  </w:num>
  <w:num w:numId="4" w16cid:durableId="802237814">
    <w:abstractNumId w:val="14"/>
  </w:num>
  <w:num w:numId="5" w16cid:durableId="883058993">
    <w:abstractNumId w:val="8"/>
  </w:num>
  <w:num w:numId="6" w16cid:durableId="1439762464">
    <w:abstractNumId w:val="11"/>
  </w:num>
  <w:num w:numId="7" w16cid:durableId="833648772">
    <w:abstractNumId w:val="6"/>
  </w:num>
  <w:num w:numId="8" w16cid:durableId="935091679">
    <w:abstractNumId w:val="3"/>
  </w:num>
  <w:num w:numId="9" w16cid:durableId="656570032">
    <w:abstractNumId w:val="1"/>
  </w:num>
  <w:num w:numId="10" w16cid:durableId="744646958">
    <w:abstractNumId w:val="13"/>
  </w:num>
  <w:num w:numId="11" w16cid:durableId="1156645603">
    <w:abstractNumId w:val="12"/>
  </w:num>
  <w:num w:numId="12" w16cid:durableId="284628256">
    <w:abstractNumId w:val="0"/>
  </w:num>
  <w:num w:numId="13" w16cid:durableId="696085337">
    <w:abstractNumId w:val="5"/>
  </w:num>
  <w:num w:numId="14" w16cid:durableId="1177623371">
    <w:abstractNumId w:val="2"/>
  </w:num>
  <w:num w:numId="15" w16cid:durableId="1118715157">
    <w:abstractNumId w:val="2"/>
  </w:num>
  <w:num w:numId="16" w16cid:durableId="977033956">
    <w:abstractNumId w:val="2"/>
  </w:num>
  <w:num w:numId="17" w16cid:durableId="1008293796">
    <w:abstractNumId w:val="10"/>
  </w:num>
  <w:num w:numId="18" w16cid:durableId="1224021401">
    <w:abstractNumId w:val="2"/>
  </w:num>
  <w:num w:numId="19" w16cid:durableId="182944485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defaultTabStop w:val="720"/>
  <w:characterSpacingControl w:val="doNotCompress"/>
  <w:hdrShapeDefaults>
    <o:shapedefaults v:ext="edit" spidmax="2049"/>
  </w:hdrShapeDefaults>
  <w:footnotePr>
    <w:footnote w:id="-1"/>
    <w:footnote w:id="0"/>
  </w:footnotePr>
  <w:endnotePr>
    <w:endnote w:id="-1"/>
    <w:endnote w:id="0"/>
  </w:endnotePr>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B741A"/>
    <w:rsid w:val="006B741A"/>
    <w:rsid w:val="009D00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D67E9C"/>
  <w15:docId w15:val="{A47256CF-36DD-498D-8766-9A2281AA4F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rsid w:val="009D00C9"/>
    <w:pPr>
      <w:tabs>
        <w:tab w:val="center" w:pos="4513"/>
        <w:tab w:val="right" w:pos="9026"/>
      </w:tabs>
    </w:pPr>
  </w:style>
  <w:style w:type="character" w:customStyle="1" w:styleId="HeaderChar">
    <w:name w:val="Header Char"/>
    <w:basedOn w:val="DefaultParagraphFont"/>
    <w:link w:val="Header"/>
    <w:uiPriority w:val="99"/>
    <w:rsid w:val="009D00C9"/>
  </w:style>
  <w:style w:type="paragraph" w:styleId="Footer">
    <w:name w:val="footer"/>
    <w:basedOn w:val="Normal"/>
    <w:link w:val="FooterChar"/>
    <w:uiPriority w:val="99"/>
    <w:unhideWhenUsed/>
    <w:rsid w:val="009D00C9"/>
    <w:pPr>
      <w:tabs>
        <w:tab w:val="center" w:pos="4513"/>
        <w:tab w:val="right" w:pos="9026"/>
      </w:tabs>
    </w:pPr>
  </w:style>
  <w:style w:type="character" w:customStyle="1" w:styleId="FooterChar">
    <w:name w:val="Footer Char"/>
    <w:basedOn w:val="DefaultParagraphFont"/>
    <w:link w:val="Footer"/>
    <w:uiPriority w:val="99"/>
    <w:rsid w:val="009D00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2.health.vic.gov.au/alcohol-and-drugs/aod-service-standards-guidelines/aod-program-guidelines"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customXml" Target="../customXml/item3.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providers.dffh.vic.gov.au/families-fairness-housing-health-activity-search" TargetMode="External"/><Relationship Id="rId19"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hyperlink" Target="https://www.health.vic.gov.au/policy-and-funding-guidelines-for-health-services" TargetMode="Externa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F0C4347C5C6D34BA8C9FCC4F57D19B6" ma:contentTypeVersion="20" ma:contentTypeDescription="Create a new document." ma:contentTypeScope="" ma:versionID="0c3b25750aaa4907d0800f2715a4d6a9">
  <xsd:schema xmlns:xsd="http://www.w3.org/2001/XMLSchema" xmlns:xs="http://www.w3.org/2001/XMLSchema" xmlns:p="http://schemas.microsoft.com/office/2006/metadata/properties" xmlns:ns2="06badf41-c0a1-41a6-983a-efd542c2c878" xmlns:ns3="51ef5222-d273-4e86-adbf-8aa3d9e99a84" xmlns:ns4="5ce0f2b5-5be5-4508-bce9-d7011ece0659" targetNamespace="http://schemas.microsoft.com/office/2006/metadata/properties" ma:root="true" ma:fieldsID="1e0e4daec42ccf527de72b2be702ca1f" ns2:_="" ns3:_="" ns4:_="">
    <xsd:import namespace="06badf41-c0a1-41a6-983a-efd542c2c878"/>
    <xsd:import namespace="51ef5222-d273-4e86-adbf-8aa3d9e99a84"/>
    <xsd:import namespace="5ce0f2b5-5be5-4508-bce9-d7011ece065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lcf76f155ced4ddcb4097134ff3c332f" minOccurs="0"/>
                <xsd:element ref="ns4:TaxCatchAll" minOccurs="0"/>
                <xsd:element ref="ns2:MediaServiceObjectDetectorVersions" minOccurs="0"/>
                <xsd:element ref="ns2:Cap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badf41-c0a1-41a6-983a-efd542c2c8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e24e156-28e6-48ad-9c0f-4171595c9d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Caption" ma:index="25" nillable="true" ma:displayName="Caption" ma:format="Dropdown" ma:internalName="Caption">
      <xsd:simpleType>
        <xsd:restriction base="dms:Text">
          <xsd:maxLength value="255"/>
        </xsd:restriction>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1ef5222-d273-4e86-adbf-8aa3d9e99a8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ce0f2b5-5be5-4508-bce9-d7011ece065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d5a02ebc-a532-4cc7-9416-7e8309854dba}" ma:internalName="TaxCatchAll" ma:showField="CatchAllData" ma:web="51ef5222-d273-4e86-adbf-8aa3d9e99a8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6badf41-c0a1-41a6-983a-efd542c2c878">
      <Terms xmlns="http://schemas.microsoft.com/office/infopath/2007/PartnerControls"/>
    </lcf76f155ced4ddcb4097134ff3c332f>
    <TaxCatchAll xmlns="5ce0f2b5-5be5-4508-bce9-d7011ece0659" xsi:nil="true"/>
    <Caption xmlns="06badf41-c0a1-41a6-983a-efd542c2c878" xsi:nil="true"/>
  </documentManagement>
</p:properties>
</file>

<file path=customXml/itemProps1.xml><?xml version="1.0" encoding="utf-8"?>
<ds:datastoreItem xmlns:ds="http://schemas.openxmlformats.org/officeDocument/2006/customXml" ds:itemID="{E72F3B12-4FE3-49F9-9463-EF6F26F66FD1}"/>
</file>

<file path=customXml/itemProps2.xml><?xml version="1.0" encoding="utf-8"?>
<ds:datastoreItem xmlns:ds="http://schemas.openxmlformats.org/officeDocument/2006/customXml" ds:itemID="{690CB7C8-8160-48C5-AA4D-D6AA5CD314B4}"/>
</file>

<file path=customXml/itemProps3.xml><?xml version="1.0" encoding="utf-8"?>
<ds:datastoreItem xmlns:ds="http://schemas.openxmlformats.org/officeDocument/2006/customXml" ds:itemID="{60759047-E4B3-434F-A7D1-CE10B025A606}"/>
</file>

<file path=docProps/app.xml><?xml version="1.0" encoding="utf-8"?>
<Properties xmlns="http://schemas.openxmlformats.org/officeDocument/2006/extended-properties" xmlns:vt="http://schemas.openxmlformats.org/officeDocument/2006/docPropsVTypes">
  <Template>Normal.dotm</Template>
  <TotalTime>1</TotalTime>
  <Pages>3</Pages>
  <Words>907</Words>
  <Characters>5170</Characters>
  <Application>Microsoft Office Word</Application>
  <DocSecurity>0</DocSecurity>
  <Lines>43</Lines>
  <Paragraphs>12</Paragraphs>
  <ScaleCrop>false</ScaleCrop>
  <Company>Oracle USA</Company>
  <LinksUpToDate>false</LinksUpToDate>
  <CharactersWithSpaces>6065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Intake 34306</dc:title>
  <dc:subject/>
  <dc:creator>User</dc:creator>
  <cp:keywords/>
  <dc:description>Generated by Oracle BI Publisher 12.2.1.3.0</dc:description>
  <cp:revision>2</cp:revision>
  <dcterms:created xsi:type="dcterms:W3CDTF">2023-09-27T02:43:00Z</dcterms:created>
  <dcterms:modified xsi:type="dcterms:W3CDTF">2023-09-27T02:43:00Z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3e64453-338c-4f93-8a4d-0039a0a41f2a_Enabled">
    <vt:lpwstr>true</vt:lpwstr>
  </property>
  <property fmtid="{D5CDD505-2E9C-101B-9397-08002B2CF9AE}" pid="3" name="MSIP_Label_43e64453-338c-4f93-8a4d-0039a0a41f2a_SetDate">
    <vt:lpwstr>2023-09-27T02:42:42Z</vt:lpwstr>
  </property>
  <property fmtid="{D5CDD505-2E9C-101B-9397-08002B2CF9AE}" pid="4" name="MSIP_Label_43e64453-338c-4f93-8a4d-0039a0a41f2a_Method">
    <vt:lpwstr>Privileged</vt:lpwstr>
  </property>
  <property fmtid="{D5CDD505-2E9C-101B-9397-08002B2CF9AE}" pid="5" name="MSIP_Label_43e64453-338c-4f93-8a4d-0039a0a41f2a_Name">
    <vt:lpwstr>43e64453-338c-4f93-8a4d-0039a0a41f2a</vt:lpwstr>
  </property>
  <property fmtid="{D5CDD505-2E9C-101B-9397-08002B2CF9AE}" pid="6" name="MSIP_Label_43e64453-338c-4f93-8a4d-0039a0a41f2a_SiteId">
    <vt:lpwstr>c0e0601f-0fac-449c-9c88-a104c4eb9f28</vt:lpwstr>
  </property>
  <property fmtid="{D5CDD505-2E9C-101B-9397-08002B2CF9AE}" pid="7" name="MSIP_Label_43e64453-338c-4f93-8a4d-0039a0a41f2a_ActionId">
    <vt:lpwstr>315d3b91-ea7e-4ed1-9202-732f47819329</vt:lpwstr>
  </property>
  <property fmtid="{D5CDD505-2E9C-101B-9397-08002B2CF9AE}" pid="8" name="MSIP_Label_43e64453-338c-4f93-8a4d-0039a0a41f2a_ContentBits">
    <vt:lpwstr>2</vt:lpwstr>
  </property>
  <property fmtid="{D5CDD505-2E9C-101B-9397-08002B2CF9AE}" pid="9" name="ContentTypeId">
    <vt:lpwstr>0x0101009F0C4347C5C6D34BA8C9FCC4F57D19B6</vt:lpwstr>
  </property>
</Properties>
</file>