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Individualised Disability Support 17034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human-services-standards-policy" TargetMode="External"/>
<Relationship Id="rId12" Type="http://schemas.openxmlformats.org/officeDocument/2006/relationships/hyperlink" Target="file:/F:/Oracle/Middleware/Oracle_Home/user_projects/domains/bi" TargetMode="External"/>
<Relationship Id="rId13" Type="http://schemas.openxmlformats.org/officeDocument/2006/relationships/hyperlink" Target="https://providers.dffh.vic.gov.au/restrictive-interventions" TargetMode="External"/>
<Relationship Id="rId14" Type="http://schemas.openxmlformats.org/officeDocument/2006/relationships/hyperlink" Target="http://providers.dffh.vic.gov.au/families-fairness-housing-health-activity-search" TargetMode="External"/>
<Relationship Id="rId1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Individualised Disability Support</w:t>
            </w:r>
          </w:p>
          <w:p>
            <w:pPr>
              <w:spacing w:line="560" w:lineRule="atLeast"/>
              <w:rPr>
                <w:rFonts w:ascii="Arial" w:hAnsi="Arial" w:eastAsia="Arial" w:cs="Arial"/>
                <w:color w:val="201547"/>
                <w:sz w:val="44"/>
              </w:rPr>
            </w:pPr>
            <w:r>
              <w:rPr>
                <w:rFonts w:ascii="Arial" w:hAnsi="Arial" w:eastAsia="Arial" w:cs="Arial"/>
                <w:color w:val="201547"/>
                <w:sz w:val="44"/>
              </w:rPr>
              <w:t>17034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Disability Services</w:t>
            </w:r>
          </w:p>
          <w:p>
            <w:pPr>
              <w:spacing w:after="120"/>
              <w:rPr>
                <w:rFonts w:ascii="Arial" w:hAnsi="Arial" w:eastAsia="Arial" w:cs="Arial"/>
                <w:color w:val="201547"/>
                <w:sz w:val="28"/>
              </w:rPr>
            </w:pPr>
            <w:r>
              <w:rPr>
                <w:rFonts w:ascii="Arial" w:hAnsi="Arial" w:eastAsia="Arial" w:cs="Arial"/>
                <w:color w:val="201547"/>
                <w:sz w:val="28"/>
              </w:rPr>
              <w:t>Output: Client Services And Capacity</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disability supports tailored to individual needs and priorities to those who are ineligible for NDIS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This Individualised disability support provides for a range of disability specific needs that is unable to be funded  elsewhere.</w:t>
      </w:r>
      <w:r>
        <w:br/>
      </w:r>
      <w:r>
        <w:rPr>
          <w:rFonts w:ascii="Arial" w:hAnsi="Arial" w:eastAsia="Arial" w:cs="Arial"/>
          <w:color w:val="000000"/>
          <w:sz w:val="20"/>
        </w:rPr>
        <w:t xml:space="preserve">Individualised Disability Support includes the following service streams: </w:t>
      </w:r>
      <w:r>
        <w:br/>
      </w:r>
      <w:r>
        <w:rPr>
          <w:rFonts w:ascii="Arial" w:hAnsi="Arial" w:eastAsia="Arial" w:cs="Arial"/>
          <w:color w:val="000000"/>
          <w:sz w:val="20"/>
        </w:rPr>
        <w:t>• Therapy – Specialist Behaviour and Behaviour implementation</w:t>
      </w:r>
      <w:r>
        <w:br/>
      </w:r>
      <w:r>
        <w:rPr>
          <w:rFonts w:ascii="Arial" w:hAnsi="Arial" w:eastAsia="Arial" w:cs="Arial"/>
          <w:color w:val="000000"/>
          <w:sz w:val="20"/>
        </w:rPr>
        <w:t>• Support Coordination,</w:t>
      </w:r>
      <w:r>
        <w:br/>
      </w:r>
      <w:r>
        <w:rPr>
          <w:rFonts w:ascii="Arial" w:hAnsi="Arial" w:eastAsia="Arial" w:cs="Arial"/>
          <w:color w:val="000000"/>
          <w:sz w:val="20"/>
        </w:rPr>
        <w:t xml:space="preserve">• Community support, </w:t>
      </w:r>
      <w:r>
        <w:br/>
      </w:r>
      <w:r>
        <w:rPr>
          <w:rFonts w:ascii="Arial" w:hAnsi="Arial" w:eastAsia="Arial" w:cs="Arial"/>
          <w:color w:val="000000"/>
          <w:sz w:val="20"/>
        </w:rPr>
        <w:t xml:space="preserve">• Independent living support, </w:t>
      </w:r>
      <w:r>
        <w:br/>
      </w:r>
      <w:r>
        <w:rPr>
          <w:rFonts w:ascii="Arial" w:hAnsi="Arial" w:eastAsia="Arial" w:cs="Arial"/>
          <w:color w:val="000000"/>
          <w:sz w:val="20"/>
        </w:rPr>
        <w:t>• Day program,</w:t>
      </w:r>
      <w:r>
        <w:br/>
      </w:r>
      <w:r>
        <w:rPr>
          <w:rFonts w:ascii="Arial" w:hAnsi="Arial" w:eastAsia="Arial" w:cs="Arial"/>
          <w:color w:val="000000"/>
          <w:sz w:val="20"/>
        </w:rPr>
        <w:t>• Accommodation support, including staffing, that may also be a tailored ratio support of 1:1 or 2:1 support depending on case complexities and recommendations.</w:t>
      </w:r>
      <w:r>
        <w:br/>
      </w:r>
      <w:r>
        <w:br/>
      </w:r>
      <w:r>
        <w:rPr>
          <w:rFonts w:ascii="Arial" w:hAnsi="Arial" w:eastAsia="Arial" w:cs="Arial"/>
          <w:color w:val="000000"/>
          <w:sz w:val="20"/>
        </w:rPr>
        <w:t>Service streams that are not in-scope for registration but may be funded under this program may include:</w:t>
      </w:r>
      <w:r>
        <w:br/>
      </w:r>
      <w:r>
        <w:rPr>
          <w:rFonts w:ascii="Arial" w:hAnsi="Arial" w:eastAsia="Arial" w:cs="Arial"/>
          <w:color w:val="000000"/>
          <w:sz w:val="20"/>
        </w:rPr>
        <w:t>• Other disability specific (temporary residents) related support determined on an as-needed basis.</w:t>
      </w:r>
      <w:r>
        <w:br/>
      </w:r>
      <w:r>
        <w:rPr>
          <w:rFonts w:ascii="Arial" w:hAnsi="Arial" w:eastAsia="Arial" w:cs="Arial"/>
          <w:color w:val="000000"/>
          <w:sz w:val="20"/>
        </w:rPr>
        <w:t>• Therapy – Allied Health, continence, assessments and/or other therapy types</w:t>
      </w:r>
      <w:r>
        <w:br/>
      </w:r>
      <w:r>
        <w:rPr>
          <w:rFonts w:ascii="Arial" w:hAnsi="Arial" w:eastAsia="Arial" w:cs="Arial"/>
          <w:color w:val="000000"/>
          <w:sz w:val="20"/>
        </w:rPr>
        <w:t>• Equipment and Aids</w:t>
      </w:r>
      <w:r>
        <w:br/>
      </w:r>
      <w:r>
        <w:rPr>
          <w:rFonts w:ascii="Arial" w:hAnsi="Arial" w:eastAsia="Arial" w:cs="Arial"/>
          <w:color w:val="000000"/>
          <w:sz w:val="20"/>
        </w:rPr>
        <w:t>• Disability specific employment/coordination support</w:t>
      </w:r>
      <w:r>
        <w:br/>
      </w:r>
      <w:r>
        <w:rPr>
          <w:rFonts w:ascii="Arial" w:hAnsi="Arial" w:eastAsia="Arial" w:cs="Arial"/>
          <w:color w:val="000000"/>
          <w:sz w:val="20"/>
        </w:rPr>
        <w:t>• Housing support/tenancy coordination</w:t>
      </w:r>
      <w:r>
        <w:br/>
      </w:r>
      <w:r>
        <w:rPr>
          <w:rFonts w:ascii="Arial" w:hAnsi="Arial" w:eastAsia="Arial" w:cs="Arial"/>
          <w:color w:val="000000"/>
          <w:sz w:val="20"/>
        </w:rPr>
        <w:t>• Transport/Travel allowance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groups this activity is targeted at:</w:t>
      </w:r>
      <w:r>
        <w:br/>
      </w:r>
      <w:r>
        <w:rPr>
          <w:rFonts w:ascii="Arial" w:hAnsi="Arial" w:eastAsia="Arial" w:cs="Arial"/>
          <w:color w:val="000000"/>
          <w:sz w:val="20"/>
        </w:rPr>
        <w:t>• people with a disability and their families and carers on a short or long-term basis, who are temporary residents in Australia and are ineligible to access the NDIS or, those who as a result of the introduction of the NDIS were not able to achieve similar outcomes related to disability specific needs to what they were aiming to achieve prior to the introduction of the NDIS.</w:t>
      </w:r>
      <w:r>
        <w:br/>
      </w:r>
      <w:r>
        <w:rPr>
          <w:rFonts w:ascii="Arial" w:hAnsi="Arial" w:eastAsia="Arial" w:cs="Arial"/>
          <w:color w:val="000000"/>
          <w:sz w:val="20"/>
        </w:rPr>
        <w:t>• people with a disability as defined under the Disability Act 2006 and considered a priority for access to services.</w:t>
      </w:r>
      <w:r>
        <w:br/>
      </w:r>
      <w:r>
        <w:rPr>
          <w:rFonts w:ascii="Arial" w:hAnsi="Arial" w:eastAsia="Arial" w:cs="Arial"/>
          <w:color w:val="000000"/>
          <w:sz w:val="20"/>
        </w:rPr>
        <w:t>• people who are registered under the Victorian’s Ineligible for NDIS (VIN) Program.</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Human Services Standards policy</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&lt;https://providers.dffh.vic.gov.au/human-services-standards-policy&gt;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Statewide Disability Services - Individualised Disability Support Guidelines 2022</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Behaviour management strategies with restrictive interventions – registered with the state’s Office of Professional Practise – Restrictive Intervention Data System (RIDS).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&lt;https://providers.dffh.vic.gov.au/restrictive-interventions&gt;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Amount expended in reporting period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calculate the total amount of funding that has been expended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total amount of funding expended during the reporting period, excluding funding provided to agencies for administrative costs.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Individualised Disability Support funding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‘Expended’ refers to funds actually spent and not funds approved for spending .</w:t>
            </w:r>
            <w:r>
              <w:br/>
            </w:r>
            <w:r>
              <w:rPr>
                <w:rFonts w:ascii="Arial" w:hAnsi="Arial" w:eastAsia="Arial" w:cs="Arial"/>
                <w:color w:val="000000"/>
                <w:sz w:val="20"/>
              </w:rPr>
              <w:t>The funding amount refers to any number of service delivery provisions to be delivered from an amount of approved funds to a client of the VIN Program. This may include therapy services, daily living support, day program or accommodation supports, or other funding allocation to meet an individual assessed disability need.</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Individualised Disability Support funding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Excel data sheet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August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Disability Services 17034 Individualised Disability Support</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