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0936C0"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BC188C" w:rsidRDefault="00C5078A" w:rsidP="00BC188C">
            <w:pPr>
              <w:pStyle w:val="DHHSmainheading"/>
            </w:pPr>
            <w:r>
              <w:lastRenderedPageBreak/>
              <w:t>Independent review b</w:t>
            </w:r>
            <w:r w:rsidR="00423ACA">
              <w:t>odies</w:t>
            </w:r>
            <w:r>
              <w:br/>
            </w:r>
            <w:r w:rsidR="00423ACA">
              <w:t>t</w:t>
            </w:r>
            <w:r w:rsidR="00BC188C">
              <w:t xml:space="preserve">hemes </w:t>
            </w:r>
            <w:r w:rsidR="009C2773">
              <w:t>report</w:t>
            </w:r>
            <w:r w:rsidR="00BC188C">
              <w:t xml:space="preserve"> </w:t>
            </w:r>
          </w:p>
          <w:p w:rsidR="00AD784C" w:rsidRPr="00161AA0" w:rsidRDefault="005A2FE7" w:rsidP="005A2FE7">
            <w:pPr>
              <w:pStyle w:val="DHHSmainheading"/>
            </w:pPr>
            <w:r>
              <w:t>October 2016 to March</w:t>
            </w:r>
            <w:r w:rsidR="00BC188C">
              <w:t xml:space="preserve"> 2017</w:t>
            </w:r>
          </w:p>
        </w:tc>
      </w:tr>
      <w:tr w:rsidR="00AD784C" w:rsidTr="00357B4E">
        <w:trPr>
          <w:trHeight w:hRule="exact" w:val="1162"/>
        </w:trPr>
        <w:tc>
          <w:tcPr>
            <w:tcW w:w="8046" w:type="dxa"/>
            <w:shd w:val="clear" w:color="auto" w:fill="auto"/>
            <w:tcMar>
              <w:top w:w="170" w:type="dxa"/>
              <w:bottom w:w="510" w:type="dxa"/>
            </w:tcMar>
          </w:tcPr>
          <w:p w:rsidR="00357B4E" w:rsidRPr="00AD784C" w:rsidRDefault="006A492F" w:rsidP="006A492F">
            <w:pPr>
              <w:pStyle w:val="DHHSmainsubheading"/>
              <w:rPr>
                <w:szCs w:val="28"/>
              </w:rPr>
            </w:pPr>
            <w:r>
              <w:rPr>
                <w:szCs w:val="28"/>
              </w:rPr>
              <w:t>June</w:t>
            </w:r>
            <w:r w:rsidR="00BC188C">
              <w:rPr>
                <w:szCs w:val="28"/>
              </w:rPr>
              <w:t xml:space="preserve"> 2017</w:t>
            </w:r>
          </w:p>
        </w:tc>
      </w:tr>
    </w:tbl>
    <w:p w:rsidR="007173CA" w:rsidRDefault="007173CA" w:rsidP="007173CA">
      <w:pPr>
        <w:pStyle w:val="DHHSbody"/>
      </w:pPr>
    </w:p>
    <w:p w:rsidR="007173CA" w:rsidRDefault="007173CA" w:rsidP="007173CA">
      <w:pPr>
        <w:pStyle w:val="DHHSbody"/>
        <w:sectPr w:rsidR="007173CA" w:rsidSect="00F01E5F">
          <w:headerReference w:type="even" r:id="rId16"/>
          <w:headerReference w:type="default" r:id="rId17"/>
          <w:footerReference w:type="default" r:id="rId18"/>
          <w:headerReference w:type="first" r:id="rId19"/>
          <w:type w:val="continuous"/>
          <w:pgSz w:w="11906" w:h="16838" w:code="9"/>
          <w:pgMar w:top="1418" w:right="851" w:bottom="1134" w:left="851" w:header="567" w:footer="510" w:gutter="0"/>
          <w:cols w:space="340"/>
          <w:titlePg/>
          <w:docGrid w:linePitch="360"/>
        </w:sectPr>
      </w:pPr>
    </w:p>
    <w:p w:rsidR="006146F4" w:rsidRDefault="006146F4" w:rsidP="0029752B">
      <w:pPr>
        <w:pStyle w:val="Heading1"/>
        <w:spacing w:before="0"/>
      </w:pPr>
      <w:bookmarkStart w:id="1" w:name="_Toc482093773"/>
      <w:r>
        <w:lastRenderedPageBreak/>
        <w:t>Introduction</w:t>
      </w:r>
      <w:bookmarkEnd w:id="1"/>
    </w:p>
    <w:p w:rsidR="009C2773" w:rsidRDefault="009C2773" w:rsidP="009C2773">
      <w:pPr>
        <w:pStyle w:val="DHHSbody"/>
        <w:rPr>
          <w:lang w:eastAsia="en-AU"/>
        </w:rPr>
      </w:pPr>
      <w:r>
        <w:rPr>
          <w:lang w:eastAsia="en-AU"/>
        </w:rPr>
        <w:t xml:space="preserve">The purpose of the independent review bodies (IRB) themes report is to capture </w:t>
      </w:r>
      <w:r w:rsidR="00F14DCB">
        <w:rPr>
          <w:lang w:eastAsia="en-AU"/>
        </w:rPr>
        <w:t xml:space="preserve">a </w:t>
      </w:r>
      <w:r>
        <w:rPr>
          <w:lang w:eastAsia="en-AU"/>
        </w:rPr>
        <w:t>high level overview of key themes arising from independent reviews.</w:t>
      </w:r>
    </w:p>
    <w:p w:rsidR="00F14DCB" w:rsidRDefault="00F14DCB" w:rsidP="009C2773">
      <w:pPr>
        <w:pStyle w:val="DHHSbody"/>
        <w:rPr>
          <w:lang w:eastAsia="en-AU"/>
        </w:rPr>
      </w:pPr>
      <w:r>
        <w:rPr>
          <w:lang w:eastAsia="en-AU"/>
        </w:rPr>
        <w:t>There are approximately 500 organisations that are required to undertake an independent review. A certification/accreditation review is undertaken every three years and a surveillance/mid cycle review is undertaken every 12 or 18 months, depending on the IRB.</w:t>
      </w:r>
    </w:p>
    <w:p w:rsidR="009C2773" w:rsidRDefault="00F14DCB" w:rsidP="009C2773">
      <w:pPr>
        <w:pStyle w:val="DHHSbody"/>
        <w:rPr>
          <w:lang w:eastAsia="en-AU"/>
        </w:rPr>
      </w:pPr>
      <w:r>
        <w:t xml:space="preserve">Data for this report was collated from a survey </w:t>
      </w:r>
      <w:r w:rsidR="009C2773">
        <w:t>compris</w:t>
      </w:r>
      <w:r>
        <w:t xml:space="preserve">ing </w:t>
      </w:r>
      <w:r w:rsidR="009C2773">
        <w:t xml:space="preserve">11 questions completed by </w:t>
      </w:r>
      <w:r w:rsidR="00F074C3">
        <w:t xml:space="preserve">each of </w:t>
      </w:r>
      <w:r w:rsidR="009C2773">
        <w:t>the ten department endorsed IRBs.</w:t>
      </w:r>
    </w:p>
    <w:p w:rsidR="009C2773" w:rsidRDefault="009C2773" w:rsidP="006146F4">
      <w:pPr>
        <w:pStyle w:val="DHHSbody"/>
        <w:rPr>
          <w:lang w:eastAsia="en-AU"/>
        </w:rPr>
      </w:pPr>
      <w:r>
        <w:rPr>
          <w:lang w:eastAsia="en-AU"/>
        </w:rPr>
        <w:t>The report will be published on the Department of Health and Human Services’ (department) website and shared with program areas.</w:t>
      </w:r>
    </w:p>
    <w:p w:rsidR="00C5078A" w:rsidRDefault="009C2773" w:rsidP="006146F4">
      <w:pPr>
        <w:pStyle w:val="DHHSbody"/>
        <w:rPr>
          <w:lang w:eastAsia="en-AU"/>
        </w:rPr>
      </w:pPr>
      <w:r>
        <w:rPr>
          <w:lang w:eastAsia="en-AU"/>
        </w:rPr>
        <w:t xml:space="preserve">Survey data will be collected and published twice a year. </w:t>
      </w:r>
      <w:r w:rsidR="00C5078A">
        <w:t xml:space="preserve">This </w:t>
      </w:r>
      <w:r w:rsidR="00F14DCB">
        <w:t xml:space="preserve">first </w:t>
      </w:r>
      <w:r>
        <w:t xml:space="preserve">IRB </w:t>
      </w:r>
      <w:r w:rsidR="00C5078A">
        <w:t xml:space="preserve">themes </w:t>
      </w:r>
      <w:r>
        <w:t xml:space="preserve">report </w:t>
      </w:r>
      <w:r w:rsidR="00F14DCB">
        <w:t>is for the period</w:t>
      </w:r>
      <w:r w:rsidR="00F14DCB">
        <w:br/>
      </w:r>
      <w:r w:rsidR="00C5078A">
        <w:t>1 October 2016 to 3</w:t>
      </w:r>
      <w:r w:rsidR="00F074C3">
        <w:t>1 March</w:t>
      </w:r>
      <w:r w:rsidR="00C5078A">
        <w:t xml:space="preserve"> 2017.</w:t>
      </w:r>
    </w:p>
    <w:p w:rsidR="008D0288" w:rsidRDefault="00861AC8" w:rsidP="00861AC8">
      <w:pPr>
        <w:pStyle w:val="Heading1"/>
      </w:pPr>
      <w:bookmarkStart w:id="2" w:name="_Toc482093774"/>
      <w:r>
        <w:t>Human Services Standards</w:t>
      </w:r>
      <w:bookmarkEnd w:id="2"/>
    </w:p>
    <w:p w:rsidR="00861AC8" w:rsidRDefault="00861AC8" w:rsidP="006146F4">
      <w:pPr>
        <w:pStyle w:val="DHHSbody"/>
      </w:pPr>
      <w:r>
        <w:t>The Human Services Standards</w:t>
      </w:r>
      <w:r w:rsidR="00D1707D">
        <w:t xml:space="preserve"> (Standards)</w:t>
      </w:r>
      <w:r>
        <w:t xml:space="preserve"> (gazetted as the Department of Health and Human Services Standards) comprise four service delivery standards set by the department and the governance and management standards used by the </w:t>
      </w:r>
      <w:r w:rsidR="00D1707D">
        <w:t>individual IRB.</w:t>
      </w:r>
    </w:p>
    <w:p w:rsidR="00680953" w:rsidRDefault="00680953" w:rsidP="006146F4">
      <w:pPr>
        <w:pStyle w:val="DHHSbody"/>
      </w:pPr>
      <w:r>
        <w:t xml:space="preserve">The survey </w:t>
      </w:r>
      <w:r w:rsidR="00762879">
        <w:t xml:space="preserve">replies </w:t>
      </w:r>
      <w:r>
        <w:t>provided data against each of the Standards (including the Standards criterion) as well as the governance and management standards</w:t>
      </w:r>
      <w:r w:rsidR="0083626A">
        <w:t xml:space="preserve"> in use</w:t>
      </w:r>
      <w:r>
        <w:t>.</w:t>
      </w:r>
    </w:p>
    <w:p w:rsidR="001C5EFA" w:rsidRDefault="00D1707D" w:rsidP="001C5EFA">
      <w:pPr>
        <w:pStyle w:val="DHHStablecaption"/>
      </w:pPr>
      <w:r>
        <w:t xml:space="preserve">List of </w:t>
      </w:r>
      <w:r w:rsidR="0083626A">
        <w:t xml:space="preserve">the four services delivery standards </w:t>
      </w:r>
      <w:r w:rsidR="007F465E">
        <w:t xml:space="preserve">and </w:t>
      </w:r>
      <w:r>
        <w:t xml:space="preserve">criterion </w:t>
      </w:r>
      <w:r w:rsidR="007F465E">
        <w:t>and the governance and management standard</w:t>
      </w:r>
    </w:p>
    <w:tbl>
      <w:tblPr>
        <w:tblW w:w="10314" w:type="dxa"/>
        <w:tblBorders>
          <w:top w:val="single" w:sz="4" w:space="0" w:color="A70240"/>
          <w:left w:val="single" w:sz="4" w:space="0" w:color="A70240"/>
          <w:bottom w:val="single" w:sz="4" w:space="0" w:color="A70240"/>
          <w:right w:val="single" w:sz="4" w:space="0" w:color="A70240"/>
          <w:insideH w:val="single" w:sz="4" w:space="0" w:color="A70240"/>
          <w:insideV w:val="single" w:sz="4" w:space="0" w:color="A70240"/>
        </w:tblBorders>
        <w:tblLayout w:type="fixed"/>
        <w:tblCellMar>
          <w:left w:w="0" w:type="dxa"/>
          <w:right w:w="0" w:type="dxa"/>
        </w:tblCellMar>
        <w:tblLook w:val="0000" w:firstRow="0" w:lastRow="0" w:firstColumn="0" w:lastColumn="0" w:noHBand="0" w:noVBand="0"/>
      </w:tblPr>
      <w:tblGrid>
        <w:gridCol w:w="423"/>
        <w:gridCol w:w="2400"/>
        <w:gridCol w:w="7491"/>
      </w:tblGrid>
      <w:tr w:rsidR="00861AC8" w:rsidRPr="00EB3D4F" w:rsidTr="00861AC8">
        <w:trPr>
          <w:trHeight w:hRule="exact" w:val="561"/>
          <w:tblHeader/>
        </w:trPr>
        <w:tc>
          <w:tcPr>
            <w:tcW w:w="282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61AC8" w:rsidRPr="00EB3D4F" w:rsidRDefault="00861AC8" w:rsidP="001543CD">
            <w:pPr>
              <w:pStyle w:val="DHHStablecolhead"/>
            </w:pPr>
            <w:r w:rsidRPr="00EB3D4F">
              <w:br w:type="page"/>
              <w:t>Standard</w:t>
            </w:r>
          </w:p>
        </w:tc>
        <w:tc>
          <w:tcPr>
            <w:tcW w:w="74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61AC8" w:rsidRPr="00EB3D4F" w:rsidRDefault="00861AC8" w:rsidP="001543CD">
            <w:pPr>
              <w:pStyle w:val="DHHStablecolhead"/>
            </w:pPr>
            <w:r w:rsidRPr="00EB3D4F">
              <w:t>Criterion</w:t>
            </w:r>
          </w:p>
        </w:tc>
      </w:tr>
      <w:tr w:rsidR="00861AC8" w:rsidRPr="006F02C9" w:rsidTr="00861AC8">
        <w:trPr>
          <w:trHeight w:val="976"/>
        </w:trPr>
        <w:tc>
          <w:tcPr>
            <w:tcW w:w="42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61AC8" w:rsidRPr="006F02C9" w:rsidRDefault="00861AC8" w:rsidP="001543CD">
            <w:pPr>
              <w:pStyle w:val="DHHStabletext"/>
              <w:rPr>
                <w:rFonts w:eastAsia="Times" w:cs="HelveticaNeueLTStd-Lt"/>
                <w:lang w:val="en-US"/>
              </w:rPr>
            </w:pPr>
            <w:r w:rsidRPr="006F02C9">
              <w:rPr>
                <w:rFonts w:eastAsia="Times"/>
                <w:lang w:val="en-US"/>
              </w:rPr>
              <w:t>1</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861AC8" w:rsidRPr="006F02C9" w:rsidRDefault="00861AC8" w:rsidP="001543CD">
            <w:pPr>
              <w:pStyle w:val="DHHStabletext"/>
              <w:rPr>
                <w:rFonts w:eastAsia="Times"/>
                <w:b/>
                <w:lang w:val="en-US"/>
              </w:rPr>
            </w:pPr>
            <w:r w:rsidRPr="006F02C9">
              <w:rPr>
                <w:rFonts w:eastAsia="Times"/>
                <w:b/>
                <w:lang w:val="en-US"/>
              </w:rPr>
              <w:t xml:space="preserve">Empowerment </w:t>
            </w:r>
          </w:p>
          <w:p w:rsidR="00861AC8" w:rsidRPr="006F02C9" w:rsidRDefault="00861AC8" w:rsidP="001543CD">
            <w:pPr>
              <w:pStyle w:val="DHHStabletext"/>
              <w:rPr>
                <w:rFonts w:eastAsia="Times" w:cs="HelveticaNeueLTStd-Lt"/>
                <w:lang w:val="en-US"/>
              </w:rPr>
            </w:pPr>
            <w:r w:rsidRPr="006F02C9">
              <w:rPr>
                <w:rFonts w:eastAsia="Times" w:cs="HelveticaNeueLTStd-Lt"/>
                <w:lang w:val="en-US"/>
              </w:rPr>
              <w:t>People’s rights are promoted and upheld.</w:t>
            </w:r>
          </w:p>
        </w:tc>
        <w:tc>
          <w:tcPr>
            <w:tcW w:w="7491" w:type="dxa"/>
            <w:tcBorders>
              <w:top w:val="single" w:sz="4"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861AC8" w:rsidRPr="006F02C9" w:rsidRDefault="00861AC8" w:rsidP="001543CD">
            <w:pPr>
              <w:pStyle w:val="DHHStabletext"/>
              <w:rPr>
                <w:rFonts w:eastAsia="Times" w:cs="HelveticaNeueLTStd-Lt"/>
                <w:lang w:val="en-US"/>
              </w:rPr>
            </w:pPr>
            <w:r w:rsidRPr="006F02C9">
              <w:rPr>
                <w:rFonts w:eastAsia="Times"/>
                <w:lang w:val="en-US"/>
              </w:rPr>
              <w:t>1.1</w:t>
            </w:r>
            <w:r w:rsidRPr="006F02C9">
              <w:rPr>
                <w:rFonts w:eastAsia="Times"/>
                <w:lang w:val="en-US"/>
              </w:rPr>
              <w:tab/>
            </w:r>
            <w:r w:rsidRPr="006F02C9">
              <w:rPr>
                <w:rFonts w:eastAsia="Times" w:cs="HelveticaNeueLTStd-Lt"/>
                <w:lang w:val="en-US"/>
              </w:rPr>
              <w:t>People understand their rights and responsibilities</w:t>
            </w:r>
            <w:r w:rsidR="007B3F28">
              <w:rPr>
                <w:rFonts w:eastAsia="Times" w:cs="HelveticaNeueLTStd-Lt"/>
                <w:lang w:val="en-US"/>
              </w:rPr>
              <w:t>.</w:t>
            </w:r>
          </w:p>
          <w:p w:rsidR="00861AC8" w:rsidRPr="006F02C9" w:rsidRDefault="00861AC8" w:rsidP="001543CD">
            <w:pPr>
              <w:pStyle w:val="DHHStabletext"/>
              <w:rPr>
                <w:rFonts w:eastAsia="Times" w:cs="HelveticaNeueLTStd-Lt"/>
                <w:lang w:val="en-US"/>
              </w:rPr>
            </w:pPr>
            <w:r w:rsidRPr="006F02C9">
              <w:rPr>
                <w:rFonts w:eastAsia="Times"/>
                <w:lang w:val="en-US"/>
              </w:rPr>
              <w:t>1.2</w:t>
            </w:r>
            <w:r w:rsidRPr="006F02C9">
              <w:rPr>
                <w:rFonts w:eastAsia="Times"/>
                <w:lang w:val="en-US"/>
              </w:rPr>
              <w:tab/>
            </w:r>
            <w:r w:rsidRPr="006F02C9">
              <w:rPr>
                <w:rFonts w:eastAsia="Times" w:cs="HelveticaNeueLTStd-Lt"/>
                <w:lang w:val="en-US"/>
              </w:rPr>
              <w:t>People exercise their rights and responsibilities</w:t>
            </w:r>
            <w:r w:rsidR="007B3F28">
              <w:rPr>
                <w:rFonts w:eastAsia="Times" w:cs="HelveticaNeueLTStd-Lt"/>
                <w:lang w:val="en-US"/>
              </w:rPr>
              <w:t>.</w:t>
            </w:r>
          </w:p>
        </w:tc>
      </w:tr>
      <w:tr w:rsidR="00861AC8" w:rsidRPr="006F02C9" w:rsidTr="00861AC8">
        <w:trPr>
          <w:trHeight w:val="1536"/>
        </w:trPr>
        <w:tc>
          <w:tcPr>
            <w:tcW w:w="42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61AC8" w:rsidRPr="006F02C9" w:rsidRDefault="00861AC8" w:rsidP="001543CD">
            <w:pPr>
              <w:pStyle w:val="DHHStabletext"/>
              <w:rPr>
                <w:rFonts w:eastAsia="Times" w:cs="HelveticaNeueLTStd-Lt"/>
                <w:lang w:val="en-US"/>
              </w:rPr>
            </w:pPr>
            <w:r w:rsidRPr="006F02C9">
              <w:rPr>
                <w:rFonts w:eastAsia="Times"/>
                <w:lang w:val="en-US"/>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861AC8" w:rsidRPr="006F02C9" w:rsidRDefault="00861AC8" w:rsidP="001543CD">
            <w:pPr>
              <w:pStyle w:val="DHHStabletext"/>
              <w:rPr>
                <w:rFonts w:eastAsia="Times"/>
                <w:b/>
                <w:lang w:val="en-US"/>
              </w:rPr>
            </w:pPr>
            <w:r w:rsidRPr="006F02C9">
              <w:rPr>
                <w:rFonts w:eastAsia="Times"/>
                <w:b/>
                <w:lang w:val="en-US"/>
              </w:rPr>
              <w:t xml:space="preserve">Access and </w:t>
            </w:r>
            <w:r>
              <w:rPr>
                <w:rFonts w:eastAsia="Times"/>
                <w:b/>
                <w:lang w:val="en-US"/>
              </w:rPr>
              <w:t>e</w:t>
            </w:r>
            <w:r w:rsidRPr="006F02C9">
              <w:rPr>
                <w:rFonts w:eastAsia="Times"/>
                <w:b/>
                <w:lang w:val="en-US"/>
              </w:rPr>
              <w:t xml:space="preserve">ngagement </w:t>
            </w:r>
          </w:p>
          <w:p w:rsidR="00861AC8" w:rsidRPr="006F02C9" w:rsidRDefault="00861AC8" w:rsidP="001543CD">
            <w:pPr>
              <w:pStyle w:val="DHHStabletext"/>
              <w:rPr>
                <w:rFonts w:eastAsia="Times" w:cs="HelveticaNeueLTStd-Lt"/>
                <w:lang w:val="en-US"/>
              </w:rPr>
            </w:pPr>
            <w:r w:rsidRPr="006F02C9">
              <w:rPr>
                <w:rFonts w:eastAsia="Times" w:cs="HelveticaNeueLTStd-Lt"/>
                <w:lang w:val="en-US"/>
              </w:rPr>
              <w:t>People’s right to access transparent, equitable and integrated services is promoted and upheld.</w:t>
            </w:r>
          </w:p>
        </w:tc>
        <w:tc>
          <w:tcPr>
            <w:tcW w:w="7491" w:type="dxa"/>
            <w:tcBorders>
              <w:top w:val="single" w:sz="4" w:space="0" w:color="auto"/>
              <w:left w:val="single" w:sz="4" w:space="0" w:color="auto"/>
              <w:right w:val="single" w:sz="4" w:space="0" w:color="auto"/>
            </w:tcBorders>
            <w:shd w:val="clear" w:color="auto" w:fill="auto"/>
            <w:tcMar>
              <w:top w:w="113" w:type="dxa"/>
              <w:left w:w="113" w:type="dxa"/>
              <w:bottom w:w="113" w:type="dxa"/>
              <w:right w:w="113" w:type="dxa"/>
            </w:tcMar>
            <w:vAlign w:val="center"/>
          </w:tcPr>
          <w:p w:rsidR="00861AC8" w:rsidRPr="00BA182E" w:rsidRDefault="00861AC8" w:rsidP="001543CD">
            <w:pPr>
              <w:pStyle w:val="DHHStabletext"/>
              <w:rPr>
                <w:rFonts w:eastAsia="Times" w:cs="HelveticaNeueLTStd-Lt"/>
                <w:lang w:val="en-US"/>
              </w:rPr>
            </w:pPr>
            <w:r w:rsidRPr="008A243F">
              <w:rPr>
                <w:rFonts w:eastAsia="Times"/>
                <w:lang w:val="en-US"/>
              </w:rPr>
              <w:t>2.1</w:t>
            </w:r>
            <w:r w:rsidRPr="008A243F">
              <w:rPr>
                <w:rFonts w:eastAsia="Times"/>
                <w:lang w:val="en-US"/>
              </w:rPr>
              <w:tab/>
            </w:r>
            <w:r w:rsidRPr="00BA182E">
              <w:rPr>
                <w:rFonts w:eastAsia="Times" w:cs="HelveticaNeueLTStd-Lt"/>
                <w:lang w:val="en-US"/>
              </w:rPr>
              <w:t>Services have a clear and accessible point of contact</w:t>
            </w:r>
            <w:r w:rsidR="007B3F28">
              <w:rPr>
                <w:rFonts w:eastAsia="Times" w:cs="HelveticaNeueLTStd-Lt"/>
                <w:lang w:val="en-US"/>
              </w:rPr>
              <w:t>.</w:t>
            </w:r>
          </w:p>
          <w:p w:rsidR="00861AC8" w:rsidRPr="00BA182E" w:rsidRDefault="00861AC8" w:rsidP="001543CD">
            <w:pPr>
              <w:pStyle w:val="DHHStabletext"/>
              <w:ind w:left="720" w:hanging="720"/>
              <w:rPr>
                <w:rFonts w:eastAsia="Times" w:cs="HelveticaNeueLTStd-Lt"/>
                <w:lang w:val="en-US"/>
              </w:rPr>
            </w:pPr>
            <w:r w:rsidRPr="00BA182E">
              <w:rPr>
                <w:rFonts w:eastAsia="Times"/>
                <w:lang w:val="en-US"/>
              </w:rPr>
              <w:t>2.2</w:t>
            </w:r>
            <w:r w:rsidRPr="00BA182E">
              <w:rPr>
                <w:rFonts w:eastAsia="Times"/>
                <w:lang w:val="en-US"/>
              </w:rPr>
              <w:tab/>
            </w:r>
            <w:r w:rsidRPr="00BA182E">
              <w:rPr>
                <w:rFonts w:eastAsia="Times" w:cs="HelveticaNeueLTStd-Lt"/>
                <w:lang w:val="en-US"/>
              </w:rPr>
              <w:t>Services are delivered in a fair, equitable and transparent manner</w:t>
            </w:r>
            <w:r w:rsidR="007B3F28">
              <w:rPr>
                <w:rFonts w:eastAsia="Times" w:cs="HelveticaNeueLTStd-Lt"/>
                <w:lang w:val="en-US"/>
              </w:rPr>
              <w:t>.</w:t>
            </w:r>
          </w:p>
          <w:p w:rsidR="00861AC8" w:rsidRPr="00BA182E" w:rsidRDefault="00861AC8" w:rsidP="001543CD">
            <w:pPr>
              <w:pStyle w:val="DHHStabletext"/>
              <w:ind w:left="720" w:hanging="720"/>
              <w:rPr>
                <w:rFonts w:eastAsia="Times" w:cs="HelveticaNeueLTStd-Lt"/>
                <w:lang w:val="en-US"/>
              </w:rPr>
            </w:pPr>
            <w:r w:rsidRPr="00BA182E">
              <w:rPr>
                <w:rFonts w:eastAsia="Times"/>
                <w:lang w:val="en-US"/>
              </w:rPr>
              <w:t>2.3</w:t>
            </w:r>
            <w:r w:rsidRPr="00BA182E">
              <w:rPr>
                <w:rFonts w:eastAsia="Times"/>
                <w:lang w:val="en-US"/>
              </w:rPr>
              <w:tab/>
            </w:r>
            <w:r w:rsidRPr="00BA182E">
              <w:rPr>
                <w:rFonts w:eastAsia="Times" w:cs="HelveticaNeueLTStd-Lt"/>
                <w:lang w:val="en-US"/>
              </w:rPr>
              <w:t>People access services most appropriate to their needs through timely, responsive service integration and referral</w:t>
            </w:r>
            <w:r w:rsidR="007B3F28">
              <w:rPr>
                <w:rFonts w:eastAsia="Times" w:cs="HelveticaNeueLTStd-Lt"/>
                <w:lang w:val="en-US"/>
              </w:rPr>
              <w:t>.</w:t>
            </w:r>
          </w:p>
        </w:tc>
      </w:tr>
      <w:tr w:rsidR="00861AC8" w:rsidRPr="006F02C9" w:rsidTr="00861AC8">
        <w:trPr>
          <w:trHeight w:val="2257"/>
        </w:trPr>
        <w:tc>
          <w:tcPr>
            <w:tcW w:w="42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61AC8" w:rsidRPr="006F02C9" w:rsidRDefault="00861AC8" w:rsidP="001543CD">
            <w:pPr>
              <w:pStyle w:val="DHHStabletext"/>
              <w:rPr>
                <w:rFonts w:eastAsia="Times" w:cs="HelveticaNeueLTStd-Lt"/>
                <w:lang w:val="en-US"/>
              </w:rPr>
            </w:pPr>
            <w:r w:rsidRPr="006F02C9">
              <w:rPr>
                <w:rFonts w:eastAsia="Times"/>
                <w:lang w:val="en-US"/>
              </w:rPr>
              <w:lastRenderedPageBreak/>
              <w:t>3</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861AC8" w:rsidRPr="006F02C9" w:rsidRDefault="00861AC8" w:rsidP="001543CD">
            <w:pPr>
              <w:pStyle w:val="DHHStabletext"/>
              <w:rPr>
                <w:rFonts w:eastAsia="Times"/>
                <w:b/>
                <w:lang w:val="en-US"/>
              </w:rPr>
            </w:pPr>
            <w:r w:rsidRPr="006F02C9">
              <w:rPr>
                <w:rFonts w:eastAsia="Times"/>
                <w:b/>
                <w:lang w:val="en-US"/>
              </w:rPr>
              <w:t>Wellbeing</w:t>
            </w:r>
          </w:p>
          <w:p w:rsidR="00861AC8" w:rsidRPr="006F02C9" w:rsidRDefault="00861AC8" w:rsidP="001543CD">
            <w:pPr>
              <w:pStyle w:val="DHHStabletext"/>
              <w:rPr>
                <w:rFonts w:eastAsia="Times" w:cs="HelveticaNeueLTStd-Lt"/>
                <w:lang w:val="en-US"/>
              </w:rPr>
            </w:pPr>
            <w:r w:rsidRPr="006F02C9">
              <w:rPr>
                <w:rFonts w:eastAsia="Times" w:cs="HelveticaNeueLTStd-Lt"/>
                <w:lang w:val="en-US"/>
              </w:rPr>
              <w:t>People’s right to wellbeing and safety is promoted and upheld.</w:t>
            </w:r>
          </w:p>
        </w:tc>
        <w:tc>
          <w:tcPr>
            <w:tcW w:w="749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vAlign w:val="center"/>
          </w:tcPr>
          <w:p w:rsidR="00861AC8" w:rsidRPr="006F02C9" w:rsidRDefault="00861AC8" w:rsidP="001543CD">
            <w:pPr>
              <w:pStyle w:val="DHHStabletext"/>
              <w:ind w:left="720" w:hanging="720"/>
              <w:rPr>
                <w:rFonts w:eastAsia="Times" w:cs="HelveticaNeueLTStd-Lt"/>
                <w:lang w:val="en-US"/>
              </w:rPr>
            </w:pPr>
            <w:r w:rsidRPr="006F02C9">
              <w:rPr>
                <w:rFonts w:eastAsia="Times"/>
                <w:lang w:val="en-US"/>
              </w:rPr>
              <w:t>3.1</w:t>
            </w:r>
            <w:r w:rsidRPr="006F02C9">
              <w:rPr>
                <w:rFonts w:eastAsia="Times"/>
                <w:lang w:val="en-US"/>
              </w:rPr>
              <w:tab/>
            </w:r>
            <w:r w:rsidRPr="006F02C9">
              <w:rPr>
                <w:rFonts w:eastAsia="Times" w:cs="HelveticaNeueLTStd-Lt"/>
                <w:spacing w:val="-1"/>
                <w:lang w:val="en-US"/>
              </w:rPr>
              <w:t>Services adopt a strengths-based and early intervention approach to service delivery that enhances people’s wellbeing</w:t>
            </w:r>
            <w:r w:rsidR="007B3F28">
              <w:rPr>
                <w:rFonts w:eastAsia="Times" w:cs="HelveticaNeueLTStd-Lt"/>
                <w:spacing w:val="-1"/>
                <w:lang w:val="en-US"/>
              </w:rPr>
              <w:t>.</w:t>
            </w:r>
            <w:r w:rsidRPr="006F02C9">
              <w:rPr>
                <w:rFonts w:eastAsia="Times" w:cs="HelveticaNeueLTStd-Lt"/>
                <w:spacing w:val="-1"/>
                <w:lang w:val="en-US"/>
              </w:rPr>
              <w:t xml:space="preserve"> </w:t>
            </w:r>
          </w:p>
          <w:p w:rsidR="00861AC8" w:rsidRPr="006F02C9" w:rsidRDefault="00861AC8" w:rsidP="001543CD">
            <w:pPr>
              <w:pStyle w:val="DHHStabletext"/>
              <w:ind w:left="720" w:hanging="720"/>
              <w:rPr>
                <w:rFonts w:eastAsia="Times" w:cs="HelveticaNeueLTStd-Lt"/>
                <w:lang w:val="en-US"/>
              </w:rPr>
            </w:pPr>
            <w:r w:rsidRPr="006F02C9">
              <w:rPr>
                <w:rFonts w:eastAsia="Times"/>
                <w:lang w:val="en-US"/>
              </w:rPr>
              <w:t>3.2</w:t>
            </w:r>
            <w:r w:rsidRPr="006F02C9">
              <w:rPr>
                <w:rFonts w:eastAsia="Times"/>
                <w:lang w:val="en-US"/>
              </w:rPr>
              <w:tab/>
            </w:r>
            <w:r w:rsidRPr="006F02C9">
              <w:rPr>
                <w:rFonts w:eastAsia="Times" w:cs="HelveticaNeueLTStd-Lt"/>
                <w:lang w:val="en-US"/>
              </w:rPr>
              <w:t>People actively participate in an assessment of their strengths, risks, wants and needs</w:t>
            </w:r>
            <w:r w:rsidR="007B3F28">
              <w:rPr>
                <w:rFonts w:eastAsia="Times" w:cs="HelveticaNeueLTStd-Lt"/>
                <w:lang w:val="en-US"/>
              </w:rPr>
              <w:t>.</w:t>
            </w:r>
          </w:p>
          <w:p w:rsidR="00861AC8" w:rsidRPr="006F02C9" w:rsidRDefault="00861AC8" w:rsidP="001543CD">
            <w:pPr>
              <w:pStyle w:val="DHHStabletext"/>
              <w:ind w:left="720" w:hanging="720"/>
              <w:rPr>
                <w:rFonts w:eastAsia="Times" w:cs="HelveticaNeueLTStd-Lt"/>
                <w:lang w:val="en-US"/>
              </w:rPr>
            </w:pPr>
            <w:r w:rsidRPr="006F02C9">
              <w:rPr>
                <w:rFonts w:eastAsia="Times"/>
                <w:lang w:val="en-US"/>
              </w:rPr>
              <w:t>3.3</w:t>
            </w:r>
            <w:r w:rsidRPr="006F02C9">
              <w:rPr>
                <w:rFonts w:eastAsia="Times"/>
                <w:lang w:val="en-US"/>
              </w:rPr>
              <w:tab/>
            </w:r>
            <w:r w:rsidRPr="006F02C9">
              <w:rPr>
                <w:rFonts w:eastAsia="Times" w:cs="HelveticaNeueLTStd-Lt"/>
                <w:lang w:val="en-US"/>
              </w:rPr>
              <w:t>All people have a goal-oriented plan documented and implemented</w:t>
            </w:r>
            <w:r>
              <w:rPr>
                <w:rFonts w:eastAsia="Times" w:cs="HelveticaNeueLTStd-Lt"/>
                <w:lang w:val="en-US"/>
              </w:rPr>
              <w:t xml:space="preserve"> (t</w:t>
            </w:r>
            <w:r w:rsidRPr="006F02C9">
              <w:rPr>
                <w:rFonts w:eastAsia="Times" w:cs="HelveticaNeueLTStd-Lt"/>
                <w:lang w:val="en-US"/>
              </w:rPr>
              <w:t>his plan includes strategies to achieve stated goals</w:t>
            </w:r>
            <w:r>
              <w:rPr>
                <w:rFonts w:eastAsia="Times" w:cs="HelveticaNeueLTStd-Lt"/>
                <w:lang w:val="en-US"/>
              </w:rPr>
              <w:t>)</w:t>
            </w:r>
            <w:r w:rsidR="007B3F28">
              <w:rPr>
                <w:rFonts w:eastAsia="Times" w:cs="HelveticaNeueLTStd-Lt"/>
                <w:lang w:val="en-US"/>
              </w:rPr>
              <w:t>.</w:t>
            </w:r>
          </w:p>
          <w:p w:rsidR="00861AC8" w:rsidRPr="006F02C9" w:rsidRDefault="00861AC8" w:rsidP="001543CD">
            <w:pPr>
              <w:pStyle w:val="DHHStabletext"/>
              <w:ind w:left="720" w:hanging="720"/>
              <w:rPr>
                <w:rFonts w:eastAsia="Times" w:cs="HelveticaNeueLTStd-Lt"/>
                <w:lang w:val="en-US"/>
              </w:rPr>
            </w:pPr>
            <w:r w:rsidRPr="006F02C9">
              <w:rPr>
                <w:rFonts w:eastAsia="Times"/>
                <w:lang w:val="en-US"/>
              </w:rPr>
              <w:t>3.4</w:t>
            </w:r>
            <w:r w:rsidRPr="006F02C9">
              <w:rPr>
                <w:rFonts w:eastAsia="Times"/>
                <w:lang w:val="en-US"/>
              </w:rPr>
              <w:tab/>
            </w:r>
            <w:r w:rsidRPr="006F02C9">
              <w:rPr>
                <w:rFonts w:eastAsia="Times" w:cs="HelveticaNeueLTStd-Lt"/>
                <w:lang w:val="en-US"/>
              </w:rPr>
              <w:t>Each person’s assessments and plans are regularly reviewed, evaluated and updated. Exit/transition planning occurs as appropriate</w:t>
            </w:r>
            <w:r w:rsidR="007B3F28">
              <w:rPr>
                <w:rFonts w:eastAsia="Times" w:cs="HelveticaNeueLTStd-Lt"/>
                <w:lang w:val="en-US"/>
              </w:rPr>
              <w:t>.</w:t>
            </w:r>
          </w:p>
          <w:p w:rsidR="00861AC8" w:rsidRPr="006F02C9" w:rsidRDefault="00861AC8" w:rsidP="001543CD">
            <w:pPr>
              <w:pStyle w:val="DHHStabletext"/>
              <w:ind w:left="720" w:hanging="720"/>
              <w:rPr>
                <w:rFonts w:eastAsia="Times" w:cs="HelveticaNeueLTStd-Lt"/>
                <w:lang w:val="en-US"/>
              </w:rPr>
            </w:pPr>
            <w:r w:rsidRPr="006F02C9">
              <w:rPr>
                <w:rFonts w:eastAsia="Times"/>
                <w:lang w:val="en-US"/>
              </w:rPr>
              <w:t>3.5</w:t>
            </w:r>
            <w:r w:rsidRPr="006F02C9">
              <w:rPr>
                <w:rFonts w:eastAsia="Times"/>
                <w:lang w:val="en-US"/>
              </w:rPr>
              <w:tab/>
            </w:r>
            <w:r w:rsidRPr="006F02C9">
              <w:rPr>
                <w:rFonts w:eastAsia="Times" w:cs="HelveticaNeueLTStd-Lt"/>
                <w:lang w:val="en-US"/>
              </w:rPr>
              <w:t>Services are provided in a safe environment for all people, free from abuse, neglect, violence and/or preventable injury</w:t>
            </w:r>
            <w:r w:rsidR="007B3F28">
              <w:rPr>
                <w:rFonts w:eastAsia="Times" w:cs="HelveticaNeueLTStd-Lt"/>
                <w:lang w:val="en-US"/>
              </w:rPr>
              <w:t>.</w:t>
            </w:r>
          </w:p>
        </w:tc>
      </w:tr>
      <w:tr w:rsidR="00861AC8" w:rsidRPr="006F02C9" w:rsidTr="00861AC8">
        <w:trPr>
          <w:trHeight w:val="2633"/>
        </w:trPr>
        <w:tc>
          <w:tcPr>
            <w:tcW w:w="42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61AC8" w:rsidRPr="006F02C9" w:rsidRDefault="00861AC8" w:rsidP="001543CD">
            <w:pPr>
              <w:pStyle w:val="DHHStabletext"/>
              <w:rPr>
                <w:rFonts w:eastAsia="Times" w:cs="HelveticaNeueLTStd-Lt"/>
                <w:lang w:val="en-US"/>
              </w:rPr>
            </w:pPr>
            <w:r w:rsidRPr="006F02C9">
              <w:rPr>
                <w:rFonts w:eastAsia="Times"/>
                <w:lang w:val="en-US"/>
              </w:rPr>
              <w:t>4</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861AC8" w:rsidRPr="006F02C9" w:rsidRDefault="00861AC8" w:rsidP="001543CD">
            <w:pPr>
              <w:pStyle w:val="DHHStabletext"/>
              <w:rPr>
                <w:rFonts w:eastAsia="Times"/>
                <w:b/>
                <w:lang w:val="en-US"/>
              </w:rPr>
            </w:pPr>
            <w:r w:rsidRPr="006F02C9">
              <w:rPr>
                <w:rFonts w:eastAsia="Times"/>
                <w:b/>
                <w:lang w:val="en-US"/>
              </w:rPr>
              <w:t>Participation</w:t>
            </w:r>
          </w:p>
          <w:p w:rsidR="00861AC8" w:rsidRPr="006F02C9" w:rsidRDefault="00861AC8" w:rsidP="001543CD">
            <w:pPr>
              <w:pStyle w:val="DHHStabletext"/>
              <w:rPr>
                <w:rFonts w:eastAsia="Times" w:cs="HelveticaNeueLTStd-Lt"/>
                <w:lang w:val="en-US"/>
              </w:rPr>
            </w:pPr>
            <w:r w:rsidRPr="006F02C9">
              <w:rPr>
                <w:rFonts w:eastAsia="Times" w:cs="HelveticaNeueLTStd-Lt"/>
                <w:lang w:val="en-US"/>
              </w:rPr>
              <w:t>People’s right to choice, decision making and to actively participate as a valued member of their chosen community is promoted and upheld.</w:t>
            </w:r>
          </w:p>
        </w:tc>
        <w:tc>
          <w:tcPr>
            <w:tcW w:w="749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861AC8" w:rsidRPr="006F02C9" w:rsidRDefault="00861AC8" w:rsidP="001543CD">
            <w:pPr>
              <w:pStyle w:val="DHHStabletext"/>
              <w:ind w:left="720" w:hanging="720"/>
              <w:rPr>
                <w:rFonts w:eastAsia="Times" w:cs="HelveticaNeueLTStd-Lt"/>
                <w:lang w:val="en-US"/>
              </w:rPr>
            </w:pPr>
            <w:r w:rsidRPr="006F02C9">
              <w:rPr>
                <w:rFonts w:eastAsia="Times"/>
                <w:lang w:val="en-US"/>
              </w:rPr>
              <w:t>4.1</w:t>
            </w:r>
            <w:r w:rsidRPr="006F02C9">
              <w:rPr>
                <w:rFonts w:eastAsia="Times"/>
                <w:lang w:val="en-US"/>
              </w:rPr>
              <w:tab/>
            </w:r>
            <w:r w:rsidRPr="006F02C9">
              <w:rPr>
                <w:rFonts w:eastAsia="Times" w:cs="HelveticaNeueLTStd-Lt"/>
                <w:lang w:val="en-US"/>
              </w:rPr>
              <w:t>People exercise choice and control in service delivery and life decisions</w:t>
            </w:r>
            <w:r w:rsidR="007B3F28">
              <w:rPr>
                <w:rFonts w:eastAsia="Times" w:cs="HelveticaNeueLTStd-Lt"/>
                <w:lang w:val="en-US"/>
              </w:rPr>
              <w:t>.</w:t>
            </w:r>
          </w:p>
          <w:p w:rsidR="00861AC8" w:rsidRPr="006F02C9" w:rsidRDefault="00861AC8" w:rsidP="001543CD">
            <w:pPr>
              <w:pStyle w:val="DHHStabletext"/>
              <w:ind w:left="720" w:hanging="720"/>
              <w:rPr>
                <w:rFonts w:eastAsia="Times" w:cs="HelveticaNeueLTStd-Lt"/>
                <w:lang w:val="en-US"/>
              </w:rPr>
            </w:pPr>
            <w:r w:rsidRPr="006F02C9">
              <w:rPr>
                <w:rFonts w:eastAsia="Times"/>
                <w:lang w:val="en-US"/>
              </w:rPr>
              <w:t>4.2</w:t>
            </w:r>
            <w:r w:rsidRPr="006F02C9">
              <w:rPr>
                <w:rFonts w:eastAsia="Times"/>
                <w:lang w:val="en-US"/>
              </w:rPr>
              <w:tab/>
            </w:r>
            <w:r w:rsidRPr="006F02C9">
              <w:rPr>
                <w:rFonts w:eastAsia="Times" w:cs="HelveticaNeueLTStd-Lt"/>
                <w:lang w:val="en-US"/>
              </w:rPr>
              <w:t>People actively participate in their community by identifying goals and pursuing opportunities including those related to health, education, training and employment</w:t>
            </w:r>
            <w:r w:rsidR="007B3F28">
              <w:rPr>
                <w:rFonts w:eastAsia="Times" w:cs="HelveticaNeueLTStd-Lt"/>
                <w:lang w:val="en-US"/>
              </w:rPr>
              <w:t>.</w:t>
            </w:r>
          </w:p>
          <w:p w:rsidR="00861AC8" w:rsidRPr="006F02C9" w:rsidRDefault="00861AC8" w:rsidP="001543CD">
            <w:pPr>
              <w:pStyle w:val="DHHStabletext"/>
              <w:ind w:left="720" w:hanging="720"/>
              <w:rPr>
                <w:rFonts w:eastAsia="Times" w:cs="HelveticaNeueLTStd-Lt"/>
                <w:lang w:val="en-US"/>
              </w:rPr>
            </w:pPr>
            <w:r w:rsidRPr="006F02C9">
              <w:rPr>
                <w:rFonts w:eastAsia="Times"/>
                <w:lang w:val="en-US"/>
              </w:rPr>
              <w:t>4.3</w:t>
            </w:r>
            <w:r w:rsidRPr="006F02C9">
              <w:rPr>
                <w:rFonts w:eastAsia="Times"/>
                <w:lang w:val="en-US"/>
              </w:rPr>
              <w:tab/>
            </w:r>
            <w:r w:rsidRPr="006F02C9">
              <w:rPr>
                <w:rFonts w:eastAsia="Times" w:cs="HelveticaNeueLTStd-Lt"/>
                <w:lang w:val="en-US"/>
              </w:rPr>
              <w:t>People maintain connections with family and friends, as appropriate</w:t>
            </w:r>
            <w:r w:rsidR="007B3F28">
              <w:rPr>
                <w:rFonts w:eastAsia="Times" w:cs="HelveticaNeueLTStd-Lt"/>
                <w:lang w:val="en-US"/>
              </w:rPr>
              <w:t>.</w:t>
            </w:r>
          </w:p>
          <w:p w:rsidR="00861AC8" w:rsidRPr="006F02C9" w:rsidRDefault="00861AC8" w:rsidP="001543CD">
            <w:pPr>
              <w:pStyle w:val="DHHStabletext"/>
              <w:ind w:left="720" w:hanging="720"/>
              <w:rPr>
                <w:rFonts w:eastAsia="Times" w:cs="HelveticaNeueLTStd-Lt"/>
                <w:lang w:val="en-US"/>
              </w:rPr>
            </w:pPr>
            <w:r w:rsidRPr="006F02C9">
              <w:rPr>
                <w:rFonts w:eastAsia="Times"/>
                <w:lang w:val="en-US"/>
              </w:rPr>
              <w:t>4.4</w:t>
            </w:r>
            <w:r w:rsidRPr="006F02C9">
              <w:rPr>
                <w:rFonts w:eastAsia="Times"/>
                <w:lang w:val="en-US"/>
              </w:rPr>
              <w:tab/>
            </w:r>
            <w:r w:rsidRPr="006F02C9">
              <w:rPr>
                <w:rFonts w:eastAsia="Times" w:cs="HelveticaNeueLTStd-Lt"/>
                <w:lang w:val="en-US"/>
              </w:rPr>
              <w:t xml:space="preserve">People maintain and strengthen connection to their Aboriginal </w:t>
            </w:r>
            <w:r>
              <w:rPr>
                <w:rFonts w:eastAsia="Times" w:cs="HelveticaNeueLTStd-Lt"/>
                <w:lang w:val="en-US"/>
              </w:rPr>
              <w:t>or</w:t>
            </w:r>
            <w:r w:rsidRPr="006F02C9">
              <w:rPr>
                <w:rFonts w:eastAsia="Times" w:cs="HelveticaNeueLTStd-Lt"/>
                <w:lang w:val="en-US"/>
              </w:rPr>
              <w:t xml:space="preserve"> Torres Strait Islander culture and community</w:t>
            </w:r>
            <w:r w:rsidR="007B3F28">
              <w:rPr>
                <w:rFonts w:eastAsia="Times" w:cs="HelveticaNeueLTStd-Lt"/>
                <w:lang w:val="en-US"/>
              </w:rPr>
              <w:t>.</w:t>
            </w:r>
          </w:p>
          <w:p w:rsidR="00861AC8" w:rsidRPr="006F02C9" w:rsidRDefault="00861AC8" w:rsidP="001543CD">
            <w:pPr>
              <w:pStyle w:val="DHHStabletext"/>
              <w:ind w:left="720" w:hanging="720"/>
              <w:rPr>
                <w:rFonts w:eastAsia="Times" w:cs="HelveticaNeueLTStd-Lt"/>
                <w:lang w:val="en-US"/>
              </w:rPr>
            </w:pPr>
            <w:r w:rsidRPr="006F02C9">
              <w:rPr>
                <w:rFonts w:eastAsia="Times"/>
                <w:lang w:val="en-US"/>
              </w:rPr>
              <w:t>4.5</w:t>
            </w:r>
            <w:r w:rsidRPr="006F02C9">
              <w:rPr>
                <w:rFonts w:eastAsia="Times"/>
                <w:lang w:val="en-US"/>
              </w:rPr>
              <w:tab/>
            </w:r>
            <w:r w:rsidRPr="006F02C9">
              <w:rPr>
                <w:rFonts w:eastAsia="Times" w:cs="HelveticaNeueLTStd-Lt"/>
                <w:lang w:val="en-US"/>
              </w:rPr>
              <w:t>People maintain and strengthen their cultural, spiritual and language connections</w:t>
            </w:r>
            <w:r w:rsidR="007B3F28">
              <w:rPr>
                <w:rFonts w:eastAsia="Times" w:cs="HelveticaNeueLTStd-Lt"/>
                <w:lang w:val="en-US"/>
              </w:rPr>
              <w:t>.</w:t>
            </w:r>
          </w:p>
          <w:p w:rsidR="00861AC8" w:rsidRPr="006F02C9" w:rsidRDefault="00861AC8" w:rsidP="001543CD">
            <w:pPr>
              <w:pStyle w:val="DHHStabletext"/>
              <w:rPr>
                <w:rFonts w:eastAsia="Times" w:cs="HelveticaNeueLTStd-Lt"/>
                <w:lang w:val="en-US"/>
              </w:rPr>
            </w:pPr>
            <w:r w:rsidRPr="006F02C9">
              <w:rPr>
                <w:rFonts w:eastAsia="Times"/>
                <w:lang w:val="en-US"/>
              </w:rPr>
              <w:t>4.6</w:t>
            </w:r>
            <w:r w:rsidRPr="006F02C9">
              <w:rPr>
                <w:rFonts w:eastAsia="Times"/>
                <w:lang w:val="en-US"/>
              </w:rPr>
              <w:tab/>
            </w:r>
            <w:r w:rsidRPr="006F02C9">
              <w:rPr>
                <w:rFonts w:eastAsia="Times" w:cs="HelveticaNeueLTStd-Lt"/>
                <w:lang w:val="en-US"/>
              </w:rPr>
              <w:t>People develop, sustain and strengthen independent life skills</w:t>
            </w:r>
            <w:r w:rsidR="007B3F28">
              <w:rPr>
                <w:rFonts w:eastAsia="Times" w:cs="HelveticaNeueLTStd-Lt"/>
                <w:lang w:val="en-US"/>
              </w:rPr>
              <w:t>.</w:t>
            </w:r>
          </w:p>
        </w:tc>
      </w:tr>
      <w:tr w:rsidR="007B3F28" w:rsidRPr="006F02C9" w:rsidTr="00D96B98">
        <w:trPr>
          <w:trHeight w:val="1468"/>
        </w:trPr>
        <w:tc>
          <w:tcPr>
            <w:tcW w:w="42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7B3F28" w:rsidRPr="006F02C9" w:rsidRDefault="007B3F28" w:rsidP="001543CD">
            <w:pPr>
              <w:pStyle w:val="DHHStabletext"/>
              <w:rPr>
                <w:rFonts w:eastAsia="Times"/>
                <w:lang w:val="en-US"/>
              </w:rPr>
            </w:pPr>
            <w:r>
              <w:rPr>
                <w:rFonts w:eastAsia="Times"/>
                <w:lang w:val="en-US"/>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7B3F28" w:rsidRPr="006F02C9" w:rsidRDefault="007B3F28" w:rsidP="007B3F28">
            <w:pPr>
              <w:pStyle w:val="DHHStabletext"/>
              <w:rPr>
                <w:rFonts w:eastAsia="Times"/>
                <w:b/>
                <w:lang w:val="en-US"/>
              </w:rPr>
            </w:pPr>
            <w:r>
              <w:rPr>
                <w:rFonts w:eastAsia="Times"/>
                <w:b/>
                <w:lang w:val="en-US"/>
              </w:rPr>
              <w:t>Governance and Management</w:t>
            </w:r>
          </w:p>
          <w:p w:rsidR="007B3F28" w:rsidRPr="007A647E" w:rsidRDefault="007B3F28" w:rsidP="00D96B98">
            <w:pPr>
              <w:pStyle w:val="DHHStabletext"/>
            </w:pPr>
            <w:r>
              <w:rPr>
                <w:rFonts w:eastAsia="Times" w:cs="HelveticaNeueLTStd-Lt"/>
                <w:lang w:val="en-US"/>
              </w:rPr>
              <w:t>Organisations</w:t>
            </w:r>
            <w:r w:rsidRPr="006F02C9">
              <w:rPr>
                <w:rFonts w:eastAsia="Times" w:cs="HelveticaNeueLTStd-Lt"/>
                <w:lang w:val="en-US"/>
              </w:rPr>
              <w:t xml:space="preserve"> </w:t>
            </w:r>
            <w:r w:rsidRPr="007A647E">
              <w:t>must be effectively governed and managed at all times.</w:t>
            </w:r>
          </w:p>
        </w:tc>
        <w:tc>
          <w:tcPr>
            <w:tcW w:w="749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7B3F28" w:rsidRPr="007A647E" w:rsidRDefault="007B3F28" w:rsidP="007B3F28">
            <w:pPr>
              <w:pStyle w:val="DHHStabletext"/>
              <w:ind w:left="720" w:hanging="720"/>
            </w:pPr>
            <w:r>
              <w:rPr>
                <w:rFonts w:eastAsia="Times"/>
                <w:lang w:val="en-US"/>
              </w:rPr>
              <w:t>5.1</w:t>
            </w:r>
            <w:r w:rsidRPr="006F02C9">
              <w:rPr>
                <w:rFonts w:eastAsia="Times"/>
                <w:lang w:val="en-US"/>
              </w:rPr>
              <w:tab/>
            </w:r>
            <w:r w:rsidRPr="007B3F28">
              <w:rPr>
                <w:rFonts w:eastAsia="Times"/>
              </w:rPr>
              <w:t>The organi</w:t>
            </w:r>
            <w:r>
              <w:rPr>
                <w:rFonts w:eastAsia="Times"/>
              </w:rPr>
              <w:t xml:space="preserve">sation </w:t>
            </w:r>
            <w:r w:rsidRPr="007B3F28">
              <w:t>must be able to demonstrate that it is able to meet governance and management standards, as established by an independent review body approved by the Secretary</w:t>
            </w:r>
            <w:r>
              <w:t xml:space="preserve"> to the Department of Health and Human Services.</w:t>
            </w:r>
          </w:p>
        </w:tc>
      </w:tr>
    </w:tbl>
    <w:p w:rsidR="002A7496" w:rsidRDefault="002A7496" w:rsidP="002A7496">
      <w:pPr>
        <w:pStyle w:val="DHHSbody"/>
      </w:pPr>
      <w:bookmarkStart w:id="3" w:name="_Toc482093775"/>
    </w:p>
    <w:p w:rsidR="002A7496" w:rsidRDefault="002A7496" w:rsidP="002A7496">
      <w:pPr>
        <w:pStyle w:val="DHHSbody"/>
      </w:pPr>
      <w:r>
        <w:t>The endorsed governance and management standards are list</w:t>
      </w:r>
      <w:r w:rsidR="00D96B98">
        <w:t>ed</w:t>
      </w:r>
      <w:r>
        <w:t xml:space="preserve"> in the following table.</w:t>
      </w:r>
    </w:p>
    <w:p w:rsidR="00D96B98" w:rsidRDefault="00D96B98" w:rsidP="00D96B98">
      <w:pPr>
        <w:pStyle w:val="DHHStablecaption"/>
      </w:pPr>
      <w:r>
        <w:t>List of endorsed governance and management standards</w:t>
      </w:r>
    </w:p>
    <w:tbl>
      <w:tblPr>
        <w:tblStyle w:val="TableGrid"/>
        <w:tblW w:w="0" w:type="auto"/>
        <w:tblLayout w:type="fixed"/>
        <w:tblLook w:val="04A0" w:firstRow="1" w:lastRow="0" w:firstColumn="1" w:lastColumn="0" w:noHBand="0" w:noVBand="1"/>
      </w:tblPr>
      <w:tblGrid>
        <w:gridCol w:w="3686"/>
        <w:gridCol w:w="6520"/>
      </w:tblGrid>
      <w:tr w:rsidR="00D96B98" w:rsidTr="00D96B98">
        <w:trPr>
          <w:tblHeader/>
        </w:trPr>
        <w:tc>
          <w:tcPr>
            <w:tcW w:w="3686" w:type="dxa"/>
          </w:tcPr>
          <w:p w:rsidR="00D96B98" w:rsidRDefault="00D96B98" w:rsidP="00D96B98">
            <w:pPr>
              <w:pStyle w:val="DHHStablecolhead"/>
            </w:pPr>
            <w:r>
              <w:t>Standard (Acronym)</w:t>
            </w:r>
          </w:p>
        </w:tc>
        <w:tc>
          <w:tcPr>
            <w:tcW w:w="6520" w:type="dxa"/>
          </w:tcPr>
          <w:p w:rsidR="00D96B98" w:rsidRDefault="00D96B98" w:rsidP="00D96B98">
            <w:pPr>
              <w:pStyle w:val="DHHStablecolhead"/>
            </w:pPr>
            <w:r>
              <w:t>Description</w:t>
            </w:r>
          </w:p>
        </w:tc>
      </w:tr>
      <w:tr w:rsidR="00D96B98" w:rsidTr="00D96B98">
        <w:tc>
          <w:tcPr>
            <w:tcW w:w="3686" w:type="dxa"/>
          </w:tcPr>
          <w:p w:rsidR="00D96B98" w:rsidRDefault="00D96B98" w:rsidP="00D96B98">
            <w:pPr>
              <w:pStyle w:val="DHHStabletext"/>
            </w:pPr>
            <w:r>
              <w:t>ASES</w:t>
            </w:r>
          </w:p>
        </w:tc>
        <w:tc>
          <w:tcPr>
            <w:tcW w:w="6520" w:type="dxa"/>
          </w:tcPr>
          <w:p w:rsidR="00D96B98" w:rsidRDefault="00D96B98" w:rsidP="00D96B98">
            <w:pPr>
              <w:pStyle w:val="DHHStabletext"/>
            </w:pPr>
            <w:r w:rsidRPr="00607C7F">
              <w:rPr>
                <w:lang w:val="en-US"/>
              </w:rPr>
              <w:t>Australian Service Excellence Standards</w:t>
            </w:r>
          </w:p>
        </w:tc>
      </w:tr>
      <w:tr w:rsidR="00D96B98" w:rsidTr="00D96B98">
        <w:tc>
          <w:tcPr>
            <w:tcW w:w="3686" w:type="dxa"/>
          </w:tcPr>
          <w:p w:rsidR="00D96B98" w:rsidRDefault="00D96B98" w:rsidP="00D96B98">
            <w:pPr>
              <w:pStyle w:val="DHHStabletext"/>
            </w:pPr>
            <w:r>
              <w:t>NSDS</w:t>
            </w:r>
          </w:p>
        </w:tc>
        <w:tc>
          <w:tcPr>
            <w:tcW w:w="6520" w:type="dxa"/>
          </w:tcPr>
          <w:p w:rsidR="00D96B98" w:rsidRDefault="00D96B98" w:rsidP="00D96B98">
            <w:pPr>
              <w:pStyle w:val="DHHStabletext"/>
            </w:pPr>
            <w:r w:rsidRPr="00FE26BA">
              <w:rPr>
                <w:lang w:val="en-US"/>
              </w:rPr>
              <w:t>National St</w:t>
            </w:r>
            <w:r>
              <w:rPr>
                <w:lang w:val="en-US"/>
              </w:rPr>
              <w:t>andards for Disability Services</w:t>
            </w:r>
          </w:p>
        </w:tc>
      </w:tr>
      <w:tr w:rsidR="00D96B98" w:rsidTr="00D96B98">
        <w:tc>
          <w:tcPr>
            <w:tcW w:w="3686" w:type="dxa"/>
          </w:tcPr>
          <w:p w:rsidR="00D96B98" w:rsidRDefault="00D96B98" w:rsidP="00D96B98">
            <w:pPr>
              <w:pStyle w:val="DHHStabletext"/>
            </w:pPr>
            <w:r>
              <w:t>EQuIP</w:t>
            </w:r>
          </w:p>
        </w:tc>
        <w:tc>
          <w:tcPr>
            <w:tcW w:w="6520" w:type="dxa"/>
          </w:tcPr>
          <w:p w:rsidR="00D96B98" w:rsidRDefault="00D96B98" w:rsidP="00D96B98">
            <w:pPr>
              <w:pStyle w:val="DHHStabletext"/>
            </w:pPr>
            <w:r w:rsidRPr="00607C7F">
              <w:rPr>
                <w:lang w:val="en-US"/>
              </w:rPr>
              <w:t>Evaluation and Quality Improvement Program Standards</w:t>
            </w:r>
          </w:p>
        </w:tc>
      </w:tr>
      <w:tr w:rsidR="00D96B98" w:rsidTr="00D96B98">
        <w:tc>
          <w:tcPr>
            <w:tcW w:w="3686" w:type="dxa"/>
          </w:tcPr>
          <w:p w:rsidR="00D96B98" w:rsidRDefault="00D96B98" w:rsidP="00D96B98">
            <w:pPr>
              <w:pStyle w:val="DHHStabletext"/>
            </w:pPr>
            <w:r w:rsidRPr="0015283D">
              <w:t>ISO 9001:2008</w:t>
            </w:r>
            <w:r>
              <w:t xml:space="preserve"> and ISO 9001:2015</w:t>
            </w:r>
          </w:p>
        </w:tc>
        <w:tc>
          <w:tcPr>
            <w:tcW w:w="6520" w:type="dxa"/>
          </w:tcPr>
          <w:p w:rsidR="00D96B98" w:rsidRDefault="00D96B98" w:rsidP="00D96B98">
            <w:pPr>
              <w:pStyle w:val="DHHStabletext"/>
            </w:pPr>
            <w:r>
              <w:t>International Organisation for Standard</w:t>
            </w:r>
            <w:r w:rsidR="006B2F24">
              <w:t>i</w:t>
            </w:r>
            <w:r>
              <w:t>s</w:t>
            </w:r>
            <w:r w:rsidR="006B2F24">
              <w:t>ation</w:t>
            </w:r>
            <w:r>
              <w:t xml:space="preserve"> (9001:2008 and 9001:2015)</w:t>
            </w:r>
          </w:p>
        </w:tc>
      </w:tr>
      <w:tr w:rsidR="00D96B98" w:rsidTr="00D96B98">
        <w:tc>
          <w:tcPr>
            <w:tcW w:w="3686" w:type="dxa"/>
          </w:tcPr>
          <w:p w:rsidR="00D96B98" w:rsidRDefault="00D96B98" w:rsidP="00D96B98">
            <w:pPr>
              <w:pStyle w:val="DHHStabletext"/>
            </w:pPr>
            <w:r>
              <w:t>NSQHSS</w:t>
            </w:r>
          </w:p>
        </w:tc>
        <w:tc>
          <w:tcPr>
            <w:tcW w:w="6520" w:type="dxa"/>
          </w:tcPr>
          <w:p w:rsidR="00D96B98" w:rsidRDefault="00D96B98" w:rsidP="00D96B98">
            <w:pPr>
              <w:pStyle w:val="DHHStabletext"/>
            </w:pPr>
            <w:r w:rsidRPr="00607C7F">
              <w:rPr>
                <w:lang w:val="en-US"/>
              </w:rPr>
              <w:t>National Safety and Quality in Health Services Standards</w:t>
            </w:r>
          </w:p>
        </w:tc>
      </w:tr>
      <w:tr w:rsidR="00D96B98" w:rsidTr="00D96B98">
        <w:tc>
          <w:tcPr>
            <w:tcW w:w="3686" w:type="dxa"/>
          </w:tcPr>
          <w:p w:rsidR="00D96B98" w:rsidRDefault="00D96B98" w:rsidP="00D96B98">
            <w:pPr>
              <w:pStyle w:val="DHHStabletext"/>
            </w:pPr>
            <w:r>
              <w:t>QIC</w:t>
            </w:r>
          </w:p>
        </w:tc>
        <w:tc>
          <w:tcPr>
            <w:tcW w:w="6520" w:type="dxa"/>
          </w:tcPr>
          <w:p w:rsidR="00D96B98" w:rsidRDefault="00D96B98" w:rsidP="00D96B98">
            <w:pPr>
              <w:pStyle w:val="DHHStabletext"/>
            </w:pPr>
            <w:r w:rsidRPr="00607C7F">
              <w:rPr>
                <w:lang w:val="en-US"/>
              </w:rPr>
              <w:t>Quality Improvement Council Health and Community Services Standards</w:t>
            </w:r>
          </w:p>
        </w:tc>
      </w:tr>
      <w:tr w:rsidR="00D96B98" w:rsidTr="00D96B98">
        <w:tc>
          <w:tcPr>
            <w:tcW w:w="3686" w:type="dxa"/>
          </w:tcPr>
          <w:p w:rsidR="00D96B98" w:rsidRDefault="00D96B98" w:rsidP="00D96B98">
            <w:pPr>
              <w:pStyle w:val="DHHStabletext"/>
            </w:pPr>
            <w:r>
              <w:t>CQL Quality Measure</w:t>
            </w:r>
          </w:p>
        </w:tc>
        <w:tc>
          <w:tcPr>
            <w:tcW w:w="6520" w:type="dxa"/>
          </w:tcPr>
          <w:p w:rsidR="00D96B98" w:rsidRDefault="00D96B98" w:rsidP="00D96B98">
            <w:pPr>
              <w:pStyle w:val="DHHStabletext"/>
            </w:pPr>
            <w:r w:rsidRPr="00607C7F">
              <w:rPr>
                <w:lang w:val="en-US"/>
              </w:rPr>
              <w:t>Quality Measures including Basic Assurances and Responsive Services</w:t>
            </w:r>
          </w:p>
        </w:tc>
      </w:tr>
    </w:tbl>
    <w:p w:rsidR="00D96B98" w:rsidRDefault="00D96B98" w:rsidP="002A7496">
      <w:pPr>
        <w:pStyle w:val="DHHSbody"/>
      </w:pPr>
    </w:p>
    <w:p w:rsidR="00D96B98" w:rsidRDefault="00D96B98">
      <w:pPr>
        <w:rPr>
          <w:rFonts w:ascii="Arial" w:eastAsia="Times" w:hAnsi="Arial"/>
        </w:rPr>
      </w:pPr>
      <w:r>
        <w:br w:type="page"/>
      </w:r>
    </w:p>
    <w:p w:rsidR="00864E3E" w:rsidRPr="00414BFC" w:rsidRDefault="00864E3E" w:rsidP="00864E3E">
      <w:pPr>
        <w:pStyle w:val="DHHSbody"/>
      </w:pPr>
      <w:r w:rsidRPr="00414BFC">
        <w:lastRenderedPageBreak/>
        <w:t>The governance and management standards cover the following areas:</w:t>
      </w:r>
    </w:p>
    <w:p w:rsidR="00864E3E" w:rsidRPr="00414BFC" w:rsidRDefault="00864E3E" w:rsidP="00864E3E">
      <w:pPr>
        <w:pStyle w:val="DHHSbullet1"/>
        <w:numPr>
          <w:ilvl w:val="0"/>
          <w:numId w:val="36"/>
        </w:numPr>
      </w:pPr>
      <w:r w:rsidRPr="00414BFC">
        <w:t>governance</w:t>
      </w:r>
    </w:p>
    <w:p w:rsidR="00864E3E" w:rsidRPr="00414BFC" w:rsidRDefault="00864E3E" w:rsidP="00864E3E">
      <w:pPr>
        <w:pStyle w:val="DHHSbullet1"/>
        <w:numPr>
          <w:ilvl w:val="0"/>
          <w:numId w:val="36"/>
        </w:numPr>
      </w:pPr>
      <w:r w:rsidRPr="00414BFC">
        <w:t>leadership and management</w:t>
      </w:r>
    </w:p>
    <w:p w:rsidR="00864E3E" w:rsidRPr="00414BFC" w:rsidRDefault="00864E3E" w:rsidP="00864E3E">
      <w:pPr>
        <w:pStyle w:val="DHHSbullet1"/>
        <w:numPr>
          <w:ilvl w:val="0"/>
          <w:numId w:val="36"/>
        </w:numPr>
      </w:pPr>
      <w:r w:rsidRPr="00414BFC">
        <w:t>financial management</w:t>
      </w:r>
    </w:p>
    <w:p w:rsidR="00864E3E" w:rsidRPr="00414BFC" w:rsidRDefault="00864E3E" w:rsidP="00864E3E">
      <w:pPr>
        <w:pStyle w:val="DHHSbullet1"/>
        <w:numPr>
          <w:ilvl w:val="0"/>
          <w:numId w:val="36"/>
        </w:numPr>
      </w:pPr>
      <w:r w:rsidRPr="00414BFC">
        <w:t xml:space="preserve">human resources </w:t>
      </w:r>
      <w:r w:rsidR="007F465E">
        <w:t>-</w:t>
      </w:r>
      <w:r w:rsidRPr="00414BFC">
        <w:t xml:space="preserve"> including pre-employment checks, training and development, supervision and workforce</w:t>
      </w:r>
    </w:p>
    <w:p w:rsidR="00864E3E" w:rsidRPr="00414BFC" w:rsidRDefault="00864E3E" w:rsidP="00864E3E">
      <w:pPr>
        <w:pStyle w:val="DHHSbullet1"/>
        <w:numPr>
          <w:ilvl w:val="0"/>
          <w:numId w:val="36"/>
        </w:numPr>
      </w:pPr>
      <w:r w:rsidRPr="00414BFC">
        <w:t>continuous quality improvement and feedback processes</w:t>
      </w:r>
    </w:p>
    <w:p w:rsidR="00864E3E" w:rsidRPr="00414BFC" w:rsidRDefault="00864E3E" w:rsidP="00864E3E">
      <w:pPr>
        <w:pStyle w:val="DHHSbullet1"/>
        <w:numPr>
          <w:ilvl w:val="0"/>
          <w:numId w:val="36"/>
        </w:numPr>
      </w:pPr>
      <w:r w:rsidRPr="00414BFC">
        <w:t>information and knowledge management including confidentiality</w:t>
      </w:r>
    </w:p>
    <w:p w:rsidR="00864E3E" w:rsidRPr="00414BFC" w:rsidRDefault="00864E3E" w:rsidP="00864E3E">
      <w:pPr>
        <w:pStyle w:val="DHHSbullet1"/>
        <w:numPr>
          <w:ilvl w:val="0"/>
          <w:numId w:val="36"/>
        </w:numPr>
      </w:pPr>
      <w:r w:rsidRPr="00414BFC">
        <w:t>occupational health and safety</w:t>
      </w:r>
    </w:p>
    <w:p w:rsidR="00864E3E" w:rsidRPr="00414BFC" w:rsidRDefault="00864E3E" w:rsidP="00864E3E">
      <w:pPr>
        <w:pStyle w:val="DHHSbullet1lastline"/>
        <w:numPr>
          <w:ilvl w:val="1"/>
          <w:numId w:val="36"/>
        </w:numPr>
      </w:pPr>
      <w:r w:rsidRPr="00414BFC">
        <w:t>partnerships/service coordination.</w:t>
      </w:r>
    </w:p>
    <w:p w:rsidR="000D793E" w:rsidRDefault="008E35A2" w:rsidP="00680953">
      <w:pPr>
        <w:pStyle w:val="Heading1"/>
      </w:pPr>
      <w:r>
        <w:t>Total number of audits undertaken during the period</w:t>
      </w:r>
      <w:bookmarkEnd w:id="3"/>
    </w:p>
    <w:p w:rsidR="0083626A" w:rsidRDefault="008E35A2" w:rsidP="006146F4">
      <w:pPr>
        <w:pStyle w:val="DHHSbody"/>
      </w:pPr>
      <w:r>
        <w:t>There were a total of 2</w:t>
      </w:r>
      <w:r w:rsidR="00956AB6">
        <w:t>43</w:t>
      </w:r>
      <w:r>
        <w:t xml:space="preserve"> audits undertaken during the period</w:t>
      </w:r>
      <w:r w:rsidR="0083626A">
        <w:t xml:space="preserve"> (01 October 2016 to 31 March 2017)</w:t>
      </w:r>
      <w:r>
        <w:t>.</w:t>
      </w:r>
    </w:p>
    <w:p w:rsidR="00B54A62" w:rsidRDefault="008E35A2" w:rsidP="006146F4">
      <w:pPr>
        <w:pStyle w:val="DHHSbody"/>
      </w:pPr>
      <w:r>
        <w:t>This was made up of 1</w:t>
      </w:r>
      <w:r w:rsidR="00956AB6">
        <w:t>28</w:t>
      </w:r>
      <w:r>
        <w:t xml:space="preserve"> </w:t>
      </w:r>
      <w:r w:rsidR="00762879">
        <w:t xml:space="preserve">(53 per cent) </w:t>
      </w:r>
      <w:r>
        <w:t>audits</w:t>
      </w:r>
      <w:r w:rsidR="001543CD">
        <w:t xml:space="preserve"> </w:t>
      </w:r>
      <w:r>
        <w:t xml:space="preserve">against the </w:t>
      </w:r>
      <w:r w:rsidR="0083626A">
        <w:t xml:space="preserve">four service delivery standards </w:t>
      </w:r>
      <w:r w:rsidR="00B54A62">
        <w:t>and 1</w:t>
      </w:r>
      <w:r w:rsidR="00956AB6">
        <w:t>15</w:t>
      </w:r>
      <w:r w:rsidR="00B54A62">
        <w:t xml:space="preserve"> </w:t>
      </w:r>
      <w:r w:rsidR="00762879">
        <w:t xml:space="preserve">(47 per cent) </w:t>
      </w:r>
      <w:r w:rsidR="00B54A62">
        <w:t>against the governance and management standards.</w:t>
      </w:r>
    </w:p>
    <w:p w:rsidR="001543CD" w:rsidRDefault="008E35A2" w:rsidP="006146F4">
      <w:pPr>
        <w:pStyle w:val="DHHSbody"/>
      </w:pPr>
      <w:r>
        <w:t>Of the</w:t>
      </w:r>
      <w:r w:rsidR="00B54A62">
        <w:t xml:space="preserve"> 1</w:t>
      </w:r>
      <w:r w:rsidR="00956AB6">
        <w:t>28</w:t>
      </w:r>
      <w:r w:rsidR="00B54A62">
        <w:t xml:space="preserve"> audits </w:t>
      </w:r>
      <w:r w:rsidR="0083626A">
        <w:t>undertaken a</w:t>
      </w:r>
      <w:r w:rsidR="00B54A62">
        <w:t xml:space="preserve">gainst the </w:t>
      </w:r>
      <w:r w:rsidR="0083626A">
        <w:t>four service delivery standards, 4</w:t>
      </w:r>
      <w:r w:rsidR="00956AB6">
        <w:t>4</w:t>
      </w:r>
      <w:r w:rsidR="0083626A">
        <w:t xml:space="preserve"> </w:t>
      </w:r>
      <w:r w:rsidR="00762879">
        <w:t xml:space="preserve">(34 per cent) </w:t>
      </w:r>
      <w:r w:rsidR="0083626A">
        <w:t xml:space="preserve">were </w:t>
      </w:r>
      <w:r>
        <w:t xml:space="preserve">certification/accreditation audits and </w:t>
      </w:r>
      <w:r w:rsidR="00956AB6">
        <w:t>8</w:t>
      </w:r>
      <w:r w:rsidR="00B54A62">
        <w:t xml:space="preserve">4 </w:t>
      </w:r>
      <w:r w:rsidR="00762879">
        <w:t xml:space="preserve">(66 per cent) </w:t>
      </w:r>
      <w:r w:rsidR="00D96B98">
        <w:t xml:space="preserve">were </w:t>
      </w:r>
      <w:r w:rsidR="00B54A62">
        <w:t>surveillance/mid cycle audits.</w:t>
      </w:r>
    </w:p>
    <w:p w:rsidR="00D50093" w:rsidRPr="0052720D" w:rsidRDefault="00FA5BA6" w:rsidP="0052720D">
      <w:pPr>
        <w:pStyle w:val="DHHSfigurecaption"/>
      </w:pPr>
      <w:r>
        <w:t>Graph representation of total number of audits undertaken</w:t>
      </w:r>
      <w:r w:rsidR="0083626A">
        <w:t xml:space="preserve"> against the four service delivery standards</w:t>
      </w:r>
    </w:p>
    <w:p w:rsidR="006224D6" w:rsidRDefault="0052720D" w:rsidP="0052720D">
      <w:pPr>
        <w:pStyle w:val="DHHSbody"/>
      </w:pPr>
      <w:r w:rsidRPr="0052720D">
        <w:rPr>
          <w:noProof/>
          <w:lang w:eastAsia="en-AU"/>
        </w:rPr>
        <w:drawing>
          <wp:inline distT="0" distB="0" distL="0" distR="0" wp14:anchorId="13CA8CCF" wp14:editId="5C88B066">
            <wp:extent cx="4534293" cy="2690093"/>
            <wp:effectExtent l="19050" t="19050" r="19050" b="15240"/>
            <wp:docPr id="1" name="Picture 1" descr="Graph representation of number of certification/accreditation and surveillance/mid cycle audits undertaken, as detailed under heading: total number of audits undertaken during the period." title="Graph representation of total number of audits undertaken against the four service delivery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34293" cy="2690093"/>
                    </a:xfrm>
                    <a:prstGeom prst="rect">
                      <a:avLst/>
                    </a:prstGeom>
                    <a:ln w="6350">
                      <a:solidFill>
                        <a:schemeClr val="tx1"/>
                      </a:solidFill>
                    </a:ln>
                  </pic:spPr>
                </pic:pic>
              </a:graphicData>
            </a:graphic>
          </wp:inline>
        </w:drawing>
      </w:r>
    </w:p>
    <w:p w:rsidR="006224D6" w:rsidRDefault="006224D6">
      <w:pPr>
        <w:rPr>
          <w:rFonts w:ascii="Arial" w:eastAsia="Times" w:hAnsi="Arial"/>
        </w:rPr>
      </w:pPr>
      <w:r>
        <w:br w:type="page"/>
      </w:r>
    </w:p>
    <w:p w:rsidR="006224D6" w:rsidRDefault="0083626A" w:rsidP="00FA5BA6">
      <w:pPr>
        <w:pStyle w:val="DHHSbody"/>
      </w:pPr>
      <w:r>
        <w:lastRenderedPageBreak/>
        <w:t xml:space="preserve">There were </w:t>
      </w:r>
      <w:r w:rsidR="008E35A2">
        <w:t>1</w:t>
      </w:r>
      <w:r w:rsidR="00D50093">
        <w:t>15</w:t>
      </w:r>
      <w:r w:rsidR="008E35A2">
        <w:t xml:space="preserve"> audits undertaken against the governance and management standards</w:t>
      </w:r>
      <w:r w:rsidR="00B54A62">
        <w:t xml:space="preserve">, </w:t>
      </w:r>
      <w:r>
        <w:t xml:space="preserve">of these </w:t>
      </w:r>
      <w:r w:rsidR="00D50093">
        <w:t>40</w:t>
      </w:r>
      <w:r>
        <w:t xml:space="preserve"> </w:t>
      </w:r>
      <w:r w:rsidR="00762879">
        <w:t xml:space="preserve">(35 per cent) </w:t>
      </w:r>
      <w:r>
        <w:t xml:space="preserve">were certification/accreditation and </w:t>
      </w:r>
      <w:r w:rsidR="00D50093">
        <w:t>75</w:t>
      </w:r>
      <w:r>
        <w:t xml:space="preserve"> </w:t>
      </w:r>
      <w:r w:rsidR="00762879">
        <w:t xml:space="preserve">(65 per cent) </w:t>
      </w:r>
      <w:r>
        <w:t xml:space="preserve">were surveillance/mid-cycle. The following table </w:t>
      </w:r>
      <w:r w:rsidR="00762879">
        <w:t>details</w:t>
      </w:r>
      <w:r>
        <w:t xml:space="preserve"> the breakup of the types of audits against each of the governance and management standards.</w:t>
      </w:r>
    </w:p>
    <w:p w:rsidR="001C5EFA" w:rsidRDefault="00FA5BA6" w:rsidP="001C5EFA">
      <w:pPr>
        <w:pStyle w:val="DHHStablecaption"/>
      </w:pPr>
      <w:r>
        <w:t>Breakup of</w:t>
      </w:r>
      <w:r w:rsidR="0083626A">
        <w:t xml:space="preserve"> audits undertaken against the g</w:t>
      </w:r>
      <w:r>
        <w:t>overnance and management standards</w:t>
      </w:r>
    </w:p>
    <w:tbl>
      <w:tblPr>
        <w:tblStyle w:val="TableGrid"/>
        <w:tblW w:w="0" w:type="auto"/>
        <w:tblLayout w:type="fixed"/>
        <w:tblLook w:val="04A0" w:firstRow="1" w:lastRow="0" w:firstColumn="1" w:lastColumn="0" w:noHBand="0" w:noVBand="1"/>
      </w:tblPr>
      <w:tblGrid>
        <w:gridCol w:w="3402"/>
        <w:gridCol w:w="2835"/>
        <w:gridCol w:w="2552"/>
      </w:tblGrid>
      <w:tr w:rsidR="001543CD" w:rsidTr="00804EB8">
        <w:trPr>
          <w:tblHeader/>
        </w:trPr>
        <w:tc>
          <w:tcPr>
            <w:tcW w:w="3402" w:type="dxa"/>
          </w:tcPr>
          <w:p w:rsidR="001543CD" w:rsidRDefault="001543CD" w:rsidP="006127A9">
            <w:pPr>
              <w:pStyle w:val="DHHStablecolhead"/>
            </w:pPr>
            <w:r>
              <w:t>Standard</w:t>
            </w:r>
          </w:p>
        </w:tc>
        <w:tc>
          <w:tcPr>
            <w:tcW w:w="2835" w:type="dxa"/>
          </w:tcPr>
          <w:p w:rsidR="001543CD" w:rsidRDefault="001543CD" w:rsidP="006127A9">
            <w:pPr>
              <w:pStyle w:val="DHHStablecolhead"/>
            </w:pPr>
            <w:r>
              <w:t>Certification/Accreditation</w:t>
            </w:r>
          </w:p>
        </w:tc>
        <w:tc>
          <w:tcPr>
            <w:tcW w:w="2552" w:type="dxa"/>
          </w:tcPr>
          <w:p w:rsidR="001543CD" w:rsidRDefault="001543CD" w:rsidP="006127A9">
            <w:pPr>
              <w:pStyle w:val="DHHStablecolhead"/>
            </w:pPr>
            <w:r>
              <w:t>Surveillance/Mid Cycle</w:t>
            </w:r>
          </w:p>
        </w:tc>
      </w:tr>
      <w:tr w:rsidR="00FA5BA6" w:rsidTr="00FA5BA6">
        <w:tc>
          <w:tcPr>
            <w:tcW w:w="3402" w:type="dxa"/>
          </w:tcPr>
          <w:p w:rsidR="00FA5BA6" w:rsidRDefault="00FA5BA6" w:rsidP="006127A9">
            <w:pPr>
              <w:pStyle w:val="DHHStabletext"/>
            </w:pPr>
            <w:r>
              <w:t>ASES</w:t>
            </w:r>
          </w:p>
        </w:tc>
        <w:tc>
          <w:tcPr>
            <w:tcW w:w="2835" w:type="dxa"/>
          </w:tcPr>
          <w:p w:rsidR="00FA5BA6" w:rsidRDefault="00FA5BA6" w:rsidP="006127A9">
            <w:pPr>
              <w:pStyle w:val="DHHStabletext"/>
              <w:jc w:val="center"/>
            </w:pPr>
            <w:r>
              <w:t>0</w:t>
            </w:r>
          </w:p>
        </w:tc>
        <w:tc>
          <w:tcPr>
            <w:tcW w:w="2552" w:type="dxa"/>
          </w:tcPr>
          <w:p w:rsidR="00FA5BA6" w:rsidRDefault="00FA5BA6" w:rsidP="006127A9">
            <w:pPr>
              <w:pStyle w:val="DHHStabletext"/>
              <w:jc w:val="center"/>
            </w:pPr>
            <w:r>
              <w:t>0</w:t>
            </w:r>
          </w:p>
        </w:tc>
      </w:tr>
      <w:tr w:rsidR="006127A9" w:rsidTr="00FA5BA6">
        <w:tc>
          <w:tcPr>
            <w:tcW w:w="3402" w:type="dxa"/>
          </w:tcPr>
          <w:p w:rsidR="006127A9" w:rsidRDefault="006127A9" w:rsidP="006127A9">
            <w:pPr>
              <w:pStyle w:val="DHHStabletext"/>
            </w:pPr>
            <w:r>
              <w:t>NSDS</w:t>
            </w:r>
          </w:p>
        </w:tc>
        <w:tc>
          <w:tcPr>
            <w:tcW w:w="2835" w:type="dxa"/>
          </w:tcPr>
          <w:p w:rsidR="006127A9" w:rsidRDefault="00D50093" w:rsidP="006127A9">
            <w:pPr>
              <w:pStyle w:val="DHHStabletext"/>
              <w:jc w:val="center"/>
            </w:pPr>
            <w:r>
              <w:t>13</w:t>
            </w:r>
          </w:p>
        </w:tc>
        <w:tc>
          <w:tcPr>
            <w:tcW w:w="2552" w:type="dxa"/>
          </w:tcPr>
          <w:p w:rsidR="006127A9" w:rsidRDefault="00D50093" w:rsidP="00D50093">
            <w:pPr>
              <w:pStyle w:val="DHHStabletext"/>
              <w:jc w:val="center"/>
            </w:pPr>
            <w:r>
              <w:t>25</w:t>
            </w:r>
          </w:p>
        </w:tc>
      </w:tr>
      <w:tr w:rsidR="006127A9" w:rsidTr="00FA5BA6">
        <w:tc>
          <w:tcPr>
            <w:tcW w:w="3402" w:type="dxa"/>
          </w:tcPr>
          <w:p w:rsidR="006127A9" w:rsidRDefault="006127A9" w:rsidP="006127A9">
            <w:pPr>
              <w:pStyle w:val="DHHStabletext"/>
            </w:pPr>
            <w:r>
              <w:t>EQuIP</w:t>
            </w:r>
          </w:p>
        </w:tc>
        <w:tc>
          <w:tcPr>
            <w:tcW w:w="2835" w:type="dxa"/>
          </w:tcPr>
          <w:p w:rsidR="006127A9" w:rsidRDefault="006127A9" w:rsidP="006127A9">
            <w:pPr>
              <w:pStyle w:val="DHHStabletext"/>
              <w:jc w:val="center"/>
            </w:pPr>
            <w:r>
              <w:t>0</w:t>
            </w:r>
          </w:p>
        </w:tc>
        <w:tc>
          <w:tcPr>
            <w:tcW w:w="2552" w:type="dxa"/>
          </w:tcPr>
          <w:p w:rsidR="006127A9" w:rsidRDefault="00D50093" w:rsidP="006127A9">
            <w:pPr>
              <w:pStyle w:val="DHHStabletext"/>
              <w:jc w:val="center"/>
            </w:pPr>
            <w:r>
              <w:t>4</w:t>
            </w:r>
          </w:p>
        </w:tc>
      </w:tr>
      <w:tr w:rsidR="006127A9" w:rsidTr="00FA5BA6">
        <w:tc>
          <w:tcPr>
            <w:tcW w:w="3402" w:type="dxa"/>
          </w:tcPr>
          <w:p w:rsidR="006127A9" w:rsidRDefault="006127A9" w:rsidP="006127A9">
            <w:pPr>
              <w:pStyle w:val="DHHStabletext"/>
            </w:pPr>
            <w:r w:rsidRPr="0015283D">
              <w:t>ISO 9001:2008</w:t>
            </w:r>
            <w:r>
              <w:t xml:space="preserve"> and ISO 9001:2015</w:t>
            </w:r>
          </w:p>
        </w:tc>
        <w:tc>
          <w:tcPr>
            <w:tcW w:w="2835" w:type="dxa"/>
          </w:tcPr>
          <w:p w:rsidR="006127A9" w:rsidRDefault="006127A9" w:rsidP="006127A9">
            <w:pPr>
              <w:pStyle w:val="DHHStabletext"/>
              <w:jc w:val="center"/>
            </w:pPr>
            <w:r>
              <w:t>14</w:t>
            </w:r>
          </w:p>
        </w:tc>
        <w:tc>
          <w:tcPr>
            <w:tcW w:w="2552" w:type="dxa"/>
          </w:tcPr>
          <w:p w:rsidR="006127A9" w:rsidRDefault="006127A9" w:rsidP="00D50093">
            <w:pPr>
              <w:pStyle w:val="DHHStabletext"/>
              <w:jc w:val="center"/>
            </w:pPr>
            <w:r>
              <w:t>2</w:t>
            </w:r>
            <w:r w:rsidR="00D50093">
              <w:t>9</w:t>
            </w:r>
          </w:p>
        </w:tc>
      </w:tr>
      <w:tr w:rsidR="006127A9" w:rsidTr="00FA5BA6">
        <w:tc>
          <w:tcPr>
            <w:tcW w:w="3402" w:type="dxa"/>
          </w:tcPr>
          <w:p w:rsidR="006127A9" w:rsidRDefault="006127A9" w:rsidP="006127A9">
            <w:pPr>
              <w:pStyle w:val="DHHStabletext"/>
            </w:pPr>
            <w:r>
              <w:t>NSQHSS</w:t>
            </w:r>
          </w:p>
        </w:tc>
        <w:tc>
          <w:tcPr>
            <w:tcW w:w="2835" w:type="dxa"/>
          </w:tcPr>
          <w:p w:rsidR="006127A9" w:rsidRDefault="006127A9" w:rsidP="006127A9">
            <w:pPr>
              <w:pStyle w:val="DHHStabletext"/>
              <w:jc w:val="center"/>
            </w:pPr>
            <w:r>
              <w:t>3</w:t>
            </w:r>
          </w:p>
        </w:tc>
        <w:tc>
          <w:tcPr>
            <w:tcW w:w="2552" w:type="dxa"/>
          </w:tcPr>
          <w:p w:rsidR="006127A9" w:rsidRDefault="006127A9" w:rsidP="006127A9">
            <w:pPr>
              <w:pStyle w:val="DHHStabletext"/>
              <w:jc w:val="center"/>
            </w:pPr>
            <w:r>
              <w:t>1</w:t>
            </w:r>
          </w:p>
        </w:tc>
      </w:tr>
      <w:tr w:rsidR="006127A9" w:rsidTr="00FA5BA6">
        <w:tc>
          <w:tcPr>
            <w:tcW w:w="3402" w:type="dxa"/>
          </w:tcPr>
          <w:p w:rsidR="006127A9" w:rsidRDefault="006127A9" w:rsidP="006127A9">
            <w:pPr>
              <w:pStyle w:val="DHHStabletext"/>
            </w:pPr>
            <w:r>
              <w:t>QIC</w:t>
            </w:r>
          </w:p>
        </w:tc>
        <w:tc>
          <w:tcPr>
            <w:tcW w:w="2835" w:type="dxa"/>
          </w:tcPr>
          <w:p w:rsidR="006127A9" w:rsidRDefault="006127A9" w:rsidP="006127A9">
            <w:pPr>
              <w:pStyle w:val="DHHStabletext"/>
              <w:jc w:val="center"/>
            </w:pPr>
            <w:r>
              <w:t>10</w:t>
            </w:r>
          </w:p>
        </w:tc>
        <w:tc>
          <w:tcPr>
            <w:tcW w:w="2552" w:type="dxa"/>
          </w:tcPr>
          <w:p w:rsidR="006127A9" w:rsidRDefault="006127A9" w:rsidP="006127A9">
            <w:pPr>
              <w:pStyle w:val="DHHStabletext"/>
              <w:jc w:val="center"/>
            </w:pPr>
            <w:r>
              <w:t>16</w:t>
            </w:r>
          </w:p>
        </w:tc>
      </w:tr>
      <w:tr w:rsidR="00FA5BA6" w:rsidTr="00FA5BA6">
        <w:tc>
          <w:tcPr>
            <w:tcW w:w="3402" w:type="dxa"/>
          </w:tcPr>
          <w:p w:rsidR="00FA5BA6" w:rsidRDefault="00FA5BA6" w:rsidP="006127A9">
            <w:pPr>
              <w:pStyle w:val="DHHStabletext"/>
            </w:pPr>
            <w:r>
              <w:t>CQL Quality Measure</w:t>
            </w:r>
          </w:p>
        </w:tc>
        <w:tc>
          <w:tcPr>
            <w:tcW w:w="2835" w:type="dxa"/>
          </w:tcPr>
          <w:p w:rsidR="00FA5BA6" w:rsidRDefault="00FA5BA6" w:rsidP="006127A9">
            <w:pPr>
              <w:pStyle w:val="DHHStabletext"/>
              <w:jc w:val="center"/>
            </w:pPr>
            <w:r>
              <w:t>0</w:t>
            </w:r>
          </w:p>
        </w:tc>
        <w:tc>
          <w:tcPr>
            <w:tcW w:w="2552" w:type="dxa"/>
          </w:tcPr>
          <w:p w:rsidR="00FA5BA6" w:rsidRDefault="00FA5BA6" w:rsidP="006127A9">
            <w:pPr>
              <w:pStyle w:val="DHHStabletext"/>
              <w:jc w:val="center"/>
            </w:pPr>
            <w:r>
              <w:t>0</w:t>
            </w:r>
          </w:p>
        </w:tc>
      </w:tr>
    </w:tbl>
    <w:p w:rsidR="001C5EFA" w:rsidRDefault="00A8141B" w:rsidP="001C5EFA">
      <w:pPr>
        <w:pStyle w:val="DHHSfigurecaption"/>
      </w:pPr>
      <w:r>
        <w:br/>
      </w:r>
      <w:r w:rsidR="00FA5BA6">
        <w:t>Graph representation of governance and management standards undertaken</w:t>
      </w:r>
    </w:p>
    <w:p w:rsidR="00E35FA2" w:rsidRDefault="006224D6" w:rsidP="00E35FA2">
      <w:pPr>
        <w:pStyle w:val="DHHSbody"/>
        <w:tabs>
          <w:tab w:val="left" w:pos="5103"/>
          <w:tab w:val="left" w:pos="5245"/>
        </w:tabs>
      </w:pPr>
      <w:r w:rsidRPr="006224D6">
        <w:rPr>
          <w:noProof/>
          <w:lang w:eastAsia="en-AU"/>
        </w:rPr>
        <w:drawing>
          <wp:inline distT="0" distB="0" distL="0" distR="0" wp14:anchorId="7EC83AD3" wp14:editId="62859D99">
            <wp:extent cx="3185160" cy="2354580"/>
            <wp:effectExtent l="19050" t="19050" r="15240" b="26670"/>
            <wp:docPr id="3" name="Picture 3" descr="Graph representation of number of certification/accreditation audits undertaken, as detailed in table: breakup of audits undertaken against the governance and management standards." title="Graph representation of governance and management standards undert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185436" cy="2354784"/>
                    </a:xfrm>
                    <a:prstGeom prst="rect">
                      <a:avLst/>
                    </a:prstGeom>
                    <a:ln w="6350">
                      <a:solidFill>
                        <a:schemeClr val="tx1"/>
                      </a:solidFill>
                    </a:ln>
                  </pic:spPr>
                </pic:pic>
              </a:graphicData>
            </a:graphic>
          </wp:inline>
        </w:drawing>
      </w:r>
      <w:r w:rsidR="00E35FA2">
        <w:tab/>
      </w:r>
      <w:r w:rsidR="00E35FA2" w:rsidRPr="00E35FA2">
        <w:rPr>
          <w:noProof/>
          <w:lang w:eastAsia="en-AU"/>
        </w:rPr>
        <w:drawing>
          <wp:inline distT="0" distB="0" distL="0" distR="0" wp14:anchorId="6A04F985" wp14:editId="5BE55BCD">
            <wp:extent cx="3167121" cy="2354580"/>
            <wp:effectExtent l="19050" t="19050" r="14605" b="26670"/>
            <wp:docPr id="9" name="Picture 9" descr="Graph representation of number of surveillance/mid cycle audits undertaken, as detailed in table: breakup of audits undertaken against the governance and management standards." title="Graph representation of governance and management standards undert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200677" cy="2379527"/>
                    </a:xfrm>
                    <a:prstGeom prst="rect">
                      <a:avLst/>
                    </a:prstGeom>
                    <a:ln w="6350">
                      <a:solidFill>
                        <a:schemeClr val="tx1"/>
                      </a:solidFill>
                    </a:ln>
                  </pic:spPr>
                </pic:pic>
              </a:graphicData>
            </a:graphic>
          </wp:inline>
        </w:drawing>
      </w:r>
    </w:p>
    <w:p w:rsidR="000D793E" w:rsidRDefault="00EA21A8" w:rsidP="000D793E">
      <w:pPr>
        <w:pStyle w:val="Heading1"/>
      </w:pPr>
      <w:bookmarkStart w:id="4" w:name="_Toc482093776"/>
      <w:r>
        <w:t>Number of organisations registering a non-conformance against the Standards</w:t>
      </w:r>
      <w:bookmarkEnd w:id="4"/>
    </w:p>
    <w:p w:rsidR="006B2F24" w:rsidRDefault="0020335E" w:rsidP="00BB065F">
      <w:pPr>
        <w:pStyle w:val="DHHSbody"/>
      </w:pPr>
      <w:r>
        <w:t>To achieve and maintain accreditation service providers need to be assessed as meeting the Standards. Non-compliance is where a Standard was not met a</w:t>
      </w:r>
      <w:r w:rsidR="00871CAD">
        <w:t>t</w:t>
      </w:r>
      <w:r>
        <w:t xml:space="preserve"> the time of the review.</w:t>
      </w:r>
    </w:p>
    <w:p w:rsidR="0020335E" w:rsidRDefault="0020335E" w:rsidP="00BB065F">
      <w:pPr>
        <w:pStyle w:val="DHHSbody"/>
      </w:pPr>
      <w:r>
        <w:t>Where a service provider does not meet a standard there is a requirement to:</w:t>
      </w:r>
    </w:p>
    <w:p w:rsidR="0020335E" w:rsidRDefault="0069251C" w:rsidP="0020335E">
      <w:pPr>
        <w:pStyle w:val="DHHSbullet1"/>
      </w:pPr>
      <w:r>
        <w:t>i</w:t>
      </w:r>
      <w:r w:rsidR="0020335E">
        <w:t>mmediately resolve any non-compliance with standards that place a client at significant risk; or</w:t>
      </w:r>
    </w:p>
    <w:p w:rsidR="0020335E" w:rsidRDefault="0069251C" w:rsidP="0020335E">
      <w:pPr>
        <w:pStyle w:val="DHHSbullet1lastline"/>
      </w:pPr>
      <w:r>
        <w:t>r</w:t>
      </w:r>
      <w:r w:rsidR="0020335E">
        <w:t>esolve any other non-compliance within six months.</w:t>
      </w:r>
    </w:p>
    <w:p w:rsidR="00BB065F" w:rsidRDefault="00BB065F" w:rsidP="00BB065F">
      <w:pPr>
        <w:pStyle w:val="DHHSbody"/>
      </w:pPr>
      <w:r>
        <w:t xml:space="preserve">During the period, there was a total of </w:t>
      </w:r>
      <w:r w:rsidR="00C446D2">
        <w:t>56</w:t>
      </w:r>
      <w:r>
        <w:t xml:space="preserve"> organisations that </w:t>
      </w:r>
      <w:r w:rsidR="00701C7B">
        <w:t>had</w:t>
      </w:r>
      <w:r>
        <w:t xml:space="preserve"> a non</w:t>
      </w:r>
      <w:r w:rsidR="00804EB8">
        <w:t xml:space="preserve">-conformance against the four </w:t>
      </w:r>
      <w:r>
        <w:t xml:space="preserve">service delivery standards. The following </w:t>
      </w:r>
      <w:r w:rsidR="004C15AE">
        <w:t>graph</w:t>
      </w:r>
      <w:r>
        <w:t xml:space="preserve"> shows a break up against each of the Standards’ criterion.</w:t>
      </w:r>
    </w:p>
    <w:p w:rsidR="004C15AE" w:rsidRDefault="004C15AE">
      <w:pPr>
        <w:rPr>
          <w:rFonts w:ascii="Arial" w:eastAsia="Times" w:hAnsi="Arial"/>
        </w:rPr>
      </w:pPr>
      <w:r>
        <w:br w:type="page"/>
      </w:r>
    </w:p>
    <w:p w:rsidR="004C15AE" w:rsidRDefault="004C15AE" w:rsidP="004C15AE">
      <w:pPr>
        <w:pStyle w:val="DHHSfigurecaption"/>
      </w:pPr>
      <w:r>
        <w:lastRenderedPageBreak/>
        <w:t>Graph representation of organisations with a non-conformances against the four service delivery standards’ criterion</w:t>
      </w:r>
    </w:p>
    <w:p w:rsidR="004C15AE" w:rsidRPr="004C15AE" w:rsidRDefault="004C15AE" w:rsidP="004C15AE">
      <w:pPr>
        <w:pStyle w:val="DHHSbody"/>
      </w:pPr>
      <w:r w:rsidRPr="004C15AE">
        <w:rPr>
          <w:noProof/>
          <w:lang w:eastAsia="en-AU"/>
        </w:rPr>
        <w:drawing>
          <wp:inline distT="0" distB="0" distL="0" distR="0" wp14:anchorId="7BA98DF3" wp14:editId="48865FB0">
            <wp:extent cx="5768840" cy="3071126"/>
            <wp:effectExtent l="19050" t="19050" r="22860" b="15240"/>
            <wp:docPr id="5" name="Picture 5" descr="Graph representation of number of organisations with a non-conformance against the four delivery service standards' criterion. Against standard (s) 1.1 there were 9 non-conformances (nc), s 1.2 - 6 nc, s 2.1 - 6 nc, s2.1 - 0 nc, s 2.2 - 1 nc, s 2.3 - 0 nc, s 3.1 - 3 nc, s 3.2 - 4 nc, s 3.3 - 7 nc, s 3.4 - 7 nc, s 3.5 - 18 nc, s 4.1 - 0 nc, s 4.2 - 0 nc, s 4.3 - 0 nc, s 4.4 - 1 nc, s 4.5 - 0 nc, s 4.6 - 0 nc." title="Graph representation of organisations with a non-conformances against the four service delivery standards’ criter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68840" cy="3071126"/>
                    </a:xfrm>
                    <a:prstGeom prst="rect">
                      <a:avLst/>
                    </a:prstGeom>
                    <a:ln w="6350">
                      <a:solidFill>
                        <a:schemeClr val="tx1"/>
                      </a:solidFill>
                    </a:ln>
                  </pic:spPr>
                </pic:pic>
              </a:graphicData>
            </a:graphic>
          </wp:inline>
        </w:drawing>
      </w:r>
    </w:p>
    <w:p w:rsidR="000D793E" w:rsidRDefault="00EA21A8" w:rsidP="000D793E">
      <w:pPr>
        <w:pStyle w:val="Heading1"/>
      </w:pPr>
      <w:bookmarkStart w:id="5" w:name="_Toc482093777"/>
      <w:r>
        <w:t xml:space="preserve">Number of organisations registering a non-conformance against the governance and management </w:t>
      </w:r>
      <w:r w:rsidR="001A396C">
        <w:t>standards</w:t>
      </w:r>
      <w:bookmarkEnd w:id="5"/>
    </w:p>
    <w:p w:rsidR="00BB065F" w:rsidRPr="00BB065F" w:rsidRDefault="00C446D2" w:rsidP="00BB065F">
      <w:pPr>
        <w:pStyle w:val="DHHSbody"/>
      </w:pPr>
      <w:r>
        <w:t>There was a total of 39</w:t>
      </w:r>
      <w:r w:rsidR="00BB065F">
        <w:t xml:space="preserve"> organisations </w:t>
      </w:r>
      <w:r w:rsidR="004C15AE">
        <w:t>that had</w:t>
      </w:r>
      <w:r w:rsidR="00BB065F">
        <w:t xml:space="preserve"> a non-conformance against the governance and management standards. The following table shows a break up against each of the standards.</w:t>
      </w:r>
    </w:p>
    <w:p w:rsidR="00FA5BA6" w:rsidRDefault="00BB065F" w:rsidP="00FA5BA6">
      <w:pPr>
        <w:pStyle w:val="DHHStablecaption"/>
      </w:pPr>
      <w:r>
        <w:t xml:space="preserve">No. of organisations registering </w:t>
      </w:r>
      <w:r w:rsidR="00FA5BA6">
        <w:t xml:space="preserve">non-conformances against </w:t>
      </w:r>
      <w:r>
        <w:t xml:space="preserve">the </w:t>
      </w:r>
      <w:r w:rsidR="00FA5BA6">
        <w:t>governance and management standard</w:t>
      </w:r>
      <w:r w:rsidR="00680953">
        <w:t>s</w:t>
      </w:r>
    </w:p>
    <w:tbl>
      <w:tblPr>
        <w:tblStyle w:val="TableGrid"/>
        <w:tblW w:w="0" w:type="auto"/>
        <w:tblLook w:val="04A0" w:firstRow="1" w:lastRow="0" w:firstColumn="1" w:lastColumn="0" w:noHBand="0" w:noVBand="1"/>
      </w:tblPr>
      <w:tblGrid>
        <w:gridCol w:w="3544"/>
        <w:gridCol w:w="2977"/>
      </w:tblGrid>
      <w:tr w:rsidR="001A396C" w:rsidTr="00804EB8">
        <w:trPr>
          <w:tblHeader/>
        </w:trPr>
        <w:tc>
          <w:tcPr>
            <w:tcW w:w="3544" w:type="dxa"/>
          </w:tcPr>
          <w:p w:rsidR="001A396C" w:rsidRDefault="001A396C" w:rsidP="001A396C">
            <w:pPr>
              <w:pStyle w:val="DHHStablecolhead"/>
            </w:pPr>
            <w:r>
              <w:t>Standard</w:t>
            </w:r>
          </w:p>
        </w:tc>
        <w:tc>
          <w:tcPr>
            <w:tcW w:w="2977" w:type="dxa"/>
          </w:tcPr>
          <w:p w:rsidR="001A396C" w:rsidRDefault="001A396C" w:rsidP="001A396C">
            <w:pPr>
              <w:pStyle w:val="DHHStablecolhead"/>
            </w:pPr>
            <w:r>
              <w:t>Non-conformance</w:t>
            </w:r>
            <w:r w:rsidR="00FE145D">
              <w:t xml:space="preserve"> reported</w:t>
            </w:r>
          </w:p>
        </w:tc>
      </w:tr>
      <w:tr w:rsidR="001A396C" w:rsidTr="00FA5BA6">
        <w:tc>
          <w:tcPr>
            <w:tcW w:w="3544" w:type="dxa"/>
          </w:tcPr>
          <w:p w:rsidR="001A396C" w:rsidRDefault="001A396C" w:rsidP="001A396C">
            <w:pPr>
              <w:pStyle w:val="DHHStabletext"/>
            </w:pPr>
            <w:r>
              <w:t>ASES</w:t>
            </w:r>
          </w:p>
        </w:tc>
        <w:tc>
          <w:tcPr>
            <w:tcW w:w="2977" w:type="dxa"/>
          </w:tcPr>
          <w:p w:rsidR="001A396C" w:rsidRDefault="00983777" w:rsidP="001A396C">
            <w:pPr>
              <w:pStyle w:val="DHHStabletext"/>
              <w:jc w:val="center"/>
            </w:pPr>
            <w:r>
              <w:t>0</w:t>
            </w:r>
          </w:p>
        </w:tc>
      </w:tr>
      <w:tr w:rsidR="001A396C" w:rsidTr="00FA5BA6">
        <w:tc>
          <w:tcPr>
            <w:tcW w:w="3544" w:type="dxa"/>
          </w:tcPr>
          <w:p w:rsidR="001A396C" w:rsidRDefault="001A396C" w:rsidP="001A396C">
            <w:pPr>
              <w:pStyle w:val="DHHStabletext"/>
            </w:pPr>
            <w:r>
              <w:t>NSDS</w:t>
            </w:r>
          </w:p>
        </w:tc>
        <w:tc>
          <w:tcPr>
            <w:tcW w:w="2977" w:type="dxa"/>
          </w:tcPr>
          <w:p w:rsidR="001A396C" w:rsidRDefault="004C15AE" w:rsidP="001A396C">
            <w:pPr>
              <w:pStyle w:val="DHHStabletext"/>
              <w:jc w:val="center"/>
            </w:pPr>
            <w:r>
              <w:t>14</w:t>
            </w:r>
          </w:p>
        </w:tc>
      </w:tr>
      <w:tr w:rsidR="001A396C" w:rsidTr="00FA5BA6">
        <w:tc>
          <w:tcPr>
            <w:tcW w:w="3544" w:type="dxa"/>
          </w:tcPr>
          <w:p w:rsidR="001A396C" w:rsidRDefault="001A396C" w:rsidP="001A396C">
            <w:pPr>
              <w:pStyle w:val="DHHStabletext"/>
            </w:pPr>
            <w:r>
              <w:t>EQuIP</w:t>
            </w:r>
          </w:p>
        </w:tc>
        <w:tc>
          <w:tcPr>
            <w:tcW w:w="2977" w:type="dxa"/>
          </w:tcPr>
          <w:p w:rsidR="001A396C" w:rsidRDefault="00983777" w:rsidP="001A396C">
            <w:pPr>
              <w:pStyle w:val="DHHStabletext"/>
              <w:jc w:val="center"/>
            </w:pPr>
            <w:r>
              <w:t>0</w:t>
            </w:r>
          </w:p>
        </w:tc>
      </w:tr>
      <w:tr w:rsidR="001A396C" w:rsidTr="00FA5BA6">
        <w:tc>
          <w:tcPr>
            <w:tcW w:w="3544" w:type="dxa"/>
          </w:tcPr>
          <w:p w:rsidR="001A396C" w:rsidRDefault="001A396C" w:rsidP="001A396C">
            <w:pPr>
              <w:pStyle w:val="DHHStabletext"/>
            </w:pPr>
            <w:r w:rsidRPr="0015283D">
              <w:t>ISO 9001:2008</w:t>
            </w:r>
            <w:r>
              <w:t xml:space="preserve"> and ISO 9001:2015</w:t>
            </w:r>
          </w:p>
        </w:tc>
        <w:tc>
          <w:tcPr>
            <w:tcW w:w="2977" w:type="dxa"/>
          </w:tcPr>
          <w:p w:rsidR="001A396C" w:rsidRDefault="004C15AE" w:rsidP="001A396C">
            <w:pPr>
              <w:pStyle w:val="DHHStabletext"/>
              <w:jc w:val="center"/>
            </w:pPr>
            <w:r>
              <w:t>20</w:t>
            </w:r>
          </w:p>
        </w:tc>
      </w:tr>
      <w:tr w:rsidR="001A396C" w:rsidTr="00FA5BA6">
        <w:tc>
          <w:tcPr>
            <w:tcW w:w="3544" w:type="dxa"/>
          </w:tcPr>
          <w:p w:rsidR="001A396C" w:rsidRDefault="001A396C" w:rsidP="001A396C">
            <w:pPr>
              <w:pStyle w:val="DHHStabletext"/>
            </w:pPr>
            <w:r w:rsidRPr="0015283D">
              <w:t>NSQHSS</w:t>
            </w:r>
          </w:p>
        </w:tc>
        <w:tc>
          <w:tcPr>
            <w:tcW w:w="2977" w:type="dxa"/>
          </w:tcPr>
          <w:p w:rsidR="001A396C" w:rsidRDefault="00983777" w:rsidP="001A396C">
            <w:pPr>
              <w:pStyle w:val="DHHStabletext"/>
              <w:jc w:val="center"/>
            </w:pPr>
            <w:r>
              <w:t>1</w:t>
            </w:r>
          </w:p>
        </w:tc>
      </w:tr>
      <w:tr w:rsidR="001A396C" w:rsidTr="00FA5BA6">
        <w:tc>
          <w:tcPr>
            <w:tcW w:w="3544" w:type="dxa"/>
          </w:tcPr>
          <w:p w:rsidR="001A396C" w:rsidRDefault="001A396C" w:rsidP="001A396C">
            <w:pPr>
              <w:pStyle w:val="DHHStabletext"/>
            </w:pPr>
            <w:r w:rsidRPr="0015283D">
              <w:t>QIC</w:t>
            </w:r>
          </w:p>
        </w:tc>
        <w:tc>
          <w:tcPr>
            <w:tcW w:w="2977" w:type="dxa"/>
          </w:tcPr>
          <w:p w:rsidR="001A396C" w:rsidRDefault="00983777" w:rsidP="001A396C">
            <w:pPr>
              <w:pStyle w:val="DHHStabletext"/>
              <w:jc w:val="center"/>
            </w:pPr>
            <w:r>
              <w:t>4</w:t>
            </w:r>
          </w:p>
        </w:tc>
      </w:tr>
      <w:tr w:rsidR="001A396C" w:rsidTr="00FA5BA6">
        <w:tc>
          <w:tcPr>
            <w:tcW w:w="3544" w:type="dxa"/>
          </w:tcPr>
          <w:p w:rsidR="001A396C" w:rsidRDefault="001A396C" w:rsidP="001A396C">
            <w:pPr>
              <w:pStyle w:val="DHHStabletext"/>
            </w:pPr>
            <w:r w:rsidRPr="0015283D">
              <w:t>CQL Quality Measure</w:t>
            </w:r>
          </w:p>
        </w:tc>
        <w:tc>
          <w:tcPr>
            <w:tcW w:w="2977" w:type="dxa"/>
          </w:tcPr>
          <w:p w:rsidR="001A396C" w:rsidRDefault="00983777" w:rsidP="001A396C">
            <w:pPr>
              <w:pStyle w:val="DHHStabletext"/>
              <w:jc w:val="center"/>
            </w:pPr>
            <w:r>
              <w:t>0</w:t>
            </w:r>
          </w:p>
        </w:tc>
      </w:tr>
    </w:tbl>
    <w:p w:rsidR="008D0288" w:rsidRDefault="008D0288" w:rsidP="008D0288">
      <w:pPr>
        <w:pStyle w:val="Heading1"/>
      </w:pPr>
      <w:bookmarkStart w:id="6" w:name="_Toc482093778"/>
      <w:r>
        <w:t>Common themes of non-conforma</w:t>
      </w:r>
      <w:r w:rsidR="00FE145D">
        <w:t xml:space="preserve">nces </w:t>
      </w:r>
      <w:r>
        <w:t xml:space="preserve">against the </w:t>
      </w:r>
      <w:r w:rsidR="009D6978">
        <w:t>S</w:t>
      </w:r>
      <w:r>
        <w:t>tandards</w:t>
      </w:r>
      <w:bookmarkEnd w:id="6"/>
    </w:p>
    <w:p w:rsidR="0052720D" w:rsidRDefault="0023243D" w:rsidP="00C63958">
      <w:pPr>
        <w:pStyle w:val="DHHSbody"/>
      </w:pPr>
      <w:r>
        <w:t>The IRBs provided</w:t>
      </w:r>
      <w:r w:rsidR="00DE61C8">
        <w:t xml:space="preserve"> responses </w:t>
      </w:r>
      <w:r>
        <w:t>which are</w:t>
      </w:r>
      <w:r w:rsidR="00DE61C8">
        <w:t xml:space="preserve"> listed b</w:t>
      </w:r>
      <w:r w:rsidR="00C446D2">
        <w:t xml:space="preserve">elow </w:t>
      </w:r>
      <w:r w:rsidR="00C63958">
        <w:t xml:space="preserve">against each of the </w:t>
      </w:r>
      <w:r w:rsidR="009D6978">
        <w:t>Standards (four service delivery standards and the governance and management standards).</w:t>
      </w:r>
    </w:p>
    <w:p w:rsidR="008F3E9C" w:rsidRDefault="0052720D" w:rsidP="00C63958">
      <w:pPr>
        <w:pStyle w:val="DHHSbody"/>
      </w:pPr>
      <w:r>
        <w:t xml:space="preserve">No </w:t>
      </w:r>
      <w:r w:rsidR="004C15AE">
        <w:t xml:space="preserve">non-conformances were identified </w:t>
      </w:r>
      <w:r w:rsidR="00FB3E4B">
        <w:t>against s</w:t>
      </w:r>
      <w:r>
        <w:t>tandards two and four.</w:t>
      </w:r>
    </w:p>
    <w:p w:rsidR="008F3E9C" w:rsidRDefault="008F3E9C">
      <w:pPr>
        <w:rPr>
          <w:rFonts w:ascii="Arial" w:eastAsia="Times" w:hAnsi="Arial"/>
        </w:rPr>
      </w:pPr>
      <w:r>
        <w:br w:type="page"/>
      </w:r>
    </w:p>
    <w:p w:rsidR="008D0288" w:rsidRDefault="006A492F" w:rsidP="008D0288">
      <w:pPr>
        <w:pStyle w:val="Heading2"/>
      </w:pPr>
      <w:bookmarkStart w:id="7" w:name="_Toc482093779"/>
      <w:r>
        <w:lastRenderedPageBreak/>
        <w:t>Common themes of non-conformances</w:t>
      </w:r>
      <w:r w:rsidR="00DE61C8">
        <w:t xml:space="preserve">: </w:t>
      </w:r>
      <w:r w:rsidR="008D0288">
        <w:t>Standard 1 Empowerment</w:t>
      </w:r>
      <w:bookmarkEnd w:id="7"/>
    </w:p>
    <w:p w:rsidR="00A3147B" w:rsidRDefault="00871CAD" w:rsidP="00A3147B">
      <w:pPr>
        <w:pStyle w:val="DHHSbullet1"/>
      </w:pPr>
      <w:r>
        <w:t xml:space="preserve">Privacy </w:t>
      </w:r>
      <w:r w:rsidR="008D0288">
        <w:t xml:space="preserve">and storage of </w:t>
      </w:r>
      <w:r w:rsidR="00DE61C8">
        <w:t xml:space="preserve">client </w:t>
      </w:r>
      <w:r w:rsidR="008D0288">
        <w:t>information</w:t>
      </w:r>
      <w:r w:rsidR="000F644E">
        <w:t>.</w:t>
      </w:r>
    </w:p>
    <w:p w:rsidR="001C5EFA" w:rsidRPr="001C5EFA" w:rsidRDefault="00A3147B" w:rsidP="00A3147B">
      <w:pPr>
        <w:pStyle w:val="DHHSbullet1"/>
      </w:pPr>
      <w:r>
        <w:t xml:space="preserve">Clients </w:t>
      </w:r>
      <w:r w:rsidR="001C5EFA" w:rsidRPr="001C5EFA">
        <w:t xml:space="preserve">not understanding </w:t>
      </w:r>
      <w:r>
        <w:t xml:space="preserve">their </w:t>
      </w:r>
      <w:r w:rsidR="001C5EFA" w:rsidRPr="001C5EFA">
        <w:t>rights and/or no evidence of provision of information on rights.</w:t>
      </w:r>
    </w:p>
    <w:p w:rsidR="008D0288" w:rsidRDefault="006A492F" w:rsidP="008D0288">
      <w:pPr>
        <w:pStyle w:val="Heading2"/>
      </w:pPr>
      <w:bookmarkStart w:id="8" w:name="_Toc482093781"/>
      <w:r>
        <w:t>Common themes of non-conformances</w:t>
      </w:r>
      <w:r w:rsidR="00DE61C8">
        <w:t>:</w:t>
      </w:r>
      <w:r>
        <w:t xml:space="preserve"> </w:t>
      </w:r>
      <w:r w:rsidR="008D0288">
        <w:t>Standard 3 Wellbeing</w:t>
      </w:r>
      <w:bookmarkEnd w:id="8"/>
    </w:p>
    <w:p w:rsidR="0020140B" w:rsidRDefault="0020140B" w:rsidP="004A0CCD">
      <w:pPr>
        <w:pStyle w:val="DHHSbullet1"/>
      </w:pPr>
      <w:r>
        <w:t>N</w:t>
      </w:r>
      <w:r w:rsidR="008D0288" w:rsidRPr="00512646">
        <w:t xml:space="preserve">o evidence available to demonstrate shift handover </w:t>
      </w:r>
      <w:r>
        <w:t xml:space="preserve">is </w:t>
      </w:r>
      <w:r w:rsidR="008D0288" w:rsidRPr="00512646">
        <w:t>occurring</w:t>
      </w:r>
      <w:r>
        <w:t>.</w:t>
      </w:r>
    </w:p>
    <w:p w:rsidR="008D0288" w:rsidRDefault="004A0CCD" w:rsidP="004A0CCD">
      <w:pPr>
        <w:pStyle w:val="DHHSbullet1"/>
      </w:pPr>
      <w:r w:rsidRPr="001C5EFA">
        <w:t xml:space="preserve">Lack of up to date </w:t>
      </w:r>
      <w:r>
        <w:t xml:space="preserve">individual support </w:t>
      </w:r>
      <w:r w:rsidRPr="001C5EFA">
        <w:t>plans</w:t>
      </w:r>
      <w:r w:rsidR="006357EA">
        <w:t xml:space="preserve"> and limited evidence </w:t>
      </w:r>
      <w:r w:rsidR="003404B9">
        <w:t xml:space="preserve">of actions taken </w:t>
      </w:r>
      <w:r w:rsidR="006357EA">
        <w:t xml:space="preserve">to </w:t>
      </w:r>
      <w:r w:rsidR="003404B9">
        <w:t>meet the goals of the individual</w:t>
      </w:r>
      <w:r>
        <w:t>.</w:t>
      </w:r>
    </w:p>
    <w:p w:rsidR="008D0288" w:rsidRDefault="006A492F" w:rsidP="008D0288">
      <w:pPr>
        <w:pStyle w:val="Heading2"/>
      </w:pPr>
      <w:bookmarkStart w:id="9" w:name="_Toc482093783"/>
      <w:r>
        <w:t>Common themes of non-conformances</w:t>
      </w:r>
      <w:r w:rsidR="00DE61C8">
        <w:t>:</w:t>
      </w:r>
      <w:r>
        <w:t xml:space="preserve"> </w:t>
      </w:r>
      <w:r w:rsidR="008D0288">
        <w:t>Governance and management standard</w:t>
      </w:r>
      <w:r w:rsidR="00F15EDE">
        <w:t>s</w:t>
      </w:r>
      <w:bookmarkEnd w:id="9"/>
    </w:p>
    <w:p w:rsidR="00A9323D" w:rsidRDefault="004A0CCD" w:rsidP="00A9323D">
      <w:pPr>
        <w:pStyle w:val="DHHSbullet1"/>
      </w:pPr>
      <w:r w:rsidRPr="00A9323D">
        <w:rPr>
          <w:lang w:val="en-US"/>
        </w:rPr>
        <w:t xml:space="preserve">Lack of </w:t>
      </w:r>
      <w:r w:rsidR="003404B9" w:rsidRPr="00A9323D">
        <w:rPr>
          <w:lang w:val="en-US"/>
        </w:rPr>
        <w:t xml:space="preserve">monitoring/management of staff and volunteer </w:t>
      </w:r>
      <w:r w:rsidR="000F644E">
        <w:rPr>
          <w:lang w:val="en-US"/>
        </w:rPr>
        <w:t xml:space="preserve">safety </w:t>
      </w:r>
      <w:r w:rsidR="003404B9" w:rsidRPr="00A9323D">
        <w:rPr>
          <w:lang w:val="en-US"/>
        </w:rPr>
        <w:t>screening requirements</w:t>
      </w:r>
      <w:r w:rsidR="00A9323D" w:rsidRPr="00A9323D">
        <w:rPr>
          <w:lang w:val="en-US"/>
        </w:rPr>
        <w:t xml:space="preserve">, including no evidence of </w:t>
      </w:r>
      <w:r w:rsidR="00676623">
        <w:rPr>
          <w:lang w:val="en-US"/>
        </w:rPr>
        <w:t xml:space="preserve">national </w:t>
      </w:r>
      <w:r w:rsidR="00A9323D" w:rsidRPr="00A9323D">
        <w:rPr>
          <w:lang w:val="en-US"/>
        </w:rPr>
        <w:t>po</w:t>
      </w:r>
      <w:r w:rsidR="00A9323D">
        <w:rPr>
          <w:lang w:val="en-US"/>
        </w:rPr>
        <w:t>l</w:t>
      </w:r>
      <w:r w:rsidR="00A9323D" w:rsidRPr="00A9323D">
        <w:rPr>
          <w:lang w:val="en-US"/>
        </w:rPr>
        <w:t>ice checks (</w:t>
      </w:r>
      <w:r w:rsidR="00651FC7">
        <w:rPr>
          <w:lang w:val="en-US"/>
        </w:rPr>
        <w:t xml:space="preserve">for </w:t>
      </w:r>
      <w:r w:rsidR="00A9323D" w:rsidRPr="001C5EFA">
        <w:t>non</w:t>
      </w:r>
      <w:r w:rsidR="00A9323D">
        <w:t>-</w:t>
      </w:r>
      <w:r w:rsidR="00A9323D" w:rsidRPr="001C5EFA">
        <w:t>direct client contact)</w:t>
      </w:r>
      <w:r w:rsidR="00676623">
        <w:t xml:space="preserve"> or </w:t>
      </w:r>
      <w:r w:rsidR="00A9323D" w:rsidRPr="001C5EFA">
        <w:t>procedur</w:t>
      </w:r>
      <w:r w:rsidR="00A9323D">
        <w:t xml:space="preserve">es for </w:t>
      </w:r>
      <w:r w:rsidR="00A9323D" w:rsidRPr="001C5EFA">
        <w:t xml:space="preserve">recognition </w:t>
      </w:r>
      <w:r w:rsidR="00A9323D">
        <w:t xml:space="preserve">of </w:t>
      </w:r>
      <w:r w:rsidR="00A9323D" w:rsidRPr="001C5EFA">
        <w:t>international police checks</w:t>
      </w:r>
      <w:r w:rsidR="00A9323D">
        <w:t>.</w:t>
      </w:r>
    </w:p>
    <w:p w:rsidR="00EC6A73" w:rsidRDefault="00804EB8" w:rsidP="00EC6A73">
      <w:pPr>
        <w:pStyle w:val="DHHSbullet1"/>
      </w:pPr>
      <w:r>
        <w:t>Lack of self-</w:t>
      </w:r>
      <w:r w:rsidR="001C5EFA" w:rsidRPr="001C5EFA">
        <w:t>assessment/internal audit/monitoring/reflective processe</w:t>
      </w:r>
      <w:r w:rsidR="00BA5A31">
        <w:t>s</w:t>
      </w:r>
      <w:r w:rsidR="007F465E">
        <w:t>.</w:t>
      </w:r>
    </w:p>
    <w:p w:rsidR="006B4C1B" w:rsidRDefault="00EC6A73" w:rsidP="00EC6A73">
      <w:pPr>
        <w:pStyle w:val="DHHSbullet1"/>
      </w:pPr>
      <w:r>
        <w:t>P</w:t>
      </w:r>
      <w:r w:rsidR="001C5EFA" w:rsidRPr="001C5EFA">
        <w:t>rocedures not reflecting current practices</w:t>
      </w:r>
      <w:r w:rsidR="006B4C1B">
        <w:t>.</w:t>
      </w:r>
    </w:p>
    <w:p w:rsidR="00A9323D" w:rsidRDefault="006B4C1B" w:rsidP="00EC6A73">
      <w:pPr>
        <w:pStyle w:val="DHHSbullet1"/>
      </w:pPr>
      <w:r>
        <w:t xml:space="preserve">Lack </w:t>
      </w:r>
      <w:r w:rsidR="00651FC7">
        <w:t xml:space="preserve">of </w:t>
      </w:r>
      <w:r w:rsidR="00A9323D" w:rsidRPr="001C5EFA">
        <w:t>process</w:t>
      </w:r>
      <w:r w:rsidR="00651FC7">
        <w:t>es</w:t>
      </w:r>
      <w:r w:rsidR="00A9323D" w:rsidRPr="001C5EFA">
        <w:t xml:space="preserve"> to ensure compliance with legal and other obligations</w:t>
      </w:r>
      <w:r w:rsidR="00A9323D">
        <w:t>.</w:t>
      </w:r>
    </w:p>
    <w:p w:rsidR="00EC6A73" w:rsidRDefault="00EC6A73" w:rsidP="00EC6A73">
      <w:pPr>
        <w:pStyle w:val="DHHSbullet1"/>
      </w:pPr>
      <w:r>
        <w:t>N</w:t>
      </w:r>
      <w:r w:rsidR="001C5EFA" w:rsidRPr="001C5EFA">
        <w:t>o recent management review</w:t>
      </w:r>
      <w:r>
        <w:t>s.</w:t>
      </w:r>
    </w:p>
    <w:p w:rsidR="001C5EFA" w:rsidRPr="001C5EFA" w:rsidRDefault="00EC6A73" w:rsidP="00EC6A73">
      <w:pPr>
        <w:pStyle w:val="DHHSbullet1"/>
      </w:pPr>
      <w:r>
        <w:t>N</w:t>
      </w:r>
      <w:r w:rsidR="001C5EFA" w:rsidRPr="001C5EFA">
        <w:t xml:space="preserve">o corrective action </w:t>
      </w:r>
      <w:r>
        <w:t xml:space="preserve">indicated when </w:t>
      </w:r>
      <w:r w:rsidR="001C5EFA" w:rsidRPr="001C5EFA">
        <w:t>investigati</w:t>
      </w:r>
      <w:r>
        <w:t xml:space="preserve">ng </w:t>
      </w:r>
      <w:r w:rsidR="001C5EFA" w:rsidRPr="001C5EFA">
        <w:t>complaints.</w:t>
      </w:r>
    </w:p>
    <w:p w:rsidR="008D0288" w:rsidRDefault="008D0288" w:rsidP="008D0288">
      <w:pPr>
        <w:pStyle w:val="Heading1"/>
      </w:pPr>
      <w:bookmarkStart w:id="10" w:name="_Toc482093784"/>
      <w:r>
        <w:t xml:space="preserve">Key strengths against the </w:t>
      </w:r>
      <w:r w:rsidR="009D6978">
        <w:t>S</w:t>
      </w:r>
      <w:r w:rsidR="00F15EDE">
        <w:t>tandards</w:t>
      </w:r>
      <w:bookmarkEnd w:id="10"/>
    </w:p>
    <w:p w:rsidR="00651FC7" w:rsidRDefault="0057042A" w:rsidP="00651FC7">
      <w:pPr>
        <w:pStyle w:val="DHHSbody"/>
      </w:pPr>
      <w:bookmarkStart w:id="11" w:name="_Toc482093785"/>
      <w:r>
        <w:t xml:space="preserve">In this initial survey the IRBs identified the following key strengths </w:t>
      </w:r>
      <w:r w:rsidR="00651FC7">
        <w:t>listed against each of the Standards (four service delivery standards and the governance and management standards).</w:t>
      </w:r>
    </w:p>
    <w:p w:rsidR="00FB3E4B" w:rsidRDefault="0057042A" w:rsidP="00651FC7">
      <w:pPr>
        <w:pStyle w:val="DHHSbody"/>
      </w:pPr>
      <w:r>
        <w:t xml:space="preserve">Note, a </w:t>
      </w:r>
      <w:r w:rsidR="00FB3E4B">
        <w:t>number o</w:t>
      </w:r>
      <w:r w:rsidR="008D792D">
        <w:t xml:space="preserve">f key strengths conflicted with </w:t>
      </w:r>
      <w:r w:rsidR="00FB3E4B">
        <w:t xml:space="preserve">key </w:t>
      </w:r>
      <w:r w:rsidR="008D792D">
        <w:t>opportunities for improvement</w:t>
      </w:r>
      <w:r w:rsidR="000F644E">
        <w:t xml:space="preserve"> and as such</w:t>
      </w:r>
      <w:r w:rsidR="008D792D">
        <w:t>, these have not been included</w:t>
      </w:r>
      <w:r w:rsidR="000F644E">
        <w:t>. The key strengths listed below are predominately made up of good practices observed by the IRBs.</w:t>
      </w:r>
    </w:p>
    <w:p w:rsidR="00C446D2" w:rsidRDefault="008D792D" w:rsidP="00C446D2">
      <w:pPr>
        <w:pStyle w:val="DHHSbody"/>
      </w:pPr>
      <w:r>
        <w:t>N</w:t>
      </w:r>
      <w:r w:rsidR="00FB3E4B">
        <w:t xml:space="preserve">o key strengths were identified against standard </w:t>
      </w:r>
      <w:r>
        <w:t>three</w:t>
      </w:r>
      <w:r w:rsidR="00FB3E4B">
        <w:t>.</w:t>
      </w:r>
    </w:p>
    <w:p w:rsidR="008D0288" w:rsidRDefault="006A492F" w:rsidP="008D0288">
      <w:pPr>
        <w:pStyle w:val="Heading2"/>
      </w:pPr>
      <w:r>
        <w:t>Key strengths</w:t>
      </w:r>
      <w:r w:rsidR="00DE61C8">
        <w:t>:</w:t>
      </w:r>
      <w:r>
        <w:t xml:space="preserve"> </w:t>
      </w:r>
      <w:r w:rsidR="008D0288">
        <w:t>Standard 1 Empowerment</w:t>
      </w:r>
      <w:bookmarkEnd w:id="11"/>
    </w:p>
    <w:p w:rsidR="007B1A42" w:rsidRDefault="007B1A42" w:rsidP="007B1A42">
      <w:pPr>
        <w:pStyle w:val="DHHSbullet1"/>
      </w:pPr>
      <w:r w:rsidRPr="00D75C6F">
        <w:t>Information to c</w:t>
      </w:r>
      <w:r w:rsidR="002B4E41">
        <w:t xml:space="preserve">lients, </w:t>
      </w:r>
      <w:r w:rsidRPr="00D75C6F">
        <w:t>families and significant others</w:t>
      </w:r>
      <w:r>
        <w:t xml:space="preserve"> via a range of mechanisms including accessible information packs, websites and verbal information</w:t>
      </w:r>
      <w:r w:rsidR="002B4E41">
        <w:t>.</w:t>
      </w:r>
    </w:p>
    <w:p w:rsidR="003404B9" w:rsidRDefault="002B4E41" w:rsidP="003404B9">
      <w:pPr>
        <w:pStyle w:val="DHHSbullet1"/>
      </w:pPr>
      <w:r>
        <w:t xml:space="preserve">Clients </w:t>
      </w:r>
      <w:r w:rsidR="003404B9" w:rsidRPr="005F7307">
        <w:t>exercise their rights through consent, feedback</w:t>
      </w:r>
      <w:r w:rsidR="007C0AA6">
        <w:t>/</w:t>
      </w:r>
      <w:r w:rsidR="003404B9" w:rsidRPr="005F7307">
        <w:t>complaints process</w:t>
      </w:r>
      <w:r w:rsidR="007C0AA6">
        <w:t>es</w:t>
      </w:r>
      <w:r w:rsidR="003404B9" w:rsidRPr="005F7307">
        <w:t>, completion of surveys and the planning process</w:t>
      </w:r>
      <w:r w:rsidR="007C0AA6">
        <w:t>es</w:t>
      </w:r>
      <w:r w:rsidR="003404B9" w:rsidRPr="005F7307">
        <w:t>.</w:t>
      </w:r>
    </w:p>
    <w:p w:rsidR="00A750C9" w:rsidRDefault="00A750C9" w:rsidP="00A750C9">
      <w:pPr>
        <w:pStyle w:val="DHHSbullet1"/>
      </w:pPr>
      <w:r>
        <w:t>Innovative programs implemented to empower clients</w:t>
      </w:r>
      <w:r w:rsidR="002B4E41">
        <w:t>.</w:t>
      </w:r>
    </w:p>
    <w:p w:rsidR="008D0288" w:rsidRDefault="006A492F" w:rsidP="008D0288">
      <w:pPr>
        <w:pStyle w:val="Heading2"/>
      </w:pPr>
      <w:bookmarkStart w:id="12" w:name="_Toc482093786"/>
      <w:r>
        <w:t>Key strengths</w:t>
      </w:r>
      <w:r w:rsidR="00DE61C8">
        <w:t>:</w:t>
      </w:r>
      <w:r>
        <w:t xml:space="preserve"> </w:t>
      </w:r>
      <w:r w:rsidR="008D0288">
        <w:t>Standard 2 Access and engagement</w:t>
      </w:r>
      <w:bookmarkEnd w:id="12"/>
    </w:p>
    <w:p w:rsidR="00DD6347" w:rsidRPr="00D63A01" w:rsidRDefault="00DD6347" w:rsidP="00DD6347">
      <w:pPr>
        <w:pStyle w:val="DHHSbullet1"/>
      </w:pPr>
      <w:r w:rsidRPr="00D63A01">
        <w:t>Site arrangement tailored to clients’ needs.</w:t>
      </w:r>
    </w:p>
    <w:p w:rsidR="008D0288" w:rsidRDefault="00DD6347" w:rsidP="00DD6347">
      <w:pPr>
        <w:pStyle w:val="DHHSbullet1"/>
      </w:pPr>
      <w:r w:rsidRPr="00D63A01">
        <w:t>Strong collaboration with other organisations to provide appropriate service to client.</w:t>
      </w:r>
    </w:p>
    <w:p w:rsidR="00A750C9" w:rsidRDefault="00A750C9" w:rsidP="00A750C9">
      <w:pPr>
        <w:pStyle w:val="DHHSbullet1"/>
      </w:pPr>
      <w:r>
        <w:t>Use of mobile technology provides improved client access to staff</w:t>
      </w:r>
      <w:r w:rsidR="005C1FAA">
        <w:t>.</w:t>
      </w:r>
    </w:p>
    <w:p w:rsidR="001C5EFA" w:rsidRDefault="001C5EFA" w:rsidP="005C1FAA">
      <w:pPr>
        <w:pStyle w:val="DHHSbullet1"/>
      </w:pPr>
      <w:r>
        <w:t>Entry and exit processes well defined and procedures followed.</w:t>
      </w:r>
    </w:p>
    <w:p w:rsidR="008D0288" w:rsidRDefault="006A492F" w:rsidP="008D0288">
      <w:pPr>
        <w:pStyle w:val="Heading2"/>
      </w:pPr>
      <w:bookmarkStart w:id="13" w:name="_Toc482093788"/>
      <w:r>
        <w:t>Key strengths</w:t>
      </w:r>
      <w:r w:rsidR="00DE61C8">
        <w:t>:</w:t>
      </w:r>
      <w:r>
        <w:t xml:space="preserve"> </w:t>
      </w:r>
      <w:r w:rsidR="00C52CC3">
        <w:t>Standard 4</w:t>
      </w:r>
      <w:r w:rsidR="008D0288">
        <w:t xml:space="preserve"> Participation</w:t>
      </w:r>
      <w:bookmarkEnd w:id="13"/>
    </w:p>
    <w:p w:rsidR="00DD6347" w:rsidRPr="00D63A01" w:rsidRDefault="007C0AA6" w:rsidP="00DB6598">
      <w:pPr>
        <w:pStyle w:val="DHHSbullet1"/>
      </w:pPr>
      <w:r>
        <w:t xml:space="preserve">Use of </w:t>
      </w:r>
      <w:r w:rsidR="004C15AE">
        <w:t>Aborigi</w:t>
      </w:r>
      <w:r w:rsidR="00DB6598">
        <w:t>nal and Torres Strait Islander</w:t>
      </w:r>
      <w:r w:rsidR="004C15AE">
        <w:t xml:space="preserve"> </w:t>
      </w:r>
      <w:r w:rsidR="00DD6347" w:rsidRPr="00D63A01">
        <w:t>client support processes</w:t>
      </w:r>
      <w:r w:rsidR="00E91A19">
        <w:t xml:space="preserve">, including links with </w:t>
      </w:r>
      <w:r w:rsidR="00DB6598" w:rsidRPr="00DB6598">
        <w:t>Aboriginal and Torres Strait Islander</w:t>
      </w:r>
      <w:r w:rsidR="00E91A19">
        <w:t xml:space="preserve"> community groups</w:t>
      </w:r>
      <w:r w:rsidR="00DD6347" w:rsidRPr="00D63A01">
        <w:t>.</w:t>
      </w:r>
    </w:p>
    <w:p w:rsidR="001C5EFA" w:rsidRDefault="001C5EFA" w:rsidP="008D0288">
      <w:pPr>
        <w:pStyle w:val="DHHSbullet1"/>
      </w:pPr>
      <w:r>
        <w:t xml:space="preserve">Excellent cultural responsiveness, integration of activities and processes within </w:t>
      </w:r>
      <w:r w:rsidR="000F644E">
        <w:t xml:space="preserve">the </w:t>
      </w:r>
      <w:r>
        <w:t>community</w:t>
      </w:r>
      <w:r w:rsidR="000F644E">
        <w:t xml:space="preserve">. </w:t>
      </w:r>
    </w:p>
    <w:p w:rsidR="007C0AA6" w:rsidRPr="00D63A01" w:rsidRDefault="007C0AA6" w:rsidP="007C0AA6">
      <w:pPr>
        <w:pStyle w:val="DHHSbullet1"/>
      </w:pPr>
      <w:r w:rsidRPr="00D63A01">
        <w:t>Cultural reflection and improvement process</w:t>
      </w:r>
      <w:r>
        <w:t>es</w:t>
      </w:r>
      <w:r w:rsidRPr="00D63A01">
        <w:t>.</w:t>
      </w:r>
    </w:p>
    <w:p w:rsidR="008D0288" w:rsidRDefault="006A492F" w:rsidP="008D0288">
      <w:pPr>
        <w:pStyle w:val="Heading2"/>
      </w:pPr>
      <w:bookmarkStart w:id="14" w:name="_Toc482093789"/>
      <w:r>
        <w:lastRenderedPageBreak/>
        <w:t>Key strengths</w:t>
      </w:r>
      <w:r w:rsidR="00DE61C8">
        <w:t>:</w:t>
      </w:r>
      <w:r>
        <w:t xml:space="preserve"> </w:t>
      </w:r>
      <w:r w:rsidR="008D0288">
        <w:t>Governance and management standard</w:t>
      </w:r>
      <w:r w:rsidR="00F15EDE">
        <w:t>s</w:t>
      </w:r>
      <w:bookmarkEnd w:id="14"/>
    </w:p>
    <w:p w:rsidR="00DD6347" w:rsidRPr="00D63A01" w:rsidRDefault="00DD6347" w:rsidP="00DD6347">
      <w:pPr>
        <w:pStyle w:val="DHHSbullet1"/>
      </w:pPr>
      <w:r w:rsidRPr="00D63A01">
        <w:t>Staff orientation program and resources and professional development opportunities</w:t>
      </w:r>
      <w:r w:rsidR="00E43626">
        <w:t xml:space="preserve">, including </w:t>
      </w:r>
      <w:r w:rsidRPr="00D63A01">
        <w:t>e-learning modules.</w:t>
      </w:r>
    </w:p>
    <w:p w:rsidR="00DD6347" w:rsidRPr="00D63A01" w:rsidRDefault="00DD6347" w:rsidP="00DD6347">
      <w:pPr>
        <w:pStyle w:val="DHHSbullet1"/>
      </w:pPr>
      <w:r w:rsidRPr="00D63A01">
        <w:t>Staff communication and feedback</w:t>
      </w:r>
      <w:r w:rsidR="00F07A20">
        <w:t xml:space="preserve"> </w:t>
      </w:r>
      <w:r w:rsidRPr="00D63A01">
        <w:t>processes</w:t>
      </w:r>
      <w:r w:rsidR="00F07A20">
        <w:t>, including continuous quality improvement processes and initiatives</w:t>
      </w:r>
      <w:r w:rsidRPr="00D63A01">
        <w:t>.</w:t>
      </w:r>
    </w:p>
    <w:p w:rsidR="00F07A20" w:rsidRDefault="00DD6347" w:rsidP="00DD6347">
      <w:pPr>
        <w:pStyle w:val="DHHSbullet1"/>
      </w:pPr>
      <w:r w:rsidRPr="00D63A01">
        <w:t>Client feedback an</w:t>
      </w:r>
      <w:r w:rsidR="00F07A20">
        <w:t>d program evaluation processes.</w:t>
      </w:r>
    </w:p>
    <w:p w:rsidR="00DD6347" w:rsidRPr="00D63A01" w:rsidRDefault="00DD6347" w:rsidP="00DD6347">
      <w:pPr>
        <w:pStyle w:val="DHHSbullet1"/>
      </w:pPr>
      <w:r w:rsidRPr="00D63A01">
        <w:t>Strong needs analysis and trending process</w:t>
      </w:r>
      <w:r w:rsidR="00F07A20">
        <w:t>es</w:t>
      </w:r>
      <w:r w:rsidRPr="00D63A01">
        <w:t>.</w:t>
      </w:r>
    </w:p>
    <w:p w:rsidR="00DD6347" w:rsidRPr="00D63A01" w:rsidRDefault="00DD6347" w:rsidP="00DD6347">
      <w:pPr>
        <w:pStyle w:val="DHHSbullet1"/>
      </w:pPr>
      <w:r w:rsidRPr="00D63A01">
        <w:t>Organisational benchmarking process</w:t>
      </w:r>
      <w:r w:rsidR="005056F2">
        <w:t>es</w:t>
      </w:r>
      <w:r w:rsidRPr="00D63A01">
        <w:t>.</w:t>
      </w:r>
    </w:p>
    <w:p w:rsidR="00DD6347" w:rsidRPr="00D63A01" w:rsidRDefault="00DD6347" w:rsidP="00DD6347">
      <w:pPr>
        <w:pStyle w:val="DHHSbullet1"/>
      </w:pPr>
      <w:r w:rsidRPr="00D63A01">
        <w:t>Project/program evidence-based, values-directed planning and evaluation processes.</w:t>
      </w:r>
    </w:p>
    <w:p w:rsidR="007B1A42" w:rsidRDefault="007B1A42" w:rsidP="007B1A42">
      <w:pPr>
        <w:pStyle w:val="Heading1"/>
      </w:pPr>
      <w:bookmarkStart w:id="15" w:name="_Toc482093790"/>
      <w:r>
        <w:t>Key opportunit</w:t>
      </w:r>
      <w:r w:rsidR="00F15EDE">
        <w:t xml:space="preserve">ies for improvement against the </w:t>
      </w:r>
      <w:r w:rsidR="009D6978">
        <w:t>S</w:t>
      </w:r>
      <w:r>
        <w:t>tandards</w:t>
      </w:r>
      <w:bookmarkEnd w:id="15"/>
    </w:p>
    <w:p w:rsidR="00C446D2" w:rsidRDefault="00C446D2" w:rsidP="00C446D2">
      <w:pPr>
        <w:pStyle w:val="DHHSbody"/>
      </w:pPr>
      <w:bookmarkStart w:id="16" w:name="_Toc482093791"/>
      <w:r>
        <w:t xml:space="preserve">The key opportunities </w:t>
      </w:r>
      <w:r w:rsidR="00DB6598">
        <w:t>f</w:t>
      </w:r>
      <w:r>
        <w:t>or improvement provided by the IRBs are listed below against each of the Standards (four service delivery standards and the governance and management standards).</w:t>
      </w:r>
    </w:p>
    <w:p w:rsidR="007B1A42" w:rsidRDefault="006A492F" w:rsidP="007B1A42">
      <w:pPr>
        <w:pStyle w:val="Heading2"/>
      </w:pPr>
      <w:r>
        <w:t>Key opportunities for improvement</w:t>
      </w:r>
      <w:r w:rsidR="00DE61C8">
        <w:t>:</w:t>
      </w:r>
      <w:r>
        <w:t xml:space="preserve"> </w:t>
      </w:r>
      <w:r w:rsidR="007B1A42">
        <w:t>Standard 1 Empowerment</w:t>
      </w:r>
      <w:bookmarkEnd w:id="16"/>
    </w:p>
    <w:p w:rsidR="00C4444F" w:rsidRPr="00E03809" w:rsidRDefault="00C4444F" w:rsidP="00C4444F">
      <w:pPr>
        <w:pStyle w:val="DHHSbullet1"/>
      </w:pPr>
      <w:r>
        <w:t xml:space="preserve">Ensuring evidence is available to demonstrate </w:t>
      </w:r>
      <w:r w:rsidR="007A7F88">
        <w:t>all required information has been provided to staff at in</w:t>
      </w:r>
      <w:r>
        <w:t>duction</w:t>
      </w:r>
      <w:r w:rsidR="00D302E4">
        <w:t>.</w:t>
      </w:r>
    </w:p>
    <w:p w:rsidR="00F630F1" w:rsidRDefault="007A7F88" w:rsidP="00F630F1">
      <w:pPr>
        <w:pStyle w:val="DHHSbullet1"/>
      </w:pPr>
      <w:r w:rsidRPr="001C5EFA">
        <w:t>Provision of information</w:t>
      </w:r>
      <w:r>
        <w:t xml:space="preserve"> and reminders </w:t>
      </w:r>
      <w:r w:rsidRPr="001C5EFA">
        <w:t>to help clients</w:t>
      </w:r>
      <w:r>
        <w:t>’</w:t>
      </w:r>
      <w:r w:rsidRPr="001C5EFA">
        <w:t xml:space="preserve"> understanding of rights and complaint processes</w:t>
      </w:r>
      <w:r w:rsidR="00F630F1">
        <w:t xml:space="preserve"> for example, reissuing of information packs to long term clients when the packs are updated.</w:t>
      </w:r>
    </w:p>
    <w:p w:rsidR="00690921" w:rsidRDefault="00690921" w:rsidP="00690921">
      <w:pPr>
        <w:pStyle w:val="DHHSbullet1"/>
      </w:pPr>
      <w:r>
        <w:t>Ensuring all client plans are reviewed in the required timeframe.</w:t>
      </w:r>
    </w:p>
    <w:p w:rsidR="00DD6347" w:rsidRPr="00D63A01" w:rsidRDefault="00DD6347" w:rsidP="00DD6347">
      <w:pPr>
        <w:pStyle w:val="DHHSbullet1"/>
      </w:pPr>
      <w:r w:rsidRPr="00D63A01">
        <w:t>Systematic feedback processes.</w:t>
      </w:r>
    </w:p>
    <w:p w:rsidR="00DD6347" w:rsidRPr="00D63A01" w:rsidRDefault="00DD6347" w:rsidP="00DD6347">
      <w:pPr>
        <w:pStyle w:val="DHHSbullet1"/>
      </w:pPr>
      <w:r w:rsidRPr="00D63A01">
        <w:t>Client consent information on documents.</w:t>
      </w:r>
    </w:p>
    <w:p w:rsidR="00DD6347" w:rsidRPr="00D63A01" w:rsidRDefault="00DD6347" w:rsidP="00DD6347">
      <w:pPr>
        <w:pStyle w:val="DHHSbullet1"/>
      </w:pPr>
      <w:r w:rsidRPr="00D63A01">
        <w:t>Service information</w:t>
      </w:r>
      <w:r w:rsidR="00A63795">
        <w:t xml:space="preserve">, </w:t>
      </w:r>
      <w:r w:rsidRPr="00D63A01">
        <w:t>incl</w:t>
      </w:r>
      <w:r w:rsidR="00A63795">
        <w:t xml:space="preserve">uding </w:t>
      </w:r>
      <w:r w:rsidRPr="00D63A01">
        <w:t>service expectations</w:t>
      </w:r>
      <w:r w:rsidR="00A63795">
        <w:t xml:space="preserve">, </w:t>
      </w:r>
      <w:r w:rsidRPr="00D63A01">
        <w:t>provided to clients.</w:t>
      </w:r>
    </w:p>
    <w:p w:rsidR="00DD6347" w:rsidRDefault="00DD6347" w:rsidP="00DD6347">
      <w:pPr>
        <w:pStyle w:val="DHHSbullet1"/>
      </w:pPr>
      <w:r w:rsidRPr="00D63A01">
        <w:t>Culturally-sensitive delivery of information</w:t>
      </w:r>
      <w:r w:rsidR="00A63795">
        <w:t>.</w:t>
      </w:r>
    </w:p>
    <w:p w:rsidR="00690921" w:rsidRPr="00D63A01" w:rsidRDefault="00690921" w:rsidP="00690921">
      <w:pPr>
        <w:pStyle w:val="DHHSbullet1"/>
      </w:pPr>
      <w:r w:rsidRPr="00D63A01">
        <w:t>Information on the traditional owners of the land included in org</w:t>
      </w:r>
      <w:r>
        <w:t xml:space="preserve">anisation </w:t>
      </w:r>
      <w:r w:rsidRPr="00D63A01">
        <w:t>literature and materials.</w:t>
      </w:r>
    </w:p>
    <w:p w:rsidR="00A750C9" w:rsidRDefault="00A750C9" w:rsidP="00A750C9">
      <w:pPr>
        <w:pStyle w:val="DHHSbullet1"/>
      </w:pPr>
      <w:r>
        <w:t xml:space="preserve">Increase </w:t>
      </w:r>
      <w:r w:rsidR="00BA5A31">
        <w:t xml:space="preserve">client </w:t>
      </w:r>
      <w:r>
        <w:t>information in languages other than English</w:t>
      </w:r>
      <w:r w:rsidR="00A63795">
        <w:t>.</w:t>
      </w:r>
    </w:p>
    <w:p w:rsidR="00A750C9" w:rsidRDefault="00A750C9" w:rsidP="00A750C9">
      <w:pPr>
        <w:pStyle w:val="DHHSbullet1"/>
      </w:pPr>
      <w:r>
        <w:t xml:space="preserve">Better alignment of program </w:t>
      </w:r>
      <w:r w:rsidR="00A63795">
        <w:t xml:space="preserve">principles and parameters </w:t>
      </w:r>
      <w:r>
        <w:t xml:space="preserve">to the overarching health service </w:t>
      </w:r>
      <w:r w:rsidR="00A63795">
        <w:t xml:space="preserve">principles and parameters </w:t>
      </w:r>
      <w:r>
        <w:t>framework</w:t>
      </w:r>
      <w:r w:rsidR="00A63795">
        <w:t>.</w:t>
      </w:r>
    </w:p>
    <w:p w:rsidR="007B1A42" w:rsidRDefault="006A492F" w:rsidP="007B1A42">
      <w:pPr>
        <w:pStyle w:val="Heading2"/>
      </w:pPr>
      <w:bookmarkStart w:id="17" w:name="_Toc482093792"/>
      <w:r>
        <w:t>Key opportunities for improvement</w:t>
      </w:r>
      <w:r w:rsidR="00DE61C8">
        <w:t>:</w:t>
      </w:r>
      <w:r>
        <w:t xml:space="preserve"> </w:t>
      </w:r>
      <w:r w:rsidR="007B1A42">
        <w:t>Standard 2 Access and engagement</w:t>
      </w:r>
      <w:bookmarkEnd w:id="17"/>
    </w:p>
    <w:p w:rsidR="00C4444F" w:rsidRDefault="00C4444F" w:rsidP="00C4444F">
      <w:pPr>
        <w:pStyle w:val="DHHSbullet1"/>
      </w:pPr>
      <w:r>
        <w:t>Enhancing communicat</w:t>
      </w:r>
      <w:r w:rsidR="00D302E4">
        <w:t xml:space="preserve">ion </w:t>
      </w:r>
      <w:r>
        <w:t>between ‘the office’ and c</w:t>
      </w:r>
      <w:r w:rsidR="00A63795">
        <w:t>lients, including communicating outcomes.</w:t>
      </w:r>
    </w:p>
    <w:p w:rsidR="007B1A42" w:rsidRDefault="00C4444F" w:rsidP="00C4444F">
      <w:pPr>
        <w:pStyle w:val="DHHSbullet1"/>
      </w:pPr>
      <w:r>
        <w:t>The opportunity to update service documentation to reflect organisational changes</w:t>
      </w:r>
      <w:r w:rsidR="00A63795">
        <w:t>.</w:t>
      </w:r>
    </w:p>
    <w:p w:rsidR="000D7CE8" w:rsidRDefault="00D302E4" w:rsidP="000D7CE8">
      <w:pPr>
        <w:pStyle w:val="DHHSbullet1"/>
      </w:pPr>
      <w:r>
        <w:rPr>
          <w:iCs/>
        </w:rPr>
        <w:t xml:space="preserve">Some organisation procedures do not </w:t>
      </w:r>
      <w:r w:rsidR="000D7CE8" w:rsidRPr="005F7307">
        <w:t>include the organisation’s approach to establishing networks</w:t>
      </w:r>
      <w:r w:rsidR="00F630F1">
        <w:t>.</w:t>
      </w:r>
    </w:p>
    <w:p w:rsidR="007B1A42" w:rsidRDefault="006A492F" w:rsidP="007B1A42">
      <w:pPr>
        <w:pStyle w:val="Heading2"/>
      </w:pPr>
      <w:bookmarkStart w:id="18" w:name="_Toc482093793"/>
      <w:r>
        <w:t>Key opportunities for improvement</w:t>
      </w:r>
      <w:r w:rsidR="00DE61C8">
        <w:t>:</w:t>
      </w:r>
      <w:r>
        <w:t xml:space="preserve"> </w:t>
      </w:r>
      <w:r w:rsidR="007B1A42">
        <w:t>Standard 3 Wellbeing</w:t>
      </w:r>
      <w:bookmarkEnd w:id="18"/>
    </w:p>
    <w:p w:rsidR="00095FF1" w:rsidRDefault="00095FF1" w:rsidP="00095FF1">
      <w:pPr>
        <w:pStyle w:val="DHHSbullet1"/>
      </w:pPr>
      <w:r>
        <w:t>Ensuring clients are involved in planning and, where an opportunity exists, significant others.</w:t>
      </w:r>
    </w:p>
    <w:p w:rsidR="00095FF1" w:rsidRPr="00D63A01" w:rsidRDefault="00095FF1" w:rsidP="00095FF1">
      <w:pPr>
        <w:pStyle w:val="DHHSbullet1"/>
      </w:pPr>
      <w:r>
        <w:t>Improve e</w:t>
      </w:r>
      <w:r w:rsidRPr="00D63A01">
        <w:t>xit planning processes.</w:t>
      </w:r>
    </w:p>
    <w:p w:rsidR="00095FF1" w:rsidRDefault="00095FF1" w:rsidP="00095FF1">
      <w:pPr>
        <w:pStyle w:val="DHHSbullet1"/>
      </w:pPr>
      <w:r>
        <w:t>Ensuring material safety data sheet registers are maintained along with contents of first aid kits.</w:t>
      </w:r>
    </w:p>
    <w:p w:rsidR="00095FF1" w:rsidRDefault="00095FF1" w:rsidP="00095FF1">
      <w:pPr>
        <w:pStyle w:val="DHHSbullet1"/>
      </w:pPr>
      <w:r>
        <w:t>Development of extreme weather policies/procedures.</w:t>
      </w:r>
    </w:p>
    <w:p w:rsidR="00095FF1" w:rsidRDefault="00095FF1" w:rsidP="00095FF1">
      <w:pPr>
        <w:pStyle w:val="DHHSbullet1"/>
      </w:pPr>
      <w:r>
        <w:t>Consideration of home visit risks</w:t>
      </w:r>
      <w:r w:rsidR="000F644E">
        <w:t xml:space="preserve"> and e</w:t>
      </w:r>
      <w:r>
        <w:t xml:space="preserve">nhance security at </w:t>
      </w:r>
      <w:r w:rsidR="000F644E">
        <w:t xml:space="preserve">an </w:t>
      </w:r>
      <w:r>
        <w:t>after-hours site.</w:t>
      </w:r>
    </w:p>
    <w:p w:rsidR="00095FF1" w:rsidRPr="00D63A01" w:rsidRDefault="00095FF1" w:rsidP="00095FF1">
      <w:pPr>
        <w:pStyle w:val="DHHSbullet1"/>
      </w:pPr>
      <w:r w:rsidRPr="00D63A01">
        <w:t>Review processes for longer term cases</w:t>
      </w:r>
      <w:r>
        <w:t>.</w:t>
      </w:r>
    </w:p>
    <w:p w:rsidR="00095FF1" w:rsidRDefault="00095FF1" w:rsidP="00095FF1">
      <w:pPr>
        <w:pStyle w:val="DHHSbullet1"/>
      </w:pPr>
      <w:r w:rsidRPr="00D63A01">
        <w:t>Updating processes for document</w:t>
      </w:r>
      <w:r>
        <w:t>s relating to legislation</w:t>
      </w:r>
      <w:r w:rsidR="008825FD">
        <w:t xml:space="preserve"> and service delivery</w:t>
      </w:r>
      <w:r>
        <w:t>.</w:t>
      </w:r>
    </w:p>
    <w:p w:rsidR="00095FF1" w:rsidRDefault="00095FF1" w:rsidP="00095FF1">
      <w:pPr>
        <w:pStyle w:val="DHHSbullet1"/>
      </w:pPr>
      <w:r>
        <w:t xml:space="preserve">Improvement to documentation used </w:t>
      </w:r>
      <w:r w:rsidR="008825FD">
        <w:t xml:space="preserve">for </w:t>
      </w:r>
      <w:r>
        <w:t>client goal</w:t>
      </w:r>
      <w:r w:rsidR="008825FD">
        <w:t xml:space="preserve"> r</w:t>
      </w:r>
      <w:r>
        <w:t>eview</w:t>
      </w:r>
      <w:r w:rsidR="008825FD">
        <w:t>s</w:t>
      </w:r>
      <w:r>
        <w:t>.</w:t>
      </w:r>
    </w:p>
    <w:p w:rsidR="00690921" w:rsidRDefault="00690921" w:rsidP="00690921">
      <w:pPr>
        <w:pStyle w:val="DHHSbullet1"/>
      </w:pPr>
      <w:r>
        <w:t>Increased emphasis on information about dignity of risk.</w:t>
      </w:r>
    </w:p>
    <w:p w:rsidR="007B1A42" w:rsidRDefault="006A492F" w:rsidP="007B1A42">
      <w:pPr>
        <w:pStyle w:val="Heading2"/>
      </w:pPr>
      <w:bookmarkStart w:id="19" w:name="_Toc482093794"/>
      <w:r>
        <w:lastRenderedPageBreak/>
        <w:t>Key opportunities for improvement</w:t>
      </w:r>
      <w:r w:rsidR="00DE61C8">
        <w:t>:</w:t>
      </w:r>
      <w:r>
        <w:t xml:space="preserve"> </w:t>
      </w:r>
      <w:r w:rsidR="007B1A42">
        <w:t>Standard 4 Participation</w:t>
      </w:r>
      <w:bookmarkEnd w:id="19"/>
    </w:p>
    <w:p w:rsidR="00C4444F" w:rsidRPr="00EF6814" w:rsidRDefault="00C4444F" w:rsidP="00C4444F">
      <w:pPr>
        <w:pStyle w:val="DHHSbullet1"/>
      </w:pPr>
      <w:r>
        <w:t>Systemic approach to program development based on consumer goals</w:t>
      </w:r>
      <w:r w:rsidR="00480AAB">
        <w:t>.</w:t>
      </w:r>
    </w:p>
    <w:p w:rsidR="00DD6347" w:rsidRPr="00D63A01" w:rsidRDefault="00DD6347" w:rsidP="00DD6347">
      <w:pPr>
        <w:pStyle w:val="DHHSbullet1"/>
      </w:pPr>
      <w:r w:rsidRPr="00D63A01">
        <w:t>Access and equity processes.</w:t>
      </w:r>
    </w:p>
    <w:p w:rsidR="00DD6347" w:rsidRDefault="00DD6347" w:rsidP="00DD6347">
      <w:pPr>
        <w:pStyle w:val="DHHSbullet1"/>
      </w:pPr>
      <w:r w:rsidRPr="00D63A01">
        <w:t>Diversity plan and data collection processes.</w:t>
      </w:r>
    </w:p>
    <w:p w:rsidR="00690921" w:rsidRDefault="00690921" w:rsidP="00690921">
      <w:pPr>
        <w:pStyle w:val="DHHSbullet1"/>
      </w:pPr>
      <w:r>
        <w:t>Increase cultural diversity training.</w:t>
      </w:r>
    </w:p>
    <w:p w:rsidR="00DD6347" w:rsidRPr="00D63A01" w:rsidRDefault="00DD6347" w:rsidP="00DD6347">
      <w:pPr>
        <w:pStyle w:val="DHHSbullet1"/>
      </w:pPr>
      <w:r w:rsidRPr="00D63A01">
        <w:t>Provision of privacy requirements for clients not engaging in direct services</w:t>
      </w:r>
      <w:r w:rsidR="00480AAB">
        <w:t>.</w:t>
      </w:r>
    </w:p>
    <w:p w:rsidR="00A750C9" w:rsidRDefault="00A750C9" w:rsidP="00A750C9">
      <w:pPr>
        <w:pStyle w:val="DHHSbullet1"/>
      </w:pPr>
      <w:r>
        <w:t>Monitor</w:t>
      </w:r>
      <w:r w:rsidR="00480AAB">
        <w:t xml:space="preserve">ing </w:t>
      </w:r>
      <w:r>
        <w:t>the uptake when referred to external providers</w:t>
      </w:r>
      <w:r w:rsidR="00480AAB">
        <w:t>.</w:t>
      </w:r>
    </w:p>
    <w:p w:rsidR="007B1A42" w:rsidRDefault="006A492F" w:rsidP="007B1A42">
      <w:pPr>
        <w:pStyle w:val="Heading2"/>
      </w:pPr>
      <w:bookmarkStart w:id="20" w:name="_Toc482093795"/>
      <w:r>
        <w:t>Key opportunities for improvement</w:t>
      </w:r>
      <w:r w:rsidR="00DE61C8">
        <w:t>:</w:t>
      </w:r>
      <w:r>
        <w:t xml:space="preserve"> </w:t>
      </w:r>
      <w:r w:rsidR="007B1A42">
        <w:t>Governance and management standard</w:t>
      </w:r>
      <w:bookmarkEnd w:id="20"/>
    </w:p>
    <w:p w:rsidR="00D0602F" w:rsidRDefault="00D0602F" w:rsidP="00D0602F">
      <w:pPr>
        <w:pStyle w:val="Heading3"/>
      </w:pPr>
      <w:r>
        <w:t>G</w:t>
      </w:r>
      <w:r w:rsidRPr="00414BFC">
        <w:t>overnance</w:t>
      </w:r>
    </w:p>
    <w:p w:rsidR="00550149" w:rsidRDefault="00550149" w:rsidP="00550149">
      <w:pPr>
        <w:pStyle w:val="DHHSbullet1"/>
      </w:pPr>
      <w:r w:rsidRPr="00D63A01">
        <w:t>Compliance monitoring processes.</w:t>
      </w:r>
    </w:p>
    <w:p w:rsidR="00550149" w:rsidRPr="00D63A01" w:rsidRDefault="00550149" w:rsidP="00550149">
      <w:pPr>
        <w:pStyle w:val="DHHSbullet1"/>
      </w:pPr>
      <w:r w:rsidRPr="00D63A01">
        <w:t>Risk management concerning mergers.</w:t>
      </w:r>
    </w:p>
    <w:p w:rsidR="00550149" w:rsidRDefault="00550149" w:rsidP="00550149">
      <w:pPr>
        <w:pStyle w:val="DHHSbullet1"/>
      </w:pPr>
      <w:r w:rsidRPr="00D63A01">
        <w:t>Business continuity plan development.</w:t>
      </w:r>
    </w:p>
    <w:p w:rsidR="005056F2" w:rsidRDefault="005056F2" w:rsidP="005056F2">
      <w:pPr>
        <w:pStyle w:val="DHHSbullet1"/>
      </w:pPr>
      <w:r>
        <w:t>Updating service documentation to reflect organisational changes.</w:t>
      </w:r>
    </w:p>
    <w:p w:rsidR="00D0602F" w:rsidRDefault="00D0602F" w:rsidP="00D0602F">
      <w:pPr>
        <w:pStyle w:val="Heading3"/>
      </w:pPr>
      <w:r>
        <w:t>L</w:t>
      </w:r>
      <w:r w:rsidRPr="00414BFC">
        <w:t>eadership and management</w:t>
      </w:r>
    </w:p>
    <w:p w:rsidR="00550149" w:rsidRDefault="00550149" w:rsidP="00550149">
      <w:pPr>
        <w:pStyle w:val="DHHSbullet1"/>
      </w:pPr>
      <w:r>
        <w:t>M</w:t>
      </w:r>
      <w:r w:rsidRPr="00A750C9">
        <w:t>anagers need to review and update all quality management system documentation to reflect changes in organisational structure</w:t>
      </w:r>
      <w:r>
        <w:t>.</w:t>
      </w:r>
    </w:p>
    <w:p w:rsidR="00550149" w:rsidRPr="00D63A01" w:rsidRDefault="00550149" w:rsidP="00550149">
      <w:pPr>
        <w:pStyle w:val="DHHSbullet1"/>
      </w:pPr>
      <w:r w:rsidRPr="00D63A01">
        <w:t>Communication processes</w:t>
      </w:r>
      <w:r w:rsidR="00641708">
        <w:t>.</w:t>
      </w:r>
    </w:p>
    <w:p w:rsidR="00550149" w:rsidRPr="00D63A01" w:rsidRDefault="00550149" w:rsidP="00550149">
      <w:pPr>
        <w:pStyle w:val="DHHSbullet1"/>
      </w:pPr>
      <w:r w:rsidRPr="00D63A01">
        <w:t>Strategic plan development.</w:t>
      </w:r>
    </w:p>
    <w:p w:rsidR="00550149" w:rsidRPr="00D63A01" w:rsidRDefault="00550149" w:rsidP="00550149">
      <w:pPr>
        <w:pStyle w:val="DHHSbullet1"/>
      </w:pPr>
      <w:r w:rsidRPr="00D63A01">
        <w:t xml:space="preserve">Delegation </w:t>
      </w:r>
      <w:r w:rsidR="00641708">
        <w:t>and s</w:t>
      </w:r>
      <w:r>
        <w:t>uccession planning processes.</w:t>
      </w:r>
    </w:p>
    <w:p w:rsidR="00D0602F" w:rsidRDefault="00D0602F" w:rsidP="00D0602F">
      <w:pPr>
        <w:pStyle w:val="Heading3"/>
      </w:pPr>
      <w:r>
        <w:t>F</w:t>
      </w:r>
      <w:r w:rsidRPr="00414BFC">
        <w:t>inancial management</w:t>
      </w:r>
    </w:p>
    <w:p w:rsidR="00550149" w:rsidRDefault="00550149" w:rsidP="00550149">
      <w:pPr>
        <w:pStyle w:val="DHHSbullet1"/>
      </w:pPr>
      <w:r>
        <w:t>Review of suppliers.</w:t>
      </w:r>
    </w:p>
    <w:p w:rsidR="00550149" w:rsidRPr="00D63A01" w:rsidRDefault="00550149" w:rsidP="00550149">
      <w:pPr>
        <w:pStyle w:val="DHHSbullet1"/>
      </w:pPr>
      <w:r w:rsidRPr="00D63A01">
        <w:t>Asset register development.</w:t>
      </w:r>
    </w:p>
    <w:p w:rsidR="00550149" w:rsidRPr="00D63A01" w:rsidRDefault="00550149" w:rsidP="00550149">
      <w:pPr>
        <w:pStyle w:val="DHHSbullet1"/>
      </w:pPr>
      <w:r w:rsidRPr="00D63A01">
        <w:t>Financial record management process</w:t>
      </w:r>
      <w:r w:rsidR="00641708">
        <w:t xml:space="preserve">es and </w:t>
      </w:r>
      <w:r w:rsidR="000F644E">
        <w:t>planning.</w:t>
      </w:r>
    </w:p>
    <w:p w:rsidR="00D0602F" w:rsidRDefault="00D0602F" w:rsidP="00D0602F">
      <w:pPr>
        <w:pStyle w:val="Heading3"/>
      </w:pPr>
      <w:r>
        <w:t>H</w:t>
      </w:r>
      <w:r w:rsidRPr="00414BFC">
        <w:t xml:space="preserve">uman resources </w:t>
      </w:r>
      <w:r>
        <w:t>-</w:t>
      </w:r>
      <w:r w:rsidRPr="00414BFC">
        <w:t xml:space="preserve"> including pre-employment checks, training and development, supervision and workforce</w:t>
      </w:r>
    </w:p>
    <w:p w:rsidR="00D0602F" w:rsidRDefault="00D0602F" w:rsidP="00D0602F">
      <w:pPr>
        <w:pStyle w:val="DHHSbullet1"/>
      </w:pPr>
      <w:r>
        <w:t>Ensuring consistent staff performance appraisals.</w:t>
      </w:r>
    </w:p>
    <w:p w:rsidR="00550149" w:rsidRDefault="00550149" w:rsidP="00550149">
      <w:pPr>
        <w:pStyle w:val="DHHSbullet1"/>
      </w:pPr>
      <w:r>
        <w:t>Training provision on alternative forms of communication</w:t>
      </w:r>
      <w:r w:rsidR="0074337D">
        <w:t xml:space="preserve">, </w:t>
      </w:r>
      <w:r w:rsidR="0074337D" w:rsidRPr="00D63A01">
        <w:t>bullying/harassment</w:t>
      </w:r>
      <w:r w:rsidR="0074337D">
        <w:t xml:space="preserve"> and </w:t>
      </w:r>
      <w:r w:rsidR="0074337D" w:rsidRPr="00D63A01">
        <w:t>legislative compliance</w:t>
      </w:r>
      <w:r>
        <w:t>.</w:t>
      </w:r>
    </w:p>
    <w:p w:rsidR="0074337D" w:rsidRPr="00D63A01" w:rsidRDefault="0074337D" w:rsidP="0074337D">
      <w:pPr>
        <w:pStyle w:val="DHHSbullet1"/>
      </w:pPr>
      <w:r w:rsidRPr="00D63A01">
        <w:t>Staff training records process</w:t>
      </w:r>
      <w:r>
        <w:t>es</w:t>
      </w:r>
      <w:r w:rsidRPr="00D63A01">
        <w:t xml:space="preserve"> and requirements. </w:t>
      </w:r>
    </w:p>
    <w:p w:rsidR="00550149" w:rsidRDefault="00550149" w:rsidP="00550149">
      <w:pPr>
        <w:pStyle w:val="DHHSbullet1"/>
      </w:pPr>
      <w:r w:rsidRPr="00D63A01">
        <w:t xml:space="preserve">Processes involving </w:t>
      </w:r>
      <w:r w:rsidR="000F644E">
        <w:t>safety screening checks.</w:t>
      </w:r>
    </w:p>
    <w:p w:rsidR="00550149" w:rsidRPr="00D63A01" w:rsidRDefault="00550149" w:rsidP="00550149">
      <w:pPr>
        <w:pStyle w:val="DHHSbullet1"/>
      </w:pPr>
      <w:r w:rsidRPr="00D63A01">
        <w:t>Governance performance review, training, succession and mentoring processes.</w:t>
      </w:r>
    </w:p>
    <w:p w:rsidR="007071A5" w:rsidRDefault="007071A5" w:rsidP="007071A5">
      <w:pPr>
        <w:pStyle w:val="DHHSbullet1"/>
      </w:pPr>
      <w:r>
        <w:t>HR files for long term staff employed (&gt; 10 years) lack documentation that is accepted as best practice.</w:t>
      </w:r>
    </w:p>
    <w:p w:rsidR="006357EA" w:rsidRDefault="006357EA" w:rsidP="006357EA">
      <w:pPr>
        <w:pStyle w:val="DHHSbullet1"/>
      </w:pPr>
      <w:r>
        <w:t>Staff performance/employment information not current.</w:t>
      </w:r>
    </w:p>
    <w:p w:rsidR="00D0602F" w:rsidRDefault="00D0602F" w:rsidP="00D0602F">
      <w:pPr>
        <w:pStyle w:val="Heading3"/>
      </w:pPr>
      <w:r>
        <w:t>C</w:t>
      </w:r>
      <w:r w:rsidRPr="00414BFC">
        <w:t>ontinuous quality improvement and feedback processes</w:t>
      </w:r>
    </w:p>
    <w:p w:rsidR="00D0602F" w:rsidRDefault="00D0602F" w:rsidP="00D0602F">
      <w:pPr>
        <w:pStyle w:val="DHHSbullet1"/>
      </w:pPr>
      <w:r>
        <w:t>Opportunities for services</w:t>
      </w:r>
      <w:r w:rsidR="000F644E">
        <w:t xml:space="preserve"> to </w:t>
      </w:r>
      <w:r>
        <w:t xml:space="preserve">increase feedback from </w:t>
      </w:r>
      <w:r w:rsidR="00BA5A31">
        <w:t>clients</w:t>
      </w:r>
      <w:r>
        <w:t>.</w:t>
      </w:r>
    </w:p>
    <w:p w:rsidR="00550149" w:rsidRPr="00D63A01" w:rsidRDefault="00550149" w:rsidP="00550149">
      <w:pPr>
        <w:pStyle w:val="DHHSbullet1"/>
      </w:pPr>
      <w:r w:rsidRPr="00D63A01">
        <w:t>Evaluation processes of client needs.</w:t>
      </w:r>
    </w:p>
    <w:p w:rsidR="00550149" w:rsidRPr="00D63A01" w:rsidRDefault="00550149" w:rsidP="00550149">
      <w:pPr>
        <w:pStyle w:val="DHHSbullet1"/>
      </w:pPr>
      <w:r w:rsidRPr="00D63A01">
        <w:t>Enhancement of quality improvement resources.</w:t>
      </w:r>
    </w:p>
    <w:p w:rsidR="00D0602F" w:rsidRDefault="00D0602F" w:rsidP="00D0602F">
      <w:pPr>
        <w:pStyle w:val="Heading3"/>
      </w:pPr>
      <w:r>
        <w:t>I</w:t>
      </w:r>
      <w:r w:rsidRPr="00414BFC">
        <w:t>nformation and knowledge management including confidentiality</w:t>
      </w:r>
    </w:p>
    <w:p w:rsidR="00D0602F" w:rsidRDefault="008538A3" w:rsidP="00D0602F">
      <w:pPr>
        <w:pStyle w:val="DHHSbullet1"/>
      </w:pPr>
      <w:r>
        <w:t xml:space="preserve">Update </w:t>
      </w:r>
      <w:r w:rsidR="00D0602F" w:rsidRPr="00411277">
        <w:t>service documentation to reflect organisational changes</w:t>
      </w:r>
      <w:r w:rsidR="00D0602F">
        <w:t>.</w:t>
      </w:r>
    </w:p>
    <w:p w:rsidR="00D0602F" w:rsidRDefault="008538A3" w:rsidP="00D0602F">
      <w:pPr>
        <w:pStyle w:val="DHHSbullet1"/>
      </w:pPr>
      <w:r>
        <w:lastRenderedPageBreak/>
        <w:t>Improve d</w:t>
      </w:r>
      <w:r w:rsidR="00D0602F">
        <w:t>ocument control</w:t>
      </w:r>
      <w:r>
        <w:t>.</w:t>
      </w:r>
    </w:p>
    <w:p w:rsidR="00D0602F" w:rsidRDefault="00D0602F" w:rsidP="00D0602F">
      <w:pPr>
        <w:pStyle w:val="DHHSbullet1"/>
      </w:pPr>
      <w:r>
        <w:t>Inconsistency in files - layout, order, content.</w:t>
      </w:r>
    </w:p>
    <w:p w:rsidR="00D0602F" w:rsidRPr="00411277" w:rsidRDefault="00D0602F" w:rsidP="00D0602F">
      <w:pPr>
        <w:pStyle w:val="DHHSbullet1"/>
      </w:pPr>
      <w:r>
        <w:t>Ensure hyperlinks in documents are current.</w:t>
      </w:r>
    </w:p>
    <w:p w:rsidR="00D0602F" w:rsidRDefault="00D0602F" w:rsidP="00D0602F">
      <w:pPr>
        <w:pStyle w:val="Heading3"/>
      </w:pPr>
      <w:r>
        <w:t>O</w:t>
      </w:r>
      <w:r w:rsidRPr="00414BFC">
        <w:t>ccupational health and safety</w:t>
      </w:r>
    </w:p>
    <w:p w:rsidR="00550149" w:rsidRDefault="00550149" w:rsidP="00550149">
      <w:pPr>
        <w:pStyle w:val="DHHSbullet1"/>
      </w:pPr>
      <w:r>
        <w:t>Development of disaster recovery policies/procedures.</w:t>
      </w:r>
    </w:p>
    <w:p w:rsidR="00550149" w:rsidRPr="00D63A01" w:rsidRDefault="008538A3" w:rsidP="00550149">
      <w:pPr>
        <w:pStyle w:val="DHHSbullet1"/>
      </w:pPr>
      <w:r>
        <w:t>Improve s</w:t>
      </w:r>
      <w:r w:rsidR="00550149">
        <w:t>afety i</w:t>
      </w:r>
      <w:r w:rsidR="00550149" w:rsidRPr="00D63A01">
        <w:t>nspection process</w:t>
      </w:r>
      <w:r>
        <w:t>es</w:t>
      </w:r>
      <w:r w:rsidR="00550149" w:rsidRPr="00D63A01">
        <w:t>, incl</w:t>
      </w:r>
      <w:r w:rsidR="00550149">
        <w:t xml:space="preserve">uding </w:t>
      </w:r>
      <w:r w:rsidR="00550149" w:rsidRPr="00D63A01">
        <w:t>testing and tagging</w:t>
      </w:r>
      <w:r w:rsidR="00550149">
        <w:t xml:space="preserve">, </w:t>
      </w:r>
      <w:r w:rsidR="00550149" w:rsidRPr="00D63A01">
        <w:t>emergency responses</w:t>
      </w:r>
      <w:r w:rsidR="00550149">
        <w:t>, i</w:t>
      </w:r>
      <w:r w:rsidR="00550149" w:rsidRPr="00D63A01">
        <w:t>nfection prevention and control guidelines.</w:t>
      </w:r>
    </w:p>
    <w:p w:rsidR="00D0602F" w:rsidRDefault="00D0602F" w:rsidP="00D0602F">
      <w:pPr>
        <w:pStyle w:val="Heading3"/>
      </w:pPr>
      <w:r>
        <w:t>P</w:t>
      </w:r>
      <w:r w:rsidRPr="00414BFC">
        <w:t>artnerships/service coordination</w:t>
      </w:r>
    </w:p>
    <w:p w:rsidR="00550149" w:rsidRDefault="008538A3" w:rsidP="00550149">
      <w:pPr>
        <w:pStyle w:val="DHHSbullet1"/>
      </w:pPr>
      <w:r>
        <w:t>Document how c</w:t>
      </w:r>
      <w:r w:rsidR="00550149" w:rsidRPr="00D63A01">
        <w:t xml:space="preserve">lient information </w:t>
      </w:r>
      <w:r>
        <w:t>is collected and recorded including referral pathways.</w:t>
      </w:r>
    </w:p>
    <w:p w:rsidR="007071A5" w:rsidRPr="00D63A01" w:rsidRDefault="007071A5" w:rsidP="007071A5">
      <w:pPr>
        <w:pStyle w:val="DHHSbullet1"/>
      </w:pPr>
      <w:r w:rsidRPr="00D63A01">
        <w:t>Evidence-based client service delivery and improvement.</w:t>
      </w:r>
    </w:p>
    <w:p w:rsidR="007071A5" w:rsidRPr="00D63A01" w:rsidRDefault="008538A3" w:rsidP="007071A5">
      <w:pPr>
        <w:pStyle w:val="DHHSbullet1"/>
      </w:pPr>
      <w:r>
        <w:t>Document p</w:t>
      </w:r>
      <w:r w:rsidR="007071A5" w:rsidRPr="00D63A01">
        <w:t>artnership/collaboration recording processes</w:t>
      </w:r>
      <w:r w:rsidR="007071A5">
        <w:t>.</w:t>
      </w:r>
    </w:p>
    <w:p w:rsidR="000D793E" w:rsidRDefault="00FE145D" w:rsidP="000D793E">
      <w:pPr>
        <w:pStyle w:val="Heading1"/>
      </w:pPr>
      <w:bookmarkStart w:id="21" w:name="_Toc482093796"/>
      <w:r>
        <w:t>Notifiable issues reported and the categories</w:t>
      </w:r>
      <w:bookmarkEnd w:id="21"/>
    </w:p>
    <w:p w:rsidR="00574CA3" w:rsidRPr="00E56D62" w:rsidRDefault="00BD3B4C" w:rsidP="00574CA3">
      <w:pPr>
        <w:pStyle w:val="DHHSbody"/>
        <w:rPr>
          <w:iCs/>
        </w:rPr>
      </w:pPr>
      <w:r>
        <w:rPr>
          <w:iCs/>
        </w:rPr>
        <w:t xml:space="preserve">Notifiable issues are a result of a </w:t>
      </w:r>
      <w:r w:rsidR="00574CA3" w:rsidRPr="00E56D62">
        <w:rPr>
          <w:iCs/>
        </w:rPr>
        <w:t>complaint or allegation about any of the following:</w:t>
      </w:r>
    </w:p>
    <w:p w:rsidR="00574CA3" w:rsidRPr="00E56D62" w:rsidRDefault="00574CA3" w:rsidP="00574CA3">
      <w:pPr>
        <w:pStyle w:val="DHHSbullet1"/>
        <w:numPr>
          <w:ilvl w:val="0"/>
          <w:numId w:val="36"/>
        </w:numPr>
      </w:pPr>
      <w:r w:rsidRPr="00E56D62">
        <w:t>the health, safety, abuse or risk to a person who receives services from a service provider</w:t>
      </w:r>
    </w:p>
    <w:p w:rsidR="00574CA3" w:rsidRPr="00E56D62" w:rsidRDefault="00574CA3" w:rsidP="00574CA3">
      <w:pPr>
        <w:pStyle w:val="DHHSbullet1"/>
        <w:numPr>
          <w:ilvl w:val="0"/>
          <w:numId w:val="36"/>
        </w:numPr>
      </w:pPr>
      <w:r w:rsidRPr="00E56D62">
        <w:t>the governance, financial accountability or criminal activity of the service provider</w:t>
      </w:r>
    </w:p>
    <w:p w:rsidR="00574CA3" w:rsidRPr="00E56D62" w:rsidRDefault="00574CA3" w:rsidP="00574CA3">
      <w:pPr>
        <w:pStyle w:val="DHHSbullet1"/>
        <w:numPr>
          <w:ilvl w:val="0"/>
          <w:numId w:val="36"/>
        </w:numPr>
      </w:pPr>
      <w:r w:rsidRPr="00E56D62">
        <w:t>a service provider fails or may fail to meet basic client needs or puts a client at risk of significant harm</w:t>
      </w:r>
    </w:p>
    <w:p w:rsidR="00574CA3" w:rsidRPr="00E56D62" w:rsidRDefault="00574CA3" w:rsidP="00574CA3">
      <w:pPr>
        <w:pStyle w:val="DHHSbullet1"/>
        <w:numPr>
          <w:ilvl w:val="0"/>
          <w:numId w:val="36"/>
        </w:numPr>
      </w:pPr>
      <w:r w:rsidRPr="00E56D62">
        <w:t>a service provider is experiencing significant disruption and executive mismanagement</w:t>
      </w:r>
    </w:p>
    <w:p w:rsidR="00574CA3" w:rsidRPr="00E56D62" w:rsidRDefault="00574CA3" w:rsidP="00574CA3">
      <w:pPr>
        <w:pStyle w:val="DHHSbullet1"/>
        <w:numPr>
          <w:ilvl w:val="0"/>
          <w:numId w:val="36"/>
        </w:numPr>
      </w:pPr>
      <w:r w:rsidRPr="00E56D62">
        <w:t>the independent review body has serious concerns about the ongoing financial viability of the service provider</w:t>
      </w:r>
    </w:p>
    <w:p w:rsidR="00574CA3" w:rsidRPr="00E56D62" w:rsidRDefault="00574CA3" w:rsidP="00574CA3">
      <w:pPr>
        <w:pStyle w:val="DHHSbullet1lastline"/>
        <w:numPr>
          <w:ilvl w:val="1"/>
          <w:numId w:val="36"/>
        </w:numPr>
      </w:pPr>
      <w:r w:rsidRPr="00E56D62">
        <w:t xml:space="preserve">a service provider engages in conduct which is fraudulent or potentially fraudulent or is engaged in other criminal activities. </w:t>
      </w:r>
    </w:p>
    <w:p w:rsidR="00BB065F" w:rsidRPr="00BB065F" w:rsidRDefault="00BB065F" w:rsidP="00BB065F">
      <w:pPr>
        <w:pStyle w:val="DHHSbody"/>
      </w:pPr>
      <w:r>
        <w:t>During the period, there was a total of 1</w:t>
      </w:r>
      <w:r w:rsidR="00093926">
        <w:t>7</w:t>
      </w:r>
      <w:r>
        <w:t xml:space="preserve"> notifiable issues reported out of the 2</w:t>
      </w:r>
      <w:r w:rsidR="00093926">
        <w:t>43</w:t>
      </w:r>
      <w:r>
        <w:t xml:space="preserve"> </w:t>
      </w:r>
      <w:r w:rsidR="007F465E">
        <w:t xml:space="preserve">audits </w:t>
      </w:r>
      <w:r>
        <w:t>undertaken</w:t>
      </w:r>
      <w:r w:rsidR="00D302E4">
        <w:t xml:space="preserve"> (7 per cent)</w:t>
      </w:r>
      <w:r>
        <w:t xml:space="preserve">. The following table </w:t>
      </w:r>
      <w:r w:rsidR="003D2885">
        <w:t>indicates the number of notifiable issues reported against each of the relevant categories.</w:t>
      </w:r>
    </w:p>
    <w:p w:rsidR="001C5EFA" w:rsidRDefault="00093926" w:rsidP="001C5EFA">
      <w:pPr>
        <w:pStyle w:val="DHHStablecaption"/>
      </w:pPr>
      <w:r>
        <w:t xml:space="preserve">Number </w:t>
      </w:r>
      <w:r w:rsidR="00FA5BA6">
        <w:t>of notifiable issues reported against each notifiable issues category</w:t>
      </w:r>
    </w:p>
    <w:tbl>
      <w:tblPr>
        <w:tblStyle w:val="TableGrid"/>
        <w:tblW w:w="0" w:type="auto"/>
        <w:tblLook w:val="04A0" w:firstRow="1" w:lastRow="0" w:firstColumn="1" w:lastColumn="0" w:noHBand="0" w:noVBand="1"/>
      </w:tblPr>
      <w:tblGrid>
        <w:gridCol w:w="8364"/>
        <w:gridCol w:w="1948"/>
      </w:tblGrid>
      <w:tr w:rsidR="00FE145D" w:rsidTr="00804EB8">
        <w:trPr>
          <w:tblHeader/>
        </w:trPr>
        <w:tc>
          <w:tcPr>
            <w:tcW w:w="8364" w:type="dxa"/>
          </w:tcPr>
          <w:p w:rsidR="00FE145D" w:rsidRDefault="00FE145D" w:rsidP="00FE145D">
            <w:pPr>
              <w:pStyle w:val="DHHStablecolhead"/>
            </w:pPr>
            <w:r>
              <w:t>Notifiable issue category</w:t>
            </w:r>
          </w:p>
        </w:tc>
        <w:tc>
          <w:tcPr>
            <w:tcW w:w="1948" w:type="dxa"/>
          </w:tcPr>
          <w:p w:rsidR="00FE145D" w:rsidRDefault="00FE145D" w:rsidP="00FE145D">
            <w:pPr>
              <w:pStyle w:val="DHHStablecolhead"/>
            </w:pPr>
            <w:r>
              <w:t>Number reported</w:t>
            </w:r>
          </w:p>
        </w:tc>
      </w:tr>
      <w:tr w:rsidR="00FE145D" w:rsidTr="00184600">
        <w:tc>
          <w:tcPr>
            <w:tcW w:w="8364" w:type="dxa"/>
          </w:tcPr>
          <w:p w:rsidR="00FE145D" w:rsidRDefault="00FE22B1" w:rsidP="00FE22B1">
            <w:pPr>
              <w:pStyle w:val="DHHStabletext"/>
            </w:pPr>
            <w:r w:rsidRPr="00260BCF">
              <w:t>Health, safety, abuse or risk to a person</w:t>
            </w:r>
            <w:r>
              <w:t xml:space="preserve"> who receives services from a service provider.</w:t>
            </w:r>
          </w:p>
        </w:tc>
        <w:tc>
          <w:tcPr>
            <w:tcW w:w="1948" w:type="dxa"/>
          </w:tcPr>
          <w:p w:rsidR="00FE145D" w:rsidRDefault="00FE22B1" w:rsidP="00FE22B1">
            <w:pPr>
              <w:pStyle w:val="DHHStabletext"/>
              <w:jc w:val="center"/>
            </w:pPr>
            <w:r>
              <w:t>1</w:t>
            </w:r>
          </w:p>
        </w:tc>
      </w:tr>
      <w:tr w:rsidR="00FE145D" w:rsidTr="00184600">
        <w:tc>
          <w:tcPr>
            <w:tcW w:w="8364" w:type="dxa"/>
          </w:tcPr>
          <w:p w:rsidR="00FE145D" w:rsidRDefault="00FE22B1" w:rsidP="00FE22B1">
            <w:pPr>
              <w:pStyle w:val="DHHStabletext"/>
            </w:pPr>
            <w:r w:rsidRPr="00260BCF">
              <w:t>Governance, financial accountability or criminal activity of the service provider</w:t>
            </w:r>
            <w:r>
              <w:t>.</w:t>
            </w:r>
          </w:p>
        </w:tc>
        <w:tc>
          <w:tcPr>
            <w:tcW w:w="1948" w:type="dxa"/>
          </w:tcPr>
          <w:p w:rsidR="00FE145D" w:rsidRDefault="00FE22B1" w:rsidP="00FE22B1">
            <w:pPr>
              <w:pStyle w:val="DHHStabletext"/>
              <w:jc w:val="center"/>
            </w:pPr>
            <w:r>
              <w:t>2</w:t>
            </w:r>
          </w:p>
        </w:tc>
      </w:tr>
      <w:tr w:rsidR="00FE145D" w:rsidTr="00184600">
        <w:tc>
          <w:tcPr>
            <w:tcW w:w="8364" w:type="dxa"/>
          </w:tcPr>
          <w:p w:rsidR="00FE145D" w:rsidRDefault="00FE22B1" w:rsidP="00FE22B1">
            <w:pPr>
              <w:pStyle w:val="DHHStabletext"/>
            </w:pPr>
            <w:r w:rsidRPr="00260BCF">
              <w:t xml:space="preserve">Service provider fails to </w:t>
            </w:r>
            <w:r>
              <w:t xml:space="preserve">or may fail to </w:t>
            </w:r>
            <w:r w:rsidRPr="00260BCF">
              <w:t>meet basic client needs or puts the client at risk of significant harm</w:t>
            </w:r>
            <w:r>
              <w:t>.</w:t>
            </w:r>
          </w:p>
        </w:tc>
        <w:tc>
          <w:tcPr>
            <w:tcW w:w="1948" w:type="dxa"/>
          </w:tcPr>
          <w:p w:rsidR="00FE145D" w:rsidRDefault="00FE22B1" w:rsidP="00FE22B1">
            <w:pPr>
              <w:pStyle w:val="DHHStabletext"/>
              <w:jc w:val="center"/>
            </w:pPr>
            <w:r>
              <w:t>2</w:t>
            </w:r>
          </w:p>
        </w:tc>
      </w:tr>
      <w:tr w:rsidR="00FE145D" w:rsidTr="00184600">
        <w:tc>
          <w:tcPr>
            <w:tcW w:w="8364" w:type="dxa"/>
          </w:tcPr>
          <w:p w:rsidR="00FE145D" w:rsidRDefault="00FE22B1" w:rsidP="00FE22B1">
            <w:pPr>
              <w:pStyle w:val="DHHStabletext"/>
            </w:pPr>
            <w:r w:rsidRPr="00260BCF">
              <w:t>Service provider experiences significant disruption and executive mismanagement</w:t>
            </w:r>
            <w:r>
              <w:t>.</w:t>
            </w:r>
          </w:p>
        </w:tc>
        <w:tc>
          <w:tcPr>
            <w:tcW w:w="1948" w:type="dxa"/>
          </w:tcPr>
          <w:p w:rsidR="00FE145D" w:rsidRDefault="00FE22B1" w:rsidP="00FE22B1">
            <w:pPr>
              <w:pStyle w:val="DHHStabletext"/>
              <w:jc w:val="center"/>
            </w:pPr>
            <w:r>
              <w:t>2</w:t>
            </w:r>
          </w:p>
        </w:tc>
      </w:tr>
      <w:tr w:rsidR="00FE145D" w:rsidTr="00184600">
        <w:tc>
          <w:tcPr>
            <w:tcW w:w="8364" w:type="dxa"/>
          </w:tcPr>
          <w:p w:rsidR="00FE145D" w:rsidRDefault="00FE22B1" w:rsidP="00FE22B1">
            <w:pPr>
              <w:pStyle w:val="DHHStabletext"/>
            </w:pPr>
            <w:r>
              <w:t>IRB has serious concerns about the o</w:t>
            </w:r>
            <w:r w:rsidRPr="00260BCF">
              <w:t>ngoing financial viability</w:t>
            </w:r>
            <w:r>
              <w:t xml:space="preserve"> of the service provider.</w:t>
            </w:r>
          </w:p>
        </w:tc>
        <w:tc>
          <w:tcPr>
            <w:tcW w:w="1948" w:type="dxa"/>
          </w:tcPr>
          <w:p w:rsidR="00FE145D" w:rsidRDefault="00FE22B1" w:rsidP="00FE22B1">
            <w:pPr>
              <w:pStyle w:val="DHHStabletext"/>
              <w:jc w:val="center"/>
            </w:pPr>
            <w:r>
              <w:t>2</w:t>
            </w:r>
          </w:p>
        </w:tc>
      </w:tr>
      <w:tr w:rsidR="00FE145D" w:rsidTr="00184600">
        <w:tc>
          <w:tcPr>
            <w:tcW w:w="8364" w:type="dxa"/>
          </w:tcPr>
          <w:p w:rsidR="00FE145D" w:rsidRDefault="00FE22B1" w:rsidP="00FE22B1">
            <w:pPr>
              <w:pStyle w:val="DHHStabletext"/>
            </w:pPr>
            <w:r>
              <w:t>Service provider engages in conduct which is f</w:t>
            </w:r>
            <w:r w:rsidRPr="00260BCF">
              <w:t>raudule</w:t>
            </w:r>
            <w:r>
              <w:t>nt</w:t>
            </w:r>
            <w:r w:rsidRPr="00260BCF">
              <w:t xml:space="preserve"> or potentially fraudulent or </w:t>
            </w:r>
            <w:r>
              <w:t xml:space="preserve">is engaged in other </w:t>
            </w:r>
            <w:r w:rsidRPr="00260BCF">
              <w:t>criminal activi</w:t>
            </w:r>
            <w:r>
              <w:t>ti</w:t>
            </w:r>
            <w:r w:rsidRPr="00260BCF">
              <w:t>es</w:t>
            </w:r>
            <w:r>
              <w:t>.</w:t>
            </w:r>
          </w:p>
        </w:tc>
        <w:tc>
          <w:tcPr>
            <w:tcW w:w="1948" w:type="dxa"/>
          </w:tcPr>
          <w:p w:rsidR="00FE145D" w:rsidRDefault="00FE22B1" w:rsidP="00FE22B1">
            <w:pPr>
              <w:pStyle w:val="DHHStabletext"/>
              <w:jc w:val="center"/>
            </w:pPr>
            <w:r>
              <w:t>0</w:t>
            </w:r>
          </w:p>
        </w:tc>
      </w:tr>
      <w:tr w:rsidR="00FE145D" w:rsidTr="00184600">
        <w:tc>
          <w:tcPr>
            <w:tcW w:w="8364" w:type="dxa"/>
          </w:tcPr>
          <w:p w:rsidR="00FE145D" w:rsidRDefault="00FE22B1" w:rsidP="00FE22B1">
            <w:pPr>
              <w:pStyle w:val="DHHStabletext"/>
            </w:pPr>
            <w:r>
              <w:t>Service provider has missing s</w:t>
            </w:r>
            <w:r w:rsidRPr="00260BCF">
              <w:t>afety Screening checks (Working with Children Checks and National/International Police Checks)</w:t>
            </w:r>
            <w:r>
              <w:t>.</w:t>
            </w:r>
          </w:p>
        </w:tc>
        <w:tc>
          <w:tcPr>
            <w:tcW w:w="1948" w:type="dxa"/>
          </w:tcPr>
          <w:p w:rsidR="00FE145D" w:rsidRDefault="00093926" w:rsidP="00FE22B1">
            <w:pPr>
              <w:pStyle w:val="DHHStabletext"/>
              <w:jc w:val="center"/>
            </w:pPr>
            <w:r>
              <w:t>5</w:t>
            </w:r>
          </w:p>
        </w:tc>
      </w:tr>
      <w:tr w:rsidR="00FE145D" w:rsidTr="00184600">
        <w:tc>
          <w:tcPr>
            <w:tcW w:w="8364" w:type="dxa"/>
          </w:tcPr>
          <w:p w:rsidR="00FE145D" w:rsidRDefault="00FE22B1" w:rsidP="00FE22B1">
            <w:pPr>
              <w:pStyle w:val="DHHStabletext"/>
            </w:pPr>
            <w:r>
              <w:t>There is medication mismanagement within the service provider.</w:t>
            </w:r>
          </w:p>
        </w:tc>
        <w:tc>
          <w:tcPr>
            <w:tcW w:w="1948" w:type="dxa"/>
          </w:tcPr>
          <w:p w:rsidR="00FE145D" w:rsidRDefault="00093926" w:rsidP="00FE22B1">
            <w:pPr>
              <w:pStyle w:val="DHHStabletext"/>
              <w:jc w:val="center"/>
            </w:pPr>
            <w:r>
              <w:t>2</w:t>
            </w:r>
          </w:p>
        </w:tc>
      </w:tr>
      <w:tr w:rsidR="00FE145D" w:rsidTr="00184600">
        <w:tc>
          <w:tcPr>
            <w:tcW w:w="8364" w:type="dxa"/>
          </w:tcPr>
          <w:p w:rsidR="00FE145D" w:rsidRDefault="00FE22B1" w:rsidP="00FE22B1">
            <w:pPr>
              <w:pStyle w:val="DHHStabletext"/>
            </w:pPr>
            <w:r>
              <w:t>There is a lack of reporting on Restrictive Intervention Data System (RIDS)  and or Restrictive Interventions.</w:t>
            </w:r>
          </w:p>
        </w:tc>
        <w:tc>
          <w:tcPr>
            <w:tcW w:w="1948" w:type="dxa"/>
          </w:tcPr>
          <w:p w:rsidR="00FE145D" w:rsidRDefault="00FE22B1" w:rsidP="00FE22B1">
            <w:pPr>
              <w:pStyle w:val="DHHStabletext"/>
              <w:jc w:val="center"/>
            </w:pPr>
            <w:r>
              <w:t>1</w:t>
            </w:r>
          </w:p>
        </w:tc>
      </w:tr>
    </w:tbl>
    <w:p w:rsidR="000D793E" w:rsidRDefault="00184600" w:rsidP="000D793E">
      <w:pPr>
        <w:pStyle w:val="Heading1"/>
      </w:pPr>
      <w:bookmarkStart w:id="22" w:name="_Toc482093797"/>
      <w:r>
        <w:lastRenderedPageBreak/>
        <w:t>Certification suspension (put on hold) and revocations (cancelled)</w:t>
      </w:r>
      <w:bookmarkEnd w:id="22"/>
    </w:p>
    <w:p w:rsidR="00184600" w:rsidRPr="00184600" w:rsidRDefault="00510B19" w:rsidP="00184600">
      <w:pPr>
        <w:pStyle w:val="DHHSbody"/>
      </w:pPr>
      <w:r>
        <w:t>One organisation had their accreditation suspended due to a Notifiable Issue, which has since been lifted.</w:t>
      </w:r>
    </w:p>
    <w:p w:rsidR="00BE3B7A" w:rsidRDefault="001C5EFA" w:rsidP="00BE3B7A">
      <w:pPr>
        <w:pStyle w:val="Heading1"/>
      </w:pPr>
      <w:bookmarkStart w:id="23" w:name="_Toc482093798"/>
      <w:r>
        <w:t>Sectors that</w:t>
      </w:r>
      <w:r w:rsidR="000D7CE8" w:rsidRPr="0015283D">
        <w:t xml:space="preserve"> struggled to meet the Standards</w:t>
      </w:r>
      <w:bookmarkEnd w:id="23"/>
    </w:p>
    <w:p w:rsidR="00BE3B7A" w:rsidRDefault="008967C6" w:rsidP="00093926">
      <w:pPr>
        <w:pStyle w:val="DHHSbody"/>
      </w:pPr>
      <w:r>
        <w:t xml:space="preserve">In order to </w:t>
      </w:r>
      <w:r w:rsidR="002D68CA">
        <w:t xml:space="preserve">improve service delivery, </w:t>
      </w:r>
      <w:r>
        <w:t>the department continues to seek opportunities to identify knowledge gaps and learning and development needs</w:t>
      </w:r>
      <w:r w:rsidR="000C7F75">
        <w:t xml:space="preserve"> of its service delivery providers.</w:t>
      </w:r>
    </w:p>
    <w:p w:rsidR="00093926" w:rsidRPr="00093926" w:rsidRDefault="00D302E4" w:rsidP="00093926">
      <w:pPr>
        <w:pStyle w:val="DHHSbody"/>
      </w:pPr>
      <w:r>
        <w:t>While specific sectors were not identified, there were two particular areas</w:t>
      </w:r>
      <w:r w:rsidR="007F465E">
        <w:t xml:space="preserve"> where </w:t>
      </w:r>
      <w:r w:rsidR="00BE3B7A">
        <w:t xml:space="preserve">all sectors </w:t>
      </w:r>
      <w:r w:rsidR="00093926">
        <w:t>struggled to meet the Standards. These were:</w:t>
      </w:r>
    </w:p>
    <w:p w:rsidR="001C5EFA" w:rsidRDefault="00BE3B7A" w:rsidP="00093926">
      <w:pPr>
        <w:pStyle w:val="DHHSbullet1"/>
        <w:numPr>
          <w:ilvl w:val="0"/>
          <w:numId w:val="33"/>
        </w:numPr>
      </w:pPr>
      <w:r>
        <w:t>K</w:t>
      </w:r>
      <w:r w:rsidR="001C5EFA">
        <w:t>eeping up to date with changing legislative and regulatory obligations</w:t>
      </w:r>
      <w:r w:rsidR="00093926">
        <w:t xml:space="preserve"> for example, </w:t>
      </w:r>
      <w:r w:rsidR="001C5EFA">
        <w:t>international police check requirements</w:t>
      </w:r>
      <w:r w:rsidR="00093926">
        <w:t>.</w:t>
      </w:r>
    </w:p>
    <w:p w:rsidR="001C5EFA" w:rsidRDefault="00093926" w:rsidP="00093926">
      <w:pPr>
        <w:pStyle w:val="DHHSbullet1"/>
        <w:numPr>
          <w:ilvl w:val="0"/>
          <w:numId w:val="33"/>
        </w:numPr>
      </w:pPr>
      <w:r>
        <w:t>Lack of self-</w:t>
      </w:r>
      <w:r w:rsidR="001C5EFA">
        <w:t xml:space="preserve">assessment/internal audit/monitoring processes </w:t>
      </w:r>
      <w:r>
        <w:t>-</w:t>
      </w:r>
      <w:r w:rsidR="001C5EFA">
        <w:t xml:space="preserve"> which </w:t>
      </w:r>
      <w:r>
        <w:t xml:space="preserve">can </w:t>
      </w:r>
      <w:r w:rsidR="001C5EFA">
        <w:t>le</w:t>
      </w:r>
      <w:r>
        <w:t>a</w:t>
      </w:r>
      <w:r w:rsidR="001C5EFA">
        <w:t>d to procedures being out of date or staff not follow</w:t>
      </w:r>
      <w:r>
        <w:t>ing procedures, then resulting in non-</w:t>
      </w:r>
      <w:r w:rsidR="001C5EFA">
        <w:t>conformances.</w:t>
      </w:r>
    </w:p>
    <w:p w:rsidR="009B27A2" w:rsidRDefault="009B27A2" w:rsidP="009B27A2">
      <w:pPr>
        <w:pStyle w:val="Heading1"/>
      </w:pPr>
      <w:r>
        <w:t>Summary comments</w:t>
      </w:r>
    </w:p>
    <w:p w:rsidR="00423A5B" w:rsidRDefault="000C7F75" w:rsidP="008D0288">
      <w:pPr>
        <w:pStyle w:val="DHHSbody"/>
      </w:pPr>
      <w:r>
        <w:t xml:space="preserve">The data collected from this first survey has proven </w:t>
      </w:r>
      <w:r w:rsidR="00782460">
        <w:t xml:space="preserve">to be a very </w:t>
      </w:r>
      <w:r>
        <w:t>useful</w:t>
      </w:r>
      <w:r w:rsidR="00782460">
        <w:t xml:space="preserve"> exercise </w:t>
      </w:r>
      <w:r>
        <w:t>in identifying specific areas relating to common themes of non-conformances against the Standards. It has also identified key strengths and opportunities for improvement.</w:t>
      </w:r>
      <w:r w:rsidR="00423A5B">
        <w:t xml:space="preserve"> </w:t>
      </w:r>
      <w:r w:rsidR="00782460">
        <w:t xml:space="preserve">However, the data </w:t>
      </w:r>
      <w:r w:rsidR="00423A5B">
        <w:t xml:space="preserve">provided was not specific enough to determine what </w:t>
      </w:r>
      <w:r w:rsidR="00BA5A31">
        <w:t>makes one practice better than another.</w:t>
      </w:r>
    </w:p>
    <w:p w:rsidR="00CE4F6B" w:rsidRDefault="00CE4F6B" w:rsidP="008D0288">
      <w:pPr>
        <w:pStyle w:val="DHHSbody"/>
      </w:pPr>
      <w:r>
        <w:t>In an effort to make the data collected more user friendly, duplication and inconsistencies (as noted between key strengths and opportunities for improvement) have been removed.</w:t>
      </w:r>
    </w:p>
    <w:p w:rsidR="00423A5B" w:rsidRDefault="00423A5B" w:rsidP="008D0288">
      <w:pPr>
        <w:pStyle w:val="DHHSbody"/>
      </w:pPr>
      <w:r>
        <w:t xml:space="preserve">In </w:t>
      </w:r>
      <w:r w:rsidR="00782460">
        <w:t>consultation with the IRBs and sector (via the Quality Reference Group), it</w:t>
      </w:r>
      <w:r>
        <w:t xml:space="preserve"> was decided that future survey questions would be amended to</w:t>
      </w:r>
      <w:r w:rsidR="00BA5A31">
        <w:t xml:space="preserve"> better</w:t>
      </w:r>
      <w:r>
        <w:t xml:space="preserve"> reflect and describe best practice and innovation being used in the sector</w:t>
      </w:r>
      <w:r w:rsidR="00BA5A31">
        <w:t>.</w:t>
      </w:r>
    </w:p>
    <w:p w:rsidR="00BA5A31" w:rsidRDefault="00BA5A31" w:rsidP="008D0288">
      <w:pPr>
        <w:pStyle w:val="DHHSbody"/>
      </w:pPr>
      <w:r>
        <w:t>The Standards and Regulation Unit (SRU) will share the findings of survey results with the Quality Reference Group and department program areas. SRU will also take the findings into account when updating policies and guidelines.</w:t>
      </w:r>
    </w:p>
    <w:p w:rsidR="00D302E4" w:rsidRDefault="00D302E4" w:rsidP="008D0288">
      <w:pPr>
        <w:pStyle w:val="DHHSbody"/>
      </w:pPr>
    </w:p>
    <w:p w:rsidR="001C5EFA" w:rsidRDefault="001C5EFA" w:rsidP="008D0288">
      <w:pPr>
        <w:pStyle w:val="DHHSbody"/>
      </w:pPr>
    </w:p>
    <w:p w:rsidR="001C5EFA" w:rsidRPr="006146F4" w:rsidRDefault="001C5EFA" w:rsidP="008D0288">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1C5EFA">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254F58" w:rsidRDefault="00254F58" w:rsidP="000D793E">
            <w:pPr>
              <w:pStyle w:val="DHHSaccessibilitypara"/>
              <w:spacing w:before="240"/>
            </w:pPr>
            <w:r w:rsidRPr="00254F58">
              <w:t xml:space="preserve">To receive this publication in </w:t>
            </w:r>
            <w:r w:rsidRPr="00770F37">
              <w:t>an</w:t>
            </w:r>
            <w:r w:rsidRPr="00254F58">
              <w:t xml:space="preserve"> accessible format phone</w:t>
            </w:r>
            <w:r w:rsidR="000D793E">
              <w:t xml:space="preserve"> (03) 9096 274</w:t>
            </w:r>
            <w:r w:rsidR="003C11DA">
              <w:t>5</w:t>
            </w:r>
            <w:r w:rsidRPr="00254F58">
              <w:t>, using the National Relay Service 13 36 77 if required, or email</w:t>
            </w:r>
            <w:r w:rsidR="000D793E">
              <w:t xml:space="preserve"> </w:t>
            </w:r>
            <w:hyperlink r:id="rId24" w:history="1">
              <w:r w:rsidR="000D793E" w:rsidRPr="000D793E">
                <w:rPr>
                  <w:rStyle w:val="Hyperlink"/>
                </w:rPr>
                <w:t>hsstandards@dhhs.vic.gov.au</w:t>
              </w:r>
            </w:hyperlink>
            <w:r w:rsidR="000D793E">
              <w: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0D793E">
              <w:t xml:space="preserve"> </w:t>
            </w:r>
            <w:r w:rsidR="006A492F">
              <w:t>June</w:t>
            </w:r>
            <w:r w:rsidR="000D793E">
              <w:t>, 2017.</w:t>
            </w:r>
          </w:p>
          <w:p w:rsidR="002802E3" w:rsidRPr="002802E3" w:rsidRDefault="002802E3" w:rsidP="00254F58">
            <w:pPr>
              <w:pStyle w:val="DHHSbody"/>
            </w:pPr>
          </w:p>
        </w:tc>
      </w:tr>
    </w:tbl>
    <w:p w:rsidR="00B2752E" w:rsidRPr="00906490" w:rsidRDefault="00B2752E" w:rsidP="008F3E9C">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B98" w:rsidRDefault="00D96B98">
      <w:r>
        <w:separator/>
      </w:r>
    </w:p>
  </w:endnote>
  <w:endnote w:type="continuationSeparator" w:id="0">
    <w:p w:rsidR="00D96B98" w:rsidRDefault="00D9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3C" w:rsidRDefault="00766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98" w:rsidRPr="00F65AA9" w:rsidRDefault="00D96B98"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3C" w:rsidRDefault="007661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98" w:rsidRPr="00A11421" w:rsidRDefault="00D96B98" w:rsidP="0051568D">
    <w:pPr>
      <w:pStyle w:val="DHHSfooter"/>
    </w:pPr>
    <w:r>
      <w:t>IRB themes report - October 2016 to March 2017</w:t>
    </w:r>
    <w:r w:rsidRPr="00A11421">
      <w:tab/>
    </w:r>
    <w:r w:rsidRPr="00A11421">
      <w:fldChar w:fldCharType="begin"/>
    </w:r>
    <w:r w:rsidRPr="00A11421">
      <w:instrText xml:space="preserve"> PAGE </w:instrText>
    </w:r>
    <w:r w:rsidRPr="00A11421">
      <w:fldChar w:fldCharType="separate"/>
    </w:r>
    <w:r w:rsidR="008D1179">
      <w:rPr>
        <w:noProof/>
      </w:rPr>
      <w:t>2</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B98" w:rsidRDefault="00D96B98" w:rsidP="002862F1">
      <w:pPr>
        <w:spacing w:before="120"/>
      </w:pPr>
      <w:r>
        <w:separator/>
      </w:r>
    </w:p>
  </w:footnote>
  <w:footnote w:type="continuationSeparator" w:id="0">
    <w:p w:rsidR="00D96B98" w:rsidRDefault="00D9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3C" w:rsidRDefault="007661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3C" w:rsidRDefault="007661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3C" w:rsidRDefault="007661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2A" w:rsidRDefault="005F17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98" w:rsidRPr="0051568D" w:rsidRDefault="00D96B98" w:rsidP="0051568D">
    <w:pPr>
      <w:pStyle w:val="DHHS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2A" w:rsidRDefault="005F1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4EF"/>
    <w:multiLevelType w:val="hybridMultilevel"/>
    <w:tmpl w:val="394A1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03812D6C"/>
    <w:multiLevelType w:val="hybridMultilevel"/>
    <w:tmpl w:val="801641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B8D43DB"/>
    <w:multiLevelType w:val="multilevel"/>
    <w:tmpl w:val="4B4E7622"/>
    <w:numStyleLink w:val="ZZNumbers"/>
  </w:abstractNum>
  <w:abstractNum w:abstractNumId="5">
    <w:nsid w:val="0E690F09"/>
    <w:multiLevelType w:val="multilevel"/>
    <w:tmpl w:val="F1C6C740"/>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19B908FA"/>
    <w:multiLevelType w:val="hybridMultilevel"/>
    <w:tmpl w:val="FEAA62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D1562E4"/>
    <w:multiLevelType w:val="hybridMultilevel"/>
    <w:tmpl w:val="214E243C"/>
    <w:lvl w:ilvl="0" w:tplc="9482CBC2">
      <w:start w:val="1"/>
      <w:numFmt w:val="decimal"/>
      <w:lvlText w:val="5.%1"/>
      <w:lvlJc w:val="left"/>
      <w:pPr>
        <w:tabs>
          <w:tab w:val="num" w:pos="1440"/>
        </w:tabs>
        <w:ind w:left="144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216C55EF"/>
    <w:multiLevelType w:val="hybridMultilevel"/>
    <w:tmpl w:val="E7C89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286A0B"/>
    <w:multiLevelType w:val="hybridMultilevel"/>
    <w:tmpl w:val="E738D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87B3431"/>
    <w:multiLevelType w:val="hybridMultilevel"/>
    <w:tmpl w:val="F474A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AC9218E"/>
    <w:multiLevelType w:val="hybridMultilevel"/>
    <w:tmpl w:val="0862F9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F2D17A2"/>
    <w:multiLevelType w:val="hybridMultilevel"/>
    <w:tmpl w:val="D49C0E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FFC0C03"/>
    <w:multiLevelType w:val="hybridMultilevel"/>
    <w:tmpl w:val="C354FD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426291"/>
    <w:multiLevelType w:val="hybridMultilevel"/>
    <w:tmpl w:val="56E4C0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5140A30"/>
    <w:multiLevelType w:val="hybridMultilevel"/>
    <w:tmpl w:val="265051DE"/>
    <w:lvl w:ilvl="0" w:tplc="0C09000F">
      <w:start w:val="1"/>
      <w:numFmt w:val="decimal"/>
      <w:lvlText w:val="%1."/>
      <w:lvlJc w:val="left"/>
      <w:pPr>
        <w:tabs>
          <w:tab w:val="num" w:pos="720"/>
        </w:tabs>
        <w:ind w:left="720" w:hanging="360"/>
      </w:pPr>
    </w:lvl>
    <w:lvl w:ilvl="1" w:tplc="BA6C68F4">
      <w:start w:val="1"/>
      <w:numFmt w:val="decimal"/>
      <w:lvlText w:val="4.%2"/>
      <w:lvlJc w:val="left"/>
      <w:pPr>
        <w:tabs>
          <w:tab w:val="num" w:pos="1440"/>
        </w:tabs>
        <w:ind w:left="1440" w:hanging="360"/>
      </w:pPr>
      <w:rPr>
        <w:rFonts w:hint="default"/>
        <w:b/>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79209D3"/>
    <w:multiLevelType w:val="hybridMultilevel"/>
    <w:tmpl w:val="CF1E33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nsid w:val="3C7A4F55"/>
    <w:multiLevelType w:val="multilevel"/>
    <w:tmpl w:val="577C881E"/>
    <w:numStyleLink w:val="Numbers"/>
  </w:abstractNum>
  <w:abstractNum w:abstractNumId="19">
    <w:nsid w:val="3D28677B"/>
    <w:multiLevelType w:val="hybridMultilevel"/>
    <w:tmpl w:val="5F5CA5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E1A2EE0"/>
    <w:multiLevelType w:val="hybridMultilevel"/>
    <w:tmpl w:val="E7E4CF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3542829"/>
    <w:multiLevelType w:val="hybridMultilevel"/>
    <w:tmpl w:val="C264EF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nsid w:val="54087831"/>
    <w:multiLevelType w:val="hybridMultilevel"/>
    <w:tmpl w:val="9BF4665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nsid w:val="5A31468C"/>
    <w:multiLevelType w:val="hybridMultilevel"/>
    <w:tmpl w:val="583688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2CB410F"/>
    <w:multiLevelType w:val="hybridMultilevel"/>
    <w:tmpl w:val="2DC077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31B5F38"/>
    <w:multiLevelType w:val="hybridMultilevel"/>
    <w:tmpl w:val="512C8A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4821FE3"/>
    <w:multiLevelType w:val="hybridMultilevel"/>
    <w:tmpl w:val="D7A804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9541525"/>
    <w:multiLevelType w:val="hybridMultilevel"/>
    <w:tmpl w:val="8D3E2E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6F2C49BA"/>
    <w:multiLevelType w:val="hybridMultilevel"/>
    <w:tmpl w:val="1C30DF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nsid w:val="781520D9"/>
    <w:multiLevelType w:val="hybridMultilevel"/>
    <w:tmpl w:val="D8608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10"/>
  </w:num>
  <w:num w:numId="10">
    <w:abstractNumId w:val="20"/>
  </w:num>
  <w:num w:numId="11">
    <w:abstractNumId w:val="21"/>
  </w:num>
  <w:num w:numId="12">
    <w:abstractNumId w:val="27"/>
  </w:num>
  <w:num w:numId="13">
    <w:abstractNumId w:val="3"/>
  </w:num>
  <w:num w:numId="14">
    <w:abstractNumId w:val="0"/>
  </w:num>
  <w:num w:numId="15">
    <w:abstractNumId w:val="9"/>
  </w:num>
  <w:num w:numId="16">
    <w:abstractNumId w:val="8"/>
  </w:num>
  <w:num w:numId="17">
    <w:abstractNumId w:val="13"/>
  </w:num>
  <w:num w:numId="18">
    <w:abstractNumId w:val="11"/>
  </w:num>
  <w:num w:numId="19">
    <w:abstractNumId w:val="32"/>
  </w:num>
  <w:num w:numId="20">
    <w:abstractNumId w:val="12"/>
  </w:num>
  <w:num w:numId="21">
    <w:abstractNumId w:val="14"/>
  </w:num>
  <w:num w:numId="22">
    <w:abstractNumId w:val="19"/>
  </w:num>
  <w:num w:numId="23">
    <w:abstractNumId w:val="29"/>
  </w:num>
  <w:num w:numId="24">
    <w:abstractNumId w:val="26"/>
  </w:num>
  <w:num w:numId="25">
    <w:abstractNumId w:val="30"/>
  </w:num>
  <w:num w:numId="26">
    <w:abstractNumId w:val="28"/>
  </w:num>
  <w:num w:numId="27">
    <w:abstractNumId w:val="6"/>
  </w:num>
  <w:num w:numId="28">
    <w:abstractNumId w:val="25"/>
  </w:num>
  <w:num w:numId="29">
    <w:abstractNumId w:val="16"/>
  </w:num>
  <w:num w:numId="30">
    <w:abstractNumId w:val="23"/>
  </w:num>
  <w:num w:numId="31">
    <w:abstractNumId w:val="31"/>
  </w:num>
  <w:num w:numId="32">
    <w:abstractNumId w:val="18"/>
  </w:num>
  <w:num w:numId="33">
    <w:abstractNumId w:val="5"/>
  </w:num>
  <w:num w:numId="34">
    <w:abstractNumId w:val="15"/>
  </w:num>
  <w:num w:numId="35">
    <w:abstractNumId w:val="7"/>
  </w:num>
  <w:num w:numId="3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C0"/>
    <w:rsid w:val="000072B6"/>
    <w:rsid w:val="0001021B"/>
    <w:rsid w:val="00011D89"/>
    <w:rsid w:val="00020311"/>
    <w:rsid w:val="00024D89"/>
    <w:rsid w:val="000250B6"/>
    <w:rsid w:val="00033D81"/>
    <w:rsid w:val="00041BF0"/>
    <w:rsid w:val="0004536B"/>
    <w:rsid w:val="00046B68"/>
    <w:rsid w:val="000527DD"/>
    <w:rsid w:val="000558B6"/>
    <w:rsid w:val="000578B2"/>
    <w:rsid w:val="00060959"/>
    <w:rsid w:val="000663CD"/>
    <w:rsid w:val="000733FE"/>
    <w:rsid w:val="00074219"/>
    <w:rsid w:val="00074ED5"/>
    <w:rsid w:val="00082E13"/>
    <w:rsid w:val="0009113B"/>
    <w:rsid w:val="000936C0"/>
    <w:rsid w:val="00093926"/>
    <w:rsid w:val="00094DA3"/>
    <w:rsid w:val="00095FF1"/>
    <w:rsid w:val="00096CD1"/>
    <w:rsid w:val="000A012C"/>
    <w:rsid w:val="000A0EB9"/>
    <w:rsid w:val="000A186C"/>
    <w:rsid w:val="000A53DF"/>
    <w:rsid w:val="000B543D"/>
    <w:rsid w:val="000B5BF7"/>
    <w:rsid w:val="000B6BC8"/>
    <w:rsid w:val="000C42EA"/>
    <w:rsid w:val="000C4546"/>
    <w:rsid w:val="000C7F75"/>
    <w:rsid w:val="000D1242"/>
    <w:rsid w:val="000D793E"/>
    <w:rsid w:val="000D7CE8"/>
    <w:rsid w:val="000E3CC7"/>
    <w:rsid w:val="000E6BD4"/>
    <w:rsid w:val="000F1F1E"/>
    <w:rsid w:val="000F2259"/>
    <w:rsid w:val="000F644E"/>
    <w:rsid w:val="0010392D"/>
    <w:rsid w:val="0010447F"/>
    <w:rsid w:val="00104FE3"/>
    <w:rsid w:val="00120BD3"/>
    <w:rsid w:val="00122FEA"/>
    <w:rsid w:val="001232BD"/>
    <w:rsid w:val="00124ED5"/>
    <w:rsid w:val="001447B3"/>
    <w:rsid w:val="00152073"/>
    <w:rsid w:val="001543CD"/>
    <w:rsid w:val="0016119B"/>
    <w:rsid w:val="00161939"/>
    <w:rsid w:val="00161AA0"/>
    <w:rsid w:val="00162093"/>
    <w:rsid w:val="00163528"/>
    <w:rsid w:val="001771DD"/>
    <w:rsid w:val="00177995"/>
    <w:rsid w:val="00177A8C"/>
    <w:rsid w:val="001802A1"/>
    <w:rsid w:val="00183857"/>
    <w:rsid w:val="00184600"/>
    <w:rsid w:val="00186B33"/>
    <w:rsid w:val="00192F9D"/>
    <w:rsid w:val="00196EB8"/>
    <w:rsid w:val="001979FF"/>
    <w:rsid w:val="00197B17"/>
    <w:rsid w:val="001A396C"/>
    <w:rsid w:val="001A3ACE"/>
    <w:rsid w:val="001C277E"/>
    <w:rsid w:val="001C2A72"/>
    <w:rsid w:val="001C5EFA"/>
    <w:rsid w:val="001D0B75"/>
    <w:rsid w:val="001D3C09"/>
    <w:rsid w:val="001D44E8"/>
    <w:rsid w:val="001D60EC"/>
    <w:rsid w:val="001E44DF"/>
    <w:rsid w:val="001E68A5"/>
    <w:rsid w:val="001E6BB0"/>
    <w:rsid w:val="001F2F18"/>
    <w:rsid w:val="001F3826"/>
    <w:rsid w:val="001F6E46"/>
    <w:rsid w:val="001F7C91"/>
    <w:rsid w:val="0020140B"/>
    <w:rsid w:val="0020335E"/>
    <w:rsid w:val="00206463"/>
    <w:rsid w:val="00206F2F"/>
    <w:rsid w:val="0021053D"/>
    <w:rsid w:val="00210A92"/>
    <w:rsid w:val="00216C03"/>
    <w:rsid w:val="00220C04"/>
    <w:rsid w:val="0022278D"/>
    <w:rsid w:val="00226024"/>
    <w:rsid w:val="0022701F"/>
    <w:rsid w:val="0023243D"/>
    <w:rsid w:val="002333F5"/>
    <w:rsid w:val="00233724"/>
    <w:rsid w:val="002432E1"/>
    <w:rsid w:val="002460A0"/>
    <w:rsid w:val="00246C5E"/>
    <w:rsid w:val="00251343"/>
    <w:rsid w:val="00254F58"/>
    <w:rsid w:val="002620BC"/>
    <w:rsid w:val="00262802"/>
    <w:rsid w:val="00263A90"/>
    <w:rsid w:val="0026408B"/>
    <w:rsid w:val="00266E15"/>
    <w:rsid w:val="00267988"/>
    <w:rsid w:val="00267C3E"/>
    <w:rsid w:val="002709BB"/>
    <w:rsid w:val="00271653"/>
    <w:rsid w:val="002763B3"/>
    <w:rsid w:val="002802E3"/>
    <w:rsid w:val="0028213D"/>
    <w:rsid w:val="002862F1"/>
    <w:rsid w:val="00291373"/>
    <w:rsid w:val="0029597D"/>
    <w:rsid w:val="002962C3"/>
    <w:rsid w:val="00296E0F"/>
    <w:rsid w:val="0029752B"/>
    <w:rsid w:val="002A483C"/>
    <w:rsid w:val="002A7496"/>
    <w:rsid w:val="002B1729"/>
    <w:rsid w:val="002B4DD4"/>
    <w:rsid w:val="002B4E41"/>
    <w:rsid w:val="002B5277"/>
    <w:rsid w:val="002B5375"/>
    <w:rsid w:val="002B77C1"/>
    <w:rsid w:val="002C2728"/>
    <w:rsid w:val="002D5006"/>
    <w:rsid w:val="002D68CA"/>
    <w:rsid w:val="002E01D0"/>
    <w:rsid w:val="002E161D"/>
    <w:rsid w:val="002E3100"/>
    <w:rsid w:val="002E5698"/>
    <w:rsid w:val="002E6C95"/>
    <w:rsid w:val="002E750C"/>
    <w:rsid w:val="002E7C36"/>
    <w:rsid w:val="002F5F31"/>
    <w:rsid w:val="002F5F46"/>
    <w:rsid w:val="00302216"/>
    <w:rsid w:val="00302322"/>
    <w:rsid w:val="00303E53"/>
    <w:rsid w:val="00304317"/>
    <w:rsid w:val="00306E5F"/>
    <w:rsid w:val="00307E14"/>
    <w:rsid w:val="00314054"/>
    <w:rsid w:val="00316F27"/>
    <w:rsid w:val="00327870"/>
    <w:rsid w:val="0033004D"/>
    <w:rsid w:val="003323DB"/>
    <w:rsid w:val="0033259D"/>
    <w:rsid w:val="003404B9"/>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B5290"/>
    <w:rsid w:val="003C11DA"/>
    <w:rsid w:val="003C2045"/>
    <w:rsid w:val="003C43A1"/>
    <w:rsid w:val="003C4FC0"/>
    <w:rsid w:val="003C55F4"/>
    <w:rsid w:val="003C7A3F"/>
    <w:rsid w:val="003D2766"/>
    <w:rsid w:val="003D2885"/>
    <w:rsid w:val="003D3E8F"/>
    <w:rsid w:val="003D6475"/>
    <w:rsid w:val="003F0445"/>
    <w:rsid w:val="003F0CF0"/>
    <w:rsid w:val="003F14B1"/>
    <w:rsid w:val="003F3289"/>
    <w:rsid w:val="00401FCF"/>
    <w:rsid w:val="00406285"/>
    <w:rsid w:val="004148F9"/>
    <w:rsid w:val="0042084E"/>
    <w:rsid w:val="00421EEF"/>
    <w:rsid w:val="00423A5B"/>
    <w:rsid w:val="00423ACA"/>
    <w:rsid w:val="00424D65"/>
    <w:rsid w:val="00442C6C"/>
    <w:rsid w:val="00443CBE"/>
    <w:rsid w:val="00443E8A"/>
    <w:rsid w:val="004441BC"/>
    <w:rsid w:val="004468B4"/>
    <w:rsid w:val="0045230A"/>
    <w:rsid w:val="00457337"/>
    <w:rsid w:val="0047372D"/>
    <w:rsid w:val="004743DD"/>
    <w:rsid w:val="00474CEA"/>
    <w:rsid w:val="00480AAB"/>
    <w:rsid w:val="00483968"/>
    <w:rsid w:val="00484F86"/>
    <w:rsid w:val="00490746"/>
    <w:rsid w:val="00490852"/>
    <w:rsid w:val="00492F30"/>
    <w:rsid w:val="004946F4"/>
    <w:rsid w:val="0049487E"/>
    <w:rsid w:val="004A0CCD"/>
    <w:rsid w:val="004A160D"/>
    <w:rsid w:val="004A3E81"/>
    <w:rsid w:val="004A5C62"/>
    <w:rsid w:val="004A707D"/>
    <w:rsid w:val="004C15AE"/>
    <w:rsid w:val="004C6EEE"/>
    <w:rsid w:val="004C702B"/>
    <w:rsid w:val="004D016B"/>
    <w:rsid w:val="004D1B22"/>
    <w:rsid w:val="004D36F2"/>
    <w:rsid w:val="004E138F"/>
    <w:rsid w:val="004E4649"/>
    <w:rsid w:val="004E5C2B"/>
    <w:rsid w:val="004F00DD"/>
    <w:rsid w:val="004F2133"/>
    <w:rsid w:val="004F55F1"/>
    <w:rsid w:val="004F6936"/>
    <w:rsid w:val="00503DC6"/>
    <w:rsid w:val="00504245"/>
    <w:rsid w:val="005056F2"/>
    <w:rsid w:val="00506F5D"/>
    <w:rsid w:val="00510B19"/>
    <w:rsid w:val="005126D0"/>
    <w:rsid w:val="0051568D"/>
    <w:rsid w:val="00526C15"/>
    <w:rsid w:val="0052720D"/>
    <w:rsid w:val="00536499"/>
    <w:rsid w:val="00543903"/>
    <w:rsid w:val="00543F11"/>
    <w:rsid w:val="00547A95"/>
    <w:rsid w:val="00550149"/>
    <w:rsid w:val="0057042A"/>
    <w:rsid w:val="00572031"/>
    <w:rsid w:val="005739F2"/>
    <w:rsid w:val="00574CA3"/>
    <w:rsid w:val="00576E84"/>
    <w:rsid w:val="00582B8C"/>
    <w:rsid w:val="0058757E"/>
    <w:rsid w:val="00596A4B"/>
    <w:rsid w:val="00597507"/>
    <w:rsid w:val="005A2FE7"/>
    <w:rsid w:val="005B21B6"/>
    <w:rsid w:val="005B3A08"/>
    <w:rsid w:val="005B7A63"/>
    <w:rsid w:val="005C0955"/>
    <w:rsid w:val="005C1FAA"/>
    <w:rsid w:val="005C49DA"/>
    <w:rsid w:val="005C50F3"/>
    <w:rsid w:val="005C5D91"/>
    <w:rsid w:val="005D07B8"/>
    <w:rsid w:val="005D6597"/>
    <w:rsid w:val="005E14E7"/>
    <w:rsid w:val="005E26A3"/>
    <w:rsid w:val="005E447E"/>
    <w:rsid w:val="005F0775"/>
    <w:rsid w:val="005F0CF5"/>
    <w:rsid w:val="005F172A"/>
    <w:rsid w:val="005F21EB"/>
    <w:rsid w:val="00605908"/>
    <w:rsid w:val="00610D7C"/>
    <w:rsid w:val="006127A9"/>
    <w:rsid w:val="00613414"/>
    <w:rsid w:val="006146F4"/>
    <w:rsid w:val="006224D6"/>
    <w:rsid w:val="0062408D"/>
    <w:rsid w:val="006240CC"/>
    <w:rsid w:val="006248AB"/>
    <w:rsid w:val="00627DA7"/>
    <w:rsid w:val="006357EA"/>
    <w:rsid w:val="006358B4"/>
    <w:rsid w:val="00641708"/>
    <w:rsid w:val="006419AA"/>
    <w:rsid w:val="00644B7E"/>
    <w:rsid w:val="006454E6"/>
    <w:rsid w:val="00646A68"/>
    <w:rsid w:val="0065092E"/>
    <w:rsid w:val="00651FC7"/>
    <w:rsid w:val="006557A7"/>
    <w:rsid w:val="00656290"/>
    <w:rsid w:val="006621D7"/>
    <w:rsid w:val="0066302A"/>
    <w:rsid w:val="00670597"/>
    <w:rsid w:val="006706D0"/>
    <w:rsid w:val="00676623"/>
    <w:rsid w:val="00677574"/>
    <w:rsid w:val="00680953"/>
    <w:rsid w:val="00683691"/>
    <w:rsid w:val="0068454C"/>
    <w:rsid w:val="00690921"/>
    <w:rsid w:val="00691B62"/>
    <w:rsid w:val="0069251C"/>
    <w:rsid w:val="00693D14"/>
    <w:rsid w:val="006A0D59"/>
    <w:rsid w:val="006A18C2"/>
    <w:rsid w:val="006A492F"/>
    <w:rsid w:val="006B077C"/>
    <w:rsid w:val="006B0DFD"/>
    <w:rsid w:val="006B2F24"/>
    <w:rsid w:val="006B4C1B"/>
    <w:rsid w:val="006B6803"/>
    <w:rsid w:val="006D2A3F"/>
    <w:rsid w:val="006D2FBC"/>
    <w:rsid w:val="006E138B"/>
    <w:rsid w:val="006F1FDC"/>
    <w:rsid w:val="007013EF"/>
    <w:rsid w:val="00701C7B"/>
    <w:rsid w:val="007071A5"/>
    <w:rsid w:val="007173CA"/>
    <w:rsid w:val="007216AA"/>
    <w:rsid w:val="00721AB5"/>
    <w:rsid w:val="00721DEF"/>
    <w:rsid w:val="00724A43"/>
    <w:rsid w:val="007346E4"/>
    <w:rsid w:val="00740F22"/>
    <w:rsid w:val="00741F1A"/>
    <w:rsid w:val="0074337D"/>
    <w:rsid w:val="007450F8"/>
    <w:rsid w:val="0074696E"/>
    <w:rsid w:val="00750135"/>
    <w:rsid w:val="00750EC2"/>
    <w:rsid w:val="00752B28"/>
    <w:rsid w:val="00754E36"/>
    <w:rsid w:val="00762879"/>
    <w:rsid w:val="00763139"/>
    <w:rsid w:val="0076613C"/>
    <w:rsid w:val="00770F37"/>
    <w:rsid w:val="007711A0"/>
    <w:rsid w:val="00772D5E"/>
    <w:rsid w:val="00776928"/>
    <w:rsid w:val="00782460"/>
    <w:rsid w:val="00785677"/>
    <w:rsid w:val="00786F16"/>
    <w:rsid w:val="00796E20"/>
    <w:rsid w:val="00797C32"/>
    <w:rsid w:val="007A7F88"/>
    <w:rsid w:val="007B0914"/>
    <w:rsid w:val="007B1374"/>
    <w:rsid w:val="007B1A42"/>
    <w:rsid w:val="007B3F28"/>
    <w:rsid w:val="007B589F"/>
    <w:rsid w:val="007B6186"/>
    <w:rsid w:val="007B73BC"/>
    <w:rsid w:val="007C0AA6"/>
    <w:rsid w:val="007C20B9"/>
    <w:rsid w:val="007C7301"/>
    <w:rsid w:val="007C7859"/>
    <w:rsid w:val="007D2BDE"/>
    <w:rsid w:val="007D2FB6"/>
    <w:rsid w:val="007E0DE2"/>
    <w:rsid w:val="007E3B98"/>
    <w:rsid w:val="007E55F7"/>
    <w:rsid w:val="007F31B6"/>
    <w:rsid w:val="007F465E"/>
    <w:rsid w:val="007F546C"/>
    <w:rsid w:val="007F625F"/>
    <w:rsid w:val="007F665E"/>
    <w:rsid w:val="00800412"/>
    <w:rsid w:val="00804EB8"/>
    <w:rsid w:val="0080587B"/>
    <w:rsid w:val="00806468"/>
    <w:rsid w:val="008149D0"/>
    <w:rsid w:val="008155F0"/>
    <w:rsid w:val="00816735"/>
    <w:rsid w:val="00820141"/>
    <w:rsid w:val="00820E0C"/>
    <w:rsid w:val="008338A2"/>
    <w:rsid w:val="0083626A"/>
    <w:rsid w:val="00841AA9"/>
    <w:rsid w:val="00850E85"/>
    <w:rsid w:val="008538A3"/>
    <w:rsid w:val="00853EE4"/>
    <w:rsid w:val="00855535"/>
    <w:rsid w:val="00861AC8"/>
    <w:rsid w:val="0086255E"/>
    <w:rsid w:val="008633F0"/>
    <w:rsid w:val="00864E3E"/>
    <w:rsid w:val="00867D9D"/>
    <w:rsid w:val="00871CAD"/>
    <w:rsid w:val="00872E0A"/>
    <w:rsid w:val="00875285"/>
    <w:rsid w:val="008825FD"/>
    <w:rsid w:val="00884B62"/>
    <w:rsid w:val="0088529C"/>
    <w:rsid w:val="00887903"/>
    <w:rsid w:val="0089270A"/>
    <w:rsid w:val="00893AF6"/>
    <w:rsid w:val="00894BC4"/>
    <w:rsid w:val="008967C6"/>
    <w:rsid w:val="008A1E94"/>
    <w:rsid w:val="008A5B32"/>
    <w:rsid w:val="008A5DAD"/>
    <w:rsid w:val="008B2EE4"/>
    <w:rsid w:val="008B4D3D"/>
    <w:rsid w:val="008B57C7"/>
    <w:rsid w:val="008C2F92"/>
    <w:rsid w:val="008C7EEB"/>
    <w:rsid w:val="008D0288"/>
    <w:rsid w:val="008D1179"/>
    <w:rsid w:val="008D11A3"/>
    <w:rsid w:val="008D4236"/>
    <w:rsid w:val="008D462F"/>
    <w:rsid w:val="008D6DCF"/>
    <w:rsid w:val="008D792D"/>
    <w:rsid w:val="008D7D60"/>
    <w:rsid w:val="008E35A2"/>
    <w:rsid w:val="008E4376"/>
    <w:rsid w:val="008E5956"/>
    <w:rsid w:val="008E7A0A"/>
    <w:rsid w:val="008F3E9C"/>
    <w:rsid w:val="00900719"/>
    <w:rsid w:val="009017AC"/>
    <w:rsid w:val="00904A1C"/>
    <w:rsid w:val="00905030"/>
    <w:rsid w:val="009060CD"/>
    <w:rsid w:val="00906490"/>
    <w:rsid w:val="009111B2"/>
    <w:rsid w:val="00913B40"/>
    <w:rsid w:val="00924AE1"/>
    <w:rsid w:val="009269B1"/>
    <w:rsid w:val="0092724D"/>
    <w:rsid w:val="00937BD9"/>
    <w:rsid w:val="00950E2C"/>
    <w:rsid w:val="00951D50"/>
    <w:rsid w:val="009525EB"/>
    <w:rsid w:val="00954874"/>
    <w:rsid w:val="00956AB6"/>
    <w:rsid w:val="00961400"/>
    <w:rsid w:val="00963646"/>
    <w:rsid w:val="00983777"/>
    <w:rsid w:val="009853E1"/>
    <w:rsid w:val="00986CC8"/>
    <w:rsid w:val="00986E6B"/>
    <w:rsid w:val="00991769"/>
    <w:rsid w:val="00994386"/>
    <w:rsid w:val="009945E7"/>
    <w:rsid w:val="009A13D8"/>
    <w:rsid w:val="009A279E"/>
    <w:rsid w:val="009B0A6F"/>
    <w:rsid w:val="009B0A94"/>
    <w:rsid w:val="009B27A2"/>
    <w:rsid w:val="009B59E9"/>
    <w:rsid w:val="009B5CC1"/>
    <w:rsid w:val="009B70AA"/>
    <w:rsid w:val="009C2773"/>
    <w:rsid w:val="009C45F5"/>
    <w:rsid w:val="009C7A7E"/>
    <w:rsid w:val="009D02E8"/>
    <w:rsid w:val="009D51D0"/>
    <w:rsid w:val="009D6978"/>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3147B"/>
    <w:rsid w:val="00A44882"/>
    <w:rsid w:val="00A54715"/>
    <w:rsid w:val="00A6061C"/>
    <w:rsid w:val="00A62D44"/>
    <w:rsid w:val="00A63795"/>
    <w:rsid w:val="00A67263"/>
    <w:rsid w:val="00A7161C"/>
    <w:rsid w:val="00A750C9"/>
    <w:rsid w:val="00A77AA3"/>
    <w:rsid w:val="00A8141B"/>
    <w:rsid w:val="00A854EB"/>
    <w:rsid w:val="00A872E5"/>
    <w:rsid w:val="00A91406"/>
    <w:rsid w:val="00A9323D"/>
    <w:rsid w:val="00A96E65"/>
    <w:rsid w:val="00A97C72"/>
    <w:rsid w:val="00AA63D4"/>
    <w:rsid w:val="00AB06E8"/>
    <w:rsid w:val="00AB1CD3"/>
    <w:rsid w:val="00AB352F"/>
    <w:rsid w:val="00AC00F0"/>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337E4"/>
    <w:rsid w:val="00B423F3"/>
    <w:rsid w:val="00B431E8"/>
    <w:rsid w:val="00B45141"/>
    <w:rsid w:val="00B5273A"/>
    <w:rsid w:val="00B54A62"/>
    <w:rsid w:val="00B62B50"/>
    <w:rsid w:val="00B635B7"/>
    <w:rsid w:val="00B63AE8"/>
    <w:rsid w:val="00B65950"/>
    <w:rsid w:val="00B66D83"/>
    <w:rsid w:val="00B672C0"/>
    <w:rsid w:val="00B71560"/>
    <w:rsid w:val="00B75646"/>
    <w:rsid w:val="00B90729"/>
    <w:rsid w:val="00B907DA"/>
    <w:rsid w:val="00B950BC"/>
    <w:rsid w:val="00B9714C"/>
    <w:rsid w:val="00BA3F8D"/>
    <w:rsid w:val="00BA504A"/>
    <w:rsid w:val="00BA5A31"/>
    <w:rsid w:val="00BA73E2"/>
    <w:rsid w:val="00BB065F"/>
    <w:rsid w:val="00BB7A10"/>
    <w:rsid w:val="00BC188C"/>
    <w:rsid w:val="00BC7468"/>
    <w:rsid w:val="00BC7D4F"/>
    <w:rsid w:val="00BC7ED7"/>
    <w:rsid w:val="00BD222E"/>
    <w:rsid w:val="00BD2850"/>
    <w:rsid w:val="00BD3B4C"/>
    <w:rsid w:val="00BE28D2"/>
    <w:rsid w:val="00BE3B7A"/>
    <w:rsid w:val="00BE4A64"/>
    <w:rsid w:val="00BF023A"/>
    <w:rsid w:val="00BF7F58"/>
    <w:rsid w:val="00C01381"/>
    <w:rsid w:val="00C079B8"/>
    <w:rsid w:val="00C07B0C"/>
    <w:rsid w:val="00C123EA"/>
    <w:rsid w:val="00C12A49"/>
    <w:rsid w:val="00C133EE"/>
    <w:rsid w:val="00C207E3"/>
    <w:rsid w:val="00C27DE9"/>
    <w:rsid w:val="00C33388"/>
    <w:rsid w:val="00C35484"/>
    <w:rsid w:val="00C4173A"/>
    <w:rsid w:val="00C4444F"/>
    <w:rsid w:val="00C446D2"/>
    <w:rsid w:val="00C47F1C"/>
    <w:rsid w:val="00C5078A"/>
    <w:rsid w:val="00C52CC3"/>
    <w:rsid w:val="00C602FF"/>
    <w:rsid w:val="00C60FE3"/>
    <w:rsid w:val="00C61174"/>
    <w:rsid w:val="00C6148F"/>
    <w:rsid w:val="00C62F7A"/>
    <w:rsid w:val="00C63958"/>
    <w:rsid w:val="00C63B9C"/>
    <w:rsid w:val="00C6682F"/>
    <w:rsid w:val="00C7275E"/>
    <w:rsid w:val="00C74C5D"/>
    <w:rsid w:val="00C863C4"/>
    <w:rsid w:val="00C93C3E"/>
    <w:rsid w:val="00CA12E3"/>
    <w:rsid w:val="00CA3945"/>
    <w:rsid w:val="00CA6611"/>
    <w:rsid w:val="00CA6AE6"/>
    <w:rsid w:val="00CA782F"/>
    <w:rsid w:val="00CC0C72"/>
    <w:rsid w:val="00CC2BFD"/>
    <w:rsid w:val="00CD3476"/>
    <w:rsid w:val="00CD64DF"/>
    <w:rsid w:val="00CE435E"/>
    <w:rsid w:val="00CE4F6B"/>
    <w:rsid w:val="00CF2F50"/>
    <w:rsid w:val="00D02919"/>
    <w:rsid w:val="00D04C61"/>
    <w:rsid w:val="00D05B8D"/>
    <w:rsid w:val="00D0602F"/>
    <w:rsid w:val="00D065A2"/>
    <w:rsid w:val="00D07F00"/>
    <w:rsid w:val="00D1707D"/>
    <w:rsid w:val="00D17B72"/>
    <w:rsid w:val="00D22EC4"/>
    <w:rsid w:val="00D302E4"/>
    <w:rsid w:val="00D3185C"/>
    <w:rsid w:val="00D33E72"/>
    <w:rsid w:val="00D34E60"/>
    <w:rsid w:val="00D35BD6"/>
    <w:rsid w:val="00D361B5"/>
    <w:rsid w:val="00D411A2"/>
    <w:rsid w:val="00D4606D"/>
    <w:rsid w:val="00D50093"/>
    <w:rsid w:val="00D50B9C"/>
    <w:rsid w:val="00D52D73"/>
    <w:rsid w:val="00D52E58"/>
    <w:rsid w:val="00D714CC"/>
    <w:rsid w:val="00D75EA7"/>
    <w:rsid w:val="00D81F21"/>
    <w:rsid w:val="00D95470"/>
    <w:rsid w:val="00D96B98"/>
    <w:rsid w:val="00D97972"/>
    <w:rsid w:val="00D97C7E"/>
    <w:rsid w:val="00DA2619"/>
    <w:rsid w:val="00DA312E"/>
    <w:rsid w:val="00DA4239"/>
    <w:rsid w:val="00DB0B61"/>
    <w:rsid w:val="00DB3B30"/>
    <w:rsid w:val="00DB6598"/>
    <w:rsid w:val="00DC090B"/>
    <w:rsid w:val="00DC1679"/>
    <w:rsid w:val="00DC2CF1"/>
    <w:rsid w:val="00DC4FCF"/>
    <w:rsid w:val="00DC50E0"/>
    <w:rsid w:val="00DC6386"/>
    <w:rsid w:val="00DC73FA"/>
    <w:rsid w:val="00DD1130"/>
    <w:rsid w:val="00DD1951"/>
    <w:rsid w:val="00DD6347"/>
    <w:rsid w:val="00DD6628"/>
    <w:rsid w:val="00DE3250"/>
    <w:rsid w:val="00DE6028"/>
    <w:rsid w:val="00DE61C8"/>
    <w:rsid w:val="00DE78A3"/>
    <w:rsid w:val="00DF1A71"/>
    <w:rsid w:val="00DF68C7"/>
    <w:rsid w:val="00DF731A"/>
    <w:rsid w:val="00E05BD4"/>
    <w:rsid w:val="00E170DC"/>
    <w:rsid w:val="00E26818"/>
    <w:rsid w:val="00E27FFC"/>
    <w:rsid w:val="00E30B15"/>
    <w:rsid w:val="00E322F3"/>
    <w:rsid w:val="00E35FA2"/>
    <w:rsid w:val="00E40181"/>
    <w:rsid w:val="00E43626"/>
    <w:rsid w:val="00E629A1"/>
    <w:rsid w:val="00E71591"/>
    <w:rsid w:val="00E82C55"/>
    <w:rsid w:val="00E91A19"/>
    <w:rsid w:val="00E92AC3"/>
    <w:rsid w:val="00EA19EC"/>
    <w:rsid w:val="00EA21A8"/>
    <w:rsid w:val="00EB00E0"/>
    <w:rsid w:val="00EB1477"/>
    <w:rsid w:val="00EC059F"/>
    <w:rsid w:val="00EC1F24"/>
    <w:rsid w:val="00EC22F6"/>
    <w:rsid w:val="00EC4C7F"/>
    <w:rsid w:val="00EC6A73"/>
    <w:rsid w:val="00ED5B9B"/>
    <w:rsid w:val="00ED6BAD"/>
    <w:rsid w:val="00ED7447"/>
    <w:rsid w:val="00EE1488"/>
    <w:rsid w:val="00EE4D5D"/>
    <w:rsid w:val="00EE5131"/>
    <w:rsid w:val="00EF109B"/>
    <w:rsid w:val="00EF36AF"/>
    <w:rsid w:val="00EF3DC6"/>
    <w:rsid w:val="00F00F9C"/>
    <w:rsid w:val="00F01E5F"/>
    <w:rsid w:val="00F02ABA"/>
    <w:rsid w:val="00F0437A"/>
    <w:rsid w:val="00F04BAB"/>
    <w:rsid w:val="00F074C3"/>
    <w:rsid w:val="00F07A20"/>
    <w:rsid w:val="00F11037"/>
    <w:rsid w:val="00F14DCB"/>
    <w:rsid w:val="00F15EDE"/>
    <w:rsid w:val="00F16F1B"/>
    <w:rsid w:val="00F250A9"/>
    <w:rsid w:val="00F30FF4"/>
    <w:rsid w:val="00F3122E"/>
    <w:rsid w:val="00F331AD"/>
    <w:rsid w:val="00F35287"/>
    <w:rsid w:val="00F41D15"/>
    <w:rsid w:val="00F43A37"/>
    <w:rsid w:val="00F4641B"/>
    <w:rsid w:val="00F46EB8"/>
    <w:rsid w:val="00F511E4"/>
    <w:rsid w:val="00F52D09"/>
    <w:rsid w:val="00F52E08"/>
    <w:rsid w:val="00F55B21"/>
    <w:rsid w:val="00F56EF6"/>
    <w:rsid w:val="00F61A9F"/>
    <w:rsid w:val="00F630F1"/>
    <w:rsid w:val="00F64696"/>
    <w:rsid w:val="00F65AA9"/>
    <w:rsid w:val="00F6768F"/>
    <w:rsid w:val="00F72C2C"/>
    <w:rsid w:val="00F76CAB"/>
    <w:rsid w:val="00F772C6"/>
    <w:rsid w:val="00F815B5"/>
    <w:rsid w:val="00F85195"/>
    <w:rsid w:val="00F938BA"/>
    <w:rsid w:val="00FA2C46"/>
    <w:rsid w:val="00FA3525"/>
    <w:rsid w:val="00FA5BA6"/>
    <w:rsid w:val="00FB3E4B"/>
    <w:rsid w:val="00FB4CDA"/>
    <w:rsid w:val="00FC0F81"/>
    <w:rsid w:val="00FC395C"/>
    <w:rsid w:val="00FD3766"/>
    <w:rsid w:val="00FD47C4"/>
    <w:rsid w:val="00FE145D"/>
    <w:rsid w:val="00FE22B1"/>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C07B0C"/>
    <w:rPr>
      <w:rFonts w:ascii="Tahoma" w:hAnsi="Tahoma" w:cs="Tahoma"/>
      <w:sz w:val="16"/>
      <w:szCs w:val="16"/>
    </w:rPr>
  </w:style>
  <w:style w:type="character" w:customStyle="1" w:styleId="BalloonTextChar">
    <w:name w:val="Balloon Text Char"/>
    <w:basedOn w:val="DefaultParagraphFont"/>
    <w:link w:val="BalloonText"/>
    <w:uiPriority w:val="99"/>
    <w:semiHidden/>
    <w:rsid w:val="00C07B0C"/>
    <w:rPr>
      <w:rFonts w:ascii="Tahoma" w:hAnsi="Tahoma" w:cs="Tahoma"/>
      <w:sz w:val="16"/>
      <w:szCs w:val="16"/>
      <w:lang w:eastAsia="en-US"/>
    </w:rPr>
  </w:style>
  <w:style w:type="paragraph" w:styleId="ListParagraph">
    <w:name w:val="List Paragraph"/>
    <w:basedOn w:val="Normal"/>
    <w:uiPriority w:val="34"/>
    <w:qFormat/>
    <w:rsid w:val="007B1A4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3404B9"/>
    <w:pPr>
      <w:autoSpaceDE w:val="0"/>
      <w:autoSpaceDN w:val="0"/>
      <w:adjustRightInd w:val="0"/>
    </w:pPr>
    <w:rPr>
      <w:rFonts w:eastAsiaTheme="minorHAnsi"/>
      <w:color w:val="000000"/>
      <w:sz w:val="24"/>
      <w:szCs w:val="24"/>
      <w:lang w:eastAsia="en-US"/>
    </w:rPr>
  </w:style>
  <w:style w:type="paragraph" w:styleId="NoSpacing">
    <w:name w:val="No Spacing"/>
    <w:uiPriority w:val="1"/>
    <w:qFormat/>
    <w:rsid w:val="00A750C9"/>
    <w:rPr>
      <w:rFonts w:asciiTheme="minorHAnsi" w:eastAsiaTheme="minorHAnsi" w:hAnsiTheme="minorHAnsi" w:cstheme="minorBidi"/>
      <w:sz w:val="22"/>
      <w:szCs w:val="22"/>
      <w:lang w:eastAsia="en-US"/>
    </w:rPr>
  </w:style>
  <w:style w:type="numbering" w:customStyle="1" w:styleId="Numbers">
    <w:name w:val="Numbers"/>
    <w:rsid w:val="00861AC8"/>
    <w:pPr>
      <w:numPr>
        <w:numId w:val="31"/>
      </w:numPr>
    </w:pPr>
  </w:style>
  <w:style w:type="numbering" w:customStyle="1" w:styleId="Bullets">
    <w:name w:val="Bullets"/>
    <w:rsid w:val="00864E3E"/>
    <w:pPr>
      <w:numPr>
        <w:numId w:val="36"/>
      </w:numPr>
    </w:pPr>
  </w:style>
  <w:style w:type="character" w:customStyle="1" w:styleId="DHHSbodyChar">
    <w:name w:val="DHHS body Char"/>
    <w:link w:val="DHHSbody"/>
    <w:rsid w:val="00864E3E"/>
    <w:rPr>
      <w:rFonts w:ascii="Arial" w:eastAsia="Times"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C07B0C"/>
    <w:rPr>
      <w:rFonts w:ascii="Tahoma" w:hAnsi="Tahoma" w:cs="Tahoma"/>
      <w:sz w:val="16"/>
      <w:szCs w:val="16"/>
    </w:rPr>
  </w:style>
  <w:style w:type="character" w:customStyle="1" w:styleId="BalloonTextChar">
    <w:name w:val="Balloon Text Char"/>
    <w:basedOn w:val="DefaultParagraphFont"/>
    <w:link w:val="BalloonText"/>
    <w:uiPriority w:val="99"/>
    <w:semiHidden/>
    <w:rsid w:val="00C07B0C"/>
    <w:rPr>
      <w:rFonts w:ascii="Tahoma" w:hAnsi="Tahoma" w:cs="Tahoma"/>
      <w:sz w:val="16"/>
      <w:szCs w:val="16"/>
      <w:lang w:eastAsia="en-US"/>
    </w:rPr>
  </w:style>
  <w:style w:type="paragraph" w:styleId="ListParagraph">
    <w:name w:val="List Paragraph"/>
    <w:basedOn w:val="Normal"/>
    <w:uiPriority w:val="34"/>
    <w:qFormat/>
    <w:rsid w:val="007B1A4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3404B9"/>
    <w:pPr>
      <w:autoSpaceDE w:val="0"/>
      <w:autoSpaceDN w:val="0"/>
      <w:adjustRightInd w:val="0"/>
    </w:pPr>
    <w:rPr>
      <w:rFonts w:eastAsiaTheme="minorHAnsi"/>
      <w:color w:val="000000"/>
      <w:sz w:val="24"/>
      <w:szCs w:val="24"/>
      <w:lang w:eastAsia="en-US"/>
    </w:rPr>
  </w:style>
  <w:style w:type="paragraph" w:styleId="NoSpacing">
    <w:name w:val="No Spacing"/>
    <w:uiPriority w:val="1"/>
    <w:qFormat/>
    <w:rsid w:val="00A750C9"/>
    <w:rPr>
      <w:rFonts w:asciiTheme="minorHAnsi" w:eastAsiaTheme="minorHAnsi" w:hAnsiTheme="minorHAnsi" w:cstheme="minorBidi"/>
      <w:sz w:val="22"/>
      <w:szCs w:val="22"/>
      <w:lang w:eastAsia="en-US"/>
    </w:rPr>
  </w:style>
  <w:style w:type="numbering" w:customStyle="1" w:styleId="Numbers">
    <w:name w:val="Numbers"/>
    <w:rsid w:val="00861AC8"/>
    <w:pPr>
      <w:numPr>
        <w:numId w:val="31"/>
      </w:numPr>
    </w:pPr>
  </w:style>
  <w:style w:type="numbering" w:customStyle="1" w:styleId="Bullets">
    <w:name w:val="Bullets"/>
    <w:rsid w:val="00864E3E"/>
    <w:pPr>
      <w:numPr>
        <w:numId w:val="36"/>
      </w:numPr>
    </w:pPr>
  </w:style>
  <w:style w:type="character" w:customStyle="1" w:styleId="DHHSbodyChar">
    <w:name w:val="DHHS body Char"/>
    <w:link w:val="DHHSbody"/>
    <w:rsid w:val="00864E3E"/>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C:\Users\cbid0401\AppData\Local\Microsoft\Windows\INetCache\IE\YWWRS8SV\hsstandards@dhhs.vic.gov.a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6%20Pink%20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2FD1042-9DCE-4A15-B6E0-C04B775EA80A}">
  <ds:schemaRefs>
    <ds:schemaRef ds:uri="http://schemas.openxmlformats.org/officeDocument/2006/bibliography"/>
  </ds:schemaRefs>
</ds:datastoreItem>
</file>

<file path=customXml/itemProps2.xml><?xml version="1.0" encoding="utf-8"?>
<ds:datastoreItem xmlns:ds="http://schemas.openxmlformats.org/officeDocument/2006/customXml" ds:itemID="{2AC8AAEC-A5D0-4A1B-B01E-216504F12A3E}"/>
</file>

<file path=customXml/itemProps3.xml><?xml version="1.0" encoding="utf-8"?>
<ds:datastoreItem xmlns:ds="http://schemas.openxmlformats.org/officeDocument/2006/customXml" ds:itemID="{10139EB8-F62E-4903-8750-2B27D5CEEC44}"/>
</file>

<file path=customXml/itemProps4.xml><?xml version="1.0" encoding="utf-8"?>
<ds:datastoreItem xmlns:ds="http://schemas.openxmlformats.org/officeDocument/2006/customXml" ds:itemID="{AF724471-4C93-46FF-97E2-F977BB4CD6FC}"/>
</file>

<file path=docProps/app.xml><?xml version="1.0" encoding="utf-8"?>
<Properties xmlns="http://schemas.openxmlformats.org/officeDocument/2006/extended-properties" xmlns:vt="http://schemas.openxmlformats.org/officeDocument/2006/docPropsVTypes">
  <Template>DHHS Factsheet 06 Pink 199.dot</Template>
  <TotalTime>2</TotalTime>
  <Pages>10</Pages>
  <Words>2680</Words>
  <Characters>16904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IRB Themes Survey Oct 2016 to March 2017</vt:lpstr>
    </vt:vector>
  </TitlesOfParts>
  <Company>Department of Health and Human Services</Company>
  <LinksUpToDate>false</LinksUpToDate>
  <CharactersWithSpaces>19545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Themes Survey Oct 2016 to March 2017</dc:title>
  <dc:subject>independent review bodies, themes</dc:subject>
  <dc:creator>Department of Health and Human Services</dc:creator>
  <cp:lastModifiedBy>Chris Biddle</cp:lastModifiedBy>
  <cp:revision>2</cp:revision>
  <cp:lastPrinted>2017-06-28T01:49:00Z</cp:lastPrinted>
  <dcterms:created xsi:type="dcterms:W3CDTF">2017-07-07T04:40:00Z</dcterms:created>
  <dcterms:modified xsi:type="dcterms:W3CDTF">2017-07-07T04:40:00Z</dcterms:modified>
  <cp:category>survey results, independenet review themes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