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CF59" w14:textId="77777777" w:rsidR="00701681" w:rsidRDefault="00000000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07E2BCD9" wp14:editId="2073776C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01681" w14:paraId="07D9CB72" w14:textId="77777777">
        <w:tc>
          <w:tcPr>
            <w:tcW w:w="10206" w:type="dxa"/>
            <w:shd w:val="clear" w:color="auto" w:fill="FFFFFF"/>
            <w:vAlign w:val="bottom"/>
          </w:tcPr>
          <w:p w14:paraId="23E55D41" w14:textId="77777777" w:rsidR="00701681" w:rsidRDefault="00701681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31374AE0" w14:textId="77777777" w:rsidR="00701681" w:rsidRPr="00470260" w:rsidRDefault="00000000" w:rsidP="00470260">
            <w:pPr>
              <w:pStyle w:val="Heading1"/>
            </w:pPr>
            <w:proofErr w:type="spellStart"/>
            <w:r w:rsidRPr="00470260">
              <w:t>Immunisation</w:t>
            </w:r>
            <w:proofErr w:type="spellEnd"/>
            <w:r w:rsidRPr="00470260">
              <w:t xml:space="preserve"> Services</w:t>
            </w:r>
          </w:p>
          <w:p w14:paraId="3140390F" w14:textId="77777777" w:rsidR="00701681" w:rsidRDefault="00000000" w:rsidP="00470260">
            <w:pPr>
              <w:pStyle w:val="Heading1"/>
            </w:pPr>
            <w:r w:rsidRPr="00470260">
              <w:t>16084</w:t>
            </w:r>
          </w:p>
        </w:tc>
      </w:tr>
      <w:tr w:rsidR="00701681" w14:paraId="0D858718" w14:textId="77777777">
        <w:tc>
          <w:tcPr>
            <w:tcW w:w="10206" w:type="dxa"/>
            <w:shd w:val="clear" w:color="auto" w:fill="FFFFFF"/>
          </w:tcPr>
          <w:p w14:paraId="495E8378" w14:textId="77777777" w:rsidR="00701681" w:rsidRPr="00470260" w:rsidRDefault="00000000" w:rsidP="00470260">
            <w:pPr>
              <w:pStyle w:val="Subtitle"/>
            </w:pPr>
            <w:r w:rsidRPr="00470260">
              <w:t xml:space="preserve">Outcome objective: Victorians are healthy and </w:t>
            </w:r>
            <w:proofErr w:type="gramStart"/>
            <w:r w:rsidRPr="00470260">
              <w:t>well</w:t>
            </w:r>
            <w:proofErr w:type="gramEnd"/>
          </w:p>
          <w:p w14:paraId="49E66F21" w14:textId="77777777" w:rsidR="00701681" w:rsidRPr="00470260" w:rsidRDefault="00000000" w:rsidP="00470260">
            <w:pPr>
              <w:pStyle w:val="Subtitle"/>
            </w:pPr>
            <w:r w:rsidRPr="00470260">
              <w:t>Output group: Public Health</w:t>
            </w:r>
          </w:p>
          <w:p w14:paraId="28422B58" w14:textId="77777777" w:rsidR="00701681" w:rsidRDefault="00000000" w:rsidP="00470260">
            <w:pPr>
              <w:pStyle w:val="Subtitle"/>
            </w:pPr>
            <w:r w:rsidRPr="00470260">
              <w:t>Output: Health Protection</w:t>
            </w:r>
          </w:p>
        </w:tc>
      </w:tr>
    </w:tbl>
    <w:p w14:paraId="569C5911" w14:textId="77777777" w:rsidR="00701681" w:rsidRDefault="00000000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4711C79A" w14:textId="77777777" w:rsidR="00701681" w:rsidRPr="00470260" w:rsidRDefault="00000000" w:rsidP="00470260">
      <w:pPr>
        <w:pStyle w:val="Heading2"/>
      </w:pPr>
      <w:r w:rsidRPr="00470260">
        <w:t>1. Service objective</w:t>
      </w:r>
    </w:p>
    <w:p w14:paraId="10234467" w14:textId="77777777" w:rsidR="00701681" w:rsidRDefault="0000000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support the Strategic Priorities of the National </w:t>
      </w:r>
      <w:proofErr w:type="spellStart"/>
      <w:r>
        <w:rPr>
          <w:rFonts w:ascii="Arial" w:eastAsia="Arial" w:hAnsi="Arial" w:cs="Arial"/>
          <w:color w:val="000000"/>
          <w:sz w:val="20"/>
        </w:rPr>
        <w:t>Immunisation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Strategy for Australia, including the maintenance and improvement of childhood and adolescent vaccination coverage rates in Victoria.</w:t>
      </w:r>
    </w:p>
    <w:p w14:paraId="3403D4A6" w14:textId="77777777" w:rsidR="00701681" w:rsidRDefault="00000000" w:rsidP="00470260">
      <w:pPr>
        <w:pStyle w:val="Heading2"/>
      </w:pPr>
      <w:r>
        <w:t>2. Description of the service</w:t>
      </w:r>
    </w:p>
    <w:p w14:paraId="1201A4BF" w14:textId="77777777" w:rsidR="00701681" w:rsidRDefault="0000000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provide funding to Victorian </w:t>
      </w:r>
      <w:proofErr w:type="spellStart"/>
      <w:r>
        <w:rPr>
          <w:rFonts w:ascii="Arial" w:eastAsia="Arial" w:hAnsi="Arial" w:cs="Arial"/>
          <w:color w:val="000000"/>
          <w:sz w:val="20"/>
        </w:rPr>
        <w:t>immunisation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services for the delivery of the National </w:t>
      </w:r>
      <w:proofErr w:type="spellStart"/>
      <w:r>
        <w:rPr>
          <w:rFonts w:ascii="Arial" w:eastAsia="Arial" w:hAnsi="Arial" w:cs="Arial"/>
          <w:color w:val="000000"/>
          <w:sz w:val="20"/>
        </w:rPr>
        <w:t>Immunisation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Program, including childhood and adolescent </w:t>
      </w:r>
      <w:proofErr w:type="spellStart"/>
      <w:r>
        <w:rPr>
          <w:rFonts w:ascii="Arial" w:eastAsia="Arial" w:hAnsi="Arial" w:cs="Arial"/>
          <w:color w:val="000000"/>
          <w:sz w:val="20"/>
        </w:rPr>
        <w:t>immunisation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coverage and associated activities.</w:t>
      </w:r>
    </w:p>
    <w:p w14:paraId="6419EEF4" w14:textId="77777777" w:rsidR="00701681" w:rsidRDefault="00000000" w:rsidP="00470260">
      <w:pPr>
        <w:pStyle w:val="Heading2"/>
      </w:pPr>
      <w:r>
        <w:t>3. Client group</w:t>
      </w:r>
    </w:p>
    <w:p w14:paraId="51F0EFFD" w14:textId="77777777" w:rsidR="00701681" w:rsidRDefault="0000000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client groups this activity is targeted are recipients of the National </w:t>
      </w:r>
      <w:proofErr w:type="spellStart"/>
      <w:r>
        <w:rPr>
          <w:rFonts w:ascii="Arial" w:eastAsia="Arial" w:hAnsi="Arial" w:cs="Arial"/>
          <w:color w:val="000000"/>
          <w:sz w:val="20"/>
        </w:rPr>
        <w:t>Immunisation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Program.</w:t>
      </w:r>
    </w:p>
    <w:p w14:paraId="2333A596" w14:textId="77777777" w:rsidR="00701681" w:rsidRDefault="00000000" w:rsidP="00470260">
      <w:pPr>
        <w:pStyle w:val="Heading2"/>
      </w:pPr>
      <w:r>
        <w:t>4. Obligations specific to this activity</w:t>
      </w:r>
    </w:p>
    <w:p w14:paraId="0F643BD2" w14:textId="77777777" w:rsidR="00701681" w:rsidRDefault="0000000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13578FFA" w14:textId="77777777" w:rsidR="00701681" w:rsidRPr="00470260" w:rsidRDefault="00000000" w:rsidP="00470260">
      <w:pPr>
        <w:pStyle w:val="Heading3"/>
      </w:pPr>
      <w:r w:rsidRPr="00470260">
        <w:t>4a. Registration and Accreditation</w:t>
      </w:r>
    </w:p>
    <w:p w14:paraId="213B3580" w14:textId="77777777" w:rsidR="00701681" w:rsidRDefault="00000000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77803482" w14:textId="77777777" w:rsidR="00701681" w:rsidRDefault="00000000" w:rsidP="00470260">
      <w:pPr>
        <w:pStyle w:val="Heading3"/>
        <w:rPr>
          <w:color w:val="000000"/>
        </w:rPr>
      </w:pPr>
      <w:r>
        <w:t>4b. Program requirements and other policy guidelines</w:t>
      </w:r>
    </w:p>
    <w:p w14:paraId="0C6B443C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 xml:space="preserve">Guidelines for </w:t>
        </w:r>
        <w:proofErr w:type="spellStart"/>
        <w:r>
          <w:rPr>
            <w:rFonts w:ascii="Arial" w:eastAsia="Arial" w:hAnsi="Arial" w:cs="Arial"/>
            <w:color w:val="3366FF"/>
            <w:sz w:val="20"/>
          </w:rPr>
          <w:t>Immunisation</w:t>
        </w:r>
        <w:proofErr w:type="spellEnd"/>
        <w:r>
          <w:rPr>
            <w:rFonts w:ascii="Arial" w:eastAsia="Arial" w:hAnsi="Arial" w:cs="Arial"/>
            <w:color w:val="3366FF"/>
            <w:sz w:val="20"/>
          </w:rPr>
          <w:t xml:space="preserve"> practice in local governments</w:t>
        </w:r>
      </w:hyperlink>
    </w:p>
    <w:p w14:paraId="0A255F95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&lt;https://www.health.vic.gov.au/guidelines-for-immunisation-practice-in-local-governments&gt;</w:t>
      </w:r>
    </w:p>
    <w:p w14:paraId="56D089EE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 xml:space="preserve">Australian </w:t>
        </w:r>
        <w:proofErr w:type="spellStart"/>
        <w:r>
          <w:rPr>
            <w:rFonts w:ascii="Arial" w:eastAsia="Arial" w:hAnsi="Arial" w:cs="Arial"/>
            <w:color w:val="3366FF"/>
            <w:sz w:val="20"/>
          </w:rPr>
          <w:t>Immunisation</w:t>
        </w:r>
        <w:proofErr w:type="spellEnd"/>
        <w:r>
          <w:rPr>
            <w:rFonts w:ascii="Arial" w:eastAsia="Arial" w:hAnsi="Arial" w:cs="Arial"/>
            <w:color w:val="3366FF"/>
            <w:sz w:val="20"/>
          </w:rPr>
          <w:t xml:space="preserve"> Handbook (current online edition)</w:t>
        </w:r>
      </w:hyperlink>
    </w:p>
    <w:p w14:paraId="19484F26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&lt;https://immunisationhandbook.health.gov.au&gt;</w:t>
      </w:r>
    </w:p>
    <w:p w14:paraId="06111690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589B36CD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559241EB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1" w:tgtFrame="_blank" w:history="1">
        <w:r>
          <w:rPr>
            <w:rFonts w:ascii="Arial" w:eastAsia="Arial" w:hAnsi="Arial" w:cs="Arial"/>
            <w:color w:val="3366FF"/>
            <w:sz w:val="20"/>
          </w:rPr>
          <w:t>National Partnership Agreement on Essential Vaccines</w:t>
        </w:r>
      </w:hyperlink>
    </w:p>
    <w:p w14:paraId="66F7C057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&lt;https://federalfinancialrelations.gov.au/agreements/national-partnership-essential-vaccines&gt;</w:t>
      </w:r>
    </w:p>
    <w:p w14:paraId="499ABFFE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2" w:tgtFrame="_blank" w:history="1">
        <w:r>
          <w:rPr>
            <w:rFonts w:ascii="Arial" w:eastAsia="Arial" w:hAnsi="Arial" w:cs="Arial"/>
            <w:color w:val="3366FF"/>
            <w:sz w:val="20"/>
          </w:rPr>
          <w:t>Public Health and Wellbeing Act 2008, Part 3, Division 3, s.24</w:t>
        </w:r>
      </w:hyperlink>
    </w:p>
    <w:p w14:paraId="50C44CD0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&lt;https://www.legislation.vic.gov.au/in-force/acts/public-health-and-wellbeing-act-2008/061&gt;</w:t>
      </w:r>
    </w:p>
    <w:p w14:paraId="15C3A3BA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3" w:tgtFrame="_blank" w:history="1">
        <w:r>
          <w:rPr>
            <w:rFonts w:ascii="Arial" w:eastAsia="Arial" w:hAnsi="Arial" w:cs="Arial"/>
            <w:color w:val="3366FF"/>
            <w:sz w:val="20"/>
          </w:rPr>
          <w:t>Public Health and Wellbeing Regulations 2019</w:t>
        </w:r>
      </w:hyperlink>
    </w:p>
    <w:p w14:paraId="0D6CDA16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&lt;https://www.legislation.vic.gov.au/in-force/statutory-rules/public-health-and-wellbeing-regulations-2019/024&gt;</w:t>
      </w:r>
    </w:p>
    <w:p w14:paraId="23F7245C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4" w:tgtFrame="_blank" w:history="1">
        <w:r>
          <w:rPr>
            <w:rFonts w:ascii="Arial" w:eastAsia="Arial" w:hAnsi="Arial" w:cs="Arial"/>
            <w:color w:val="3366FF"/>
            <w:sz w:val="20"/>
          </w:rPr>
          <w:t>Drugs and Poisons and Controlled Substances Regulations 2017</w:t>
        </w:r>
      </w:hyperlink>
    </w:p>
    <w:p w14:paraId="5B3A90E5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&lt;https://www.legislation.vic.gov.au/in-force/statutory-rules/drugs-poisons-and-controlled-substances-regulations-2017/015&gt;</w:t>
      </w:r>
    </w:p>
    <w:p w14:paraId="70D59939" w14:textId="77777777" w:rsidR="0070168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5" w:tgtFrame="_blank" w:history="1">
        <w:r>
          <w:rPr>
            <w:rFonts w:ascii="Arial" w:eastAsia="Arial" w:hAnsi="Arial" w:cs="Arial"/>
            <w:color w:val="3366FF"/>
            <w:sz w:val="20"/>
          </w:rPr>
          <w:t>National Vaccines Storage Guidelines – Strive for 5</w:t>
        </w:r>
      </w:hyperlink>
    </w:p>
    <w:p w14:paraId="4D641F76" w14:textId="77777777" w:rsidR="00701681" w:rsidRDefault="0000000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&lt;https://www.health.gov.au/sites/default/files/documents/2020/04/national-vaccine-storage-guidelines-strive-for-5.pdf&gt;</w:t>
      </w:r>
    </w:p>
    <w:p w14:paraId="1517C02C" w14:textId="77777777" w:rsidR="00701681" w:rsidRDefault="0070168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4B340457" w14:textId="77777777" w:rsidR="00701681" w:rsidRDefault="00000000" w:rsidP="00470260">
      <w:pPr>
        <w:pStyle w:val="Heading2"/>
        <w:rPr>
          <w:color w:val="000000"/>
          <w:sz w:val="20"/>
        </w:rPr>
      </w:pPr>
      <w:r>
        <w:t>5. Performance</w:t>
      </w:r>
    </w:p>
    <w:p w14:paraId="25976BD4" w14:textId="77777777" w:rsidR="00701681" w:rsidRDefault="0000000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3D105EE9" w14:textId="77777777" w:rsidR="00701681" w:rsidRDefault="00000000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3815E1A5" w14:textId="77777777" w:rsidR="00701681" w:rsidRDefault="00000000" w:rsidP="00470260">
      <w:pPr>
        <w:pStyle w:val="Heading3"/>
      </w:pPr>
      <w:r>
        <w:t xml:space="preserve">Key performance measure 1: Number of children </w:t>
      </w:r>
      <w:proofErr w:type="spellStart"/>
      <w:r>
        <w:t>immunised</w:t>
      </w:r>
      <w:proofErr w:type="spellEnd"/>
      <w:r>
        <w:t xml:space="preserve"> aged 6 years and under (annual)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01681" w14:paraId="1CD2B81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37FB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6523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The aim of this performance measure is to report on the number children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aged 6 years and under.</w:t>
            </w:r>
          </w:p>
        </w:tc>
      </w:tr>
      <w:tr w:rsidR="00701681" w14:paraId="5B571C2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5C64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42D7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701681" w14:paraId="190F332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F8A7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F043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01681" w14:paraId="3743F46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24F8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2FD7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Number of children vaccinated, in line with the National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Program Schedule</w:t>
            </w:r>
          </w:p>
        </w:tc>
      </w:tr>
      <w:tr w:rsidR="00701681" w14:paraId="1B61CD2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7D64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3B32" w14:textId="77777777" w:rsidR="00701681" w:rsidRDefault="0000000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Childhood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coverage data Australian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Register</w:t>
            </w:r>
          </w:p>
        </w:tc>
      </w:tr>
      <w:tr w:rsidR="00701681" w14:paraId="62D3973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F86F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74B1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As per the Australian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Handbook.</w:t>
            </w:r>
          </w:p>
        </w:tc>
      </w:tr>
    </w:tbl>
    <w:p w14:paraId="6A5E29C5" w14:textId="77777777" w:rsidR="00701681" w:rsidRDefault="00000000" w:rsidP="00470260">
      <w:pPr>
        <w:pStyle w:val="Heading3"/>
      </w:pPr>
      <w:r>
        <w:t xml:space="preserve">Performance measure 2: Percentage of children fully </w:t>
      </w:r>
      <w:proofErr w:type="spellStart"/>
      <w:r>
        <w:t>immunised</w:t>
      </w:r>
      <w:proofErr w:type="spellEnd"/>
      <w:r>
        <w:t xml:space="preserve"> at ages 1, 2, and 6 years old (quarterly)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01681" w14:paraId="79E4332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5B42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D402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The aim of this performance measure is to report on the number of children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aged at 1 year, 2 and 6 years and under.</w:t>
            </w:r>
          </w:p>
        </w:tc>
      </w:tr>
      <w:tr w:rsidR="00701681" w14:paraId="55B13F9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5F7A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973A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701681" w14:paraId="6FF9298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8F68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437B1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701681" w14:paraId="1C94BD1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5B5D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DC85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Number of children vaccinated, in line with the National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Program Schedule</w:t>
            </w:r>
          </w:p>
        </w:tc>
      </w:tr>
      <w:tr w:rsidR="00701681" w14:paraId="7745488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44D1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C146" w14:textId="77777777" w:rsidR="00701681" w:rsidRDefault="0000000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Childhood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coverage data Australian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Register</w:t>
            </w:r>
          </w:p>
        </w:tc>
      </w:tr>
      <w:tr w:rsidR="00701681" w14:paraId="782C324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B9844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380D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As per the Australian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Handbook.</w:t>
            </w:r>
          </w:p>
        </w:tc>
      </w:tr>
    </w:tbl>
    <w:p w14:paraId="52918251" w14:textId="77777777" w:rsidR="00701681" w:rsidRDefault="00000000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 xml:space="preserve">Performance measure 3: Submission of a Report on the services </w:t>
      </w:r>
      <w:proofErr w:type="gramStart"/>
      <w:r>
        <w:rPr>
          <w:rFonts w:ascii="Arial" w:eastAsia="Arial" w:hAnsi="Arial" w:cs="Arial"/>
          <w:b/>
          <w:bCs/>
          <w:color w:val="201547"/>
          <w:sz w:val="20"/>
        </w:rPr>
        <w:t>provided</w:t>
      </w:r>
      <w:proofErr w:type="gram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01681" w14:paraId="045476A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4401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lastRenderedPageBreak/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A763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Service provider to provide report of service activity (quarterly or annually)</w:t>
            </w:r>
          </w:p>
        </w:tc>
      </w:tr>
      <w:tr w:rsidR="00701681" w14:paraId="1D727D0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B266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CDF2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701681" w14:paraId="51047FD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44825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86EA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01681" w14:paraId="5BF81C1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879B3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9CC6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  <w:tr w:rsidR="00701681" w14:paraId="112091D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699D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8726" w14:textId="77777777" w:rsidR="00701681" w:rsidRDefault="00701681"/>
        </w:tc>
      </w:tr>
      <w:tr w:rsidR="00701681" w14:paraId="346C07D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811E4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32C6C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</w:tbl>
    <w:p w14:paraId="2F75D6CA" w14:textId="77777777" w:rsidR="00701681" w:rsidRDefault="00000000" w:rsidP="00470260">
      <w:pPr>
        <w:pStyle w:val="Heading2"/>
      </w:pPr>
      <w:r>
        <w:t>6. Data collection</w:t>
      </w:r>
    </w:p>
    <w:p w14:paraId="56BDDDBF" w14:textId="77777777" w:rsidR="00701681" w:rsidRDefault="00000000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701681" w14:paraId="6A217344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C479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38DD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4721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BCD1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701681" w14:paraId="658C1712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F3A3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Childhood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coverage data Australian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Register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7853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AIR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E643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Immunisation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coverage of children aged 6 years and under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7792" w14:textId="77777777" w:rsidR="00701681" w:rsidRDefault="0000000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Required</w:t>
            </w:r>
          </w:p>
        </w:tc>
      </w:tr>
    </w:tbl>
    <w:p w14:paraId="4A5DF11E" w14:textId="77777777" w:rsidR="00701681" w:rsidRDefault="0070168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701681" w14:paraId="4580E75E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F7F51A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13829AD3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 © State of Victoria, Department of Health, September 2023. </w:t>
            </w:r>
          </w:p>
          <w:p w14:paraId="147A42DB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316399DC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55125FA4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3CEC04CC" w14:textId="77777777" w:rsidR="0070168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6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7D38D224" w14:textId="77777777" w:rsidR="00701681" w:rsidRDefault="0070168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70168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D1AD" w14:textId="77777777" w:rsidR="004B0B9A" w:rsidRDefault="004B0B9A">
      <w:r>
        <w:separator/>
      </w:r>
    </w:p>
  </w:endnote>
  <w:endnote w:type="continuationSeparator" w:id="0">
    <w:p w14:paraId="1773527A" w14:textId="77777777" w:rsidR="004B0B9A" w:rsidRDefault="004B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D0DE" w14:textId="312E0B56" w:rsidR="00470260" w:rsidRDefault="004702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75AE98" wp14:editId="6BD2C9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559158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0EB84" w14:textId="6927E06C" w:rsidR="00470260" w:rsidRPr="00470260" w:rsidRDefault="00470260" w:rsidP="0047026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26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5AE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fill o:detectmouseclick="t"/>
              <v:textbox style="mso-fit-shape-to-text:t" inset="0,0,0,15pt">
                <w:txbxContent>
                  <w:p w14:paraId="0910EB84" w14:textId="6927E06C" w:rsidR="00470260" w:rsidRPr="00470260" w:rsidRDefault="00470260" w:rsidP="00470260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7026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2B5C" w14:textId="0FADD1D2" w:rsidR="00701681" w:rsidRDefault="00470260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571997" wp14:editId="567352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6988947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49A9" w14:textId="4FCFA3C6" w:rsidR="00470260" w:rsidRPr="00470260" w:rsidRDefault="00470260" w:rsidP="0047026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26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719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fill o:detectmouseclick="t"/>
              <v:textbox style="mso-fit-shape-to-text:t" inset="0,0,0,15pt">
                <w:txbxContent>
                  <w:p w14:paraId="230D49A9" w14:textId="4FCFA3C6" w:rsidR="00470260" w:rsidRPr="00470260" w:rsidRDefault="00470260" w:rsidP="00470260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7026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01681" w14:paraId="396BF0B7" w14:textId="77777777">
      <w:tc>
        <w:tcPr>
          <w:tcW w:w="3473" w:type="dxa"/>
          <w:shd w:val="clear" w:color="auto" w:fill="FFFFFF"/>
        </w:tcPr>
        <w:p w14:paraId="21063D05" w14:textId="77777777" w:rsidR="00701681" w:rsidRDefault="00000000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6F797DEF" wp14:editId="22E13ADA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075F9F11" w14:textId="77777777" w:rsidR="00701681" w:rsidRDefault="0000000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7A661621" w14:textId="77777777" w:rsidR="00701681" w:rsidRDefault="0000000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7CFE78B7" w14:textId="77777777" w:rsidR="00701681" w:rsidRDefault="00701681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01681" w14:paraId="472A9CC2" w14:textId="77777777">
      <w:tc>
        <w:tcPr>
          <w:tcW w:w="3473" w:type="dxa"/>
          <w:shd w:val="clear" w:color="auto" w:fill="FFFFFF"/>
        </w:tcPr>
        <w:p w14:paraId="6195A53B" w14:textId="2FB5C876" w:rsidR="00701681" w:rsidRDefault="00470260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BD81DD2" wp14:editId="2D5DA24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3810" b="0"/>
                    <wp:wrapNone/>
                    <wp:docPr id="1709217598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8963C8" w14:textId="66C5B869" w:rsidR="00470260" w:rsidRPr="00470260" w:rsidRDefault="00470260" w:rsidP="00470260">
                                <w:pPr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70260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BD81D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      <v:fill o:detectmouseclick="t"/>
                    <v:textbox style="mso-fit-shape-to-text:t" inset="0,0,0,15pt">
                      <w:txbxContent>
                        <w:p w14:paraId="398963C8" w14:textId="66C5B869" w:rsidR="00470260" w:rsidRPr="00470260" w:rsidRDefault="00470260" w:rsidP="0047026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026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00000">
            <w:rPr>
              <w:noProof/>
            </w:rPr>
            <w:drawing>
              <wp:inline distT="0" distB="0" distL="0" distR="0" wp14:anchorId="359B8EF1" wp14:editId="2BC793E9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44F0BFCB" w14:textId="77777777" w:rsidR="00701681" w:rsidRDefault="0000000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62FAB625" w14:textId="77777777" w:rsidR="00701681" w:rsidRDefault="00000000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48CC86DB" w14:textId="77777777" w:rsidR="00701681" w:rsidRDefault="00701681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0583" w14:textId="77777777" w:rsidR="004B0B9A" w:rsidRDefault="004B0B9A">
      <w:r>
        <w:separator/>
      </w:r>
    </w:p>
  </w:footnote>
  <w:footnote w:type="continuationSeparator" w:id="0">
    <w:p w14:paraId="68CBA31C" w14:textId="77777777" w:rsidR="004B0B9A" w:rsidRDefault="004B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757C" w14:textId="77777777" w:rsidR="00701681" w:rsidRDefault="00000000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Public Health 16084 </w:t>
    </w:r>
    <w:proofErr w:type="spellStart"/>
    <w:r>
      <w:rPr>
        <w:rFonts w:ascii="Arial" w:eastAsia="Arial" w:hAnsi="Arial" w:cs="Arial"/>
        <w:color w:val="000000"/>
        <w:sz w:val="18"/>
      </w:rPr>
      <w:t>Immunisation</w:t>
    </w:r>
    <w:proofErr w:type="spellEnd"/>
    <w:r>
      <w:rPr>
        <w:rFonts w:ascii="Arial" w:eastAsia="Arial" w:hAnsi="Arial" w:cs="Arial"/>
        <w:color w:val="000000"/>
        <w:sz w:val="18"/>
      </w:rPr>
      <w:t xml:space="preserve"> Services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0403BF30" w14:textId="77777777" w:rsidR="00701681" w:rsidRDefault="0070168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39E9" w14:textId="77777777" w:rsidR="00701681" w:rsidRDefault="0070168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173"/>
    <w:multiLevelType w:val="hybridMultilevel"/>
    <w:tmpl w:val="FF840BD6"/>
    <w:lvl w:ilvl="0" w:tplc="7610E51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8F84443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B8AE91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55E248B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716C81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F52CD3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EEEBE3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69AB9D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12C6F1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103C75A8"/>
    <w:multiLevelType w:val="hybridMultilevel"/>
    <w:tmpl w:val="13726F30"/>
    <w:lvl w:ilvl="0" w:tplc="18BA00A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029465E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ED103D7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EC94B30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E666943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596C79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559A457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D57C82B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7BC7C3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5191226"/>
    <w:multiLevelType w:val="hybridMultilevel"/>
    <w:tmpl w:val="C6647FCC"/>
    <w:lvl w:ilvl="0" w:tplc="58669846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5D3E87D0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CACA5622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C49E8EB0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8270A302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31FAA26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CBDC6BA8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A7D8AC4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877C411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15E409A3"/>
    <w:multiLevelType w:val="hybridMultilevel"/>
    <w:tmpl w:val="A330E290"/>
    <w:lvl w:ilvl="0" w:tplc="3EEC3D2C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6BA5E6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0902E9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0A6CEE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5270006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FD4810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ECCD99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50D0AC3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92E23A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15FA4000"/>
    <w:multiLevelType w:val="hybridMultilevel"/>
    <w:tmpl w:val="16868234"/>
    <w:lvl w:ilvl="0" w:tplc="6804CA2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3B9E66B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3EC7B30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692720A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827648C8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E9A61B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540885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1260622A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3460ADA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17873AD2"/>
    <w:multiLevelType w:val="hybridMultilevel"/>
    <w:tmpl w:val="870E9F54"/>
    <w:lvl w:ilvl="0" w:tplc="E15C49B6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2F145CFE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DD0CCA0E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07C46DF2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56FEE59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1E422B4E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9B76688A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F6FAA132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A51CCB5C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19BF5D8B"/>
    <w:multiLevelType w:val="hybridMultilevel"/>
    <w:tmpl w:val="CB5C02A8"/>
    <w:lvl w:ilvl="0" w:tplc="647ECA08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17FECFD0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01D47BDC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3B185FD0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1916C742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E9760688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D478A952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1CF40C8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0683C4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1EA729B7"/>
    <w:multiLevelType w:val="hybridMultilevel"/>
    <w:tmpl w:val="0ACC9300"/>
    <w:lvl w:ilvl="0" w:tplc="10DE816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B610FDF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8B6251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74CDDE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5F34AB4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2C2D72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6CC644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1C2297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6AC0DF4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8" w15:restartNumberingAfterBreak="0">
    <w:nsid w:val="231C1A0A"/>
    <w:multiLevelType w:val="hybridMultilevel"/>
    <w:tmpl w:val="6570FA06"/>
    <w:lvl w:ilvl="0" w:tplc="5220EEF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C122C18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FB46437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E81049B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BEEF0C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68E0ED68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5E903BE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15F6E9E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22D842C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27C20518"/>
    <w:multiLevelType w:val="hybridMultilevel"/>
    <w:tmpl w:val="1452F30A"/>
    <w:lvl w:ilvl="0" w:tplc="90B021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5B6027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C34324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CFC1DF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F5F2EC8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5523CB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3F4181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DEA101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582DA6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2B506A18"/>
    <w:multiLevelType w:val="hybridMultilevel"/>
    <w:tmpl w:val="E73C7E0C"/>
    <w:lvl w:ilvl="0" w:tplc="2B50018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0332ECF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E86D7A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966E765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BFA6F5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7838819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322756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ABD2020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65E148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4E264439"/>
    <w:multiLevelType w:val="hybridMultilevel"/>
    <w:tmpl w:val="E736AF10"/>
    <w:lvl w:ilvl="0" w:tplc="7EAAC7B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11F443E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4008CAC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6E65C78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D47C2CD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BE9843D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E4AAEFC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D2269E1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E00A5D9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06D127B"/>
    <w:multiLevelType w:val="hybridMultilevel"/>
    <w:tmpl w:val="54BC34AE"/>
    <w:lvl w:ilvl="0" w:tplc="8836267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C8C0227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00B0C7E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F3A307E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DDC687D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6F3019F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9D6344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F486AE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1B5CF832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6291205E"/>
    <w:multiLevelType w:val="hybridMultilevel"/>
    <w:tmpl w:val="B70834F0"/>
    <w:lvl w:ilvl="0" w:tplc="62E2F67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48208AD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6E70250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1B6EC3C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38C6969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079C64C4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1ECE479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A698901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C398450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64876DB7"/>
    <w:multiLevelType w:val="hybridMultilevel"/>
    <w:tmpl w:val="9EF82992"/>
    <w:lvl w:ilvl="0" w:tplc="4BDCC5F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18EC870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B5EA588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6DAAEF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4ADA0AB6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B54DFC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756781C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5A7E13A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C680C786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611202934">
    <w:abstractNumId w:val="9"/>
  </w:num>
  <w:num w:numId="2" w16cid:durableId="62459418">
    <w:abstractNumId w:val="2"/>
  </w:num>
  <w:num w:numId="3" w16cid:durableId="1647079340">
    <w:abstractNumId w:val="13"/>
  </w:num>
  <w:num w:numId="4" w16cid:durableId="1727873743">
    <w:abstractNumId w:val="11"/>
  </w:num>
  <w:num w:numId="5" w16cid:durableId="1447240505">
    <w:abstractNumId w:val="4"/>
  </w:num>
  <w:num w:numId="6" w16cid:durableId="1858300801">
    <w:abstractNumId w:val="14"/>
  </w:num>
  <w:num w:numId="7" w16cid:durableId="1014455912">
    <w:abstractNumId w:val="0"/>
  </w:num>
  <w:num w:numId="8" w16cid:durableId="309597678">
    <w:abstractNumId w:val="3"/>
  </w:num>
  <w:num w:numId="9" w16cid:durableId="1174682029">
    <w:abstractNumId w:val="7"/>
  </w:num>
  <w:num w:numId="10" w16cid:durableId="432481154">
    <w:abstractNumId w:val="5"/>
  </w:num>
  <w:num w:numId="11" w16cid:durableId="656423067">
    <w:abstractNumId w:val="1"/>
  </w:num>
  <w:num w:numId="12" w16cid:durableId="1796564424">
    <w:abstractNumId w:val="12"/>
  </w:num>
  <w:num w:numId="13" w16cid:durableId="1911453085">
    <w:abstractNumId w:val="2"/>
  </w:num>
  <w:num w:numId="14" w16cid:durableId="19818807">
    <w:abstractNumId w:val="8"/>
  </w:num>
  <w:num w:numId="15" w16cid:durableId="1808469401">
    <w:abstractNumId w:val="8"/>
  </w:num>
  <w:num w:numId="16" w16cid:durableId="104543064">
    <w:abstractNumId w:val="8"/>
  </w:num>
  <w:num w:numId="17" w16cid:durableId="401367169">
    <w:abstractNumId w:val="10"/>
  </w:num>
  <w:num w:numId="18" w16cid:durableId="958031435">
    <w:abstractNumId w:val="8"/>
  </w:num>
  <w:num w:numId="19" w16cid:durableId="2014604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681"/>
    <w:rsid w:val="00470260"/>
    <w:rsid w:val="004B0B9A"/>
    <w:rsid w:val="0070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6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260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260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260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0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260"/>
  </w:style>
  <w:style w:type="character" w:customStyle="1" w:styleId="Heading1Char">
    <w:name w:val="Heading 1 Char"/>
    <w:basedOn w:val="DefaultParagraphFont"/>
    <w:link w:val="Heading1"/>
    <w:uiPriority w:val="9"/>
    <w:rsid w:val="00470260"/>
    <w:rPr>
      <w:rFonts w:ascii="Arial" w:eastAsia="Arial" w:hAnsi="Arial" w:cs="Arial"/>
      <w:color w:val="201547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60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260"/>
    <w:rPr>
      <w:rFonts w:ascii="Arial" w:eastAsia="Arial" w:hAnsi="Arial" w:cs="Arial"/>
      <w:color w:val="20154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0260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70260"/>
    <w:rPr>
      <w:rFonts w:ascii="Arial" w:eastAsia="Arial" w:hAnsi="Arial" w:cs="Arial"/>
      <w:b/>
      <w:bCs/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vic.gov.au/guidelines-for-immunisation-practice-in-local-governments" TargetMode="External"/><Relationship Id="rId13" Type="http://schemas.openxmlformats.org/officeDocument/2006/relationships/hyperlink" Target="https://www.legislation.vic.gov.au/in-force/statutory-rules/public-health-and-wellbeing-regulations-2019/024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legislation.vic.gov.au/in-force/acts/public-health-and-wellbeing-act-2008/061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providers.dffh.vic.gov.au/families-fairness-housing-health-activity-searc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deralfinancialrelations.gov.au/agreements/national-partnership-essential-vaccines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health.gov.au/sites/default/files/documents/2020/04/national-vaccine-storage-guidelines-strive-for-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ealth.vic.gov.au/policy-and-funding-guidelines-for-health-servic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mmunisationhandbook.health.gov.au" TargetMode="External"/><Relationship Id="rId14" Type="http://schemas.openxmlformats.org/officeDocument/2006/relationships/hyperlink" Target="https://www.legislation.vic.gov.au/in-force/statutory-rules/drugs-poisons-and-controlled-substances-regulations-2017/015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9246B7BF-621A-460F-94D4-33F5B62B752C}"/>
</file>

<file path=customXml/itemProps2.xml><?xml version="1.0" encoding="utf-8"?>
<ds:datastoreItem xmlns:ds="http://schemas.openxmlformats.org/officeDocument/2006/customXml" ds:itemID="{88F7505C-51D2-4779-AB8E-3A2475B716A5}"/>
</file>

<file path=customXml/itemProps3.xml><?xml version="1.0" encoding="utf-8"?>
<ds:datastoreItem xmlns:ds="http://schemas.openxmlformats.org/officeDocument/2006/customXml" ds:itemID="{4557BB7B-37C8-490D-9BCE-C9CB1B2B9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4245</Characters>
  <Application>Microsoft Office Word</Application>
  <DocSecurity>0</DocSecurity>
  <Lines>112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Health and Human Services Immunisation Services 16084</vt:lpstr>
    </vt:vector>
  </TitlesOfParts>
  <Manager/>
  <Company/>
  <LinksUpToDate>false</LinksUpToDate>
  <CharactersWithSpaces>4737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Immunisation Services 16084</dc:title>
  <dc:subject/>
  <dc:creator/>
  <cp:keywords/>
  <dc:description>Generated by Oracle BI Publisher 12.2.1.3.0</dc:description>
  <cp:lastModifiedBy/>
  <cp:revision>2</cp:revision>
  <dcterms:created xsi:type="dcterms:W3CDTF">2013-02-11T20:57:00Z</dcterms:created>
  <dcterms:modified xsi:type="dcterms:W3CDTF">2023-09-22T06:22:00Z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65e0973e,3553567,29a84984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2023-09-22T06:17:51Z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c868c2e5-2ce7-4603-ad06-7d1ccca9cd1e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0x0101009F0C4347C5C6D34BA8C9FCC4F57D19B6</vt:lpwstr>
  </property>
</Properties>
</file>