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62155D78" w14:textId="77777777" w:rsidTr="006662F6">
        <w:trPr>
          <w:trHeight w:val="1075"/>
        </w:trPr>
        <w:tc>
          <w:tcPr>
            <w:tcW w:w="8101" w:type="dxa"/>
            <w:shd w:val="clear" w:color="auto" w:fill="auto"/>
            <w:vAlign w:val="bottom"/>
          </w:tcPr>
          <w:p w14:paraId="65086307" w14:textId="77777777" w:rsidR="00694522" w:rsidRPr="00A86E66" w:rsidRDefault="002B7F49" w:rsidP="00694522">
            <w:pPr>
              <w:pStyle w:val="DHHSmainheading"/>
              <w:spacing w:line="270" w:lineRule="atLeast"/>
              <w:rPr>
                <w:noProof/>
                <w:color w:val="FFFFFF" w:themeColor="background1"/>
                <w:sz w:val="44"/>
                <w:szCs w:val="44"/>
                <w:lang w:eastAsia="en-AU"/>
              </w:rPr>
            </w:pPr>
            <w:r w:rsidRPr="00A86E66">
              <w:rPr>
                <w:noProof/>
                <w:color w:val="FFFFFF" w:themeColor="background1"/>
                <w:sz w:val="44"/>
                <w:szCs w:val="44"/>
                <w:lang w:eastAsia="en-AU"/>
              </w:rPr>
              <w:drawing>
                <wp:anchor distT="0" distB="0" distL="114300" distR="114300" simplePos="0" relativeHeight="251800576" behindDoc="1" locked="1" layoutInCell="0" allowOverlap="1" wp14:anchorId="65C4D74D" wp14:editId="44F90775">
                  <wp:simplePos x="0" y="0"/>
                  <wp:positionH relativeFrom="page">
                    <wp:posOffset>-502285</wp:posOffset>
                  </wp:positionH>
                  <wp:positionV relativeFrom="page">
                    <wp:posOffset>-360680</wp:posOffset>
                  </wp:positionV>
                  <wp:extent cx="7563485" cy="1971675"/>
                  <wp:effectExtent l="0" t="0" r="0" b="9525"/>
                  <wp:wrapNone/>
                  <wp:docPr id="140" name="Picture 14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971675"/>
                          </a:xfrm>
                          <a:prstGeom prst="rect">
                            <a:avLst/>
                          </a:prstGeom>
                          <a:noFill/>
                        </pic:spPr>
                      </pic:pic>
                    </a:graphicData>
                  </a:graphic>
                  <wp14:sizeRelH relativeFrom="page">
                    <wp14:pctWidth>0</wp14:pctWidth>
                  </wp14:sizeRelH>
                  <wp14:sizeRelV relativeFrom="page">
                    <wp14:pctHeight>0</wp14:pctHeight>
                  </wp14:sizeRelV>
                </wp:anchor>
              </w:drawing>
            </w:r>
            <w:r w:rsidR="00E06DE4" w:rsidRPr="00A86E66">
              <w:rPr>
                <w:noProof/>
                <w:color w:val="FFFFFF" w:themeColor="background1"/>
                <w:sz w:val="44"/>
                <w:szCs w:val="44"/>
                <w:lang w:eastAsia="en-AU"/>
              </w:rPr>
              <w:t>Immunisation Education</w:t>
            </w:r>
          </w:p>
          <w:p w14:paraId="0DCBE4CE" w14:textId="77777777" w:rsidR="002B7F49" w:rsidRPr="00A86E66" w:rsidRDefault="002B7F49" w:rsidP="00E06DE4">
            <w:pPr>
              <w:pStyle w:val="DHHSmainheading"/>
              <w:spacing w:line="270" w:lineRule="atLeast"/>
              <w:rPr>
                <w:sz w:val="44"/>
                <w:szCs w:val="44"/>
              </w:rPr>
            </w:pPr>
            <w:r w:rsidRPr="00A86E66">
              <w:rPr>
                <w:rFonts w:cs="Arial"/>
                <w:noProof/>
                <w:sz w:val="44"/>
                <w:szCs w:val="44"/>
              </w:rPr>
              <w:t>16</w:t>
            </w:r>
            <w:r w:rsidR="00E06DE4" w:rsidRPr="00A86E66">
              <w:rPr>
                <w:rFonts w:cs="Arial"/>
                <w:noProof/>
                <w:sz w:val="44"/>
                <w:szCs w:val="44"/>
              </w:rPr>
              <w:t>037</w:t>
            </w:r>
          </w:p>
        </w:tc>
      </w:tr>
      <w:tr w:rsidR="002B7F49" w14:paraId="33D3C078" w14:textId="77777777" w:rsidTr="006662F6">
        <w:tc>
          <w:tcPr>
            <w:tcW w:w="8101" w:type="dxa"/>
            <w:shd w:val="clear" w:color="auto" w:fill="auto"/>
            <w:tcMar>
              <w:top w:w="170" w:type="dxa"/>
              <w:bottom w:w="510" w:type="dxa"/>
            </w:tcMar>
          </w:tcPr>
          <w:p w14:paraId="68AFABFE" w14:textId="77777777" w:rsidR="002B7F49" w:rsidRDefault="002B7F49" w:rsidP="006662F6">
            <w:pPr>
              <w:pStyle w:val="DHHSmainsubheading"/>
              <w:rPr>
                <w:szCs w:val="28"/>
              </w:rPr>
            </w:pPr>
            <w:r>
              <w:rPr>
                <w:szCs w:val="28"/>
              </w:rPr>
              <w:t xml:space="preserve">Outcome objective: Victorians are healthy and well </w:t>
            </w:r>
          </w:p>
          <w:p w14:paraId="36662297" w14:textId="77777777" w:rsidR="002B7F49" w:rsidRDefault="002B7F49" w:rsidP="006662F6">
            <w:pPr>
              <w:pStyle w:val="DHHSmainsubheading"/>
              <w:rPr>
                <w:szCs w:val="28"/>
              </w:rPr>
            </w:pPr>
            <w:r>
              <w:rPr>
                <w:szCs w:val="28"/>
              </w:rPr>
              <w:t xml:space="preserve">Output group: </w:t>
            </w:r>
            <w:r w:rsidRPr="00177619">
              <w:rPr>
                <w:noProof/>
                <w:szCs w:val="28"/>
              </w:rPr>
              <w:t>Public Health</w:t>
            </w:r>
          </w:p>
          <w:p w14:paraId="0749C33D" w14:textId="77777777" w:rsidR="002B7F49" w:rsidRPr="00AD784C" w:rsidRDefault="002B7F49" w:rsidP="00694522">
            <w:pPr>
              <w:pStyle w:val="DHHSmainsubheading"/>
              <w:rPr>
                <w:szCs w:val="28"/>
              </w:rPr>
            </w:pPr>
            <w:r>
              <w:rPr>
                <w:szCs w:val="28"/>
              </w:rPr>
              <w:t xml:space="preserve">Output: </w:t>
            </w:r>
            <w:r w:rsidR="00694522">
              <w:rPr>
                <w:noProof/>
                <w:szCs w:val="28"/>
              </w:rPr>
              <w:t>Health Protection</w:t>
            </w:r>
          </w:p>
        </w:tc>
      </w:tr>
    </w:tbl>
    <w:p w14:paraId="5D8B961B" w14:textId="77777777" w:rsidR="002B7F49" w:rsidRDefault="006662F6" w:rsidP="00A86E66">
      <w:pPr>
        <w:pStyle w:val="Heading1"/>
      </w:pPr>
      <w:r>
        <w:br w:type="textWrapping" w:clear="all"/>
      </w:r>
      <w:r w:rsidR="002B7F49" w:rsidRPr="00B70F76">
        <w:t>1.</w:t>
      </w:r>
      <w:r w:rsidR="002B7F49">
        <w:t xml:space="preserve"> Service Objective </w:t>
      </w:r>
    </w:p>
    <w:p w14:paraId="4F0A73D5" w14:textId="77777777" w:rsidR="002B7F49" w:rsidRPr="00105D63" w:rsidRDefault="00696A12" w:rsidP="006C7A1F">
      <w:pPr>
        <w:pStyle w:val="DHHSbody"/>
        <w:spacing w:beforeLines="40" w:before="96"/>
        <w:rPr>
          <w:rFonts w:eastAsia="MS Gothic"/>
          <w:b/>
          <w:bCs/>
          <w:sz w:val="24"/>
          <w:szCs w:val="26"/>
        </w:rPr>
      </w:pPr>
      <w:r w:rsidRPr="00105D63">
        <w:t xml:space="preserve">To provide educational and promotional resources and programs for immunisation providers as well as parents, adolescents and adults. </w:t>
      </w:r>
    </w:p>
    <w:p w14:paraId="5F0A8D0A" w14:textId="77777777" w:rsidR="002B7F49" w:rsidRDefault="002B7F49" w:rsidP="00A86E66">
      <w:pPr>
        <w:pStyle w:val="Heading1"/>
      </w:pPr>
      <w:r>
        <w:t>2</w:t>
      </w:r>
      <w:r w:rsidRPr="00B70F76">
        <w:t xml:space="preserve">. </w:t>
      </w:r>
      <w:r>
        <w:t>Description of the service</w:t>
      </w:r>
    </w:p>
    <w:p w14:paraId="32D1B098" w14:textId="77777777" w:rsidR="00696A12" w:rsidRPr="00105D63" w:rsidRDefault="00696A12" w:rsidP="00A86E66">
      <w:pPr>
        <w:pStyle w:val="DHHSbullet1"/>
        <w:rPr>
          <w:b/>
        </w:rPr>
      </w:pPr>
      <w:r w:rsidRPr="00105D63">
        <w:t>Drive the principles of this government’s immunisation initiatives: No Jab No Play, Parent Pertussis Program, Pharmacist Vaccine Administered</w:t>
      </w:r>
      <w:r w:rsidRPr="00105D63">
        <w:rPr>
          <w:rFonts w:ascii="Calibri" w:eastAsia="MS PGothic" w:hAnsi="Calibri" w:cs="Calibri"/>
          <w:color w:val="000000"/>
          <w:lang w:eastAsia="en-AU"/>
        </w:rPr>
        <w:t xml:space="preserve"> </w:t>
      </w:r>
      <w:r w:rsidRPr="00105D63">
        <w:t>Program and Immunity for community.</w:t>
      </w:r>
    </w:p>
    <w:p w14:paraId="317089A4" w14:textId="77777777" w:rsidR="00696A12" w:rsidRPr="00105D63" w:rsidRDefault="00696A12" w:rsidP="00A86E66">
      <w:pPr>
        <w:pStyle w:val="DHHSbullet1"/>
        <w:rPr>
          <w:b/>
          <w:bCs/>
          <w:noProof/>
          <w:color w:val="5F497A" w:themeColor="accent4" w:themeShade="BF"/>
        </w:rPr>
      </w:pPr>
      <w:r w:rsidRPr="00105D63">
        <w:t>Engage and support key stakeholders to promote vaccine uptake.</w:t>
      </w:r>
    </w:p>
    <w:p w14:paraId="455D2AED" w14:textId="77777777" w:rsidR="00696A12" w:rsidRPr="000E3A0A" w:rsidRDefault="00696A12" w:rsidP="00A86E66">
      <w:pPr>
        <w:pStyle w:val="DHHSbullet1"/>
      </w:pPr>
      <w:r w:rsidRPr="000E3A0A">
        <w:t>Strengthen and support policy development through collection and analysis of immunisation and other programme data</w:t>
      </w:r>
    </w:p>
    <w:p w14:paraId="2244917A" w14:textId="77777777" w:rsidR="00696A12" w:rsidRPr="000E3A0A" w:rsidRDefault="00696A12" w:rsidP="00A86E66">
      <w:pPr>
        <w:pStyle w:val="DHHSbullet1"/>
      </w:pPr>
      <w:r w:rsidRPr="000E3A0A">
        <w:t>Enhance community vaccine accessibility using strategic innovations</w:t>
      </w:r>
    </w:p>
    <w:p w14:paraId="3B8DC4D2" w14:textId="77777777" w:rsidR="00696A12" w:rsidRPr="000E3A0A" w:rsidRDefault="00696A12" w:rsidP="00A86E66">
      <w:pPr>
        <w:pStyle w:val="DHHSbullet1"/>
      </w:pPr>
      <w:r w:rsidRPr="000E3A0A">
        <w:t>Communicate effectively to maintain and strengthen community confidence</w:t>
      </w:r>
    </w:p>
    <w:p w14:paraId="48C47B6A" w14:textId="77777777" w:rsidR="002B7F49" w:rsidRPr="00B70F76" w:rsidRDefault="00696A12" w:rsidP="00A86E66">
      <w:pPr>
        <w:pStyle w:val="Heading1"/>
      </w:pPr>
      <w:r w:rsidRPr="00696A12">
        <w:rPr>
          <w:rFonts w:eastAsia="Times"/>
          <w:noProof/>
          <w:color w:val="5F497A" w:themeColor="accent4" w:themeShade="BF"/>
        </w:rPr>
        <w:t xml:space="preserve"> </w:t>
      </w:r>
      <w:r w:rsidR="00694522" w:rsidRPr="00694522">
        <w:rPr>
          <w:rFonts w:eastAsia="Times"/>
          <w:noProof/>
          <w:color w:val="5F497A" w:themeColor="accent4" w:themeShade="BF"/>
          <w:sz w:val="20"/>
          <w:szCs w:val="20"/>
        </w:rPr>
        <w:t xml:space="preserve"> </w:t>
      </w:r>
      <w:r w:rsidR="002B7F49">
        <w:t xml:space="preserve">3. </w:t>
      </w:r>
      <w:r w:rsidR="002B7F49" w:rsidRPr="00B70F76">
        <w:t>Client group</w:t>
      </w:r>
    </w:p>
    <w:p w14:paraId="34BF6428" w14:textId="77777777" w:rsidR="002B7F49" w:rsidRDefault="002B7F49" w:rsidP="00A86E66">
      <w:pPr>
        <w:pStyle w:val="DHHSbody"/>
      </w:pPr>
      <w:r>
        <w:t xml:space="preserve">The client </w:t>
      </w:r>
      <w:proofErr w:type="gramStart"/>
      <w:r>
        <w:t>group</w:t>
      </w:r>
      <w:proofErr w:type="gramEnd"/>
      <w:r>
        <w:t xml:space="preserve"> this activity is targeted at is </w:t>
      </w:r>
      <w:r w:rsidR="00696A12">
        <w:t>all Victorians.</w:t>
      </w:r>
    </w:p>
    <w:p w14:paraId="2D72136C" w14:textId="77777777" w:rsidR="002B7F49" w:rsidRDefault="002B7F49" w:rsidP="00A86E66">
      <w:pPr>
        <w:pStyle w:val="Heading1"/>
      </w:pPr>
      <w:r>
        <w:t>4. Obligations specific to this activity</w:t>
      </w:r>
    </w:p>
    <w:p w14:paraId="0C5FD541"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5384C8DF" w14:textId="77777777" w:rsidR="002B7F49" w:rsidRPr="001F3DE2" w:rsidRDefault="002B7F49" w:rsidP="00A86E66">
      <w:pPr>
        <w:pStyle w:val="Heading2"/>
      </w:pPr>
      <w:r w:rsidRPr="001F3DE2">
        <w:t xml:space="preserve">4a.  Registration and Accreditation </w:t>
      </w:r>
    </w:p>
    <w:p w14:paraId="281AFDF0" w14:textId="7952BEF3" w:rsidR="002B7F49" w:rsidRPr="00105D63" w:rsidRDefault="00B31DC3" w:rsidP="00A86E66">
      <w:pPr>
        <w:pStyle w:val="DHHSbullet1"/>
      </w:pPr>
      <w:r w:rsidRPr="00105D63">
        <w:t xml:space="preserve"> </w:t>
      </w:r>
      <w:r w:rsidR="00105D63">
        <w:t>Member of DHHS Marketing Services Register</w:t>
      </w:r>
      <w:r w:rsidR="0032538D">
        <w:t>.</w:t>
      </w:r>
      <w:bookmarkStart w:id="0" w:name="_GoBack"/>
      <w:bookmarkEnd w:id="0"/>
    </w:p>
    <w:p w14:paraId="2E8C9B62" w14:textId="77777777" w:rsidR="002B7F49" w:rsidRPr="001F3DE2" w:rsidRDefault="002B7F49" w:rsidP="00A86E66">
      <w:pPr>
        <w:pStyle w:val="Heading2"/>
      </w:pPr>
      <w:r w:rsidRPr="001F3DE2">
        <w:t xml:space="preserve">4b. Program requirements and other policy guidelines </w:t>
      </w:r>
    </w:p>
    <w:p w14:paraId="6331C51B" w14:textId="3DA17564" w:rsidR="00105D63" w:rsidRDefault="0032538D" w:rsidP="00A86E66">
      <w:pPr>
        <w:pStyle w:val="DHHSbullet1"/>
        <w:rPr>
          <w:rStyle w:val="DHHSbodyChar"/>
        </w:rPr>
      </w:pPr>
      <w:hyperlink r:id="rId9" w:history="1">
        <w:r w:rsidR="00105D63" w:rsidRPr="00A83E7D">
          <w:rPr>
            <w:rStyle w:val="Hyperlink"/>
          </w:rPr>
          <w:t>Victorian Government Advertising and Communication Guidelines</w:t>
        </w:r>
      </w:hyperlink>
    </w:p>
    <w:p w14:paraId="76216267" w14:textId="36CEA006" w:rsidR="00A83E7D" w:rsidRPr="00105D63" w:rsidRDefault="00A83E7D" w:rsidP="00A83E7D">
      <w:pPr>
        <w:pStyle w:val="DHHSbullet1"/>
        <w:numPr>
          <w:ilvl w:val="0"/>
          <w:numId w:val="0"/>
        </w:numPr>
        <w:ind w:left="284"/>
        <w:rPr>
          <w:rStyle w:val="DHHSbodyChar"/>
        </w:rPr>
      </w:pPr>
      <w:r>
        <w:rPr>
          <w:rStyle w:val="DHHSbodyChar"/>
        </w:rPr>
        <w:t>&lt;</w:t>
      </w:r>
      <w:r w:rsidRPr="00A83E7D">
        <w:rPr>
          <w:rStyle w:val="DHHSbodyChar"/>
        </w:rPr>
        <w:t>https://www.vic.gov.au/advertising-government-communications</w:t>
      </w:r>
      <w:r>
        <w:rPr>
          <w:rStyle w:val="DHHSbodyChar"/>
        </w:rPr>
        <w:t>&gt;</w:t>
      </w:r>
    </w:p>
    <w:p w14:paraId="07639A18" w14:textId="77777777" w:rsidR="002B7F49" w:rsidRPr="00105D63" w:rsidRDefault="002B7F49" w:rsidP="00A86E66">
      <w:pPr>
        <w:pStyle w:val="Heading1"/>
      </w:pPr>
      <w:r w:rsidRPr="00105D63">
        <w:t>5. Performance</w:t>
      </w:r>
    </w:p>
    <w:p w14:paraId="131B32CF" w14:textId="396FD141" w:rsidR="002B7F49" w:rsidRDefault="002B7F49" w:rsidP="00A86E66">
      <w:pPr>
        <w:pStyle w:val="DHHSbody"/>
      </w:pPr>
      <w:r>
        <w:t>Funding is subject to achieving the</w:t>
      </w:r>
      <w:r w:rsidRPr="00171F04">
        <w:t xml:space="preserve"> </w:t>
      </w:r>
      <w:r>
        <w:t xml:space="preserve">performance targets specified in Schedule 2 of the Service Agreement. Performance is measured as follows:  </w:t>
      </w:r>
    </w:p>
    <w:p w14:paraId="11BB825C" w14:textId="6184AB6F" w:rsidR="00A86E66" w:rsidRDefault="00A86E66" w:rsidP="00A86E66">
      <w:pPr>
        <w:pStyle w:val="DHHSbody"/>
      </w:pPr>
    </w:p>
    <w:p w14:paraId="39B19B04" w14:textId="6D94AC30" w:rsidR="00A86E66" w:rsidRDefault="00A86E66" w:rsidP="00A86E66">
      <w:pPr>
        <w:pStyle w:val="DHHSbody"/>
      </w:pPr>
    </w:p>
    <w:p w14:paraId="7B9E8F11" w14:textId="77777777" w:rsidR="00A86E66" w:rsidRPr="001F1A17" w:rsidRDefault="00A86E66" w:rsidP="00A86E66">
      <w:pPr>
        <w:pStyle w:val="DHHSbody"/>
      </w:pPr>
    </w:p>
    <w:p w14:paraId="1578E97F" w14:textId="0CC31333" w:rsidR="002B7F49" w:rsidRPr="004A630A" w:rsidRDefault="002B7F49" w:rsidP="00A86E66">
      <w:pPr>
        <w:pStyle w:val="Heading2"/>
      </w:pPr>
      <w:r>
        <w:lastRenderedPageBreak/>
        <w:t>Key performance measure</w:t>
      </w:r>
      <w:r w:rsidR="00A86E66">
        <w:t xml:space="preserve"> 1</w:t>
      </w:r>
      <w:r w:rsidRPr="00575BC9">
        <w:t xml:space="preserve">: </w:t>
      </w:r>
      <w:r w:rsidR="004A630A" w:rsidRPr="004A630A">
        <w:rPr>
          <w:rStyle w:val="DHHSbodyChar"/>
        </w:rPr>
        <w:t>Number of resources distributed</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14:paraId="4F58536E" w14:textId="77777777" w:rsidTr="00A86E66">
        <w:trPr>
          <w:cantSplit/>
          <w:trHeight w:hRule="exact" w:val="549"/>
        </w:trPr>
        <w:tc>
          <w:tcPr>
            <w:tcW w:w="2835" w:type="dxa"/>
          </w:tcPr>
          <w:p w14:paraId="5AA26CC0" w14:textId="77777777" w:rsidR="002B7F49" w:rsidRPr="00072FDE" w:rsidRDefault="002B7F49" w:rsidP="0017293C">
            <w:pPr>
              <w:pStyle w:val="DHHStablecolhead"/>
              <w:rPr>
                <w:color w:val="auto"/>
              </w:rPr>
            </w:pPr>
            <w:r w:rsidRPr="00072FDE">
              <w:rPr>
                <w:color w:val="auto"/>
              </w:rPr>
              <w:t>Aim/objective</w:t>
            </w:r>
          </w:p>
        </w:tc>
        <w:tc>
          <w:tcPr>
            <w:tcW w:w="7379" w:type="dxa"/>
          </w:tcPr>
          <w:p w14:paraId="2432E3C2" w14:textId="77777777" w:rsidR="002B7F49" w:rsidRPr="00072FDE" w:rsidRDefault="00CF1FF7" w:rsidP="00A86E66">
            <w:pPr>
              <w:pStyle w:val="DHHStabletext"/>
            </w:pPr>
            <w:r w:rsidRPr="00072FDE">
              <w:t>To provide educational and promotional resources and programs for immunisation providers as well as parents, adolescents and adults.</w:t>
            </w:r>
          </w:p>
        </w:tc>
      </w:tr>
      <w:tr w:rsidR="002B7F49" w:rsidRPr="00C237A0" w14:paraId="5D0F0932" w14:textId="77777777" w:rsidTr="00A86E66">
        <w:trPr>
          <w:cantSplit/>
          <w:trHeight w:hRule="exact" w:val="340"/>
        </w:trPr>
        <w:tc>
          <w:tcPr>
            <w:tcW w:w="2835" w:type="dxa"/>
          </w:tcPr>
          <w:p w14:paraId="0A858785" w14:textId="77777777" w:rsidR="002B7F49" w:rsidRPr="00072FDE" w:rsidRDefault="002B7F49" w:rsidP="0017293C">
            <w:pPr>
              <w:pStyle w:val="DHHStablecolhead"/>
              <w:rPr>
                <w:color w:val="auto"/>
              </w:rPr>
            </w:pPr>
            <w:r w:rsidRPr="00072FDE">
              <w:rPr>
                <w:color w:val="auto"/>
              </w:rPr>
              <w:t>Target</w:t>
            </w:r>
          </w:p>
        </w:tc>
        <w:tc>
          <w:tcPr>
            <w:tcW w:w="7379" w:type="dxa"/>
          </w:tcPr>
          <w:p w14:paraId="3FACA3A7" w14:textId="77777777" w:rsidR="002B7F49" w:rsidRPr="00072FDE" w:rsidRDefault="002B7F49" w:rsidP="00A86E66">
            <w:pPr>
              <w:pStyle w:val="DHHStabletext"/>
            </w:pPr>
            <w:r w:rsidRPr="00072FDE">
              <w:t>The performance measure target is provided in the Service Agreement.</w:t>
            </w:r>
          </w:p>
        </w:tc>
      </w:tr>
      <w:tr w:rsidR="002B7F49" w:rsidRPr="00C237A0" w14:paraId="740C6A68" w14:textId="77777777" w:rsidTr="00A86E66">
        <w:trPr>
          <w:cantSplit/>
          <w:trHeight w:hRule="exact" w:val="340"/>
        </w:trPr>
        <w:tc>
          <w:tcPr>
            <w:tcW w:w="2835" w:type="dxa"/>
          </w:tcPr>
          <w:p w14:paraId="24E0A09A" w14:textId="77777777" w:rsidR="002B7F49" w:rsidRPr="00072FDE" w:rsidRDefault="002B7F49" w:rsidP="0017293C">
            <w:pPr>
              <w:pStyle w:val="DHHStablecolhead"/>
              <w:rPr>
                <w:color w:val="auto"/>
              </w:rPr>
            </w:pPr>
            <w:r w:rsidRPr="00072FDE">
              <w:rPr>
                <w:color w:val="auto"/>
              </w:rPr>
              <w:t>Type of count</w:t>
            </w:r>
          </w:p>
        </w:tc>
        <w:tc>
          <w:tcPr>
            <w:tcW w:w="7379" w:type="dxa"/>
          </w:tcPr>
          <w:p w14:paraId="587DFAD4" w14:textId="77777777" w:rsidR="002B7F49" w:rsidRPr="00072FDE" w:rsidRDefault="00513CA8" w:rsidP="00A86E66">
            <w:pPr>
              <w:pStyle w:val="DHHStabletext"/>
            </w:pPr>
            <w:r>
              <w:fldChar w:fldCharType="begin">
                <w:ffData>
                  <w:name w:val=""/>
                  <w:enabled/>
                  <w:calcOnExit w:val="0"/>
                  <w:checkBox>
                    <w:sizeAuto/>
                    <w:default w:val="1"/>
                  </w:checkBox>
                </w:ffData>
              </w:fldChar>
            </w:r>
            <w:r>
              <w:instrText xml:space="preserve"> FORMCHECKBOX </w:instrText>
            </w:r>
            <w:r w:rsidR="0032538D">
              <w:fldChar w:fldCharType="separate"/>
            </w:r>
            <w:r>
              <w:fldChar w:fldCharType="end"/>
            </w:r>
            <w:r w:rsidR="002B7F49" w:rsidRPr="00072FDE">
              <w:t xml:space="preserve"> Cumulative          </w:t>
            </w:r>
            <w:r>
              <w:fldChar w:fldCharType="begin">
                <w:ffData>
                  <w:name w:val="Check2"/>
                  <w:enabled/>
                  <w:calcOnExit w:val="0"/>
                  <w:checkBox>
                    <w:sizeAuto/>
                    <w:default w:val="0"/>
                  </w:checkBox>
                </w:ffData>
              </w:fldChar>
            </w:r>
            <w:bookmarkStart w:id="1" w:name="Check2"/>
            <w:r>
              <w:instrText xml:space="preserve"> FORMCHECKBOX </w:instrText>
            </w:r>
            <w:r w:rsidR="0032538D">
              <w:fldChar w:fldCharType="separate"/>
            </w:r>
            <w:r>
              <w:fldChar w:fldCharType="end"/>
            </w:r>
            <w:bookmarkEnd w:id="1"/>
            <w:r w:rsidR="002B7F49" w:rsidRPr="00072FDE">
              <w:t xml:space="preserve"> Non-cumulative</w:t>
            </w:r>
          </w:p>
        </w:tc>
      </w:tr>
      <w:tr w:rsidR="002B7F49" w:rsidRPr="00C237A0" w14:paraId="7F749670" w14:textId="77777777" w:rsidTr="00A86E66">
        <w:trPr>
          <w:cantSplit/>
          <w:trHeight w:hRule="exact" w:val="340"/>
        </w:trPr>
        <w:tc>
          <w:tcPr>
            <w:tcW w:w="2835" w:type="dxa"/>
          </w:tcPr>
          <w:p w14:paraId="1B5B1E5B" w14:textId="77777777" w:rsidR="002B7F49" w:rsidRPr="00072FDE" w:rsidRDefault="002B7F49" w:rsidP="0017293C">
            <w:pPr>
              <w:pStyle w:val="DHHStablecolhead"/>
              <w:rPr>
                <w:color w:val="auto"/>
              </w:rPr>
            </w:pPr>
            <w:r w:rsidRPr="00072FDE">
              <w:rPr>
                <w:color w:val="auto"/>
              </w:rPr>
              <w:t>Counting rule</w:t>
            </w:r>
          </w:p>
        </w:tc>
        <w:tc>
          <w:tcPr>
            <w:tcW w:w="7379" w:type="dxa"/>
          </w:tcPr>
          <w:p w14:paraId="11A8453B" w14:textId="77777777" w:rsidR="002B7F49" w:rsidRPr="00072FDE" w:rsidRDefault="00D16120" w:rsidP="00A86E66">
            <w:pPr>
              <w:pStyle w:val="DHHStabletext"/>
            </w:pPr>
            <w:r w:rsidRPr="00072FDE">
              <w:t>Measurement against objectives</w:t>
            </w:r>
          </w:p>
        </w:tc>
      </w:tr>
      <w:tr w:rsidR="002B7F49" w:rsidRPr="00C237A0" w14:paraId="698D5038" w14:textId="77777777" w:rsidTr="00A86E66">
        <w:trPr>
          <w:cantSplit/>
          <w:trHeight w:hRule="exact" w:val="340"/>
        </w:trPr>
        <w:tc>
          <w:tcPr>
            <w:tcW w:w="2835" w:type="dxa"/>
          </w:tcPr>
          <w:p w14:paraId="36BC34C2" w14:textId="77777777" w:rsidR="002B7F49" w:rsidRPr="00072FDE" w:rsidRDefault="002B7F49" w:rsidP="0017293C">
            <w:pPr>
              <w:pStyle w:val="DHHStablecolhead"/>
              <w:rPr>
                <w:color w:val="auto"/>
              </w:rPr>
            </w:pPr>
            <w:r w:rsidRPr="00072FDE">
              <w:rPr>
                <w:color w:val="auto"/>
              </w:rPr>
              <w:t>Data source(s) collection</w:t>
            </w:r>
          </w:p>
        </w:tc>
        <w:tc>
          <w:tcPr>
            <w:tcW w:w="7379" w:type="dxa"/>
          </w:tcPr>
          <w:p w14:paraId="6D40C9DF" w14:textId="77777777" w:rsidR="002B7F49" w:rsidRPr="00072FDE" w:rsidRDefault="005104F8" w:rsidP="00A86E66">
            <w:pPr>
              <w:pStyle w:val="DHHStabletext"/>
            </w:pPr>
            <w:r w:rsidRPr="00072FDE">
              <w:t>Social media analytics.</w:t>
            </w:r>
          </w:p>
        </w:tc>
      </w:tr>
      <w:tr w:rsidR="002B7F49" w:rsidRPr="00C237A0" w14:paraId="76A69E3D" w14:textId="77777777" w:rsidTr="00A86E66">
        <w:trPr>
          <w:cantSplit/>
          <w:trHeight w:hRule="exact" w:val="340"/>
        </w:trPr>
        <w:tc>
          <w:tcPr>
            <w:tcW w:w="2835" w:type="dxa"/>
          </w:tcPr>
          <w:p w14:paraId="6D4B56DF" w14:textId="77777777" w:rsidR="002B7F49" w:rsidRPr="00072FDE" w:rsidRDefault="002B7F49" w:rsidP="0017293C">
            <w:pPr>
              <w:pStyle w:val="DHHStablecolhead"/>
              <w:rPr>
                <w:color w:val="auto"/>
              </w:rPr>
            </w:pPr>
            <w:r w:rsidRPr="00072FDE">
              <w:rPr>
                <w:color w:val="auto"/>
              </w:rPr>
              <w:t>Definition of terms</w:t>
            </w:r>
          </w:p>
        </w:tc>
        <w:tc>
          <w:tcPr>
            <w:tcW w:w="7379" w:type="dxa"/>
          </w:tcPr>
          <w:p w14:paraId="7E50A3BE" w14:textId="77777777" w:rsidR="002B7F49" w:rsidRPr="00072FDE" w:rsidRDefault="00072FDE" w:rsidP="00A86E66">
            <w:pPr>
              <w:pStyle w:val="DHHStabletext"/>
            </w:pPr>
            <w:r>
              <w:t xml:space="preserve">As per the </w:t>
            </w:r>
            <w:r w:rsidRPr="00105D63">
              <w:rPr>
                <w:rStyle w:val="DHHSbodyChar"/>
              </w:rPr>
              <w:t>Victorian Government Advertising and Communication Guidelines</w:t>
            </w:r>
            <w:r>
              <w:rPr>
                <w:rStyle w:val="DHHSbodyChar"/>
              </w:rPr>
              <w:t>.</w:t>
            </w:r>
          </w:p>
        </w:tc>
      </w:tr>
    </w:tbl>
    <w:p w14:paraId="2FA815E8" w14:textId="77777777" w:rsidR="002B7F49" w:rsidRPr="00575BC9" w:rsidRDefault="002B7F49" w:rsidP="00A86E66">
      <w:pPr>
        <w:pStyle w:val="Heading1"/>
      </w:pPr>
      <w:r>
        <w:t>6. Data collection</w:t>
      </w:r>
    </w:p>
    <w:p w14:paraId="5E5D3574" w14:textId="77777777" w:rsidR="002B7F49" w:rsidRDefault="002B7F49" w:rsidP="00457DC3">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2B7F49" w:rsidRPr="00045493" w14:paraId="7E9471C5" w14:textId="77777777" w:rsidTr="006C7A1F">
        <w:trPr>
          <w:trHeight w:hRule="exact" w:val="340"/>
          <w:tblHeader/>
        </w:trPr>
        <w:tc>
          <w:tcPr>
            <w:tcW w:w="2580" w:type="dxa"/>
            <w:vAlign w:val="center"/>
          </w:tcPr>
          <w:p w14:paraId="38D88A9E" w14:textId="77777777" w:rsidR="002B7F49" w:rsidRPr="00575BC9" w:rsidRDefault="002B7F49" w:rsidP="0017293C">
            <w:pPr>
              <w:pStyle w:val="DHHStablecolhead"/>
              <w:spacing w:before="0" w:after="0"/>
            </w:pPr>
            <w:r w:rsidRPr="00575BC9">
              <w:t>Data collection name</w:t>
            </w:r>
          </w:p>
        </w:tc>
        <w:tc>
          <w:tcPr>
            <w:tcW w:w="2580" w:type="dxa"/>
            <w:vAlign w:val="center"/>
          </w:tcPr>
          <w:p w14:paraId="664AA351" w14:textId="77777777" w:rsidR="002B7F49" w:rsidRPr="00575BC9" w:rsidRDefault="002B7F49" w:rsidP="0017293C">
            <w:pPr>
              <w:pStyle w:val="DHHStablecolhead"/>
              <w:spacing w:before="0" w:after="0"/>
            </w:pPr>
            <w:r w:rsidRPr="00575BC9">
              <w:t xml:space="preserve">Data system </w:t>
            </w:r>
          </w:p>
        </w:tc>
        <w:tc>
          <w:tcPr>
            <w:tcW w:w="2580" w:type="dxa"/>
            <w:vAlign w:val="center"/>
          </w:tcPr>
          <w:p w14:paraId="5868450C" w14:textId="77777777" w:rsidR="002B7F49" w:rsidRPr="00575BC9" w:rsidRDefault="002B7F49" w:rsidP="0017293C">
            <w:pPr>
              <w:pStyle w:val="DHHStablecolhead"/>
              <w:spacing w:before="0" w:after="0"/>
            </w:pPr>
            <w:r w:rsidRPr="00575BC9">
              <w:t xml:space="preserve">Data set </w:t>
            </w:r>
          </w:p>
        </w:tc>
        <w:tc>
          <w:tcPr>
            <w:tcW w:w="2508" w:type="dxa"/>
            <w:vAlign w:val="center"/>
          </w:tcPr>
          <w:p w14:paraId="332DC968" w14:textId="77777777" w:rsidR="002B7F49" w:rsidRPr="00575BC9" w:rsidRDefault="002B7F49" w:rsidP="0017293C">
            <w:pPr>
              <w:pStyle w:val="DHHStablecolhead"/>
              <w:spacing w:before="0" w:after="0"/>
            </w:pPr>
            <w:r w:rsidRPr="00575BC9">
              <w:t>Reporting cycle</w:t>
            </w:r>
          </w:p>
        </w:tc>
      </w:tr>
      <w:tr w:rsidR="002B7F49" w:rsidRPr="00C237A0" w14:paraId="7654C1C2" w14:textId="77777777" w:rsidTr="00457DC3">
        <w:trPr>
          <w:trHeight w:val="299"/>
        </w:trPr>
        <w:tc>
          <w:tcPr>
            <w:tcW w:w="2580" w:type="dxa"/>
            <w:vAlign w:val="center"/>
          </w:tcPr>
          <w:p w14:paraId="1FDD8E5A" w14:textId="26F6DF66" w:rsidR="002B7F49" w:rsidRPr="002F7C4B" w:rsidRDefault="00513CA8" w:rsidP="0017293C">
            <w:pPr>
              <w:pStyle w:val="DHHSbody"/>
              <w:spacing w:after="0"/>
              <w:rPr>
                <w:color w:val="7030A0"/>
              </w:rPr>
            </w:pPr>
            <w:r w:rsidRPr="00A86E66">
              <w:t>Social media analytics</w:t>
            </w:r>
          </w:p>
        </w:tc>
        <w:tc>
          <w:tcPr>
            <w:tcW w:w="2580" w:type="dxa"/>
            <w:vAlign w:val="center"/>
          </w:tcPr>
          <w:p w14:paraId="11AAC8DF" w14:textId="2731AB94" w:rsidR="002B7F49" w:rsidRPr="002F7C4B" w:rsidRDefault="002B7F49" w:rsidP="0017293C">
            <w:pPr>
              <w:pStyle w:val="DHHSbody"/>
              <w:spacing w:after="0"/>
              <w:rPr>
                <w:color w:val="7030A0"/>
              </w:rPr>
            </w:pPr>
          </w:p>
        </w:tc>
        <w:tc>
          <w:tcPr>
            <w:tcW w:w="2580" w:type="dxa"/>
            <w:vAlign w:val="center"/>
          </w:tcPr>
          <w:p w14:paraId="5FE8D300" w14:textId="2C788922" w:rsidR="002B7F49" w:rsidRPr="002F7C4B" w:rsidRDefault="002B7F49" w:rsidP="0017293C">
            <w:pPr>
              <w:pStyle w:val="DHHSbody"/>
              <w:spacing w:after="0"/>
              <w:rPr>
                <w:color w:val="7030A0"/>
              </w:rPr>
            </w:pPr>
          </w:p>
        </w:tc>
        <w:tc>
          <w:tcPr>
            <w:tcW w:w="2508" w:type="dxa"/>
            <w:vAlign w:val="center"/>
          </w:tcPr>
          <w:p w14:paraId="01F3857D" w14:textId="32C436D6" w:rsidR="002B7F49" w:rsidRPr="002F7C4B" w:rsidRDefault="002B7F49" w:rsidP="0017293C">
            <w:pPr>
              <w:pStyle w:val="DHHSbody"/>
              <w:spacing w:after="0"/>
              <w:rPr>
                <w:color w:val="7030A0"/>
              </w:rPr>
            </w:pPr>
          </w:p>
        </w:tc>
      </w:tr>
    </w:tbl>
    <w:p w14:paraId="2C9A15E8" w14:textId="77777777" w:rsidR="002B7F49" w:rsidRDefault="002B7F49" w:rsidP="007B7E5D">
      <w:pPr>
        <w:rPr>
          <w:sz w:val="18"/>
          <w:szCs w:val="4"/>
        </w:rPr>
      </w:pPr>
    </w:p>
    <w:p w14:paraId="2E473B60" w14:textId="77777777" w:rsidR="002B7F49" w:rsidRDefault="002B7F49" w:rsidP="007B7E5D">
      <w:pPr>
        <w:rPr>
          <w:sz w:val="18"/>
          <w:szCs w:val="4"/>
        </w:rPr>
      </w:pPr>
    </w:p>
    <w:p w14:paraId="7DBDA065" w14:textId="77777777" w:rsidR="002B7F49" w:rsidRDefault="002B7F49" w:rsidP="007B7E5D">
      <w:pPr>
        <w:rPr>
          <w:sz w:val="18"/>
          <w:szCs w:val="4"/>
        </w:rPr>
      </w:pPr>
    </w:p>
    <w:p w14:paraId="6EBF50AE" w14:textId="77777777" w:rsidR="002B7F49" w:rsidRDefault="002B7F49" w:rsidP="007B7E5D">
      <w:pPr>
        <w:rPr>
          <w:sz w:val="18"/>
          <w:szCs w:val="4"/>
        </w:rPr>
      </w:pPr>
    </w:p>
    <w:tbl>
      <w:tblPr>
        <w:tblW w:w="5000" w:type="pct"/>
        <w:tblCellMar>
          <w:top w:w="113" w:type="dxa"/>
          <w:bottom w:w="57" w:type="dxa"/>
        </w:tblCellMar>
        <w:tblLook w:val="00A0" w:firstRow="1" w:lastRow="0" w:firstColumn="1" w:lastColumn="0" w:noHBand="0" w:noVBand="0"/>
      </w:tblPr>
      <w:tblGrid>
        <w:gridCol w:w="10194"/>
      </w:tblGrid>
      <w:tr w:rsidR="002B7F49" w:rsidRPr="002802E3" w14:paraId="7AB194A4" w14:textId="77777777" w:rsidTr="00694DAF">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4D95E28" w14:textId="77777777" w:rsidR="004D176A" w:rsidRDefault="004D176A" w:rsidP="004D176A">
            <w:pPr>
              <w:pStyle w:val="DHHSaccessibilitypara"/>
            </w:pPr>
            <w:r>
              <w:t xml:space="preserve">To receive this publication in an accessible format </w:t>
            </w:r>
            <w:hyperlink r:id="rId10" w:history="1">
              <w:r>
                <w:rPr>
                  <w:rStyle w:val="Hyperlink"/>
                </w:rPr>
                <w:t>email Service Agreement Policy</w:t>
              </w:r>
            </w:hyperlink>
            <w:r>
              <w:t xml:space="preserve"> &lt;sapolicy@dhhs.vic.gov.au&gt;</w:t>
            </w:r>
          </w:p>
          <w:p w14:paraId="01FE1C1F" w14:textId="77777777" w:rsidR="004D176A" w:rsidRDefault="004D176A" w:rsidP="004D176A">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180E6125" w14:textId="0C8980D8" w:rsidR="002B7F49" w:rsidRPr="00CA4422" w:rsidRDefault="004D176A" w:rsidP="004D176A">
            <w:pPr>
              <w:pStyle w:val="DHHSbody"/>
              <w:spacing w:line="240" w:lineRule="auto"/>
            </w:pPr>
            <w:r>
              <w:rPr>
                <w:szCs w:val="19"/>
              </w:rPr>
              <w:t xml:space="preserve">Available at </w:t>
            </w:r>
            <w:hyperlink r:id="rId11" w:history="1">
              <w:r>
                <w:rPr>
                  <w:rStyle w:val="Hyperlink"/>
                  <w:szCs w:val="19"/>
                </w:rPr>
                <w:t>Human services activity search</w:t>
              </w:r>
            </w:hyperlink>
            <w:r>
              <w:rPr>
                <w:szCs w:val="19"/>
              </w:rPr>
              <w:t xml:space="preserve"> </w:t>
            </w:r>
            <w:hyperlink r:id="rId12" w:history="1">
              <w:r>
                <w:rPr>
                  <w:rStyle w:val="Hyperlink"/>
                  <w:szCs w:val="19"/>
                </w:rPr>
                <w:t>https://providers.dhhs.vic.gov.au/human-services-activity-search</w:t>
              </w:r>
            </w:hyperlink>
          </w:p>
        </w:tc>
      </w:tr>
    </w:tbl>
    <w:p w14:paraId="09A04D5E" w14:textId="77777777" w:rsidR="002B7F49" w:rsidRDefault="002B7F49" w:rsidP="007B7E5D">
      <w:pPr>
        <w:rPr>
          <w:sz w:val="18"/>
          <w:szCs w:val="4"/>
        </w:rPr>
      </w:pPr>
    </w:p>
    <w:sectPr w:rsidR="002B7F49" w:rsidSect="00F73B59">
      <w:footerReference w:type="default" r:id="rId13"/>
      <w:footerReference w:type="first" r:id="rId14"/>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CFE43" w14:textId="77777777" w:rsidR="002B7F49" w:rsidRDefault="002B7F49">
      <w:r>
        <w:separator/>
      </w:r>
    </w:p>
  </w:endnote>
  <w:endnote w:type="continuationSeparator" w:id="0">
    <w:p w14:paraId="07F89C32"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4AB4" w14:textId="73437BC4" w:rsidR="00FE4946" w:rsidRPr="00A11421" w:rsidRDefault="004D176A" w:rsidP="0051568D">
    <w:pPr>
      <w:pStyle w:val="DHHSfooter"/>
    </w:pPr>
    <w:r w:rsidRPr="004D176A">
      <w:t>Activity description</w:t>
    </w:r>
    <w:r>
      <w:t xml:space="preserve"> (</w:t>
    </w:r>
    <w:r w:rsidRPr="004D176A">
      <w:t>health</w:t>
    </w:r>
    <w:r>
      <w:t>):</w:t>
    </w:r>
    <w:r w:rsidRPr="004D176A">
      <w:t>Immunisation Education</w:t>
    </w:r>
    <w:r>
      <w:t xml:space="preserve"> </w:t>
    </w:r>
    <w:r w:rsidRPr="004D176A">
      <w:t>16037</w:t>
    </w:r>
    <w:r w:rsidR="00E06429">
      <w:tab/>
    </w:r>
    <w:r w:rsidR="00FE4946" w:rsidRPr="00A11421">
      <w:fldChar w:fldCharType="begin"/>
    </w:r>
    <w:r w:rsidR="00FE4946" w:rsidRPr="00A11421">
      <w:instrText xml:space="preserve"> PAGE </w:instrText>
    </w:r>
    <w:r w:rsidR="00FE4946" w:rsidRPr="00A11421">
      <w:fldChar w:fldCharType="separate"/>
    </w:r>
    <w:r w:rsidR="004A630A">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C331" w14:textId="77777777" w:rsidR="00FE4946" w:rsidRDefault="00FE4946">
    <w:pPr>
      <w:pStyle w:val="Footer"/>
    </w:pPr>
    <w:r>
      <w:rPr>
        <w:noProof/>
        <w:lang w:eastAsia="en-AU"/>
      </w:rPr>
      <w:drawing>
        <wp:anchor distT="0" distB="0" distL="114300" distR="114300" simplePos="0" relativeHeight="251659264" behindDoc="0" locked="0" layoutInCell="0" allowOverlap="1" wp14:anchorId="4D0BAB27" wp14:editId="53B1C6AA">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1C550" w14:textId="77777777" w:rsidR="002B7F49" w:rsidRDefault="002B7F49" w:rsidP="002862F1">
      <w:pPr>
        <w:spacing w:before="120"/>
      </w:pPr>
      <w:r>
        <w:separator/>
      </w:r>
    </w:p>
  </w:footnote>
  <w:footnote w:type="continuationSeparator" w:id="0">
    <w:p w14:paraId="4B7C6B9B"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E24340B"/>
    <w:multiLevelType w:val="hybridMultilevel"/>
    <w:tmpl w:val="CD6430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1"/>
  </w:num>
  <w:num w:numId="11">
    <w:abstractNumId w:val="6"/>
  </w:num>
  <w:num w:numId="12">
    <w:abstractNumId w:val="7"/>
  </w:num>
  <w:num w:numId="13">
    <w:abstractNumId w:val="4"/>
  </w:num>
  <w:num w:numId="14">
    <w:abstractNumId w:val="10"/>
  </w:num>
  <w:num w:numId="15">
    <w:abstractNumId w:val="2"/>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2FDE"/>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05D6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538D"/>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3AF2"/>
    <w:rsid w:val="00457337"/>
    <w:rsid w:val="00457807"/>
    <w:rsid w:val="00457DC3"/>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630A"/>
    <w:rsid w:val="004A707D"/>
    <w:rsid w:val="004C6EEE"/>
    <w:rsid w:val="004C702B"/>
    <w:rsid w:val="004D016B"/>
    <w:rsid w:val="004D176A"/>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04F8"/>
    <w:rsid w:val="005126D0"/>
    <w:rsid w:val="00513CA8"/>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62F6"/>
    <w:rsid w:val="00670597"/>
    <w:rsid w:val="006706D0"/>
    <w:rsid w:val="00673455"/>
    <w:rsid w:val="00676C23"/>
    <w:rsid w:val="00677574"/>
    <w:rsid w:val="0068454C"/>
    <w:rsid w:val="00691B62"/>
    <w:rsid w:val="00693D14"/>
    <w:rsid w:val="00694522"/>
    <w:rsid w:val="00694DAF"/>
    <w:rsid w:val="00696A12"/>
    <w:rsid w:val="00697090"/>
    <w:rsid w:val="006A18C2"/>
    <w:rsid w:val="006A7939"/>
    <w:rsid w:val="006B077C"/>
    <w:rsid w:val="006B6803"/>
    <w:rsid w:val="006C5390"/>
    <w:rsid w:val="006C7A1F"/>
    <w:rsid w:val="006D2A3F"/>
    <w:rsid w:val="006D2FBC"/>
    <w:rsid w:val="006D72EA"/>
    <w:rsid w:val="006E138B"/>
    <w:rsid w:val="006F0FB0"/>
    <w:rsid w:val="006F1FDC"/>
    <w:rsid w:val="006F369D"/>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41AA9"/>
    <w:rsid w:val="00853EE4"/>
    <w:rsid w:val="00855535"/>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4AE1"/>
    <w:rsid w:val="009269B1"/>
    <w:rsid w:val="0092724D"/>
    <w:rsid w:val="00937BD9"/>
    <w:rsid w:val="00950E2C"/>
    <w:rsid w:val="00951D50"/>
    <w:rsid w:val="009525EB"/>
    <w:rsid w:val="00954874"/>
    <w:rsid w:val="00954CB5"/>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3E7D"/>
    <w:rsid w:val="00A842F2"/>
    <w:rsid w:val="00A853B2"/>
    <w:rsid w:val="00A854EB"/>
    <w:rsid w:val="00A86E66"/>
    <w:rsid w:val="00A872E5"/>
    <w:rsid w:val="00A91406"/>
    <w:rsid w:val="00A961D3"/>
    <w:rsid w:val="00A96E65"/>
    <w:rsid w:val="00A97C72"/>
    <w:rsid w:val="00AA0F86"/>
    <w:rsid w:val="00AA3CA8"/>
    <w:rsid w:val="00AA63D4"/>
    <w:rsid w:val="00AA7900"/>
    <w:rsid w:val="00AB06E8"/>
    <w:rsid w:val="00AB1CD3"/>
    <w:rsid w:val="00AB352F"/>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390A"/>
    <w:rsid w:val="00B06571"/>
    <w:rsid w:val="00B068BA"/>
    <w:rsid w:val="00B13851"/>
    <w:rsid w:val="00B13B1C"/>
    <w:rsid w:val="00B22291"/>
    <w:rsid w:val="00B226DF"/>
    <w:rsid w:val="00B23F9A"/>
    <w:rsid w:val="00B2417B"/>
    <w:rsid w:val="00B24E6F"/>
    <w:rsid w:val="00B26CB5"/>
    <w:rsid w:val="00B2752E"/>
    <w:rsid w:val="00B307CC"/>
    <w:rsid w:val="00B31DC3"/>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4422"/>
    <w:rsid w:val="00CA6611"/>
    <w:rsid w:val="00CA6AE6"/>
    <w:rsid w:val="00CA782F"/>
    <w:rsid w:val="00CC0C72"/>
    <w:rsid w:val="00CC2BFD"/>
    <w:rsid w:val="00CC3FB0"/>
    <w:rsid w:val="00CD3476"/>
    <w:rsid w:val="00CD64DF"/>
    <w:rsid w:val="00CF1FF7"/>
    <w:rsid w:val="00CF2F50"/>
    <w:rsid w:val="00D02919"/>
    <w:rsid w:val="00D04C61"/>
    <w:rsid w:val="00D05B8D"/>
    <w:rsid w:val="00D065A2"/>
    <w:rsid w:val="00D07F00"/>
    <w:rsid w:val="00D1443D"/>
    <w:rsid w:val="00D1612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38A9"/>
    <w:rsid w:val="00DE4E5C"/>
    <w:rsid w:val="00DE6028"/>
    <w:rsid w:val="00DE78A3"/>
    <w:rsid w:val="00DF1A71"/>
    <w:rsid w:val="00DF4F1C"/>
    <w:rsid w:val="00DF68C7"/>
    <w:rsid w:val="00DF6BAF"/>
    <w:rsid w:val="00DF731A"/>
    <w:rsid w:val="00E05E8D"/>
    <w:rsid w:val="00E06429"/>
    <w:rsid w:val="00E06DE4"/>
    <w:rsid w:val="00E170DC"/>
    <w:rsid w:val="00E26818"/>
    <w:rsid w:val="00E27FFC"/>
    <w:rsid w:val="00E30B15"/>
    <w:rsid w:val="00E327EB"/>
    <w:rsid w:val="00E40181"/>
    <w:rsid w:val="00E53D0C"/>
    <w:rsid w:val="00E56A01"/>
    <w:rsid w:val="00E629A1"/>
    <w:rsid w:val="00E71591"/>
    <w:rsid w:val="00E82C55"/>
    <w:rsid w:val="00E92AC3"/>
    <w:rsid w:val="00E957FC"/>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06EBC"/>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3B59"/>
    <w:rsid w:val="00F76CAB"/>
    <w:rsid w:val="00F772C6"/>
    <w:rsid w:val="00F815B5"/>
    <w:rsid w:val="00F85195"/>
    <w:rsid w:val="00F87FCF"/>
    <w:rsid w:val="00F922BE"/>
    <w:rsid w:val="00F938BA"/>
    <w:rsid w:val="00FA2C46"/>
    <w:rsid w:val="00FA3525"/>
    <w:rsid w:val="00FB4CDA"/>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C490C88"/>
  <w15:docId w15:val="{1D5BCD40-1156-4191-BBAC-5D1550AB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A86E66"/>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A86E66"/>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A86E66"/>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A86E66"/>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paragraph" w:styleId="ListParagraph">
    <w:name w:val="List Paragraph"/>
    <w:basedOn w:val="Normal"/>
    <w:uiPriority w:val="72"/>
    <w:qFormat/>
    <w:rsid w:val="00696A12"/>
    <w:pPr>
      <w:ind w:left="720"/>
      <w:contextualSpacing/>
    </w:pPr>
  </w:style>
  <w:style w:type="character" w:styleId="CommentReference">
    <w:name w:val="annotation reference"/>
    <w:basedOn w:val="DefaultParagraphFont"/>
    <w:uiPriority w:val="99"/>
    <w:semiHidden/>
    <w:unhideWhenUsed/>
    <w:rsid w:val="00513CA8"/>
    <w:rPr>
      <w:sz w:val="16"/>
      <w:szCs w:val="16"/>
    </w:rPr>
  </w:style>
  <w:style w:type="paragraph" w:styleId="CommentText">
    <w:name w:val="annotation text"/>
    <w:basedOn w:val="Normal"/>
    <w:link w:val="CommentTextChar"/>
    <w:uiPriority w:val="99"/>
    <w:semiHidden/>
    <w:unhideWhenUsed/>
    <w:rsid w:val="00513CA8"/>
    <w:pPr>
      <w:spacing w:line="240" w:lineRule="auto"/>
    </w:pPr>
  </w:style>
  <w:style w:type="character" w:customStyle="1" w:styleId="CommentTextChar">
    <w:name w:val="Comment Text Char"/>
    <w:basedOn w:val="DefaultParagraphFont"/>
    <w:link w:val="CommentText"/>
    <w:uiPriority w:val="99"/>
    <w:semiHidden/>
    <w:rsid w:val="00513CA8"/>
    <w:rPr>
      <w:rFonts w:ascii="Arial" w:hAnsi="Arial"/>
    </w:rPr>
  </w:style>
  <w:style w:type="paragraph" w:styleId="CommentSubject">
    <w:name w:val="annotation subject"/>
    <w:basedOn w:val="CommentText"/>
    <w:next w:val="CommentText"/>
    <w:link w:val="CommentSubjectChar"/>
    <w:uiPriority w:val="99"/>
    <w:semiHidden/>
    <w:unhideWhenUsed/>
    <w:rsid w:val="00513CA8"/>
    <w:rPr>
      <w:b/>
      <w:bCs/>
    </w:rPr>
  </w:style>
  <w:style w:type="character" w:customStyle="1" w:styleId="CommentSubjectChar">
    <w:name w:val="Comment Subject Char"/>
    <w:basedOn w:val="CommentTextChar"/>
    <w:link w:val="CommentSubject"/>
    <w:uiPriority w:val="99"/>
    <w:semiHidden/>
    <w:rsid w:val="00513CA8"/>
    <w:rPr>
      <w:rFonts w:ascii="Arial" w:hAnsi="Arial"/>
      <w:b/>
      <w:bCs/>
    </w:rPr>
  </w:style>
  <w:style w:type="character" w:styleId="UnresolvedMention">
    <w:name w:val="Unresolved Mention"/>
    <w:basedOn w:val="DefaultParagraphFont"/>
    <w:uiPriority w:val="99"/>
    <w:semiHidden/>
    <w:unhideWhenUsed/>
    <w:rsid w:val="00A8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280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iders.dhhs.vic.gov.au/human-services-activity-searc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viders.dhhs.vic.gov.au/human-services-activity-sea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policy@dhhs.vic.gov.a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vic.gov.au/advertising-government-communication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E8B3083-E6EC-47EF-9D4E-B60DF9BC34B4}">
  <ds:schemaRefs>
    <ds:schemaRef ds:uri="http://schemas.openxmlformats.org/officeDocument/2006/bibliography"/>
  </ds:schemaRefs>
</ds:datastoreItem>
</file>

<file path=customXml/itemProps2.xml><?xml version="1.0" encoding="utf-8"?>
<ds:datastoreItem xmlns:ds="http://schemas.openxmlformats.org/officeDocument/2006/customXml" ds:itemID="{AFCAA4B9-5CBD-4C16-A5D1-BBF12FAF1256}"/>
</file>

<file path=customXml/itemProps3.xml><?xml version="1.0" encoding="utf-8"?>
<ds:datastoreItem xmlns:ds="http://schemas.openxmlformats.org/officeDocument/2006/customXml" ds:itemID="{DC83763D-D20B-4539-A0BE-F5C8D5C13E35}"/>
</file>

<file path=customXml/itemProps4.xml><?xml version="1.0" encoding="utf-8"?>
<ds:datastoreItem xmlns:ds="http://schemas.openxmlformats.org/officeDocument/2006/customXml" ds:itemID="{EE5BB270-0C1D-441D-B985-DCD33BDF6BFA}"/>
</file>

<file path=docProps/app.xml><?xml version="1.0" encoding="utf-8"?>
<Properties xmlns="http://schemas.openxmlformats.org/officeDocument/2006/extended-properties" xmlns:vt="http://schemas.openxmlformats.org/officeDocument/2006/docPropsVTypes">
  <Template>DHHS Factsheet 01 Navy 2765.dot</Template>
  <TotalTime>7</TotalTime>
  <Pages>2</Pages>
  <Words>361</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Activity description  health Immunisation Education 16037</vt:lpstr>
    </vt:vector>
  </TitlesOfParts>
  <Company>Department of Health and Human Services</Company>
  <LinksUpToDate>false</LinksUpToDate>
  <CharactersWithSpaces>3112</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Immunisation Education 16037</dc:title>
  <dc:subject>service agreement activity descriptions</dc:subject>
  <dc:creator>Service Agreement Policy unit</dc:creator>
  <cp:keywords>service agreement;Activity description;health; Public health;Immunisation Education ;16037</cp:keywords>
  <cp:lastModifiedBy>Roxanne Manzie (DHHS)</cp:lastModifiedBy>
  <cp:revision>6</cp:revision>
  <cp:lastPrinted>2019-01-08T23:20:00Z</cp:lastPrinted>
  <dcterms:created xsi:type="dcterms:W3CDTF">2019-06-06T00:28:00Z</dcterms:created>
  <dcterms:modified xsi:type="dcterms:W3CDTF">2019-06-20T02:10:00Z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