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13" w:type="dxa"/>
          <w:left w:w="0" w:type="dxa"/>
          <w:bottom w:w="57" w:type="dxa"/>
          <w:right w:w="0" w:type="dxa"/>
        </w:tblCellMar>
        <w:tblLook w:val="0600" w:firstRow="0" w:lastRow="0" w:firstColumn="0" w:lastColumn="0" w:noHBand="1" w:noVBand="1"/>
      </w:tblPr>
      <w:tblGrid>
        <w:gridCol w:w="9298"/>
      </w:tblGrid>
      <w:tr w:rsidR="009906C7" w:rsidRPr="003072C6" w14:paraId="07072D42" w14:textId="77777777" w:rsidTr="00093F95">
        <w:tc>
          <w:tcPr>
            <w:tcW w:w="9298" w:type="dxa"/>
            <w:vAlign w:val="bottom"/>
          </w:tcPr>
          <w:p w14:paraId="5C92CE74" w14:textId="77777777" w:rsidR="009906C7" w:rsidRPr="003072C6" w:rsidRDefault="009906C7" w:rsidP="00093F95">
            <w:bookmarkStart w:id="0" w:name="_GoBack"/>
            <w:bookmarkEnd w:id="0"/>
          </w:p>
        </w:tc>
      </w:tr>
    </w:tbl>
    <w:p w14:paraId="395FECC8" w14:textId="77777777" w:rsidR="008374B2" w:rsidRPr="008374B2" w:rsidRDefault="008374B2" w:rsidP="008374B2">
      <w:pPr>
        <w:spacing w:line="270" w:lineRule="atLeast"/>
        <w:rPr>
          <w:rFonts w:ascii="Arial" w:eastAsia="Times" w:hAnsi="Arial"/>
        </w:rPr>
      </w:pPr>
    </w:p>
    <w:p w14:paraId="300B8A27" w14:textId="77777777" w:rsidR="008374B2" w:rsidRPr="008374B2" w:rsidRDefault="008374B2" w:rsidP="008374B2">
      <w:pPr>
        <w:spacing w:line="270" w:lineRule="atLeast"/>
        <w:rPr>
          <w:rFonts w:ascii="Arial" w:eastAsia="Times" w:hAnsi="Arial"/>
        </w:rPr>
      </w:pPr>
      <w:r w:rsidRPr="008374B2">
        <w:rPr>
          <w:rFonts w:ascii="Arial" w:eastAsia="Times" w:hAnsi="Arial"/>
          <w:noProof/>
          <w:lang w:eastAsia="en-AU"/>
        </w:rPr>
        <w:drawing>
          <wp:anchor distT="0" distB="0" distL="114300" distR="114300" simplePos="0" relativeHeight="251659776" behindDoc="1" locked="1" layoutInCell="0" allowOverlap="1" wp14:anchorId="7499B7F9" wp14:editId="4833B748">
            <wp:simplePos x="0" y="0"/>
            <wp:positionH relativeFrom="page">
              <wp:posOffset>0</wp:posOffset>
            </wp:positionH>
            <wp:positionV relativeFrom="page">
              <wp:posOffset>0</wp:posOffset>
            </wp:positionV>
            <wp:extent cx="7563485" cy="10700385"/>
            <wp:effectExtent l="0" t="0" r="0" b="571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Caption w:val="Public Housing allocations operational guidelines. chapter2 offers of housing"/>
      </w:tblPr>
      <w:tblGrid>
        <w:gridCol w:w="7938"/>
      </w:tblGrid>
      <w:tr w:rsidR="008374B2" w:rsidRPr="008374B2" w14:paraId="7707F1FA" w14:textId="77777777" w:rsidTr="001D001F">
        <w:trPr>
          <w:trHeight w:val="3988"/>
        </w:trPr>
        <w:tc>
          <w:tcPr>
            <w:tcW w:w="7938" w:type="dxa"/>
            <w:shd w:val="clear" w:color="auto" w:fill="auto"/>
          </w:tcPr>
          <w:p w14:paraId="45BFB74F" w14:textId="77777777" w:rsidR="008374B2" w:rsidRPr="008374B2" w:rsidRDefault="008374B2" w:rsidP="008374B2">
            <w:pPr>
              <w:keepLines/>
              <w:spacing w:after="240" w:line="580" w:lineRule="atLeast"/>
              <w:rPr>
                <w:rFonts w:ascii="Arial" w:hAnsi="Arial"/>
                <w:bCs/>
                <w:color w:val="FFFFFF"/>
                <w:sz w:val="50"/>
                <w:szCs w:val="50"/>
              </w:rPr>
            </w:pPr>
            <w:r w:rsidRPr="008374B2">
              <w:rPr>
                <w:rFonts w:ascii="Arial" w:hAnsi="Arial"/>
                <w:bCs/>
                <w:color w:val="FFFFFF"/>
                <w:sz w:val="50"/>
                <w:szCs w:val="50"/>
              </w:rPr>
              <w:t>HousingVic Online Services</w:t>
            </w:r>
          </w:p>
          <w:p w14:paraId="66E833EE" w14:textId="679598C2" w:rsidR="008374B2" w:rsidRPr="008374B2" w:rsidRDefault="008374B2" w:rsidP="008374B2">
            <w:pPr>
              <w:keepLines/>
              <w:spacing w:after="240" w:line="580" w:lineRule="atLeast"/>
              <w:rPr>
                <w:rFonts w:ascii="Arial" w:hAnsi="Arial"/>
                <w:bCs/>
                <w:color w:val="FFFFFF"/>
                <w:sz w:val="50"/>
                <w:szCs w:val="28"/>
              </w:rPr>
            </w:pPr>
            <w:r w:rsidRPr="008374B2">
              <w:rPr>
                <w:rFonts w:ascii="Arial" w:hAnsi="Arial"/>
                <w:bCs/>
                <w:color w:val="FFFFFF"/>
                <w:sz w:val="50"/>
                <w:szCs w:val="28"/>
              </w:rPr>
              <w:t>operational guidelines V1.</w:t>
            </w:r>
            <w:r w:rsidR="001E33B3">
              <w:rPr>
                <w:rFonts w:ascii="Arial" w:hAnsi="Arial"/>
                <w:bCs/>
                <w:color w:val="FFFFFF"/>
                <w:sz w:val="50"/>
                <w:szCs w:val="28"/>
              </w:rPr>
              <w:t>3</w:t>
            </w:r>
          </w:p>
          <w:p w14:paraId="751D1051" w14:textId="71123A0B" w:rsidR="008374B2" w:rsidRPr="008374B2" w:rsidRDefault="001E33B3" w:rsidP="008374B2">
            <w:pPr>
              <w:keepLines/>
              <w:spacing w:after="240" w:line="580" w:lineRule="atLeast"/>
              <w:rPr>
                <w:rFonts w:ascii="Arial" w:hAnsi="Arial"/>
                <w:bCs/>
                <w:sz w:val="50"/>
                <w:szCs w:val="28"/>
              </w:rPr>
            </w:pPr>
            <w:r>
              <w:rPr>
                <w:rFonts w:ascii="Arial" w:hAnsi="Arial"/>
                <w:bCs/>
                <w:color w:val="FFFFFF"/>
                <w:sz w:val="28"/>
                <w:szCs w:val="28"/>
              </w:rPr>
              <w:t xml:space="preserve">June </w:t>
            </w:r>
            <w:r w:rsidR="00093F95">
              <w:rPr>
                <w:rFonts w:ascii="Arial" w:hAnsi="Arial"/>
                <w:bCs/>
                <w:color w:val="FFFFFF"/>
                <w:sz w:val="28"/>
                <w:szCs w:val="28"/>
              </w:rPr>
              <w:t>2020</w:t>
            </w:r>
          </w:p>
        </w:tc>
      </w:tr>
    </w:tbl>
    <w:p w14:paraId="06DAFC16" w14:textId="77777777" w:rsidR="008374B2" w:rsidRPr="008374B2" w:rsidRDefault="008374B2" w:rsidP="008374B2">
      <w:pPr>
        <w:spacing w:line="270" w:lineRule="atLeast"/>
        <w:rPr>
          <w:rFonts w:ascii="Arial" w:eastAsia="Times" w:hAnsi="Arial"/>
        </w:rPr>
        <w:sectPr w:rsidR="008374B2" w:rsidRPr="008374B2" w:rsidSect="008374B2">
          <w:headerReference w:type="even" r:id="rId12"/>
          <w:headerReference w:type="default" r:id="rId13"/>
          <w:footerReference w:type="even" r:id="rId14"/>
          <w:footerReference w:type="default" r:id="rId15"/>
          <w:headerReference w:type="first" r:id="rId16"/>
          <w:footerReference w:type="first" r:id="rId17"/>
          <w:pgSz w:w="11906" w:h="16838"/>
          <w:pgMar w:top="3969" w:right="1304" w:bottom="1134" w:left="1304" w:header="454" w:footer="567" w:gutter="0"/>
          <w:cols w:space="720"/>
          <w:docGrid w:linePitch="360"/>
        </w:sectPr>
      </w:pPr>
    </w:p>
    <w:bookmarkStart w:id="4" w:name="_Toc495315206"/>
    <w:bookmarkStart w:id="5" w:name="_Toc496089682"/>
    <w:bookmarkStart w:id="6" w:name="_Toc511661724"/>
    <w:bookmarkStart w:id="7" w:name="_Toc516644467"/>
    <w:bookmarkStart w:id="8" w:name="_Toc517336960"/>
    <w:bookmarkStart w:id="9" w:name="_Toc523146978"/>
    <w:bookmarkStart w:id="10" w:name="_Toc41311296"/>
    <w:bookmarkStart w:id="11" w:name="_Toc496089683"/>
    <w:p w14:paraId="1A0579A3" w14:textId="77777777" w:rsidR="008374B2" w:rsidRPr="008374B2" w:rsidRDefault="008374B2" w:rsidP="00093F95">
      <w:pPr>
        <w:pStyle w:val="Heading1"/>
      </w:pPr>
      <w:r w:rsidRPr="008374B2">
        <w:rPr>
          <w:noProof/>
          <w:lang w:eastAsia="en-AU"/>
        </w:rPr>
        <w:lastRenderedPageBreak/>
        <mc:AlternateContent>
          <mc:Choice Requires="wps">
            <w:drawing>
              <wp:anchor distT="0" distB="0" distL="114300" distR="114300" simplePos="0" relativeHeight="251660800" behindDoc="0" locked="0" layoutInCell="1" allowOverlap="1" wp14:anchorId="030B12DC" wp14:editId="5ADF4342">
                <wp:simplePos x="0" y="0"/>
                <wp:positionH relativeFrom="column">
                  <wp:posOffset>4572000</wp:posOffset>
                </wp:positionH>
                <wp:positionV relativeFrom="paragraph">
                  <wp:posOffset>10172700</wp:posOffset>
                </wp:positionV>
                <wp:extent cx="2514600" cy="342900"/>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7AFB" w14:textId="77777777" w:rsidR="008374B2" w:rsidRDefault="008374B2" w:rsidP="008374B2">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B12DC" id="_x0000_t202" coordsize="21600,21600" o:spt="202" path="m,l,21600r21600,l21600,xe">
                <v:stroke joinstyle="miter"/>
                <v:path gradientshapeok="t" o:connecttype="rect"/>
              </v:shapetype>
              <v:shape id="Text Box 43" o:spid="_x0000_s1026" type="#_x0000_t202" style="position:absolute;margin-left:5in;margin-top:801pt;width:198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mv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DMbnmvtAIAALoFAAAO&#10;AAAAAAAAAAAAAAAAAC4CAABkcnMvZTJvRG9jLnhtbFBLAQItABQABgAIAAAAIQBYhRto3AAAAA4B&#10;AAAPAAAAAAAAAAAAAAAAAA4FAABkcnMvZG93bnJldi54bWxQSwUGAAAAAAQABADzAAAAFwYAAAAA&#10;" filled="f" stroked="f">
                <v:textbox>
                  <w:txbxContent>
                    <w:p w14:paraId="6E177AFB" w14:textId="77777777" w:rsidR="008374B2" w:rsidRDefault="008374B2" w:rsidP="008374B2">
                      <w:pPr>
                        <w:jc w:val="right"/>
                      </w:pPr>
                      <w:r w:rsidRPr="000147AF">
                        <w:rPr>
                          <w:rFonts w:ascii="Arial" w:hAnsi="Arial" w:cs="Arial"/>
                          <w:color w:val="808080"/>
                          <w:sz w:val="22"/>
                          <w:szCs w:val="22"/>
                        </w:rPr>
                        <w:t>Department of Health</w:t>
                      </w:r>
                    </w:p>
                  </w:txbxContent>
                </v:textbox>
              </v:shape>
            </w:pict>
          </mc:Fallback>
        </mc:AlternateContent>
      </w:r>
      <w:r w:rsidRPr="008374B2">
        <w:t>Revision history</w:t>
      </w:r>
      <w:bookmarkEnd w:id="4"/>
      <w:bookmarkEnd w:id="5"/>
      <w:bookmarkEnd w:id="6"/>
      <w:bookmarkEnd w:id="7"/>
      <w:bookmarkEnd w:id="8"/>
      <w:bookmarkEnd w:id="9"/>
      <w:bookmarkEnd w:id="10"/>
      <w:r w:rsidRPr="008374B2">
        <w:t xml:space="preserve">  </w:t>
      </w:r>
    </w:p>
    <w:tbl>
      <w:tblPr>
        <w:tblStyle w:val="TableGrid1"/>
        <w:tblW w:w="9214" w:type="dxa"/>
        <w:tblLook w:val="04A0" w:firstRow="1" w:lastRow="0" w:firstColumn="1" w:lastColumn="0" w:noHBand="0" w:noVBand="1"/>
        <w:tblCaption w:val="Revision history"/>
        <w:tblDescription w:val="Version control table"/>
      </w:tblPr>
      <w:tblGrid>
        <w:gridCol w:w="2324"/>
        <w:gridCol w:w="2325"/>
        <w:gridCol w:w="2325"/>
        <w:gridCol w:w="2240"/>
      </w:tblGrid>
      <w:tr w:rsidR="008374B2" w:rsidRPr="008374B2" w14:paraId="7B67FF5D" w14:textId="77777777" w:rsidTr="001D001F">
        <w:trPr>
          <w:tblHeader/>
        </w:trPr>
        <w:tc>
          <w:tcPr>
            <w:tcW w:w="2324" w:type="dxa"/>
          </w:tcPr>
          <w:p w14:paraId="5F182B0B" w14:textId="77777777" w:rsidR="008374B2" w:rsidRPr="008374B2" w:rsidRDefault="008374B2" w:rsidP="00093F95">
            <w:pPr>
              <w:pStyle w:val="DHHStablecolhead"/>
              <w:rPr>
                <w:rFonts w:eastAsia="Times"/>
              </w:rPr>
            </w:pPr>
            <w:r w:rsidRPr="008374B2">
              <w:rPr>
                <w:rFonts w:eastAsia="Times"/>
              </w:rPr>
              <w:t>Version</w:t>
            </w:r>
          </w:p>
        </w:tc>
        <w:tc>
          <w:tcPr>
            <w:tcW w:w="2325" w:type="dxa"/>
          </w:tcPr>
          <w:p w14:paraId="3D38341E" w14:textId="77777777" w:rsidR="008374B2" w:rsidRPr="008374B2" w:rsidRDefault="008374B2" w:rsidP="00093F95">
            <w:pPr>
              <w:pStyle w:val="DHHStablecolhead"/>
              <w:rPr>
                <w:rFonts w:eastAsia="Times"/>
              </w:rPr>
            </w:pPr>
            <w:r w:rsidRPr="008374B2">
              <w:rPr>
                <w:rFonts w:eastAsia="Times"/>
              </w:rPr>
              <w:t>Amended section</w:t>
            </w:r>
          </w:p>
        </w:tc>
        <w:tc>
          <w:tcPr>
            <w:tcW w:w="2325" w:type="dxa"/>
          </w:tcPr>
          <w:p w14:paraId="303424B0" w14:textId="77777777" w:rsidR="008374B2" w:rsidRPr="008374B2" w:rsidRDefault="008374B2" w:rsidP="00093F95">
            <w:pPr>
              <w:pStyle w:val="DHHStablecolhead"/>
              <w:rPr>
                <w:rFonts w:eastAsia="Times"/>
              </w:rPr>
            </w:pPr>
            <w:r w:rsidRPr="008374B2">
              <w:rPr>
                <w:rFonts w:eastAsia="Times"/>
              </w:rPr>
              <w:t>Effective</w:t>
            </w:r>
          </w:p>
        </w:tc>
        <w:tc>
          <w:tcPr>
            <w:tcW w:w="2240" w:type="dxa"/>
          </w:tcPr>
          <w:p w14:paraId="5B7039D8" w14:textId="77777777" w:rsidR="008374B2" w:rsidRPr="008374B2" w:rsidRDefault="008374B2" w:rsidP="00093F95">
            <w:pPr>
              <w:pStyle w:val="DHHStablecolhead"/>
              <w:rPr>
                <w:rFonts w:eastAsia="Times"/>
              </w:rPr>
            </w:pPr>
            <w:r w:rsidRPr="008374B2">
              <w:rPr>
                <w:rFonts w:eastAsia="Times"/>
              </w:rPr>
              <w:t>Details</w:t>
            </w:r>
          </w:p>
        </w:tc>
      </w:tr>
      <w:tr w:rsidR="008374B2" w:rsidRPr="008374B2" w14:paraId="4CFE218E" w14:textId="77777777" w:rsidTr="001D001F">
        <w:trPr>
          <w:tblHeader/>
        </w:trPr>
        <w:tc>
          <w:tcPr>
            <w:tcW w:w="2324" w:type="dxa"/>
          </w:tcPr>
          <w:p w14:paraId="5FBC8234"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1.0</w:t>
            </w:r>
          </w:p>
        </w:tc>
        <w:tc>
          <w:tcPr>
            <w:tcW w:w="2325" w:type="dxa"/>
          </w:tcPr>
          <w:p w14:paraId="5DDBE2A0"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p>
        </w:tc>
        <w:tc>
          <w:tcPr>
            <w:tcW w:w="2325" w:type="dxa"/>
          </w:tcPr>
          <w:p w14:paraId="5791F6E1"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September 2019</w:t>
            </w:r>
          </w:p>
        </w:tc>
        <w:tc>
          <w:tcPr>
            <w:tcW w:w="2240" w:type="dxa"/>
          </w:tcPr>
          <w:p w14:paraId="15B8FF04"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Date of issue</w:t>
            </w:r>
          </w:p>
          <w:p w14:paraId="751BF7CB"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p>
        </w:tc>
      </w:tr>
      <w:tr w:rsidR="008374B2" w:rsidRPr="008374B2" w14:paraId="1F487E14" w14:textId="77777777" w:rsidTr="001D001F">
        <w:trPr>
          <w:tblHeader/>
        </w:trPr>
        <w:tc>
          <w:tcPr>
            <w:tcW w:w="2324" w:type="dxa"/>
          </w:tcPr>
          <w:p w14:paraId="4C5A1356"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1.1</w:t>
            </w:r>
          </w:p>
        </w:tc>
        <w:tc>
          <w:tcPr>
            <w:tcW w:w="2325" w:type="dxa"/>
          </w:tcPr>
          <w:p w14:paraId="36A4A069"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 xml:space="preserve">Digital mail </w:t>
            </w:r>
          </w:p>
        </w:tc>
        <w:tc>
          <w:tcPr>
            <w:tcW w:w="2325" w:type="dxa"/>
          </w:tcPr>
          <w:p w14:paraId="64AAB1A3"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December 2019</w:t>
            </w:r>
          </w:p>
        </w:tc>
        <w:tc>
          <w:tcPr>
            <w:tcW w:w="2240" w:type="dxa"/>
          </w:tcPr>
          <w:p w14:paraId="036D9DB9"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 xml:space="preserve">Tenancy letters released in digital mail </w:t>
            </w:r>
          </w:p>
        </w:tc>
      </w:tr>
      <w:tr w:rsidR="008374B2" w:rsidRPr="008374B2" w14:paraId="228CB18A" w14:textId="77777777" w:rsidTr="001D001F">
        <w:trPr>
          <w:tblHeader/>
        </w:trPr>
        <w:tc>
          <w:tcPr>
            <w:tcW w:w="2324" w:type="dxa"/>
          </w:tcPr>
          <w:p w14:paraId="3B197DC3"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1.2</w:t>
            </w:r>
          </w:p>
        </w:tc>
        <w:tc>
          <w:tcPr>
            <w:tcW w:w="2325" w:type="dxa"/>
          </w:tcPr>
          <w:p w14:paraId="5BFA7A07"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 xml:space="preserve">My Housing </w:t>
            </w:r>
          </w:p>
        </w:tc>
        <w:tc>
          <w:tcPr>
            <w:tcW w:w="2325" w:type="dxa"/>
          </w:tcPr>
          <w:p w14:paraId="332856BB" w14:textId="77777777" w:rsidR="008374B2" w:rsidRPr="008374B2" w:rsidRDefault="008374B2" w:rsidP="008374B2">
            <w:pPr>
              <w:numPr>
                <w:ilvl w:val="2"/>
                <w:numId w:val="0"/>
              </w:numPr>
              <w:tabs>
                <w:tab w:val="num" w:pos="360"/>
              </w:tabs>
              <w:spacing w:before="80" w:after="60" w:line="270" w:lineRule="atLeast"/>
              <w:rPr>
                <w:rFonts w:ascii="Arial" w:eastAsia="Times" w:hAnsi="Arial"/>
              </w:rPr>
            </w:pPr>
            <w:r w:rsidRPr="008374B2">
              <w:rPr>
                <w:rFonts w:ascii="Arial" w:eastAsia="Times" w:hAnsi="Arial"/>
              </w:rPr>
              <w:t>March 2020</w:t>
            </w:r>
          </w:p>
        </w:tc>
        <w:tc>
          <w:tcPr>
            <w:tcW w:w="2240" w:type="dxa"/>
          </w:tcPr>
          <w:p w14:paraId="2D9404E6" w14:textId="77777777" w:rsidR="008374B2" w:rsidRPr="008374B2" w:rsidRDefault="004E5BCF" w:rsidP="008374B2">
            <w:pPr>
              <w:numPr>
                <w:ilvl w:val="2"/>
                <w:numId w:val="0"/>
              </w:numPr>
              <w:tabs>
                <w:tab w:val="num" w:pos="360"/>
              </w:tabs>
              <w:spacing w:before="80" w:after="60" w:line="270" w:lineRule="atLeast"/>
              <w:rPr>
                <w:rFonts w:ascii="Arial" w:eastAsia="Times" w:hAnsi="Arial"/>
              </w:rPr>
            </w:pPr>
            <w:r>
              <w:rPr>
                <w:rFonts w:ascii="Arial" w:eastAsia="Times" w:hAnsi="Arial"/>
              </w:rPr>
              <w:t>Release of My Housing and My account</w:t>
            </w:r>
          </w:p>
        </w:tc>
      </w:tr>
      <w:tr w:rsidR="001E33B3" w:rsidRPr="008374B2" w14:paraId="50592CCC" w14:textId="77777777" w:rsidTr="001D001F">
        <w:trPr>
          <w:tblHeader/>
        </w:trPr>
        <w:tc>
          <w:tcPr>
            <w:tcW w:w="2324" w:type="dxa"/>
          </w:tcPr>
          <w:p w14:paraId="3E1B4702" w14:textId="0347CBE2" w:rsidR="001E33B3" w:rsidRPr="008374B2" w:rsidRDefault="001E33B3" w:rsidP="008374B2">
            <w:pPr>
              <w:numPr>
                <w:ilvl w:val="2"/>
                <w:numId w:val="0"/>
              </w:numPr>
              <w:tabs>
                <w:tab w:val="num" w:pos="360"/>
              </w:tabs>
              <w:spacing w:before="80" w:after="60" w:line="270" w:lineRule="atLeast"/>
              <w:rPr>
                <w:rFonts w:ascii="Arial" w:eastAsia="Times" w:hAnsi="Arial"/>
              </w:rPr>
            </w:pPr>
            <w:r>
              <w:rPr>
                <w:rFonts w:ascii="Arial" w:eastAsia="Times" w:hAnsi="Arial"/>
              </w:rPr>
              <w:t>1.3</w:t>
            </w:r>
          </w:p>
        </w:tc>
        <w:tc>
          <w:tcPr>
            <w:tcW w:w="2325" w:type="dxa"/>
          </w:tcPr>
          <w:p w14:paraId="377FE055" w14:textId="74EAD2C2" w:rsidR="001E33B3" w:rsidRPr="008374B2" w:rsidRDefault="001E33B3" w:rsidP="008374B2">
            <w:pPr>
              <w:numPr>
                <w:ilvl w:val="2"/>
                <w:numId w:val="0"/>
              </w:numPr>
              <w:tabs>
                <w:tab w:val="num" w:pos="360"/>
              </w:tabs>
              <w:spacing w:before="80" w:after="60" w:line="270" w:lineRule="atLeast"/>
              <w:rPr>
                <w:rFonts w:ascii="Arial" w:eastAsia="Times" w:hAnsi="Arial"/>
              </w:rPr>
            </w:pPr>
            <w:r>
              <w:rPr>
                <w:rFonts w:ascii="Arial" w:eastAsia="Times" w:hAnsi="Arial"/>
              </w:rPr>
              <w:t xml:space="preserve">My Account  </w:t>
            </w:r>
          </w:p>
        </w:tc>
        <w:tc>
          <w:tcPr>
            <w:tcW w:w="2325" w:type="dxa"/>
          </w:tcPr>
          <w:p w14:paraId="3FCDF718" w14:textId="34D54798" w:rsidR="001E33B3" w:rsidRPr="008374B2" w:rsidRDefault="001E33B3" w:rsidP="008374B2">
            <w:pPr>
              <w:numPr>
                <w:ilvl w:val="2"/>
                <w:numId w:val="0"/>
              </w:numPr>
              <w:tabs>
                <w:tab w:val="num" w:pos="360"/>
              </w:tabs>
              <w:spacing w:before="80" w:after="60" w:line="270" w:lineRule="atLeast"/>
              <w:rPr>
                <w:rFonts w:ascii="Arial" w:eastAsia="Times" w:hAnsi="Arial"/>
              </w:rPr>
            </w:pPr>
            <w:r>
              <w:rPr>
                <w:rFonts w:ascii="Arial" w:eastAsia="Times" w:hAnsi="Arial"/>
              </w:rPr>
              <w:t>June 2020</w:t>
            </w:r>
          </w:p>
        </w:tc>
        <w:tc>
          <w:tcPr>
            <w:tcW w:w="2240" w:type="dxa"/>
          </w:tcPr>
          <w:p w14:paraId="5B8D21DE" w14:textId="3E5BB012" w:rsidR="001E33B3" w:rsidRDefault="001E33B3" w:rsidP="008374B2">
            <w:pPr>
              <w:numPr>
                <w:ilvl w:val="2"/>
                <w:numId w:val="0"/>
              </w:numPr>
              <w:tabs>
                <w:tab w:val="num" w:pos="360"/>
              </w:tabs>
              <w:spacing w:before="80" w:after="60" w:line="270" w:lineRule="atLeast"/>
              <w:rPr>
                <w:rFonts w:ascii="Arial" w:eastAsia="Times" w:hAnsi="Arial"/>
              </w:rPr>
            </w:pPr>
            <w:r>
              <w:rPr>
                <w:rFonts w:ascii="Arial" w:eastAsia="Times" w:hAnsi="Arial"/>
              </w:rPr>
              <w:t>Release of payments online and consent</w:t>
            </w:r>
          </w:p>
        </w:tc>
      </w:tr>
    </w:tbl>
    <w:p w14:paraId="0A83C7A3" w14:textId="77777777" w:rsidR="008374B2" w:rsidRPr="008374B2" w:rsidRDefault="008374B2" w:rsidP="00093F95">
      <w:pPr>
        <w:pStyle w:val="Heading1"/>
        <w:rPr>
          <w:rFonts w:eastAsia="MS Gothic"/>
        </w:rPr>
      </w:pPr>
      <w:bookmarkStart w:id="12" w:name="_Toc41311297"/>
      <w:r w:rsidRPr="008374B2">
        <w:rPr>
          <w:rFonts w:eastAsia="MS Gothic"/>
        </w:rPr>
        <w:t>More information</w:t>
      </w:r>
      <w:bookmarkEnd w:id="11"/>
      <w:bookmarkEnd w:id="12"/>
    </w:p>
    <w:p w14:paraId="7C8E7D25" w14:textId="77777777" w:rsidR="008374B2" w:rsidRPr="008374B2" w:rsidRDefault="008374B2" w:rsidP="008374B2">
      <w:pPr>
        <w:spacing w:after="240" w:line="276" w:lineRule="auto"/>
        <w:rPr>
          <w:rFonts w:ascii="Arial" w:eastAsia="Times" w:hAnsi="Arial"/>
        </w:rPr>
      </w:pPr>
      <w:r w:rsidRPr="008374B2">
        <w:rPr>
          <w:rFonts w:ascii="Arial" w:eastAsia="Times" w:hAnsi="Arial"/>
        </w:rPr>
        <w:t xml:space="preserve">To find out about housing options visit the </w:t>
      </w:r>
      <w:hyperlink r:id="rId18" w:history="1">
        <w:r w:rsidRPr="008374B2">
          <w:rPr>
            <w:rFonts w:ascii="Arial" w:eastAsia="Times" w:hAnsi="Arial"/>
          </w:rPr>
          <w:t>Housing website</w:t>
        </w:r>
      </w:hyperlink>
      <w:r w:rsidRPr="008374B2">
        <w:rPr>
          <w:rFonts w:ascii="Arial" w:eastAsia="Times" w:hAnsi="Arial"/>
        </w:rPr>
        <w:t xml:space="preserve"> &lt;http://www.housing.vic.gov.au&gt; or contact your local </w:t>
      </w:r>
      <w:hyperlink r:id="rId19" w:history="1">
        <w:r w:rsidRPr="008374B2">
          <w:rPr>
            <w:rFonts w:ascii="Arial" w:eastAsia="Times" w:hAnsi="Arial"/>
          </w:rPr>
          <w:t>Housing Office</w:t>
        </w:r>
      </w:hyperlink>
      <w:r w:rsidRPr="008374B2">
        <w:rPr>
          <w:rFonts w:ascii="Arial" w:eastAsia="Times" w:hAnsi="Arial"/>
        </w:rPr>
        <w:t xml:space="preserve"> &lt;http://www.housing.vic.gov.au/contact-a-housing-office&gt;.</w:t>
      </w:r>
    </w:p>
    <w:p w14:paraId="0163F8D8" w14:textId="77777777" w:rsidR="008374B2" w:rsidRPr="008374B2" w:rsidRDefault="008374B2" w:rsidP="008374B2">
      <w:pPr>
        <w:spacing w:after="240" w:line="276" w:lineRule="auto"/>
        <w:rPr>
          <w:rFonts w:ascii="Arial" w:eastAsia="Times" w:hAnsi="Arial"/>
        </w:rPr>
      </w:pPr>
      <w:r w:rsidRPr="008374B2">
        <w:rPr>
          <w:rFonts w:ascii="Arial" w:eastAsia="Times" w:hAnsi="Arial"/>
        </w:rPr>
        <w:t xml:space="preserve">To receive this publication in an accessible format contact </w:t>
      </w:r>
      <w:hyperlink r:id="rId20" w:history="1">
        <w:r w:rsidRPr="008374B2">
          <w:rPr>
            <w:rFonts w:ascii="Arial" w:eastAsia="Times" w:hAnsi="Arial"/>
          </w:rPr>
          <w:t>Housing Practice and Complex Support</w:t>
        </w:r>
      </w:hyperlink>
      <w:r w:rsidRPr="008374B2">
        <w:rPr>
          <w:rFonts w:ascii="Arial" w:eastAsia="Times" w:hAnsi="Arial"/>
        </w:rPr>
        <w:t xml:space="preserve"> &lt;housing.practicesupport@dhhs.vic.gov.au&gt;.</w:t>
      </w:r>
    </w:p>
    <w:p w14:paraId="734E2871" w14:textId="77777777" w:rsidR="008374B2" w:rsidRPr="008374B2" w:rsidRDefault="008374B2" w:rsidP="008374B2">
      <w:pPr>
        <w:spacing w:after="240" w:line="276" w:lineRule="auto"/>
        <w:rPr>
          <w:rFonts w:ascii="Arial" w:eastAsia="Times" w:hAnsi="Arial"/>
        </w:rPr>
      </w:pPr>
      <w:r w:rsidRPr="008374B2">
        <w:rPr>
          <w:rFonts w:ascii="Arial" w:eastAsia="Times" w:hAnsi="Arial"/>
        </w:rPr>
        <w:t>Authorised and published by the Victorian Government, 1 Treasury Place, Melbourne.</w:t>
      </w:r>
    </w:p>
    <w:p w14:paraId="18727D2D" w14:textId="0F5A2109" w:rsidR="008374B2" w:rsidRPr="008374B2" w:rsidRDefault="008374B2" w:rsidP="008374B2">
      <w:pPr>
        <w:spacing w:after="240" w:line="276" w:lineRule="auto"/>
        <w:rPr>
          <w:rFonts w:ascii="Arial" w:eastAsia="Times" w:hAnsi="Arial"/>
        </w:rPr>
      </w:pPr>
      <w:r w:rsidRPr="008374B2">
        <w:rPr>
          <w:rFonts w:ascii="Arial" w:eastAsia="Times" w:hAnsi="Arial"/>
        </w:rPr>
        <w:t xml:space="preserve">© State of Victoria, Department of Health and Human Services, </w:t>
      </w:r>
      <w:r w:rsidR="001E33B3">
        <w:rPr>
          <w:rFonts w:ascii="Arial" w:eastAsia="Times" w:hAnsi="Arial"/>
        </w:rPr>
        <w:t xml:space="preserve">June </w:t>
      </w:r>
      <w:r w:rsidR="004E5BCF">
        <w:rPr>
          <w:rFonts w:ascii="Arial" w:eastAsia="Times" w:hAnsi="Arial"/>
        </w:rPr>
        <w:t>2020</w:t>
      </w:r>
      <w:r w:rsidRPr="008374B2">
        <w:rPr>
          <w:rFonts w:ascii="Arial" w:eastAsia="Times" w:hAnsi="Arial"/>
        </w:rPr>
        <w:t>.</w:t>
      </w:r>
    </w:p>
    <w:p w14:paraId="7B38EB9B" w14:textId="77777777" w:rsidR="008374B2" w:rsidRPr="008374B2" w:rsidRDefault="008374B2" w:rsidP="008374B2">
      <w:pPr>
        <w:spacing w:after="240" w:line="276" w:lineRule="auto"/>
        <w:rPr>
          <w:rFonts w:ascii="Arial" w:eastAsia="Times" w:hAnsi="Arial"/>
        </w:rPr>
      </w:pPr>
      <w:r w:rsidRPr="008374B2">
        <w:rPr>
          <w:rFonts w:ascii="Arial" w:eastAsia="Times" w:hAnsi="Arial"/>
        </w:rPr>
        <w:t>ISBN: 978-1-76069-472-2(pdf/online/MS word)</w:t>
      </w:r>
    </w:p>
    <w:p w14:paraId="51B3855B" w14:textId="77777777" w:rsidR="008374B2" w:rsidRPr="008374B2" w:rsidRDefault="008374B2" w:rsidP="008374B2">
      <w:pPr>
        <w:spacing w:after="240" w:line="276" w:lineRule="auto"/>
        <w:rPr>
          <w:rFonts w:ascii="Arial" w:eastAsia="Times" w:hAnsi="Arial"/>
          <w:color w:val="004EA8"/>
        </w:rPr>
      </w:pPr>
      <w:r w:rsidRPr="008374B2">
        <w:rPr>
          <w:rFonts w:ascii="Arial" w:eastAsia="Times" w:hAnsi="Arial"/>
        </w:rPr>
        <w:t xml:space="preserve">Available on the HousingVic online services page of the Services Providers website </w:t>
      </w:r>
      <w:hyperlink r:id="rId21" w:history="1">
        <w:r w:rsidRPr="008374B2">
          <w:rPr>
            <w:rFonts w:ascii="Arial" w:eastAsia="Times" w:hAnsi="Arial"/>
            <w:u w:val="dotted"/>
          </w:rPr>
          <w:t>https://providers.dhhs.vic.gov.au/housing-operational-guidelines</w:t>
        </w:r>
      </w:hyperlink>
      <w:r w:rsidRPr="008374B2">
        <w:rPr>
          <w:rFonts w:ascii="Arial" w:eastAsia="Times" w:hAnsi="Arial"/>
          <w:sz w:val="24"/>
          <w:szCs w:val="19"/>
        </w:rPr>
        <w:br w:type="page"/>
      </w:r>
      <w:r w:rsidRPr="004E5BCF">
        <w:rPr>
          <w:rStyle w:val="Heading1Char"/>
          <w:rFonts w:eastAsia="Times"/>
        </w:rPr>
        <w:lastRenderedPageBreak/>
        <w:t>Contents</w:t>
      </w:r>
    </w:p>
    <w:p w14:paraId="7FA388AB" w14:textId="73037058" w:rsidR="00E52B05" w:rsidRDefault="008374B2">
      <w:pPr>
        <w:pStyle w:val="TOC1"/>
        <w:rPr>
          <w:rFonts w:asciiTheme="minorHAnsi" w:eastAsiaTheme="minorEastAsia" w:hAnsiTheme="minorHAnsi" w:cstheme="minorBidi"/>
          <w:b w:val="0"/>
          <w:sz w:val="22"/>
          <w:szCs w:val="22"/>
          <w:lang w:eastAsia="en-AU"/>
        </w:rPr>
      </w:pPr>
      <w:r w:rsidRPr="008374B2">
        <w:rPr>
          <w:bCs/>
          <w:sz w:val="44"/>
          <w:szCs w:val="44"/>
        </w:rPr>
        <w:fldChar w:fldCharType="begin"/>
      </w:r>
      <w:r w:rsidRPr="008374B2">
        <w:instrText xml:space="preserve"> TOC \h \z \t "Heading 1,1,Heading 2,2" </w:instrText>
      </w:r>
      <w:r w:rsidRPr="008374B2">
        <w:rPr>
          <w:bCs/>
          <w:sz w:val="44"/>
          <w:szCs w:val="44"/>
        </w:rPr>
        <w:fldChar w:fldCharType="separate"/>
      </w:r>
      <w:hyperlink w:anchor="_Toc41311296" w:history="1">
        <w:r w:rsidR="00E52B05" w:rsidRPr="000F4DE6">
          <w:rPr>
            <w:rStyle w:val="Hyperlink"/>
          </w:rPr>
          <w:t>Revision history</w:t>
        </w:r>
        <w:r w:rsidR="00E52B05">
          <w:rPr>
            <w:webHidden/>
          </w:rPr>
          <w:tab/>
        </w:r>
        <w:r w:rsidR="00E52B05">
          <w:rPr>
            <w:webHidden/>
          </w:rPr>
          <w:fldChar w:fldCharType="begin"/>
        </w:r>
        <w:r w:rsidR="00E52B05">
          <w:rPr>
            <w:webHidden/>
          </w:rPr>
          <w:instrText xml:space="preserve"> PAGEREF _Toc41311296 \h </w:instrText>
        </w:r>
        <w:r w:rsidR="00E52B05">
          <w:rPr>
            <w:webHidden/>
          </w:rPr>
        </w:r>
        <w:r w:rsidR="00E52B05">
          <w:rPr>
            <w:webHidden/>
          </w:rPr>
          <w:fldChar w:fldCharType="separate"/>
        </w:r>
        <w:r w:rsidR="00E52B05">
          <w:rPr>
            <w:webHidden/>
          </w:rPr>
          <w:t>2</w:t>
        </w:r>
        <w:r w:rsidR="00E52B05">
          <w:rPr>
            <w:webHidden/>
          </w:rPr>
          <w:fldChar w:fldCharType="end"/>
        </w:r>
      </w:hyperlink>
    </w:p>
    <w:p w14:paraId="3FBF0481" w14:textId="06E99ECE" w:rsidR="00E52B05" w:rsidRDefault="008F0378">
      <w:pPr>
        <w:pStyle w:val="TOC1"/>
        <w:rPr>
          <w:rFonts w:asciiTheme="minorHAnsi" w:eastAsiaTheme="minorEastAsia" w:hAnsiTheme="minorHAnsi" w:cstheme="minorBidi"/>
          <w:b w:val="0"/>
          <w:sz w:val="22"/>
          <w:szCs w:val="22"/>
          <w:lang w:eastAsia="en-AU"/>
        </w:rPr>
      </w:pPr>
      <w:hyperlink w:anchor="_Toc41311297" w:history="1">
        <w:r w:rsidR="00E52B05" w:rsidRPr="000F4DE6">
          <w:rPr>
            <w:rStyle w:val="Hyperlink"/>
            <w:rFonts w:eastAsia="MS Gothic"/>
          </w:rPr>
          <w:t>More information</w:t>
        </w:r>
        <w:r w:rsidR="00E52B05">
          <w:rPr>
            <w:webHidden/>
          </w:rPr>
          <w:tab/>
        </w:r>
        <w:r w:rsidR="00E52B05">
          <w:rPr>
            <w:webHidden/>
          </w:rPr>
          <w:fldChar w:fldCharType="begin"/>
        </w:r>
        <w:r w:rsidR="00E52B05">
          <w:rPr>
            <w:webHidden/>
          </w:rPr>
          <w:instrText xml:space="preserve"> PAGEREF _Toc41311297 \h </w:instrText>
        </w:r>
        <w:r w:rsidR="00E52B05">
          <w:rPr>
            <w:webHidden/>
          </w:rPr>
        </w:r>
        <w:r w:rsidR="00E52B05">
          <w:rPr>
            <w:webHidden/>
          </w:rPr>
          <w:fldChar w:fldCharType="separate"/>
        </w:r>
        <w:r w:rsidR="00E52B05">
          <w:rPr>
            <w:webHidden/>
          </w:rPr>
          <w:t>2</w:t>
        </w:r>
        <w:r w:rsidR="00E52B05">
          <w:rPr>
            <w:webHidden/>
          </w:rPr>
          <w:fldChar w:fldCharType="end"/>
        </w:r>
      </w:hyperlink>
    </w:p>
    <w:p w14:paraId="1E1C906C" w14:textId="1561BDE0" w:rsidR="00E52B05" w:rsidRDefault="008F0378">
      <w:pPr>
        <w:pStyle w:val="TOC1"/>
        <w:rPr>
          <w:rFonts w:asciiTheme="minorHAnsi" w:eastAsiaTheme="minorEastAsia" w:hAnsiTheme="minorHAnsi" w:cstheme="minorBidi"/>
          <w:b w:val="0"/>
          <w:sz w:val="22"/>
          <w:szCs w:val="22"/>
          <w:lang w:eastAsia="en-AU"/>
        </w:rPr>
      </w:pPr>
      <w:hyperlink w:anchor="_Toc41311298" w:history="1">
        <w:r w:rsidR="00E52B05" w:rsidRPr="000F4DE6">
          <w:rPr>
            <w:rStyle w:val="Hyperlink"/>
          </w:rPr>
          <w:t>Definitions</w:t>
        </w:r>
        <w:r w:rsidR="00E52B05">
          <w:rPr>
            <w:webHidden/>
          </w:rPr>
          <w:tab/>
        </w:r>
        <w:r w:rsidR="00E52B05">
          <w:rPr>
            <w:webHidden/>
          </w:rPr>
          <w:fldChar w:fldCharType="begin"/>
        </w:r>
        <w:r w:rsidR="00E52B05">
          <w:rPr>
            <w:webHidden/>
          </w:rPr>
          <w:instrText xml:space="preserve"> PAGEREF _Toc41311298 \h </w:instrText>
        </w:r>
        <w:r w:rsidR="00E52B05">
          <w:rPr>
            <w:webHidden/>
          </w:rPr>
        </w:r>
        <w:r w:rsidR="00E52B05">
          <w:rPr>
            <w:webHidden/>
          </w:rPr>
          <w:fldChar w:fldCharType="separate"/>
        </w:r>
        <w:r w:rsidR="00E52B05">
          <w:rPr>
            <w:webHidden/>
          </w:rPr>
          <w:t>4</w:t>
        </w:r>
        <w:r w:rsidR="00E52B05">
          <w:rPr>
            <w:webHidden/>
          </w:rPr>
          <w:fldChar w:fldCharType="end"/>
        </w:r>
      </w:hyperlink>
    </w:p>
    <w:p w14:paraId="48DD449E" w14:textId="25FC2737" w:rsidR="00E52B05" w:rsidRDefault="008F0378">
      <w:pPr>
        <w:pStyle w:val="TOC1"/>
        <w:rPr>
          <w:rFonts w:asciiTheme="minorHAnsi" w:eastAsiaTheme="minorEastAsia" w:hAnsiTheme="minorHAnsi" w:cstheme="minorBidi"/>
          <w:b w:val="0"/>
          <w:sz w:val="22"/>
          <w:szCs w:val="22"/>
          <w:lang w:eastAsia="en-AU"/>
        </w:rPr>
      </w:pPr>
      <w:hyperlink w:anchor="_Toc41311299" w:history="1">
        <w:r w:rsidR="00E52B05" w:rsidRPr="000F4DE6">
          <w:rPr>
            <w:rStyle w:val="Hyperlink"/>
            <w:rFonts w:eastAsia="MS Gothic"/>
          </w:rPr>
          <w:t>Introduction</w:t>
        </w:r>
        <w:r w:rsidR="00E52B05">
          <w:rPr>
            <w:webHidden/>
          </w:rPr>
          <w:tab/>
        </w:r>
        <w:r w:rsidR="00E52B05">
          <w:rPr>
            <w:webHidden/>
          </w:rPr>
          <w:fldChar w:fldCharType="begin"/>
        </w:r>
        <w:r w:rsidR="00E52B05">
          <w:rPr>
            <w:webHidden/>
          </w:rPr>
          <w:instrText xml:space="preserve"> PAGEREF _Toc41311299 \h </w:instrText>
        </w:r>
        <w:r w:rsidR="00E52B05">
          <w:rPr>
            <w:webHidden/>
          </w:rPr>
        </w:r>
        <w:r w:rsidR="00E52B05">
          <w:rPr>
            <w:webHidden/>
          </w:rPr>
          <w:fldChar w:fldCharType="separate"/>
        </w:r>
        <w:r w:rsidR="00E52B05">
          <w:rPr>
            <w:webHidden/>
          </w:rPr>
          <w:t>5</w:t>
        </w:r>
        <w:r w:rsidR="00E52B05">
          <w:rPr>
            <w:webHidden/>
          </w:rPr>
          <w:fldChar w:fldCharType="end"/>
        </w:r>
      </w:hyperlink>
    </w:p>
    <w:p w14:paraId="6B9E42E1" w14:textId="35F67A0F" w:rsidR="00E52B05" w:rsidRDefault="008F0378">
      <w:pPr>
        <w:pStyle w:val="TOC2"/>
        <w:rPr>
          <w:rFonts w:asciiTheme="minorHAnsi" w:eastAsiaTheme="minorEastAsia" w:hAnsiTheme="minorHAnsi" w:cstheme="minorBidi"/>
          <w:sz w:val="22"/>
          <w:szCs w:val="22"/>
          <w:lang w:eastAsia="en-AU"/>
        </w:rPr>
      </w:pPr>
      <w:hyperlink w:anchor="_Toc41311300" w:history="1">
        <w:r w:rsidR="00E52B05" w:rsidRPr="000F4DE6">
          <w:rPr>
            <w:rStyle w:val="Hyperlink"/>
            <w:rFonts w:eastAsia="Times"/>
          </w:rPr>
          <w:t>Initiating Online Identity Verification</w:t>
        </w:r>
        <w:r w:rsidR="00E52B05">
          <w:rPr>
            <w:webHidden/>
          </w:rPr>
          <w:tab/>
        </w:r>
        <w:r w:rsidR="00E52B05">
          <w:rPr>
            <w:webHidden/>
          </w:rPr>
          <w:fldChar w:fldCharType="begin"/>
        </w:r>
        <w:r w:rsidR="00E52B05">
          <w:rPr>
            <w:webHidden/>
          </w:rPr>
          <w:instrText xml:space="preserve"> PAGEREF _Toc41311300 \h </w:instrText>
        </w:r>
        <w:r w:rsidR="00E52B05">
          <w:rPr>
            <w:webHidden/>
          </w:rPr>
        </w:r>
        <w:r w:rsidR="00E52B05">
          <w:rPr>
            <w:webHidden/>
          </w:rPr>
          <w:fldChar w:fldCharType="separate"/>
        </w:r>
        <w:r w:rsidR="00E52B05">
          <w:rPr>
            <w:webHidden/>
          </w:rPr>
          <w:t>5</w:t>
        </w:r>
        <w:r w:rsidR="00E52B05">
          <w:rPr>
            <w:webHidden/>
          </w:rPr>
          <w:fldChar w:fldCharType="end"/>
        </w:r>
      </w:hyperlink>
    </w:p>
    <w:p w14:paraId="317897A4" w14:textId="5E053CF3" w:rsidR="00E52B05" w:rsidRDefault="008F0378">
      <w:pPr>
        <w:pStyle w:val="TOC1"/>
        <w:rPr>
          <w:rFonts w:asciiTheme="minorHAnsi" w:eastAsiaTheme="minorEastAsia" w:hAnsiTheme="minorHAnsi" w:cstheme="minorBidi"/>
          <w:b w:val="0"/>
          <w:sz w:val="22"/>
          <w:szCs w:val="22"/>
          <w:lang w:eastAsia="en-AU"/>
        </w:rPr>
      </w:pPr>
      <w:hyperlink w:anchor="_Toc41311301" w:history="1">
        <w:r w:rsidR="00E52B05" w:rsidRPr="000F4DE6">
          <w:rPr>
            <w:rStyle w:val="Hyperlink"/>
            <w:rFonts w:eastAsia="MS Gothic"/>
          </w:rPr>
          <w:t>When do these operational guidelines apply?</w:t>
        </w:r>
        <w:r w:rsidR="00E52B05">
          <w:rPr>
            <w:webHidden/>
          </w:rPr>
          <w:tab/>
        </w:r>
        <w:r w:rsidR="00E52B05">
          <w:rPr>
            <w:webHidden/>
          </w:rPr>
          <w:fldChar w:fldCharType="begin"/>
        </w:r>
        <w:r w:rsidR="00E52B05">
          <w:rPr>
            <w:webHidden/>
          </w:rPr>
          <w:instrText xml:space="preserve"> PAGEREF _Toc41311301 \h </w:instrText>
        </w:r>
        <w:r w:rsidR="00E52B05">
          <w:rPr>
            <w:webHidden/>
          </w:rPr>
        </w:r>
        <w:r w:rsidR="00E52B05">
          <w:rPr>
            <w:webHidden/>
          </w:rPr>
          <w:fldChar w:fldCharType="separate"/>
        </w:r>
        <w:r w:rsidR="00E52B05">
          <w:rPr>
            <w:webHidden/>
          </w:rPr>
          <w:t>5</w:t>
        </w:r>
        <w:r w:rsidR="00E52B05">
          <w:rPr>
            <w:webHidden/>
          </w:rPr>
          <w:fldChar w:fldCharType="end"/>
        </w:r>
      </w:hyperlink>
    </w:p>
    <w:p w14:paraId="7A5E499D" w14:textId="3B43EC62" w:rsidR="00E52B05" w:rsidRDefault="008F0378">
      <w:pPr>
        <w:pStyle w:val="TOC1"/>
        <w:rPr>
          <w:rFonts w:asciiTheme="minorHAnsi" w:eastAsiaTheme="minorEastAsia" w:hAnsiTheme="minorHAnsi" w:cstheme="minorBidi"/>
          <w:b w:val="0"/>
          <w:sz w:val="22"/>
          <w:szCs w:val="22"/>
          <w:lang w:eastAsia="en-AU"/>
        </w:rPr>
      </w:pPr>
      <w:hyperlink w:anchor="_Toc41311302" w:history="1">
        <w:r w:rsidR="00E52B05" w:rsidRPr="000F4DE6">
          <w:rPr>
            <w:rStyle w:val="Hyperlink"/>
            <w:rFonts w:eastAsia="Times"/>
          </w:rPr>
          <w:t>Online Identity Verification</w:t>
        </w:r>
        <w:r w:rsidR="00E52B05">
          <w:rPr>
            <w:webHidden/>
          </w:rPr>
          <w:tab/>
        </w:r>
        <w:r w:rsidR="00E52B05">
          <w:rPr>
            <w:webHidden/>
          </w:rPr>
          <w:fldChar w:fldCharType="begin"/>
        </w:r>
        <w:r w:rsidR="00E52B05">
          <w:rPr>
            <w:webHidden/>
          </w:rPr>
          <w:instrText xml:space="preserve"> PAGEREF _Toc41311302 \h </w:instrText>
        </w:r>
        <w:r w:rsidR="00E52B05">
          <w:rPr>
            <w:webHidden/>
          </w:rPr>
        </w:r>
        <w:r w:rsidR="00E52B05">
          <w:rPr>
            <w:webHidden/>
          </w:rPr>
          <w:fldChar w:fldCharType="separate"/>
        </w:r>
        <w:r w:rsidR="00E52B05">
          <w:rPr>
            <w:webHidden/>
          </w:rPr>
          <w:t>6</w:t>
        </w:r>
        <w:r w:rsidR="00E52B05">
          <w:rPr>
            <w:webHidden/>
          </w:rPr>
          <w:fldChar w:fldCharType="end"/>
        </w:r>
      </w:hyperlink>
    </w:p>
    <w:p w14:paraId="0E3B007A" w14:textId="3B4445ED" w:rsidR="00E52B05" w:rsidRDefault="008F0378">
      <w:pPr>
        <w:pStyle w:val="TOC2"/>
        <w:rPr>
          <w:rFonts w:asciiTheme="minorHAnsi" w:eastAsiaTheme="minorEastAsia" w:hAnsiTheme="minorHAnsi" w:cstheme="minorBidi"/>
          <w:sz w:val="22"/>
          <w:szCs w:val="22"/>
          <w:lang w:eastAsia="en-AU"/>
        </w:rPr>
      </w:pPr>
      <w:hyperlink w:anchor="_Toc41311303" w:history="1">
        <w:r w:rsidR="00E52B05" w:rsidRPr="000F4DE6">
          <w:rPr>
            <w:rStyle w:val="Hyperlink"/>
            <w:rFonts w:eastAsia="MS Gothic"/>
          </w:rPr>
          <w:t>Clients automatically validating their identity</w:t>
        </w:r>
        <w:r w:rsidR="00E52B05">
          <w:rPr>
            <w:webHidden/>
          </w:rPr>
          <w:tab/>
        </w:r>
        <w:r w:rsidR="00E52B05">
          <w:rPr>
            <w:webHidden/>
          </w:rPr>
          <w:fldChar w:fldCharType="begin"/>
        </w:r>
        <w:r w:rsidR="00E52B05">
          <w:rPr>
            <w:webHidden/>
          </w:rPr>
          <w:instrText xml:space="preserve"> PAGEREF _Toc41311303 \h </w:instrText>
        </w:r>
        <w:r w:rsidR="00E52B05">
          <w:rPr>
            <w:webHidden/>
          </w:rPr>
        </w:r>
        <w:r w:rsidR="00E52B05">
          <w:rPr>
            <w:webHidden/>
          </w:rPr>
          <w:fldChar w:fldCharType="separate"/>
        </w:r>
        <w:r w:rsidR="00E52B05">
          <w:rPr>
            <w:webHidden/>
          </w:rPr>
          <w:t>6</w:t>
        </w:r>
        <w:r w:rsidR="00E52B05">
          <w:rPr>
            <w:webHidden/>
          </w:rPr>
          <w:fldChar w:fldCharType="end"/>
        </w:r>
      </w:hyperlink>
    </w:p>
    <w:p w14:paraId="088E064A" w14:textId="6A5A1A65" w:rsidR="00E52B05" w:rsidRDefault="008F0378">
      <w:pPr>
        <w:pStyle w:val="TOC2"/>
        <w:rPr>
          <w:rFonts w:asciiTheme="minorHAnsi" w:eastAsiaTheme="minorEastAsia" w:hAnsiTheme="minorHAnsi" w:cstheme="minorBidi"/>
          <w:sz w:val="22"/>
          <w:szCs w:val="22"/>
          <w:lang w:eastAsia="en-AU"/>
        </w:rPr>
      </w:pPr>
      <w:hyperlink w:anchor="_Toc41311304" w:history="1">
        <w:r w:rsidR="00E52B05" w:rsidRPr="000F4DE6">
          <w:rPr>
            <w:rStyle w:val="Hyperlink"/>
          </w:rPr>
          <w:t>Clients validating their identity face to face</w:t>
        </w:r>
        <w:r w:rsidR="00E52B05">
          <w:rPr>
            <w:webHidden/>
          </w:rPr>
          <w:tab/>
        </w:r>
        <w:r w:rsidR="00E52B05">
          <w:rPr>
            <w:webHidden/>
          </w:rPr>
          <w:fldChar w:fldCharType="begin"/>
        </w:r>
        <w:r w:rsidR="00E52B05">
          <w:rPr>
            <w:webHidden/>
          </w:rPr>
          <w:instrText xml:space="preserve"> PAGEREF _Toc41311304 \h </w:instrText>
        </w:r>
        <w:r w:rsidR="00E52B05">
          <w:rPr>
            <w:webHidden/>
          </w:rPr>
        </w:r>
        <w:r w:rsidR="00E52B05">
          <w:rPr>
            <w:webHidden/>
          </w:rPr>
          <w:fldChar w:fldCharType="separate"/>
        </w:r>
        <w:r w:rsidR="00E52B05">
          <w:rPr>
            <w:webHidden/>
          </w:rPr>
          <w:t>6</w:t>
        </w:r>
        <w:r w:rsidR="00E52B05">
          <w:rPr>
            <w:webHidden/>
          </w:rPr>
          <w:fldChar w:fldCharType="end"/>
        </w:r>
      </w:hyperlink>
    </w:p>
    <w:p w14:paraId="4B9400AD" w14:textId="52FC7E0B" w:rsidR="00E52B05" w:rsidRDefault="008F0378">
      <w:pPr>
        <w:pStyle w:val="TOC2"/>
        <w:rPr>
          <w:rFonts w:asciiTheme="minorHAnsi" w:eastAsiaTheme="minorEastAsia" w:hAnsiTheme="minorHAnsi" w:cstheme="minorBidi"/>
          <w:sz w:val="22"/>
          <w:szCs w:val="22"/>
          <w:lang w:eastAsia="en-AU"/>
        </w:rPr>
      </w:pPr>
      <w:hyperlink w:anchor="_Toc41311305" w:history="1">
        <w:r w:rsidR="00E52B05" w:rsidRPr="000F4DE6">
          <w:rPr>
            <w:rStyle w:val="Hyperlink"/>
          </w:rPr>
          <w:t>Client identity being validated by the Housing Call Centre</w:t>
        </w:r>
        <w:r w:rsidR="00E52B05">
          <w:rPr>
            <w:webHidden/>
          </w:rPr>
          <w:tab/>
        </w:r>
        <w:r w:rsidR="00E52B05">
          <w:rPr>
            <w:webHidden/>
          </w:rPr>
          <w:fldChar w:fldCharType="begin"/>
        </w:r>
        <w:r w:rsidR="00E52B05">
          <w:rPr>
            <w:webHidden/>
          </w:rPr>
          <w:instrText xml:space="preserve"> PAGEREF _Toc41311305 \h </w:instrText>
        </w:r>
        <w:r w:rsidR="00E52B05">
          <w:rPr>
            <w:webHidden/>
          </w:rPr>
        </w:r>
        <w:r w:rsidR="00E52B05">
          <w:rPr>
            <w:webHidden/>
          </w:rPr>
          <w:fldChar w:fldCharType="separate"/>
        </w:r>
        <w:r w:rsidR="00E52B05">
          <w:rPr>
            <w:webHidden/>
          </w:rPr>
          <w:t>6</w:t>
        </w:r>
        <w:r w:rsidR="00E52B05">
          <w:rPr>
            <w:webHidden/>
          </w:rPr>
          <w:fldChar w:fldCharType="end"/>
        </w:r>
      </w:hyperlink>
    </w:p>
    <w:p w14:paraId="07EAC4BE" w14:textId="22BACA35" w:rsidR="00E52B05" w:rsidRDefault="008F0378">
      <w:pPr>
        <w:pStyle w:val="TOC1"/>
        <w:rPr>
          <w:rFonts w:asciiTheme="minorHAnsi" w:eastAsiaTheme="minorEastAsia" w:hAnsiTheme="minorHAnsi" w:cstheme="minorBidi"/>
          <w:b w:val="0"/>
          <w:sz w:val="22"/>
          <w:szCs w:val="22"/>
          <w:lang w:eastAsia="en-AU"/>
        </w:rPr>
      </w:pPr>
      <w:hyperlink w:anchor="_Toc41311306" w:history="1">
        <w:r w:rsidR="00E52B05" w:rsidRPr="000F4DE6">
          <w:rPr>
            <w:rStyle w:val="Hyperlink"/>
          </w:rPr>
          <w:t>Digital Mail</w:t>
        </w:r>
        <w:r w:rsidR="00E52B05">
          <w:rPr>
            <w:webHidden/>
          </w:rPr>
          <w:tab/>
        </w:r>
        <w:r w:rsidR="00E52B05">
          <w:rPr>
            <w:webHidden/>
          </w:rPr>
          <w:fldChar w:fldCharType="begin"/>
        </w:r>
        <w:r w:rsidR="00E52B05">
          <w:rPr>
            <w:webHidden/>
          </w:rPr>
          <w:instrText xml:space="preserve"> PAGEREF _Toc41311306 \h </w:instrText>
        </w:r>
        <w:r w:rsidR="00E52B05">
          <w:rPr>
            <w:webHidden/>
          </w:rPr>
        </w:r>
        <w:r w:rsidR="00E52B05">
          <w:rPr>
            <w:webHidden/>
          </w:rPr>
          <w:fldChar w:fldCharType="separate"/>
        </w:r>
        <w:r w:rsidR="00E52B05">
          <w:rPr>
            <w:webHidden/>
          </w:rPr>
          <w:t>6</w:t>
        </w:r>
        <w:r w:rsidR="00E52B05">
          <w:rPr>
            <w:webHidden/>
          </w:rPr>
          <w:fldChar w:fldCharType="end"/>
        </w:r>
      </w:hyperlink>
    </w:p>
    <w:p w14:paraId="548A62F9" w14:textId="2328AED2" w:rsidR="00E52B05" w:rsidRDefault="008F0378">
      <w:pPr>
        <w:pStyle w:val="TOC2"/>
        <w:rPr>
          <w:rFonts w:asciiTheme="minorHAnsi" w:eastAsiaTheme="minorEastAsia" w:hAnsiTheme="minorHAnsi" w:cstheme="minorBidi"/>
          <w:sz w:val="22"/>
          <w:szCs w:val="22"/>
          <w:lang w:eastAsia="en-AU"/>
        </w:rPr>
      </w:pPr>
      <w:hyperlink w:anchor="_Toc41311307" w:history="1">
        <w:r w:rsidR="00E52B05" w:rsidRPr="000F4DE6">
          <w:rPr>
            <w:rStyle w:val="Hyperlink"/>
            <w:rFonts w:eastAsia="Times"/>
          </w:rPr>
          <w:t>Letters</w:t>
        </w:r>
        <w:r w:rsidR="00E52B05">
          <w:rPr>
            <w:webHidden/>
          </w:rPr>
          <w:tab/>
        </w:r>
        <w:r w:rsidR="00E52B05">
          <w:rPr>
            <w:webHidden/>
          </w:rPr>
          <w:fldChar w:fldCharType="begin"/>
        </w:r>
        <w:r w:rsidR="00E52B05">
          <w:rPr>
            <w:webHidden/>
          </w:rPr>
          <w:instrText xml:space="preserve"> PAGEREF _Toc41311307 \h </w:instrText>
        </w:r>
        <w:r w:rsidR="00E52B05">
          <w:rPr>
            <w:webHidden/>
          </w:rPr>
        </w:r>
        <w:r w:rsidR="00E52B05">
          <w:rPr>
            <w:webHidden/>
          </w:rPr>
          <w:fldChar w:fldCharType="separate"/>
        </w:r>
        <w:r w:rsidR="00E52B05">
          <w:rPr>
            <w:webHidden/>
          </w:rPr>
          <w:t>7</w:t>
        </w:r>
        <w:r w:rsidR="00E52B05">
          <w:rPr>
            <w:webHidden/>
          </w:rPr>
          <w:fldChar w:fldCharType="end"/>
        </w:r>
      </w:hyperlink>
    </w:p>
    <w:p w14:paraId="5C03BBE7" w14:textId="719CABAB" w:rsidR="00E52B05" w:rsidRDefault="008F0378">
      <w:pPr>
        <w:pStyle w:val="TOC2"/>
        <w:rPr>
          <w:rFonts w:asciiTheme="minorHAnsi" w:eastAsiaTheme="minorEastAsia" w:hAnsiTheme="minorHAnsi" w:cstheme="minorBidi"/>
          <w:sz w:val="22"/>
          <w:szCs w:val="22"/>
          <w:lang w:eastAsia="en-AU"/>
        </w:rPr>
      </w:pPr>
      <w:hyperlink w:anchor="_Toc41311308" w:history="1">
        <w:r w:rsidR="00E52B05" w:rsidRPr="000F4DE6">
          <w:rPr>
            <w:rStyle w:val="Hyperlink"/>
          </w:rPr>
          <w:t>Third Parties</w:t>
        </w:r>
        <w:r w:rsidR="00E52B05">
          <w:rPr>
            <w:webHidden/>
          </w:rPr>
          <w:tab/>
        </w:r>
        <w:r w:rsidR="00E52B05">
          <w:rPr>
            <w:webHidden/>
          </w:rPr>
          <w:fldChar w:fldCharType="begin"/>
        </w:r>
        <w:r w:rsidR="00E52B05">
          <w:rPr>
            <w:webHidden/>
          </w:rPr>
          <w:instrText xml:space="preserve"> PAGEREF _Toc41311308 \h </w:instrText>
        </w:r>
        <w:r w:rsidR="00E52B05">
          <w:rPr>
            <w:webHidden/>
          </w:rPr>
        </w:r>
        <w:r w:rsidR="00E52B05">
          <w:rPr>
            <w:webHidden/>
          </w:rPr>
          <w:fldChar w:fldCharType="separate"/>
        </w:r>
        <w:r w:rsidR="00E52B05">
          <w:rPr>
            <w:webHidden/>
          </w:rPr>
          <w:t>7</w:t>
        </w:r>
        <w:r w:rsidR="00E52B05">
          <w:rPr>
            <w:webHidden/>
          </w:rPr>
          <w:fldChar w:fldCharType="end"/>
        </w:r>
      </w:hyperlink>
    </w:p>
    <w:p w14:paraId="164C77C5" w14:textId="5D76FC59" w:rsidR="00E52B05" w:rsidRDefault="008F0378">
      <w:pPr>
        <w:pStyle w:val="TOC2"/>
        <w:rPr>
          <w:rFonts w:asciiTheme="minorHAnsi" w:eastAsiaTheme="minorEastAsia" w:hAnsiTheme="minorHAnsi" w:cstheme="minorBidi"/>
          <w:sz w:val="22"/>
          <w:szCs w:val="22"/>
          <w:lang w:eastAsia="en-AU"/>
        </w:rPr>
      </w:pPr>
      <w:hyperlink w:anchor="_Toc41311309" w:history="1">
        <w:r w:rsidR="00E52B05" w:rsidRPr="000F4DE6">
          <w:rPr>
            <w:rStyle w:val="Hyperlink"/>
          </w:rPr>
          <w:t>Breach of Privacy is Reported</w:t>
        </w:r>
        <w:r w:rsidR="00E52B05">
          <w:rPr>
            <w:webHidden/>
          </w:rPr>
          <w:tab/>
        </w:r>
        <w:r w:rsidR="00E52B05">
          <w:rPr>
            <w:webHidden/>
          </w:rPr>
          <w:fldChar w:fldCharType="begin"/>
        </w:r>
        <w:r w:rsidR="00E52B05">
          <w:rPr>
            <w:webHidden/>
          </w:rPr>
          <w:instrText xml:space="preserve"> PAGEREF _Toc41311309 \h </w:instrText>
        </w:r>
        <w:r w:rsidR="00E52B05">
          <w:rPr>
            <w:webHidden/>
          </w:rPr>
        </w:r>
        <w:r w:rsidR="00E52B05">
          <w:rPr>
            <w:webHidden/>
          </w:rPr>
          <w:fldChar w:fldCharType="separate"/>
        </w:r>
        <w:r w:rsidR="00E52B05">
          <w:rPr>
            <w:webHidden/>
          </w:rPr>
          <w:t>7</w:t>
        </w:r>
        <w:r w:rsidR="00E52B05">
          <w:rPr>
            <w:webHidden/>
          </w:rPr>
          <w:fldChar w:fldCharType="end"/>
        </w:r>
      </w:hyperlink>
    </w:p>
    <w:p w14:paraId="0E9B74CB" w14:textId="6F6630F3" w:rsidR="00E52B05" w:rsidRDefault="008F0378">
      <w:pPr>
        <w:pStyle w:val="TOC1"/>
        <w:rPr>
          <w:rFonts w:asciiTheme="minorHAnsi" w:eastAsiaTheme="minorEastAsia" w:hAnsiTheme="minorHAnsi" w:cstheme="minorBidi"/>
          <w:b w:val="0"/>
          <w:sz w:val="22"/>
          <w:szCs w:val="22"/>
          <w:lang w:eastAsia="en-AU"/>
        </w:rPr>
      </w:pPr>
      <w:hyperlink w:anchor="_Toc41311310" w:history="1">
        <w:r w:rsidR="00E52B05" w:rsidRPr="000F4DE6">
          <w:rPr>
            <w:rStyle w:val="Hyperlink"/>
          </w:rPr>
          <w:t>My Housing</w:t>
        </w:r>
        <w:r w:rsidR="00E52B05">
          <w:rPr>
            <w:webHidden/>
          </w:rPr>
          <w:tab/>
        </w:r>
        <w:r w:rsidR="00E52B05">
          <w:rPr>
            <w:webHidden/>
          </w:rPr>
          <w:fldChar w:fldCharType="begin"/>
        </w:r>
        <w:r w:rsidR="00E52B05">
          <w:rPr>
            <w:webHidden/>
          </w:rPr>
          <w:instrText xml:space="preserve"> PAGEREF _Toc41311310 \h </w:instrText>
        </w:r>
        <w:r w:rsidR="00E52B05">
          <w:rPr>
            <w:webHidden/>
          </w:rPr>
        </w:r>
        <w:r w:rsidR="00E52B05">
          <w:rPr>
            <w:webHidden/>
          </w:rPr>
          <w:fldChar w:fldCharType="separate"/>
        </w:r>
        <w:r w:rsidR="00E52B05">
          <w:rPr>
            <w:webHidden/>
          </w:rPr>
          <w:t>7</w:t>
        </w:r>
        <w:r w:rsidR="00E52B05">
          <w:rPr>
            <w:webHidden/>
          </w:rPr>
          <w:fldChar w:fldCharType="end"/>
        </w:r>
      </w:hyperlink>
    </w:p>
    <w:p w14:paraId="7CDC5A5F" w14:textId="4F0A53E0" w:rsidR="00E52B05" w:rsidRDefault="008F0378">
      <w:pPr>
        <w:pStyle w:val="TOC2"/>
        <w:rPr>
          <w:rFonts w:asciiTheme="minorHAnsi" w:eastAsiaTheme="minorEastAsia" w:hAnsiTheme="minorHAnsi" w:cstheme="minorBidi"/>
          <w:sz w:val="22"/>
          <w:szCs w:val="22"/>
          <w:lang w:eastAsia="en-AU"/>
        </w:rPr>
      </w:pPr>
      <w:hyperlink w:anchor="_Toc41311311" w:history="1">
        <w:r w:rsidR="00E52B05" w:rsidRPr="000F4DE6">
          <w:rPr>
            <w:rStyle w:val="Hyperlink"/>
          </w:rPr>
          <w:t>Victorian Housing Register applications</w:t>
        </w:r>
        <w:r w:rsidR="00E52B05">
          <w:rPr>
            <w:webHidden/>
          </w:rPr>
          <w:tab/>
        </w:r>
        <w:r w:rsidR="00E52B05">
          <w:rPr>
            <w:webHidden/>
          </w:rPr>
          <w:fldChar w:fldCharType="begin"/>
        </w:r>
        <w:r w:rsidR="00E52B05">
          <w:rPr>
            <w:webHidden/>
          </w:rPr>
          <w:instrText xml:space="preserve"> PAGEREF _Toc41311311 \h </w:instrText>
        </w:r>
        <w:r w:rsidR="00E52B05">
          <w:rPr>
            <w:webHidden/>
          </w:rPr>
        </w:r>
        <w:r w:rsidR="00E52B05">
          <w:rPr>
            <w:webHidden/>
          </w:rPr>
          <w:fldChar w:fldCharType="separate"/>
        </w:r>
        <w:r w:rsidR="00E52B05">
          <w:rPr>
            <w:webHidden/>
          </w:rPr>
          <w:t>7</w:t>
        </w:r>
        <w:r w:rsidR="00E52B05">
          <w:rPr>
            <w:webHidden/>
          </w:rPr>
          <w:fldChar w:fldCharType="end"/>
        </w:r>
      </w:hyperlink>
    </w:p>
    <w:p w14:paraId="2C83EB6B" w14:textId="4934F8BE" w:rsidR="00E52B05" w:rsidRDefault="008F0378">
      <w:pPr>
        <w:pStyle w:val="TOC2"/>
        <w:rPr>
          <w:rFonts w:asciiTheme="minorHAnsi" w:eastAsiaTheme="minorEastAsia" w:hAnsiTheme="minorHAnsi" w:cstheme="minorBidi"/>
          <w:sz w:val="22"/>
          <w:szCs w:val="22"/>
          <w:lang w:eastAsia="en-AU"/>
        </w:rPr>
      </w:pPr>
      <w:hyperlink w:anchor="_Toc41311312" w:history="1">
        <w:r w:rsidR="00E52B05" w:rsidRPr="000F4DE6">
          <w:rPr>
            <w:rStyle w:val="Hyperlink"/>
          </w:rPr>
          <w:t>Tenancy services</w:t>
        </w:r>
        <w:r w:rsidR="00E52B05">
          <w:rPr>
            <w:webHidden/>
          </w:rPr>
          <w:tab/>
        </w:r>
        <w:r w:rsidR="00E52B05">
          <w:rPr>
            <w:webHidden/>
          </w:rPr>
          <w:fldChar w:fldCharType="begin"/>
        </w:r>
        <w:r w:rsidR="00E52B05">
          <w:rPr>
            <w:webHidden/>
          </w:rPr>
          <w:instrText xml:space="preserve"> PAGEREF _Toc41311312 \h </w:instrText>
        </w:r>
        <w:r w:rsidR="00E52B05">
          <w:rPr>
            <w:webHidden/>
          </w:rPr>
        </w:r>
        <w:r w:rsidR="00E52B05">
          <w:rPr>
            <w:webHidden/>
          </w:rPr>
          <w:fldChar w:fldCharType="separate"/>
        </w:r>
        <w:r w:rsidR="00E52B05">
          <w:rPr>
            <w:webHidden/>
          </w:rPr>
          <w:t>8</w:t>
        </w:r>
        <w:r w:rsidR="00E52B05">
          <w:rPr>
            <w:webHidden/>
          </w:rPr>
          <w:fldChar w:fldCharType="end"/>
        </w:r>
      </w:hyperlink>
    </w:p>
    <w:p w14:paraId="5BEB39EB" w14:textId="196E2A9B" w:rsidR="00E52B05" w:rsidRDefault="008F0378">
      <w:pPr>
        <w:pStyle w:val="TOC2"/>
        <w:rPr>
          <w:rFonts w:asciiTheme="minorHAnsi" w:eastAsiaTheme="minorEastAsia" w:hAnsiTheme="minorHAnsi" w:cstheme="minorBidi"/>
          <w:sz w:val="22"/>
          <w:szCs w:val="22"/>
          <w:lang w:eastAsia="en-AU"/>
        </w:rPr>
      </w:pPr>
      <w:hyperlink w:anchor="_Toc41311313" w:history="1">
        <w:r w:rsidR="00E52B05" w:rsidRPr="000F4DE6">
          <w:rPr>
            <w:rStyle w:val="Hyperlink"/>
          </w:rPr>
          <w:t>Bond Loan Services</w:t>
        </w:r>
        <w:r w:rsidR="00E52B05">
          <w:rPr>
            <w:webHidden/>
          </w:rPr>
          <w:tab/>
        </w:r>
        <w:r w:rsidR="00E52B05">
          <w:rPr>
            <w:webHidden/>
          </w:rPr>
          <w:fldChar w:fldCharType="begin"/>
        </w:r>
        <w:r w:rsidR="00E52B05">
          <w:rPr>
            <w:webHidden/>
          </w:rPr>
          <w:instrText xml:space="preserve"> PAGEREF _Toc41311313 \h </w:instrText>
        </w:r>
        <w:r w:rsidR="00E52B05">
          <w:rPr>
            <w:webHidden/>
          </w:rPr>
        </w:r>
        <w:r w:rsidR="00E52B05">
          <w:rPr>
            <w:webHidden/>
          </w:rPr>
          <w:fldChar w:fldCharType="separate"/>
        </w:r>
        <w:r w:rsidR="00E52B05">
          <w:rPr>
            <w:webHidden/>
          </w:rPr>
          <w:t>8</w:t>
        </w:r>
        <w:r w:rsidR="00E52B05">
          <w:rPr>
            <w:webHidden/>
          </w:rPr>
          <w:fldChar w:fldCharType="end"/>
        </w:r>
      </w:hyperlink>
    </w:p>
    <w:p w14:paraId="6A19C23D" w14:textId="3E2FD48E" w:rsidR="00E52B05" w:rsidRDefault="008F0378">
      <w:pPr>
        <w:pStyle w:val="TOC2"/>
        <w:rPr>
          <w:rFonts w:asciiTheme="minorHAnsi" w:eastAsiaTheme="minorEastAsia" w:hAnsiTheme="minorHAnsi" w:cstheme="minorBidi"/>
          <w:sz w:val="22"/>
          <w:szCs w:val="22"/>
          <w:lang w:eastAsia="en-AU"/>
        </w:rPr>
      </w:pPr>
      <w:hyperlink w:anchor="_Toc41311314" w:history="1">
        <w:r w:rsidR="00E52B05" w:rsidRPr="000F4DE6">
          <w:rPr>
            <w:rStyle w:val="Hyperlink"/>
          </w:rPr>
          <w:t>Movable Unit applications</w:t>
        </w:r>
        <w:r w:rsidR="00E52B05">
          <w:rPr>
            <w:webHidden/>
          </w:rPr>
          <w:tab/>
        </w:r>
        <w:r w:rsidR="00E52B05">
          <w:rPr>
            <w:webHidden/>
          </w:rPr>
          <w:fldChar w:fldCharType="begin"/>
        </w:r>
        <w:r w:rsidR="00E52B05">
          <w:rPr>
            <w:webHidden/>
          </w:rPr>
          <w:instrText xml:space="preserve"> PAGEREF _Toc41311314 \h </w:instrText>
        </w:r>
        <w:r w:rsidR="00E52B05">
          <w:rPr>
            <w:webHidden/>
          </w:rPr>
        </w:r>
        <w:r w:rsidR="00E52B05">
          <w:rPr>
            <w:webHidden/>
          </w:rPr>
          <w:fldChar w:fldCharType="separate"/>
        </w:r>
        <w:r w:rsidR="00E52B05">
          <w:rPr>
            <w:webHidden/>
          </w:rPr>
          <w:t>8</w:t>
        </w:r>
        <w:r w:rsidR="00E52B05">
          <w:rPr>
            <w:webHidden/>
          </w:rPr>
          <w:fldChar w:fldCharType="end"/>
        </w:r>
      </w:hyperlink>
    </w:p>
    <w:p w14:paraId="793D7E24" w14:textId="134E69D3" w:rsidR="00E52B05" w:rsidRDefault="008F0378">
      <w:pPr>
        <w:pStyle w:val="TOC1"/>
        <w:rPr>
          <w:rFonts w:asciiTheme="minorHAnsi" w:eastAsiaTheme="minorEastAsia" w:hAnsiTheme="minorHAnsi" w:cstheme="minorBidi"/>
          <w:b w:val="0"/>
          <w:sz w:val="22"/>
          <w:szCs w:val="22"/>
          <w:lang w:eastAsia="en-AU"/>
        </w:rPr>
      </w:pPr>
      <w:hyperlink w:anchor="_Toc41311315" w:history="1">
        <w:r w:rsidR="00E52B05" w:rsidRPr="000F4DE6">
          <w:rPr>
            <w:rStyle w:val="Hyperlink"/>
          </w:rPr>
          <w:t>My account</w:t>
        </w:r>
        <w:r w:rsidR="00E52B05">
          <w:rPr>
            <w:webHidden/>
          </w:rPr>
          <w:tab/>
        </w:r>
        <w:r w:rsidR="00E52B05">
          <w:rPr>
            <w:webHidden/>
          </w:rPr>
          <w:fldChar w:fldCharType="begin"/>
        </w:r>
        <w:r w:rsidR="00E52B05">
          <w:rPr>
            <w:webHidden/>
          </w:rPr>
          <w:instrText xml:space="preserve"> PAGEREF _Toc41311315 \h </w:instrText>
        </w:r>
        <w:r w:rsidR="00E52B05">
          <w:rPr>
            <w:webHidden/>
          </w:rPr>
        </w:r>
        <w:r w:rsidR="00E52B05">
          <w:rPr>
            <w:webHidden/>
          </w:rPr>
          <w:fldChar w:fldCharType="separate"/>
        </w:r>
        <w:r w:rsidR="00E52B05">
          <w:rPr>
            <w:webHidden/>
          </w:rPr>
          <w:t>8</w:t>
        </w:r>
        <w:r w:rsidR="00E52B05">
          <w:rPr>
            <w:webHidden/>
          </w:rPr>
          <w:fldChar w:fldCharType="end"/>
        </w:r>
      </w:hyperlink>
    </w:p>
    <w:p w14:paraId="471D1F11" w14:textId="75D84EC6" w:rsidR="00E52B05" w:rsidRDefault="008F0378">
      <w:pPr>
        <w:pStyle w:val="TOC2"/>
        <w:rPr>
          <w:rFonts w:asciiTheme="minorHAnsi" w:eastAsiaTheme="minorEastAsia" w:hAnsiTheme="minorHAnsi" w:cstheme="minorBidi"/>
          <w:sz w:val="22"/>
          <w:szCs w:val="22"/>
          <w:lang w:eastAsia="en-AU"/>
        </w:rPr>
      </w:pPr>
      <w:hyperlink w:anchor="_Toc41311316" w:history="1">
        <w:r w:rsidR="00E52B05" w:rsidRPr="000F4DE6">
          <w:rPr>
            <w:rStyle w:val="Hyperlink"/>
          </w:rPr>
          <w:t>Tenancy Services</w:t>
        </w:r>
        <w:r w:rsidR="00E52B05">
          <w:rPr>
            <w:webHidden/>
          </w:rPr>
          <w:tab/>
        </w:r>
        <w:r w:rsidR="00E52B05">
          <w:rPr>
            <w:webHidden/>
          </w:rPr>
          <w:fldChar w:fldCharType="begin"/>
        </w:r>
        <w:r w:rsidR="00E52B05">
          <w:rPr>
            <w:webHidden/>
          </w:rPr>
          <w:instrText xml:space="preserve"> PAGEREF _Toc41311316 \h </w:instrText>
        </w:r>
        <w:r w:rsidR="00E52B05">
          <w:rPr>
            <w:webHidden/>
          </w:rPr>
        </w:r>
        <w:r w:rsidR="00E52B05">
          <w:rPr>
            <w:webHidden/>
          </w:rPr>
          <w:fldChar w:fldCharType="separate"/>
        </w:r>
        <w:r w:rsidR="00E52B05">
          <w:rPr>
            <w:webHidden/>
          </w:rPr>
          <w:t>8</w:t>
        </w:r>
        <w:r w:rsidR="00E52B05">
          <w:rPr>
            <w:webHidden/>
          </w:rPr>
          <w:fldChar w:fldCharType="end"/>
        </w:r>
      </w:hyperlink>
    </w:p>
    <w:p w14:paraId="433DAFE9" w14:textId="5B447817" w:rsidR="00E52B05" w:rsidRDefault="008F0378">
      <w:pPr>
        <w:pStyle w:val="TOC2"/>
        <w:rPr>
          <w:rFonts w:asciiTheme="minorHAnsi" w:eastAsiaTheme="minorEastAsia" w:hAnsiTheme="minorHAnsi" w:cstheme="minorBidi"/>
          <w:sz w:val="22"/>
          <w:szCs w:val="22"/>
          <w:lang w:eastAsia="en-AU"/>
        </w:rPr>
      </w:pPr>
      <w:hyperlink w:anchor="_Toc41311317" w:history="1">
        <w:r w:rsidR="00E52B05" w:rsidRPr="000F4DE6">
          <w:rPr>
            <w:rStyle w:val="Hyperlink"/>
          </w:rPr>
          <w:t>Bond Loan services</w:t>
        </w:r>
        <w:r w:rsidR="00E52B05">
          <w:rPr>
            <w:webHidden/>
          </w:rPr>
          <w:tab/>
        </w:r>
        <w:r w:rsidR="00E52B05">
          <w:rPr>
            <w:webHidden/>
          </w:rPr>
          <w:fldChar w:fldCharType="begin"/>
        </w:r>
        <w:r w:rsidR="00E52B05">
          <w:rPr>
            <w:webHidden/>
          </w:rPr>
          <w:instrText xml:space="preserve"> PAGEREF _Toc41311317 \h </w:instrText>
        </w:r>
        <w:r w:rsidR="00E52B05">
          <w:rPr>
            <w:webHidden/>
          </w:rPr>
        </w:r>
        <w:r w:rsidR="00E52B05">
          <w:rPr>
            <w:webHidden/>
          </w:rPr>
          <w:fldChar w:fldCharType="separate"/>
        </w:r>
        <w:r w:rsidR="00E52B05">
          <w:rPr>
            <w:webHidden/>
          </w:rPr>
          <w:t>9</w:t>
        </w:r>
        <w:r w:rsidR="00E52B05">
          <w:rPr>
            <w:webHidden/>
          </w:rPr>
          <w:fldChar w:fldCharType="end"/>
        </w:r>
      </w:hyperlink>
    </w:p>
    <w:p w14:paraId="3092443A" w14:textId="2FF8C6A1" w:rsidR="00E52B05" w:rsidRDefault="008F0378">
      <w:pPr>
        <w:pStyle w:val="TOC2"/>
        <w:rPr>
          <w:rFonts w:asciiTheme="minorHAnsi" w:eastAsiaTheme="minorEastAsia" w:hAnsiTheme="minorHAnsi" w:cstheme="minorBidi"/>
          <w:sz w:val="22"/>
          <w:szCs w:val="22"/>
          <w:lang w:eastAsia="en-AU"/>
        </w:rPr>
      </w:pPr>
      <w:hyperlink w:anchor="_Toc41311318" w:history="1">
        <w:r w:rsidR="00E52B05" w:rsidRPr="000F4DE6">
          <w:rPr>
            <w:rStyle w:val="Hyperlink"/>
          </w:rPr>
          <w:t>Payments</w:t>
        </w:r>
        <w:r w:rsidR="00E52B05">
          <w:rPr>
            <w:webHidden/>
          </w:rPr>
          <w:tab/>
        </w:r>
        <w:r w:rsidR="00E52B05">
          <w:rPr>
            <w:webHidden/>
          </w:rPr>
          <w:fldChar w:fldCharType="begin"/>
        </w:r>
        <w:r w:rsidR="00E52B05">
          <w:rPr>
            <w:webHidden/>
          </w:rPr>
          <w:instrText xml:space="preserve"> PAGEREF _Toc41311318 \h </w:instrText>
        </w:r>
        <w:r w:rsidR="00E52B05">
          <w:rPr>
            <w:webHidden/>
          </w:rPr>
        </w:r>
        <w:r w:rsidR="00E52B05">
          <w:rPr>
            <w:webHidden/>
          </w:rPr>
          <w:fldChar w:fldCharType="separate"/>
        </w:r>
        <w:r w:rsidR="00E52B05">
          <w:rPr>
            <w:webHidden/>
          </w:rPr>
          <w:t>9</w:t>
        </w:r>
        <w:r w:rsidR="00E52B05">
          <w:rPr>
            <w:webHidden/>
          </w:rPr>
          <w:fldChar w:fldCharType="end"/>
        </w:r>
      </w:hyperlink>
    </w:p>
    <w:p w14:paraId="765042F4" w14:textId="0183B877" w:rsidR="00E52B05" w:rsidRDefault="008F0378">
      <w:pPr>
        <w:pStyle w:val="TOC1"/>
        <w:rPr>
          <w:rFonts w:asciiTheme="minorHAnsi" w:eastAsiaTheme="minorEastAsia" w:hAnsiTheme="minorHAnsi" w:cstheme="minorBidi"/>
          <w:b w:val="0"/>
          <w:sz w:val="22"/>
          <w:szCs w:val="22"/>
          <w:lang w:eastAsia="en-AU"/>
        </w:rPr>
      </w:pPr>
      <w:hyperlink w:anchor="_Toc41311319" w:history="1">
        <w:r w:rsidR="00E52B05" w:rsidRPr="000F4DE6">
          <w:rPr>
            <w:rStyle w:val="Hyperlink"/>
          </w:rPr>
          <w:t>Consent for residents</w:t>
        </w:r>
        <w:r w:rsidR="00E52B05">
          <w:rPr>
            <w:webHidden/>
          </w:rPr>
          <w:tab/>
        </w:r>
        <w:r w:rsidR="00E52B05">
          <w:rPr>
            <w:webHidden/>
          </w:rPr>
          <w:fldChar w:fldCharType="begin"/>
        </w:r>
        <w:r w:rsidR="00E52B05">
          <w:rPr>
            <w:webHidden/>
          </w:rPr>
          <w:instrText xml:space="preserve"> PAGEREF _Toc41311319 \h </w:instrText>
        </w:r>
        <w:r w:rsidR="00E52B05">
          <w:rPr>
            <w:webHidden/>
          </w:rPr>
        </w:r>
        <w:r w:rsidR="00E52B05">
          <w:rPr>
            <w:webHidden/>
          </w:rPr>
          <w:fldChar w:fldCharType="separate"/>
        </w:r>
        <w:r w:rsidR="00E52B05">
          <w:rPr>
            <w:webHidden/>
          </w:rPr>
          <w:t>9</w:t>
        </w:r>
        <w:r w:rsidR="00E52B05">
          <w:rPr>
            <w:webHidden/>
          </w:rPr>
          <w:fldChar w:fldCharType="end"/>
        </w:r>
      </w:hyperlink>
    </w:p>
    <w:p w14:paraId="00257B56" w14:textId="786F51A3" w:rsidR="00E52B05" w:rsidRDefault="008F0378">
      <w:pPr>
        <w:pStyle w:val="TOC1"/>
        <w:rPr>
          <w:rFonts w:asciiTheme="minorHAnsi" w:eastAsiaTheme="minorEastAsia" w:hAnsiTheme="minorHAnsi" w:cstheme="minorBidi"/>
          <w:b w:val="0"/>
          <w:sz w:val="22"/>
          <w:szCs w:val="22"/>
          <w:lang w:eastAsia="en-AU"/>
        </w:rPr>
      </w:pPr>
      <w:hyperlink w:anchor="_Toc41311320" w:history="1">
        <w:r w:rsidR="00E52B05" w:rsidRPr="000F4DE6">
          <w:rPr>
            <w:rStyle w:val="Hyperlink"/>
          </w:rPr>
          <w:t>Lodging a Complaint</w:t>
        </w:r>
        <w:r w:rsidR="00E52B05">
          <w:rPr>
            <w:webHidden/>
          </w:rPr>
          <w:tab/>
        </w:r>
        <w:r w:rsidR="00E52B05">
          <w:rPr>
            <w:webHidden/>
          </w:rPr>
          <w:fldChar w:fldCharType="begin"/>
        </w:r>
        <w:r w:rsidR="00E52B05">
          <w:rPr>
            <w:webHidden/>
          </w:rPr>
          <w:instrText xml:space="preserve"> PAGEREF _Toc41311320 \h </w:instrText>
        </w:r>
        <w:r w:rsidR="00E52B05">
          <w:rPr>
            <w:webHidden/>
          </w:rPr>
        </w:r>
        <w:r w:rsidR="00E52B05">
          <w:rPr>
            <w:webHidden/>
          </w:rPr>
          <w:fldChar w:fldCharType="separate"/>
        </w:r>
        <w:r w:rsidR="00E52B05">
          <w:rPr>
            <w:webHidden/>
          </w:rPr>
          <w:t>10</w:t>
        </w:r>
        <w:r w:rsidR="00E52B05">
          <w:rPr>
            <w:webHidden/>
          </w:rPr>
          <w:fldChar w:fldCharType="end"/>
        </w:r>
      </w:hyperlink>
    </w:p>
    <w:p w14:paraId="5858FE1E" w14:textId="77777777" w:rsidR="008374B2" w:rsidRPr="008374B2" w:rsidRDefault="008374B2" w:rsidP="008374B2">
      <w:pPr>
        <w:keepNext/>
        <w:keepLines/>
        <w:tabs>
          <w:tab w:val="right" w:leader="dot" w:pos="9299"/>
        </w:tabs>
        <w:spacing w:after="60" w:line="270" w:lineRule="atLeast"/>
        <w:ind w:right="680"/>
        <w:rPr>
          <w:rFonts w:ascii="Arial" w:hAnsi="Arial"/>
        </w:rPr>
      </w:pPr>
      <w:r w:rsidRPr="008374B2">
        <w:rPr>
          <w:rFonts w:ascii="Arial" w:hAnsi="Arial"/>
        </w:rPr>
        <w:fldChar w:fldCharType="end"/>
      </w:r>
      <w:bookmarkStart w:id="13" w:name="_Toc518372196"/>
    </w:p>
    <w:p w14:paraId="6919A182" w14:textId="77777777" w:rsidR="008374B2" w:rsidRPr="008374B2" w:rsidRDefault="008374B2" w:rsidP="008374B2">
      <w:pPr>
        <w:rPr>
          <w:rFonts w:ascii="Arial" w:hAnsi="Arial"/>
        </w:rPr>
      </w:pPr>
      <w:r w:rsidRPr="008374B2">
        <w:br w:type="page"/>
      </w:r>
    </w:p>
    <w:p w14:paraId="1755E58D" w14:textId="77777777" w:rsidR="008374B2" w:rsidRPr="008374B2" w:rsidRDefault="008374B2" w:rsidP="00093F95">
      <w:pPr>
        <w:pStyle w:val="Heading1"/>
      </w:pPr>
      <w:bookmarkStart w:id="14" w:name="_Toc521668515"/>
      <w:bookmarkStart w:id="15" w:name="_Toc41311298"/>
      <w:r w:rsidRPr="008374B2">
        <w:lastRenderedPageBreak/>
        <w:t>Definitions</w:t>
      </w:r>
      <w:bookmarkEnd w:id="14"/>
      <w:bookmarkEnd w:id="15"/>
    </w:p>
    <w:tbl>
      <w:tblPr>
        <w:tblStyle w:val="TableGrid1"/>
        <w:tblW w:w="0" w:type="auto"/>
        <w:tblLook w:val="04A0" w:firstRow="1" w:lastRow="0" w:firstColumn="1" w:lastColumn="0" w:noHBand="0" w:noVBand="1"/>
        <w:tblCaption w:val="Definition table for public housing allocations operational guidelines 1. Overview"/>
      </w:tblPr>
      <w:tblGrid>
        <w:gridCol w:w="2730"/>
        <w:gridCol w:w="6450"/>
      </w:tblGrid>
      <w:tr w:rsidR="008374B2" w:rsidRPr="008374B2" w14:paraId="207C12A7" w14:textId="77777777" w:rsidTr="001D001F">
        <w:trPr>
          <w:tblHeader/>
        </w:trPr>
        <w:tc>
          <w:tcPr>
            <w:tcW w:w="2730" w:type="dxa"/>
          </w:tcPr>
          <w:p w14:paraId="55540639" w14:textId="77777777" w:rsidR="008374B2" w:rsidRPr="008374B2" w:rsidRDefault="008374B2" w:rsidP="00093F95">
            <w:pPr>
              <w:pStyle w:val="DHHStablecolhead"/>
              <w:rPr>
                <w:rFonts w:eastAsia="Times"/>
              </w:rPr>
            </w:pPr>
            <w:r w:rsidRPr="008374B2">
              <w:rPr>
                <w:rFonts w:eastAsia="Times"/>
              </w:rPr>
              <w:t>Term</w:t>
            </w:r>
          </w:p>
        </w:tc>
        <w:tc>
          <w:tcPr>
            <w:tcW w:w="6450" w:type="dxa"/>
          </w:tcPr>
          <w:p w14:paraId="137F94CC" w14:textId="77777777" w:rsidR="008374B2" w:rsidRPr="008374B2" w:rsidRDefault="008374B2" w:rsidP="00093F95">
            <w:pPr>
              <w:pStyle w:val="DHHStablecolhead"/>
              <w:rPr>
                <w:rFonts w:eastAsia="Times"/>
              </w:rPr>
            </w:pPr>
            <w:r w:rsidRPr="008374B2">
              <w:rPr>
                <w:rFonts w:eastAsia="Times"/>
              </w:rPr>
              <w:t>Definition</w:t>
            </w:r>
          </w:p>
        </w:tc>
      </w:tr>
      <w:tr w:rsidR="008374B2" w:rsidRPr="008374B2" w14:paraId="5DCA8410" w14:textId="77777777" w:rsidTr="001D001F">
        <w:tc>
          <w:tcPr>
            <w:tcW w:w="2730" w:type="dxa"/>
          </w:tcPr>
          <w:p w14:paraId="52E46184" w14:textId="77777777" w:rsidR="008374B2" w:rsidRPr="008374B2" w:rsidRDefault="008374B2" w:rsidP="00093F95">
            <w:pPr>
              <w:pStyle w:val="DHHStabletext"/>
              <w:rPr>
                <w:rFonts w:eastAsia="Times"/>
              </w:rPr>
            </w:pPr>
            <w:r w:rsidRPr="008374B2">
              <w:rPr>
                <w:rFonts w:eastAsia="Times"/>
              </w:rPr>
              <w:t>Applicant</w:t>
            </w:r>
          </w:p>
        </w:tc>
        <w:tc>
          <w:tcPr>
            <w:tcW w:w="6450" w:type="dxa"/>
          </w:tcPr>
          <w:p w14:paraId="1E7DDE6B" w14:textId="77777777" w:rsidR="008374B2" w:rsidRPr="008374B2" w:rsidRDefault="008374B2" w:rsidP="00093F95">
            <w:pPr>
              <w:pStyle w:val="DHHStabletext"/>
              <w:rPr>
                <w:rFonts w:eastAsia="Times"/>
              </w:rPr>
            </w:pPr>
            <w:r w:rsidRPr="008374B2">
              <w:rPr>
                <w:rFonts w:eastAsia="Times"/>
              </w:rPr>
              <w:t>A person who applies for a tenancy in social housing.</w:t>
            </w:r>
          </w:p>
        </w:tc>
      </w:tr>
      <w:tr w:rsidR="008374B2" w:rsidRPr="008374B2" w14:paraId="4F76AA95" w14:textId="77777777" w:rsidTr="001D001F">
        <w:tc>
          <w:tcPr>
            <w:tcW w:w="2730" w:type="dxa"/>
          </w:tcPr>
          <w:p w14:paraId="3D3947CF" w14:textId="77777777" w:rsidR="008374B2" w:rsidRPr="008374B2" w:rsidRDefault="008374B2" w:rsidP="00093F95">
            <w:pPr>
              <w:pStyle w:val="DHHStabletext"/>
              <w:rPr>
                <w:rFonts w:eastAsia="Times"/>
              </w:rPr>
            </w:pPr>
            <w:r w:rsidRPr="008374B2">
              <w:rPr>
                <w:rFonts w:eastAsia="Times"/>
              </w:rPr>
              <w:t>Department</w:t>
            </w:r>
          </w:p>
        </w:tc>
        <w:tc>
          <w:tcPr>
            <w:tcW w:w="6450" w:type="dxa"/>
          </w:tcPr>
          <w:p w14:paraId="59849C8D" w14:textId="77777777" w:rsidR="008374B2" w:rsidRPr="008374B2" w:rsidRDefault="008374B2" w:rsidP="00093F95">
            <w:pPr>
              <w:pStyle w:val="DHHStabletext"/>
              <w:rPr>
                <w:rFonts w:eastAsia="Times"/>
              </w:rPr>
            </w:pPr>
            <w:r w:rsidRPr="008374B2">
              <w:rPr>
                <w:rFonts w:eastAsia="Times"/>
              </w:rPr>
              <w:t xml:space="preserve">Department of Health and Human Services established under the </w:t>
            </w:r>
            <w:r w:rsidRPr="008374B2">
              <w:rPr>
                <w:rFonts w:eastAsia="Times"/>
                <w:i/>
                <w:iCs/>
              </w:rPr>
              <w:t>Public Administration Act 2004.</w:t>
            </w:r>
          </w:p>
        </w:tc>
      </w:tr>
      <w:tr w:rsidR="008374B2" w:rsidRPr="008374B2" w14:paraId="2335B872" w14:textId="77777777" w:rsidTr="001D001F">
        <w:tc>
          <w:tcPr>
            <w:tcW w:w="2730" w:type="dxa"/>
          </w:tcPr>
          <w:p w14:paraId="167AFC69" w14:textId="77777777" w:rsidR="008374B2" w:rsidRPr="008374B2" w:rsidRDefault="008374B2" w:rsidP="00093F95">
            <w:pPr>
              <w:pStyle w:val="DHHStabletext"/>
              <w:rPr>
                <w:rFonts w:eastAsia="Times"/>
              </w:rPr>
            </w:pPr>
            <w:r w:rsidRPr="008374B2">
              <w:rPr>
                <w:rFonts w:eastAsia="Times"/>
              </w:rPr>
              <w:t>Determinations</w:t>
            </w:r>
          </w:p>
        </w:tc>
        <w:tc>
          <w:tcPr>
            <w:tcW w:w="6450" w:type="dxa"/>
          </w:tcPr>
          <w:p w14:paraId="0731F94D" w14:textId="77777777" w:rsidR="008374B2" w:rsidRPr="008374B2" w:rsidRDefault="008374B2" w:rsidP="00093F95">
            <w:pPr>
              <w:pStyle w:val="DHHStabletext"/>
              <w:rPr>
                <w:rFonts w:eastAsia="Times"/>
              </w:rPr>
            </w:pPr>
            <w:r w:rsidRPr="008374B2">
              <w:rPr>
                <w:rFonts w:eastAsia="Times"/>
              </w:rPr>
              <w:t>A determination made by the Director pursuant to s 142E of the Housing Act.</w:t>
            </w:r>
          </w:p>
        </w:tc>
      </w:tr>
      <w:tr w:rsidR="008374B2" w:rsidRPr="008374B2" w14:paraId="7A45A010" w14:textId="77777777" w:rsidTr="001D001F">
        <w:tc>
          <w:tcPr>
            <w:tcW w:w="2730" w:type="dxa"/>
          </w:tcPr>
          <w:p w14:paraId="5EF1AD1A" w14:textId="77777777" w:rsidR="008374B2" w:rsidRPr="008374B2" w:rsidRDefault="008374B2" w:rsidP="00093F95">
            <w:pPr>
              <w:pStyle w:val="DHHStabletext"/>
              <w:rPr>
                <w:rFonts w:eastAsia="Times"/>
              </w:rPr>
            </w:pPr>
            <w:r w:rsidRPr="008374B2">
              <w:rPr>
                <w:rFonts w:eastAsia="Times"/>
              </w:rPr>
              <w:t>Digital mail</w:t>
            </w:r>
          </w:p>
        </w:tc>
        <w:tc>
          <w:tcPr>
            <w:tcW w:w="6450" w:type="dxa"/>
          </w:tcPr>
          <w:p w14:paraId="788AA76B" w14:textId="77777777" w:rsidR="008374B2" w:rsidRPr="008374B2" w:rsidRDefault="008374B2" w:rsidP="00093F95">
            <w:pPr>
              <w:pStyle w:val="DHHStabletext"/>
              <w:rPr>
                <w:rFonts w:eastAsia="Times"/>
              </w:rPr>
            </w:pPr>
            <w:r w:rsidRPr="008374B2">
              <w:rPr>
                <w:rFonts w:eastAsia="Times"/>
              </w:rPr>
              <w:t xml:space="preserve">The capability to receive departmental housing mail via a client’s myGov inbox. </w:t>
            </w:r>
          </w:p>
        </w:tc>
      </w:tr>
      <w:tr w:rsidR="008374B2" w:rsidRPr="008374B2" w14:paraId="0D4CD1B5" w14:textId="77777777" w:rsidTr="001D001F">
        <w:tc>
          <w:tcPr>
            <w:tcW w:w="2730" w:type="dxa"/>
          </w:tcPr>
          <w:p w14:paraId="5C1A911A" w14:textId="77777777" w:rsidR="008374B2" w:rsidRPr="008374B2" w:rsidRDefault="008374B2" w:rsidP="00093F95">
            <w:pPr>
              <w:pStyle w:val="DHHStabletext"/>
              <w:rPr>
                <w:rFonts w:eastAsia="Times"/>
              </w:rPr>
            </w:pPr>
            <w:r w:rsidRPr="008374B2">
              <w:rPr>
                <w:rFonts w:eastAsia="Times"/>
              </w:rPr>
              <w:t>Director</w:t>
            </w:r>
          </w:p>
        </w:tc>
        <w:tc>
          <w:tcPr>
            <w:tcW w:w="6450" w:type="dxa"/>
          </w:tcPr>
          <w:p w14:paraId="023D8610" w14:textId="77777777" w:rsidR="008374B2" w:rsidRPr="008374B2" w:rsidRDefault="008374B2" w:rsidP="00093F95">
            <w:pPr>
              <w:pStyle w:val="DHHStabletext"/>
              <w:rPr>
                <w:rFonts w:eastAsia="Times"/>
              </w:rPr>
            </w:pPr>
            <w:r w:rsidRPr="008374B2">
              <w:rPr>
                <w:rFonts w:eastAsia="Times"/>
              </w:rPr>
              <w:t>Director of Housing as appointed under the Housing Act.</w:t>
            </w:r>
          </w:p>
        </w:tc>
      </w:tr>
      <w:tr w:rsidR="008374B2" w:rsidRPr="008374B2" w14:paraId="1C3E9884" w14:textId="77777777" w:rsidTr="001D001F">
        <w:tc>
          <w:tcPr>
            <w:tcW w:w="2730" w:type="dxa"/>
          </w:tcPr>
          <w:p w14:paraId="5715C194" w14:textId="77777777" w:rsidR="008374B2" w:rsidRPr="008374B2" w:rsidRDefault="008374B2" w:rsidP="00093F95">
            <w:pPr>
              <w:pStyle w:val="DHHStabletext"/>
              <w:rPr>
                <w:rFonts w:eastAsia="Times"/>
              </w:rPr>
            </w:pPr>
            <w:r w:rsidRPr="008374B2">
              <w:rPr>
                <w:rFonts w:eastAsia="Times"/>
              </w:rPr>
              <w:t>Eligibility Criteria</w:t>
            </w:r>
          </w:p>
        </w:tc>
        <w:tc>
          <w:tcPr>
            <w:tcW w:w="6450" w:type="dxa"/>
          </w:tcPr>
          <w:p w14:paraId="78B03DC5" w14:textId="77777777" w:rsidR="008374B2" w:rsidRPr="008374B2" w:rsidRDefault="008374B2" w:rsidP="00093F95">
            <w:pPr>
              <w:pStyle w:val="DHHStabletext"/>
              <w:rPr>
                <w:rFonts w:eastAsia="Times"/>
              </w:rPr>
            </w:pPr>
            <w:r w:rsidRPr="008374B2">
              <w:rPr>
                <w:rFonts w:eastAsia="Times"/>
                <w:shd w:val="clear" w:color="auto" w:fill="FFFFFF"/>
              </w:rPr>
              <w:t>The criteria determined by the Director under section 142E(1)(a) of the Housing Act</w:t>
            </w:r>
          </w:p>
        </w:tc>
      </w:tr>
      <w:tr w:rsidR="008374B2" w:rsidRPr="008374B2" w14:paraId="2D535502" w14:textId="77777777" w:rsidTr="001D001F">
        <w:trPr>
          <w:trHeight w:val="361"/>
        </w:trPr>
        <w:tc>
          <w:tcPr>
            <w:tcW w:w="2730" w:type="dxa"/>
          </w:tcPr>
          <w:p w14:paraId="286DD3CD" w14:textId="77777777" w:rsidR="008374B2" w:rsidRPr="008374B2" w:rsidRDefault="008374B2" w:rsidP="00093F95">
            <w:pPr>
              <w:pStyle w:val="DHHStabletext"/>
              <w:rPr>
                <w:rFonts w:eastAsia="Times"/>
              </w:rPr>
            </w:pPr>
            <w:r w:rsidRPr="008374B2">
              <w:rPr>
                <w:rFonts w:eastAsia="Times"/>
              </w:rPr>
              <w:t>Household</w:t>
            </w:r>
          </w:p>
        </w:tc>
        <w:tc>
          <w:tcPr>
            <w:tcW w:w="6450" w:type="dxa"/>
          </w:tcPr>
          <w:p w14:paraId="18631CC4" w14:textId="77777777" w:rsidR="008374B2" w:rsidRPr="008374B2" w:rsidRDefault="008374B2" w:rsidP="00093F95">
            <w:pPr>
              <w:pStyle w:val="DHHStabletext"/>
              <w:rPr>
                <w:rFonts w:eastAsia="Times"/>
              </w:rPr>
            </w:pPr>
            <w:r w:rsidRPr="008374B2">
              <w:rPr>
                <w:rFonts w:eastAsia="Times"/>
                <w:shd w:val="clear" w:color="auto" w:fill="FFFFFF"/>
              </w:rPr>
              <w:t>The collective term for all household members.</w:t>
            </w:r>
          </w:p>
        </w:tc>
      </w:tr>
      <w:tr w:rsidR="008374B2" w:rsidRPr="008374B2" w14:paraId="6A04C17F" w14:textId="77777777" w:rsidTr="001D001F">
        <w:tc>
          <w:tcPr>
            <w:tcW w:w="2730" w:type="dxa"/>
          </w:tcPr>
          <w:p w14:paraId="70F10457" w14:textId="77777777" w:rsidR="008374B2" w:rsidRPr="008374B2" w:rsidRDefault="008374B2" w:rsidP="00093F95">
            <w:pPr>
              <w:pStyle w:val="DHHStabletext"/>
              <w:rPr>
                <w:rFonts w:eastAsia="Times"/>
              </w:rPr>
            </w:pPr>
            <w:r w:rsidRPr="008374B2">
              <w:rPr>
                <w:rFonts w:eastAsia="Times"/>
              </w:rPr>
              <w:t>Household Member</w:t>
            </w:r>
          </w:p>
        </w:tc>
        <w:tc>
          <w:tcPr>
            <w:tcW w:w="6450" w:type="dxa"/>
          </w:tcPr>
          <w:p w14:paraId="69407CE8" w14:textId="77777777" w:rsidR="008374B2" w:rsidRPr="008374B2" w:rsidRDefault="008374B2" w:rsidP="00093F95">
            <w:pPr>
              <w:pStyle w:val="DHHStabletext"/>
              <w:rPr>
                <w:rFonts w:eastAsia="Times"/>
              </w:rPr>
            </w:pPr>
            <w:r w:rsidRPr="008374B2">
              <w:rPr>
                <w:rFonts w:eastAsia="Times"/>
              </w:rPr>
              <w:t>A person who resides or intends to reside with the applicant in social housing.</w:t>
            </w:r>
          </w:p>
        </w:tc>
      </w:tr>
      <w:tr w:rsidR="008374B2" w:rsidRPr="008374B2" w14:paraId="3DBB8578" w14:textId="77777777" w:rsidTr="001D001F">
        <w:trPr>
          <w:trHeight w:val="1234"/>
        </w:trPr>
        <w:tc>
          <w:tcPr>
            <w:tcW w:w="2730" w:type="dxa"/>
          </w:tcPr>
          <w:p w14:paraId="53801095" w14:textId="77777777" w:rsidR="008374B2" w:rsidRPr="008374B2" w:rsidRDefault="008374B2" w:rsidP="00093F95">
            <w:pPr>
              <w:pStyle w:val="DHHStabletext"/>
              <w:rPr>
                <w:rFonts w:eastAsia="Times"/>
              </w:rPr>
            </w:pPr>
            <w:r w:rsidRPr="008374B2">
              <w:rPr>
                <w:rFonts w:eastAsia="Times"/>
              </w:rPr>
              <w:t>HousingVic Online Services</w:t>
            </w:r>
          </w:p>
        </w:tc>
        <w:tc>
          <w:tcPr>
            <w:tcW w:w="6450" w:type="dxa"/>
          </w:tcPr>
          <w:p w14:paraId="73091019" w14:textId="77777777" w:rsidR="008374B2" w:rsidRPr="008374B2" w:rsidRDefault="008374B2" w:rsidP="00093F95">
            <w:pPr>
              <w:pStyle w:val="DHHStabletext"/>
              <w:rPr>
                <w:rFonts w:eastAsia="Times"/>
              </w:rPr>
            </w:pPr>
            <w:r w:rsidRPr="008374B2">
              <w:rPr>
                <w:rFonts w:eastAsia="Times"/>
              </w:rPr>
              <w:t>HousingVic Online Services (HVOS)  is managed by the Victorian Department of Health and Human Services. HVOS is a source of information for current public housing tenants, potential social housing tenants and anyone wanting to know about housing in Victoria.</w:t>
            </w:r>
          </w:p>
        </w:tc>
      </w:tr>
      <w:tr w:rsidR="008374B2" w:rsidRPr="008374B2" w14:paraId="67E60576" w14:textId="77777777" w:rsidTr="001D001F">
        <w:tc>
          <w:tcPr>
            <w:tcW w:w="2730" w:type="dxa"/>
          </w:tcPr>
          <w:p w14:paraId="5DFC2622" w14:textId="77777777" w:rsidR="008374B2" w:rsidRPr="008374B2" w:rsidRDefault="008374B2" w:rsidP="00093F95">
            <w:pPr>
              <w:pStyle w:val="DHHStabletext"/>
              <w:rPr>
                <w:rFonts w:eastAsia="Times"/>
              </w:rPr>
            </w:pPr>
            <w:r w:rsidRPr="008374B2">
              <w:rPr>
                <w:rFonts w:eastAsia="Times"/>
              </w:rPr>
              <w:t>Public Housing</w:t>
            </w:r>
          </w:p>
        </w:tc>
        <w:tc>
          <w:tcPr>
            <w:tcW w:w="6450" w:type="dxa"/>
          </w:tcPr>
          <w:p w14:paraId="2D4FC284" w14:textId="77777777" w:rsidR="008374B2" w:rsidRPr="008374B2" w:rsidRDefault="008374B2" w:rsidP="00093F95">
            <w:pPr>
              <w:pStyle w:val="DHHStabletext"/>
              <w:rPr>
                <w:rFonts w:eastAsia="Times"/>
              </w:rPr>
            </w:pPr>
            <w:r w:rsidRPr="008374B2">
              <w:rPr>
                <w:rFonts w:eastAsia="Times"/>
              </w:rPr>
              <w:t>Long-term rental accommodation managed by the department on behalf of the Director.</w:t>
            </w:r>
          </w:p>
        </w:tc>
      </w:tr>
      <w:tr w:rsidR="008374B2" w:rsidRPr="008374B2" w14:paraId="38DE0237" w14:textId="77777777" w:rsidTr="001D001F">
        <w:tc>
          <w:tcPr>
            <w:tcW w:w="2730" w:type="dxa"/>
          </w:tcPr>
          <w:p w14:paraId="7E6C72F4" w14:textId="77777777" w:rsidR="008374B2" w:rsidRPr="008374B2" w:rsidRDefault="008374B2" w:rsidP="00093F95">
            <w:pPr>
              <w:pStyle w:val="DHHStabletext"/>
              <w:rPr>
                <w:rFonts w:eastAsia="Times"/>
              </w:rPr>
            </w:pPr>
            <w:r w:rsidRPr="008374B2">
              <w:rPr>
                <w:rFonts w:eastAsia="Times"/>
              </w:rPr>
              <w:t>myGov</w:t>
            </w:r>
          </w:p>
        </w:tc>
        <w:tc>
          <w:tcPr>
            <w:tcW w:w="6450" w:type="dxa"/>
            <w:shd w:val="clear" w:color="auto" w:fill="auto"/>
          </w:tcPr>
          <w:p w14:paraId="2182FAD8" w14:textId="77777777" w:rsidR="008374B2" w:rsidRPr="008374B2" w:rsidRDefault="008374B2" w:rsidP="00093F95">
            <w:pPr>
              <w:pStyle w:val="DHHStabletext"/>
              <w:rPr>
                <w:rFonts w:eastAsia="Times"/>
              </w:rPr>
            </w:pPr>
            <w:r w:rsidRPr="008374B2">
              <w:rPr>
                <w:rFonts w:eastAsia="Times"/>
              </w:rPr>
              <w:t>myGov is a simple and secure way to access government online services and is the entry portal for individuals to access the services such as HousingVic Online Services</w:t>
            </w:r>
          </w:p>
        </w:tc>
      </w:tr>
      <w:tr w:rsidR="008374B2" w:rsidRPr="008374B2" w14:paraId="397C513F" w14:textId="77777777" w:rsidTr="001D001F">
        <w:tc>
          <w:tcPr>
            <w:tcW w:w="2730" w:type="dxa"/>
          </w:tcPr>
          <w:p w14:paraId="3807D857" w14:textId="77777777" w:rsidR="008374B2" w:rsidRPr="008374B2" w:rsidRDefault="008374B2" w:rsidP="00093F95">
            <w:pPr>
              <w:pStyle w:val="DHHStabletext"/>
              <w:rPr>
                <w:rFonts w:eastAsia="Times"/>
              </w:rPr>
            </w:pPr>
            <w:r w:rsidRPr="008374B2">
              <w:rPr>
                <w:rFonts w:eastAsia="Times"/>
              </w:rPr>
              <w:t>Residential Tenancies Act</w:t>
            </w:r>
          </w:p>
        </w:tc>
        <w:tc>
          <w:tcPr>
            <w:tcW w:w="6450" w:type="dxa"/>
          </w:tcPr>
          <w:p w14:paraId="20034BB6" w14:textId="77777777" w:rsidR="008374B2" w:rsidRPr="008374B2" w:rsidRDefault="008374B2" w:rsidP="00093F95">
            <w:pPr>
              <w:pStyle w:val="DHHStabletext"/>
              <w:rPr>
                <w:rFonts w:eastAsia="Times"/>
              </w:rPr>
            </w:pPr>
            <w:r w:rsidRPr="008374B2">
              <w:rPr>
                <w:rFonts w:eastAsia="Times"/>
                <w:i/>
              </w:rPr>
              <w:t>Residential Tenancies Act 1997 (Vic).</w:t>
            </w:r>
          </w:p>
        </w:tc>
      </w:tr>
      <w:tr w:rsidR="008374B2" w:rsidRPr="008374B2" w14:paraId="042C296F" w14:textId="77777777" w:rsidTr="001D001F">
        <w:tc>
          <w:tcPr>
            <w:tcW w:w="2730" w:type="dxa"/>
          </w:tcPr>
          <w:p w14:paraId="7145A657" w14:textId="77777777" w:rsidR="008374B2" w:rsidRPr="008374B2" w:rsidRDefault="008374B2" w:rsidP="00093F95">
            <w:pPr>
              <w:pStyle w:val="DHHStabletext"/>
              <w:rPr>
                <w:rFonts w:eastAsia="Times"/>
              </w:rPr>
            </w:pPr>
            <w:r w:rsidRPr="008374B2">
              <w:rPr>
                <w:rFonts w:eastAsia="Times"/>
              </w:rPr>
              <w:t>Social Housing</w:t>
            </w:r>
          </w:p>
        </w:tc>
        <w:tc>
          <w:tcPr>
            <w:tcW w:w="6450" w:type="dxa"/>
          </w:tcPr>
          <w:p w14:paraId="180B4A40" w14:textId="77777777" w:rsidR="008374B2" w:rsidRPr="008374B2" w:rsidDel="00660E3E" w:rsidRDefault="008374B2" w:rsidP="00093F95">
            <w:pPr>
              <w:pStyle w:val="DHHStabletext"/>
              <w:rPr>
                <w:rFonts w:eastAsia="Times"/>
              </w:rPr>
            </w:pPr>
            <w:r w:rsidRPr="008374B2">
              <w:rPr>
                <w:rFonts w:eastAsia="Times"/>
              </w:rPr>
              <w:t>Means both public housing and housing owned, controlled or managed by a Participating Registered Agency.</w:t>
            </w:r>
          </w:p>
        </w:tc>
      </w:tr>
      <w:tr w:rsidR="008374B2" w:rsidRPr="008374B2" w14:paraId="722BA24F" w14:textId="77777777" w:rsidTr="001D001F">
        <w:tc>
          <w:tcPr>
            <w:tcW w:w="2730" w:type="dxa"/>
          </w:tcPr>
          <w:p w14:paraId="2D3E32EF" w14:textId="77777777" w:rsidR="008374B2" w:rsidRPr="008374B2" w:rsidRDefault="008374B2" w:rsidP="00093F95">
            <w:pPr>
              <w:pStyle w:val="DHHStabletext"/>
              <w:rPr>
                <w:rFonts w:eastAsia="Times"/>
              </w:rPr>
            </w:pPr>
            <w:r w:rsidRPr="008374B2">
              <w:rPr>
                <w:rFonts w:eastAsia="Times"/>
              </w:rPr>
              <w:t>Tenant(s)</w:t>
            </w:r>
          </w:p>
        </w:tc>
        <w:tc>
          <w:tcPr>
            <w:tcW w:w="6450" w:type="dxa"/>
          </w:tcPr>
          <w:p w14:paraId="4634C9B9" w14:textId="77777777" w:rsidR="008374B2" w:rsidRPr="008374B2" w:rsidRDefault="008374B2" w:rsidP="00093F95">
            <w:pPr>
              <w:pStyle w:val="DHHStabletext"/>
              <w:rPr>
                <w:rFonts w:eastAsia="Times"/>
              </w:rPr>
            </w:pPr>
            <w:r w:rsidRPr="008374B2">
              <w:rPr>
                <w:rFonts w:eastAsia="Times"/>
              </w:rPr>
              <w:t>An applicant or household member who has signed a residential tenancy agreement with the Director to enable them to let the property.</w:t>
            </w:r>
          </w:p>
        </w:tc>
      </w:tr>
      <w:tr w:rsidR="008374B2" w:rsidRPr="008374B2" w14:paraId="458E5F7C" w14:textId="77777777" w:rsidTr="001D001F">
        <w:tc>
          <w:tcPr>
            <w:tcW w:w="2730" w:type="dxa"/>
          </w:tcPr>
          <w:p w14:paraId="0EFEA451" w14:textId="77777777" w:rsidR="008374B2" w:rsidRPr="008374B2" w:rsidRDefault="008374B2" w:rsidP="00093F95">
            <w:pPr>
              <w:pStyle w:val="DHHStabletext"/>
              <w:rPr>
                <w:rFonts w:eastAsia="Times"/>
              </w:rPr>
            </w:pPr>
            <w:r w:rsidRPr="008374B2">
              <w:rPr>
                <w:rFonts w:eastAsia="Times"/>
              </w:rPr>
              <w:t>Residential Tenancy Agreement or Tenancy Agreement</w:t>
            </w:r>
          </w:p>
        </w:tc>
        <w:tc>
          <w:tcPr>
            <w:tcW w:w="6450" w:type="dxa"/>
          </w:tcPr>
          <w:p w14:paraId="59F27564" w14:textId="77777777" w:rsidR="008374B2" w:rsidRPr="008374B2" w:rsidRDefault="008374B2" w:rsidP="00093F95">
            <w:pPr>
              <w:pStyle w:val="DHHStabletext"/>
              <w:rPr>
                <w:rFonts w:eastAsia="Times"/>
              </w:rPr>
            </w:pPr>
            <w:r w:rsidRPr="008374B2">
              <w:rPr>
                <w:rFonts w:eastAsia="Times"/>
              </w:rPr>
              <w:t>The written agreement entered into by the Director and the tenant(s) which permits the tenant(s) to let the property as a residence.</w:t>
            </w:r>
          </w:p>
        </w:tc>
      </w:tr>
      <w:tr w:rsidR="008374B2" w:rsidRPr="008374B2" w14:paraId="11393EC5" w14:textId="77777777" w:rsidTr="001D001F">
        <w:tc>
          <w:tcPr>
            <w:tcW w:w="2730" w:type="dxa"/>
          </w:tcPr>
          <w:p w14:paraId="01F1EFF1" w14:textId="77777777" w:rsidR="008374B2" w:rsidRPr="008374B2" w:rsidRDefault="008374B2" w:rsidP="00093F95">
            <w:pPr>
              <w:pStyle w:val="DHHStabletext"/>
              <w:rPr>
                <w:rFonts w:eastAsia="Times"/>
              </w:rPr>
            </w:pPr>
            <w:r w:rsidRPr="008374B2">
              <w:rPr>
                <w:rFonts w:eastAsia="Times"/>
              </w:rPr>
              <w:t>Victorian Housing Register</w:t>
            </w:r>
          </w:p>
          <w:p w14:paraId="398EA680" w14:textId="77777777" w:rsidR="008374B2" w:rsidRPr="008374B2" w:rsidRDefault="008374B2" w:rsidP="00093F95">
            <w:pPr>
              <w:pStyle w:val="DHHStabletext"/>
              <w:rPr>
                <w:rFonts w:eastAsia="Times"/>
              </w:rPr>
            </w:pPr>
          </w:p>
        </w:tc>
        <w:tc>
          <w:tcPr>
            <w:tcW w:w="6450" w:type="dxa"/>
          </w:tcPr>
          <w:p w14:paraId="30964DF3" w14:textId="77777777" w:rsidR="008374B2" w:rsidRPr="008374B2" w:rsidRDefault="008374B2" w:rsidP="00093F95">
            <w:pPr>
              <w:pStyle w:val="DHHStabletext"/>
              <w:rPr>
                <w:rFonts w:eastAsia="Times"/>
              </w:rPr>
            </w:pPr>
            <w:r w:rsidRPr="008374B2">
              <w:rPr>
                <w:rFonts w:eastAsia="Times"/>
              </w:rPr>
              <w:t xml:space="preserve">The register of applicants established and administered under s 142A of the Housing Act.  In more specific terms it is a system that unifies public housing and participating registered agencies into a common housing register.  The register includes a common application form and the eligibility framework including the eligibility criteria for allocations to social housing. </w:t>
            </w:r>
          </w:p>
        </w:tc>
      </w:tr>
    </w:tbl>
    <w:p w14:paraId="5C29B6B9" w14:textId="77777777" w:rsidR="008374B2" w:rsidRPr="008374B2" w:rsidRDefault="008374B2" w:rsidP="00093F95">
      <w:pPr>
        <w:pStyle w:val="Heading1"/>
      </w:pPr>
      <w:bookmarkStart w:id="16" w:name="_Toc41311299"/>
      <w:r w:rsidRPr="008374B2">
        <w:rPr>
          <w:rFonts w:eastAsia="MS Gothic"/>
        </w:rPr>
        <w:lastRenderedPageBreak/>
        <w:t>Introduction</w:t>
      </w:r>
      <w:bookmarkEnd w:id="13"/>
      <w:bookmarkEnd w:id="16"/>
    </w:p>
    <w:p w14:paraId="4753C906" w14:textId="77777777" w:rsidR="008374B2" w:rsidRPr="008374B2" w:rsidRDefault="008374B2" w:rsidP="00093F95">
      <w:pPr>
        <w:pStyle w:val="DHHSbody"/>
      </w:pPr>
      <w:r w:rsidRPr="008374B2">
        <w:t>This document outlines the recommended procedure for housing staff to follow when managing the digital suite of client products accessed via myGov and the HousingVic Online Services portal.</w:t>
      </w:r>
    </w:p>
    <w:p w14:paraId="7453C1A5" w14:textId="77777777" w:rsidR="008374B2" w:rsidRPr="008374B2" w:rsidRDefault="008374B2" w:rsidP="00093F95">
      <w:pPr>
        <w:pStyle w:val="DHHSbody"/>
      </w:pPr>
      <w:bookmarkStart w:id="17" w:name="_Hlk19100142"/>
      <w:r w:rsidRPr="008374B2">
        <w:t xml:space="preserve">The Department of Health and Human Services (the department) is progressively developing a range of digital products accessible via myGov to better assist clients and to give them greater autonomy to self-manage their housing services. </w:t>
      </w:r>
    </w:p>
    <w:bookmarkEnd w:id="17"/>
    <w:p w14:paraId="4C38C84F" w14:textId="77777777" w:rsidR="008374B2" w:rsidRPr="008374B2" w:rsidRDefault="008374B2" w:rsidP="00093F95">
      <w:pPr>
        <w:pStyle w:val="DHHSbody"/>
      </w:pPr>
      <w:r w:rsidRPr="008374B2">
        <w:t xml:space="preserve">The development of these digital products commenced in August 2016 with the deployment of the online Victorian Housing Register application, followed in February 2019 by the deployment of the RentAssist bond loan application.  Each online product is governed by a Privacy Impact Assessment, see </w:t>
      </w:r>
      <w:hyperlink r:id="rId22" w:history="1">
        <w:r w:rsidRPr="008374B2">
          <w:rPr>
            <w:u w:val="dotted"/>
          </w:rPr>
          <w:t>https://www.housing.vic.gov.au/privacy</w:t>
        </w:r>
      </w:hyperlink>
    </w:p>
    <w:p w14:paraId="396951CC" w14:textId="77777777" w:rsidR="008374B2" w:rsidRPr="008374B2" w:rsidRDefault="008374B2" w:rsidP="00093F95">
      <w:pPr>
        <w:pStyle w:val="DHHSbody"/>
      </w:pPr>
      <w:r w:rsidRPr="008374B2">
        <w:t xml:space="preserve">In September 2019 departmental housing clients were provided with the capability to receive their departmental housing mail via their myGov inbox. </w:t>
      </w:r>
    </w:p>
    <w:p w14:paraId="1873C372" w14:textId="77777777" w:rsidR="008374B2" w:rsidRPr="008374B2" w:rsidRDefault="008374B2" w:rsidP="00093F95">
      <w:pPr>
        <w:pStyle w:val="Heading2"/>
        <w:rPr>
          <w:rFonts w:eastAsia="Times"/>
        </w:rPr>
      </w:pPr>
      <w:bookmarkStart w:id="18" w:name="_Hlk17466853"/>
      <w:bookmarkStart w:id="19" w:name="_Toc41311300"/>
      <w:r w:rsidRPr="008374B2">
        <w:rPr>
          <w:rFonts w:eastAsia="Times"/>
        </w:rPr>
        <w:t>Initiating Online Identity Verification</w:t>
      </w:r>
      <w:bookmarkEnd w:id="18"/>
      <w:bookmarkEnd w:id="19"/>
      <w:r w:rsidRPr="008374B2">
        <w:rPr>
          <w:rFonts w:eastAsia="Times"/>
        </w:rPr>
        <w:t xml:space="preserve"> </w:t>
      </w:r>
    </w:p>
    <w:p w14:paraId="2C1DB911" w14:textId="77777777" w:rsidR="008374B2" w:rsidRPr="008374B2" w:rsidRDefault="008374B2" w:rsidP="00093F95">
      <w:pPr>
        <w:pStyle w:val="DHHSbody"/>
      </w:pPr>
      <w:r w:rsidRPr="008374B2">
        <w:t xml:space="preserve">In order to access digital mail and any subsequent online services, a client must first have their identity validated through HiiP. </w:t>
      </w:r>
    </w:p>
    <w:p w14:paraId="0B51940D" w14:textId="77777777" w:rsidR="008374B2" w:rsidRPr="008374B2" w:rsidRDefault="008374B2" w:rsidP="00093F95">
      <w:pPr>
        <w:pStyle w:val="DHHSbody"/>
      </w:pPr>
      <w:r w:rsidRPr="008374B2">
        <w:t xml:space="preserve">At a high level there are two processes: </w:t>
      </w:r>
    </w:p>
    <w:p w14:paraId="53A96627" w14:textId="66A581A8" w:rsidR="008374B2" w:rsidRPr="008374B2" w:rsidRDefault="00CD7276" w:rsidP="00093F95">
      <w:pPr>
        <w:pStyle w:val="DHHSbullet1"/>
      </w:pPr>
      <w:r>
        <w:t xml:space="preserve">If the clients identification document are in HiiP, a </w:t>
      </w:r>
      <w:r w:rsidR="008374B2" w:rsidRPr="008374B2">
        <w:t>client can validate their information online</w:t>
      </w:r>
      <w:r>
        <w:t xml:space="preserve"> or via phone </w:t>
      </w:r>
      <w:r w:rsidR="008374B2" w:rsidRPr="008374B2">
        <w:t xml:space="preserve"> by answering a set of primary and secondary questions that match </w:t>
      </w:r>
      <w:r>
        <w:t xml:space="preserve">that </w:t>
      </w:r>
      <w:r w:rsidR="008374B2" w:rsidRPr="008374B2">
        <w:t>data</w:t>
      </w:r>
      <w:r>
        <w:t>.</w:t>
      </w:r>
      <w:r w:rsidR="008374B2" w:rsidRPr="008374B2">
        <w:t xml:space="preserve"> </w:t>
      </w:r>
    </w:p>
    <w:p w14:paraId="24C0BF2F" w14:textId="77777777" w:rsidR="008374B2" w:rsidRPr="008374B2" w:rsidRDefault="008374B2" w:rsidP="00093F95">
      <w:pPr>
        <w:pStyle w:val="DHHSbullet1"/>
      </w:pPr>
      <w:r w:rsidRPr="008374B2">
        <w:t>Alternatively, a client can approach a department office in order to verify their identity face to face and receive their client identification number and a verification code that will enable their access via myGov.</w:t>
      </w:r>
    </w:p>
    <w:p w14:paraId="11733FD3" w14:textId="77777777" w:rsidR="008374B2" w:rsidRPr="008374B2" w:rsidRDefault="008374B2" w:rsidP="00093F95">
      <w:pPr>
        <w:pStyle w:val="DHHSbody"/>
      </w:pPr>
      <w:r w:rsidRPr="008374B2">
        <w:t xml:space="preserve">In both cases, the verification of identity is recorded in HiiP against the client’s record. </w:t>
      </w:r>
    </w:p>
    <w:p w14:paraId="0D643BA6" w14:textId="77777777" w:rsidR="008374B2" w:rsidRPr="008374B2" w:rsidRDefault="008374B2" w:rsidP="00093F95">
      <w:pPr>
        <w:pStyle w:val="DHHSbody"/>
      </w:pPr>
      <w:r w:rsidRPr="008374B2">
        <w:t xml:space="preserve">The precursor to either process is that the client has had an approved service, that is, a current or past Victorian Housing Register or Movable Unit application that has held the status at some point of “Approved”, or an “Approved” RentAssist bond loan, or been part of a public housing tenancy.  </w:t>
      </w:r>
    </w:p>
    <w:p w14:paraId="59511968" w14:textId="77777777" w:rsidR="008374B2" w:rsidRPr="008374B2" w:rsidRDefault="008374B2" w:rsidP="00093F95">
      <w:pPr>
        <w:pStyle w:val="DHHSbody"/>
      </w:pPr>
      <w:r w:rsidRPr="008374B2">
        <w:t>The client controls whether they use online services and may opt out at any point through a fully automated process. In the case of digital mail, where the client has opted out, HiiP will re-instate the previous mode of correspondence be it via post or email (in the case of bonds and housing applications)</w:t>
      </w:r>
    </w:p>
    <w:p w14:paraId="57C64EE2" w14:textId="77777777" w:rsidR="008374B2" w:rsidRPr="008374B2" w:rsidRDefault="008374B2" w:rsidP="00093F95">
      <w:pPr>
        <w:pStyle w:val="Heading1"/>
        <w:rPr>
          <w:rFonts w:eastAsia="MS Gothic"/>
        </w:rPr>
      </w:pPr>
      <w:bookmarkStart w:id="20" w:name="_Toc518372197"/>
      <w:bookmarkStart w:id="21" w:name="_Toc41311301"/>
      <w:r w:rsidRPr="008374B2">
        <w:rPr>
          <w:rFonts w:eastAsia="MS Gothic"/>
        </w:rPr>
        <w:t>When do these operational guidelines apply?</w:t>
      </w:r>
      <w:bookmarkEnd w:id="20"/>
      <w:bookmarkEnd w:id="21"/>
    </w:p>
    <w:p w14:paraId="6DCD26BD" w14:textId="77777777" w:rsidR="008374B2" w:rsidRPr="008374B2" w:rsidRDefault="008374B2" w:rsidP="00093F95">
      <w:pPr>
        <w:pStyle w:val="DHHSbody"/>
      </w:pPr>
      <w:r w:rsidRPr="008374B2">
        <w:t>These operational guidelines apply when:</w:t>
      </w:r>
    </w:p>
    <w:p w14:paraId="72541D6A" w14:textId="77777777" w:rsidR="008374B2" w:rsidRPr="008374B2" w:rsidRDefault="008374B2" w:rsidP="00093F95">
      <w:pPr>
        <w:pStyle w:val="DHHSbullet1"/>
      </w:pPr>
      <w:r w:rsidRPr="008374B2">
        <w:t>A client elects to use HousingVic Online Services by validating their identity</w:t>
      </w:r>
    </w:p>
    <w:p w14:paraId="1FF955FC" w14:textId="77777777" w:rsidR="008374B2" w:rsidRPr="008374B2" w:rsidRDefault="008374B2" w:rsidP="00093F95">
      <w:pPr>
        <w:pStyle w:val="DHHSbullet1"/>
      </w:pPr>
      <w:r w:rsidRPr="008374B2">
        <w:t>They subsequently elect to use digital mail</w:t>
      </w:r>
    </w:p>
    <w:p w14:paraId="1438685B" w14:textId="0134F4D4" w:rsidR="008374B2" w:rsidRDefault="008374B2" w:rsidP="00093F95">
      <w:pPr>
        <w:pStyle w:val="DHHSbullet1"/>
      </w:pPr>
      <w:r w:rsidRPr="008374B2">
        <w:t>They opt out of either using online services or using digital mail</w:t>
      </w:r>
    </w:p>
    <w:p w14:paraId="518D9E9D" w14:textId="12E7C714" w:rsidR="003760DC" w:rsidRPr="008374B2" w:rsidRDefault="003760DC" w:rsidP="003760DC">
      <w:pPr>
        <w:pStyle w:val="DHHSbullet1"/>
        <w:numPr>
          <w:ilvl w:val="0"/>
          <w:numId w:val="0"/>
        </w:numPr>
        <w:ind w:left="284"/>
      </w:pPr>
    </w:p>
    <w:p w14:paraId="5308153E" w14:textId="77777777" w:rsidR="008374B2" w:rsidRPr="008374B2" w:rsidRDefault="008374B2" w:rsidP="00093F95">
      <w:pPr>
        <w:pStyle w:val="Heading1"/>
        <w:rPr>
          <w:rFonts w:eastAsia="Times"/>
        </w:rPr>
      </w:pPr>
      <w:bookmarkStart w:id="22" w:name="_Toc41311302"/>
      <w:r w:rsidRPr="008374B2">
        <w:rPr>
          <w:rFonts w:eastAsia="Times"/>
        </w:rPr>
        <w:t>Online Identity Verification</w:t>
      </w:r>
      <w:bookmarkEnd w:id="22"/>
    </w:p>
    <w:p w14:paraId="7823CF7A" w14:textId="77777777" w:rsidR="008374B2" w:rsidRPr="008374B2" w:rsidRDefault="008374B2" w:rsidP="00093F95">
      <w:pPr>
        <w:pStyle w:val="Heading2"/>
        <w:rPr>
          <w:rFonts w:eastAsia="MS Gothic"/>
        </w:rPr>
      </w:pPr>
      <w:bookmarkStart w:id="23" w:name="_Toc41311303"/>
      <w:r w:rsidRPr="008374B2">
        <w:rPr>
          <w:rFonts w:eastAsia="MS Gothic"/>
        </w:rPr>
        <w:t>Clients automatically validating their identity</w:t>
      </w:r>
      <w:bookmarkEnd w:id="23"/>
    </w:p>
    <w:p w14:paraId="10DB6100" w14:textId="77777777" w:rsidR="008374B2" w:rsidRPr="008374B2" w:rsidRDefault="008374B2" w:rsidP="00093F95">
      <w:pPr>
        <w:pStyle w:val="DHHSbody"/>
      </w:pPr>
      <w:r w:rsidRPr="008374B2">
        <w:t>Clients need to answer online a series of questions which are detailed enough to eliminate third parties.</w:t>
      </w:r>
    </w:p>
    <w:p w14:paraId="4B250335" w14:textId="77777777" w:rsidR="008374B2" w:rsidRPr="008374B2" w:rsidRDefault="008374B2" w:rsidP="00093F95">
      <w:pPr>
        <w:pStyle w:val="Heading2"/>
      </w:pPr>
      <w:bookmarkStart w:id="24" w:name="_Toc41311304"/>
      <w:r w:rsidRPr="008374B2">
        <w:t>Clients validating their identity face to face</w:t>
      </w:r>
      <w:bookmarkEnd w:id="24"/>
    </w:p>
    <w:p w14:paraId="65F8E9A9" w14:textId="77777777" w:rsidR="008374B2" w:rsidRPr="008374B2" w:rsidRDefault="008374B2" w:rsidP="00093F95">
      <w:pPr>
        <w:pStyle w:val="DHHSbody"/>
      </w:pPr>
      <w:r w:rsidRPr="008374B2">
        <w:t xml:space="preserve">Where a client is not able to be verified through HiiP, </w:t>
      </w:r>
      <w:bookmarkStart w:id="25" w:name="_Hlk17098881"/>
      <w:r w:rsidRPr="008374B2">
        <w:t xml:space="preserve">the client must attend departmental housing office and produce 100 points of identity to seek access. Housing Vic </w:t>
      </w:r>
      <w:hyperlink r:id="rId23" w:history="1">
        <w:r w:rsidRPr="008374B2">
          <w:rPr>
            <w:u w:val="dotted"/>
          </w:rPr>
          <w:t>Proof of identity</w:t>
        </w:r>
      </w:hyperlink>
      <w:r w:rsidRPr="008374B2">
        <w:t xml:space="preserve"> &lt;https://www.housing.vic.gov.au/proof-identity&gt; has the list of documents accepted by the department. Some clients may prefer to initiate the process face to face to ensure that they understand what they are signing up to.</w:t>
      </w:r>
    </w:p>
    <w:p w14:paraId="1928D755" w14:textId="3FBF6FC0" w:rsidR="008374B2" w:rsidRPr="008374B2" w:rsidRDefault="008374B2" w:rsidP="00093F95">
      <w:pPr>
        <w:pStyle w:val="DHHSbody"/>
      </w:pPr>
      <w:r w:rsidRPr="008374B2">
        <w:t xml:space="preserve">When a client presents to a </w:t>
      </w:r>
      <w:r w:rsidR="00967F77">
        <w:t>departmental</w:t>
      </w:r>
      <w:r w:rsidR="00967F77" w:rsidRPr="008374B2">
        <w:t xml:space="preserve"> </w:t>
      </w:r>
      <w:r w:rsidR="00967F77">
        <w:t>h</w:t>
      </w:r>
      <w:r w:rsidRPr="008374B2">
        <w:t xml:space="preserve">ousing </w:t>
      </w:r>
      <w:r w:rsidR="00967F77">
        <w:t>o</w:t>
      </w:r>
      <w:r w:rsidRPr="008374B2">
        <w:t xml:space="preserve">ffice they will be asked to produce 100 points of identification. Staff must in the first instance check HiiP and where sufficient information is available including relevant photo I.D., trigger the client validation process manually. </w:t>
      </w:r>
    </w:p>
    <w:p w14:paraId="4ED990AD" w14:textId="77777777" w:rsidR="008374B2" w:rsidRPr="008374B2" w:rsidRDefault="008374B2" w:rsidP="00093F95">
      <w:pPr>
        <w:pStyle w:val="DHHSbody"/>
      </w:pPr>
      <w:r w:rsidRPr="008374B2">
        <w:t>In the case where the tenancy is prior to 2012, the paper file may need to be accessed to check photo I.D.  to verify the client’s identity. The validation process should then be triggered once identity has been confirmed.  Staff should also go through steps to re-confirm the client’s preferred email and phone details and update these if necessary. The exercise should be file noted by the staff member.</w:t>
      </w:r>
    </w:p>
    <w:p w14:paraId="0B900A8D" w14:textId="77777777" w:rsidR="008374B2" w:rsidRPr="008374B2" w:rsidRDefault="008374B2" w:rsidP="00093F95">
      <w:pPr>
        <w:pStyle w:val="Heading2"/>
      </w:pPr>
      <w:bookmarkStart w:id="26" w:name="_Toc41311305"/>
      <w:bookmarkEnd w:id="25"/>
      <w:r w:rsidRPr="008374B2">
        <w:t>Client identity being validated by the Housing Call Centre</w:t>
      </w:r>
      <w:bookmarkEnd w:id="26"/>
    </w:p>
    <w:p w14:paraId="2FF18490" w14:textId="77777777" w:rsidR="008374B2" w:rsidRPr="008374B2" w:rsidRDefault="008374B2" w:rsidP="008374B2">
      <w:pPr>
        <w:spacing w:after="120" w:line="270" w:lineRule="atLeast"/>
        <w:rPr>
          <w:rFonts w:ascii="Arial" w:eastAsia="Times" w:hAnsi="Arial"/>
        </w:rPr>
      </w:pPr>
      <w:r w:rsidRPr="008374B2">
        <w:rPr>
          <w:rFonts w:ascii="Arial" w:eastAsia="Times" w:hAnsi="Arial"/>
        </w:rPr>
        <w:t>Where a client (who does not have a previous approved service in HiiP) is approved for a RentAssist bond loan or a Victorian Housing Register housing application, the Housing Call Centre may contact that client by phone and seek to confirm their identity.  Should the client elect to utilise Online services and in particular digital mail, the Housing Call Centre in the same process as used in “Face to Face” validation, will provide the client with a print-out of their client identification number and initiate a verification code for the user.</w:t>
      </w:r>
    </w:p>
    <w:p w14:paraId="5F774AC6" w14:textId="77777777" w:rsidR="008374B2" w:rsidRPr="008374B2" w:rsidRDefault="008374B2" w:rsidP="00093F95">
      <w:pPr>
        <w:pStyle w:val="Heading3"/>
      </w:pPr>
      <w:r w:rsidRPr="008374B2">
        <w:t>HiiP Behaviour</w:t>
      </w:r>
    </w:p>
    <w:p w14:paraId="7E7C6C30" w14:textId="77777777" w:rsidR="008374B2" w:rsidRPr="008374B2" w:rsidRDefault="008374B2" w:rsidP="00093F95">
      <w:pPr>
        <w:pStyle w:val="DHHSbody"/>
      </w:pPr>
      <w:r w:rsidRPr="008374B2">
        <w:t>Where a client successfully validates their identity online and subsequently chooses digital mail, the system will update their client record to show they have linked an account via myGov</w:t>
      </w:r>
    </w:p>
    <w:p w14:paraId="064F5A9D" w14:textId="77777777" w:rsidR="008374B2" w:rsidRPr="008374B2" w:rsidRDefault="008374B2" w:rsidP="00093F95">
      <w:pPr>
        <w:pStyle w:val="Heading3"/>
      </w:pPr>
      <w:bookmarkStart w:id="27" w:name="_Hlk17189988"/>
      <w:r w:rsidRPr="008374B2">
        <w:t xml:space="preserve">Where a client is unable to establish their identity </w:t>
      </w:r>
    </w:p>
    <w:bookmarkEnd w:id="27"/>
    <w:p w14:paraId="2D53DF2D" w14:textId="77777777" w:rsidR="008374B2" w:rsidRPr="008374B2" w:rsidRDefault="008374B2" w:rsidP="00093F95">
      <w:pPr>
        <w:pStyle w:val="DHHSbody"/>
        <w:rPr>
          <w:lang w:eastAsia="en-AU"/>
        </w:rPr>
      </w:pPr>
      <w:r w:rsidRPr="008374B2">
        <w:t xml:space="preserve">Where a client is unable to be verified online </w:t>
      </w:r>
      <w:r w:rsidRPr="008374B2">
        <w:rPr>
          <w:lang w:eastAsia="en-AU"/>
        </w:rPr>
        <w:t>an error message will be displayed indicating to the client, they cannot proceed to the next step to complete their identity verification online.  In this instance, the client will need to contact the Housing Call Centre or visit a departmental housing office</w:t>
      </w:r>
      <w:r w:rsidRPr="008374B2">
        <w:t xml:space="preserve"> to verify their identity.  </w:t>
      </w:r>
    </w:p>
    <w:p w14:paraId="05A58649" w14:textId="77777777" w:rsidR="008374B2" w:rsidRPr="008374B2" w:rsidRDefault="008374B2" w:rsidP="00093F95">
      <w:pPr>
        <w:pStyle w:val="Heading1"/>
      </w:pPr>
      <w:bookmarkStart w:id="28" w:name="_Toc41311306"/>
      <w:r w:rsidRPr="008374B2">
        <w:t>Digital Mail</w:t>
      </w:r>
      <w:bookmarkEnd w:id="28"/>
    </w:p>
    <w:p w14:paraId="3A1D5631" w14:textId="77777777" w:rsidR="008374B2" w:rsidRPr="008374B2" w:rsidRDefault="008374B2" w:rsidP="00093F95">
      <w:pPr>
        <w:pStyle w:val="DHHSbody"/>
      </w:pPr>
      <w:r w:rsidRPr="008374B2">
        <w:t>Where the client has selected to receive digital mail, HiiP will:</w:t>
      </w:r>
    </w:p>
    <w:p w14:paraId="12806E12" w14:textId="77777777" w:rsidR="008374B2" w:rsidRPr="008374B2" w:rsidRDefault="008374B2" w:rsidP="00093F95">
      <w:pPr>
        <w:pStyle w:val="DHHSbullet1"/>
      </w:pPr>
      <w:r w:rsidRPr="008374B2">
        <w:t>trigger an Initial Welcome letter to their myGov inbox</w:t>
      </w:r>
    </w:p>
    <w:p w14:paraId="640B5AF7" w14:textId="77777777" w:rsidR="008374B2" w:rsidRPr="008374B2" w:rsidRDefault="008374B2" w:rsidP="00093F95">
      <w:pPr>
        <w:pStyle w:val="DHHSbullet1"/>
      </w:pPr>
      <w:r w:rsidRPr="008374B2">
        <w:t>automatically gather all their triggered mail at the end of a business day and forward this to their myGov inbox.</w:t>
      </w:r>
    </w:p>
    <w:p w14:paraId="22AD98F0" w14:textId="77777777" w:rsidR="008374B2" w:rsidRPr="008374B2" w:rsidRDefault="008374B2" w:rsidP="00093F95">
      <w:pPr>
        <w:pStyle w:val="DHHSbody"/>
      </w:pPr>
      <w:r w:rsidRPr="008374B2">
        <w:t xml:space="preserve">Unless the client is at the counter and requests a printed copy of the letter, (any letters that would otherwise be printed and posted out by housing office staff) HiiP will now record the action and advise that the letter is being delivered digitally. Staff should not print and mail these letters (in effect, these letters will now behave like correspondence that is triggered through bulk mail). </w:t>
      </w:r>
    </w:p>
    <w:p w14:paraId="7E85EB37" w14:textId="77777777" w:rsidR="008E6DF0" w:rsidRDefault="008374B2" w:rsidP="00093F95">
      <w:pPr>
        <w:pStyle w:val="DHHSbody"/>
        <w:rPr>
          <w:rStyle w:val="Heading2Char"/>
        </w:rPr>
      </w:pPr>
      <w:r w:rsidRPr="008374B2">
        <w:t xml:space="preserve">The copy of the letter will appear in the “Documents” tab of the client’s HiiP file and its generation will also appear in the “Action type” as “Document sent”. </w:t>
      </w:r>
      <w:r w:rsidRPr="008374B2">
        <w:br/>
      </w:r>
    </w:p>
    <w:p w14:paraId="78D0F58B" w14:textId="15E7F3F0" w:rsidR="008374B2" w:rsidRPr="008374B2" w:rsidRDefault="008374B2" w:rsidP="00093F95">
      <w:pPr>
        <w:pStyle w:val="DHHSbody"/>
        <w:rPr>
          <w:b/>
          <w:sz w:val="28"/>
          <w:szCs w:val="28"/>
        </w:rPr>
      </w:pPr>
      <w:bookmarkStart w:id="29" w:name="_Toc41311307"/>
      <w:r w:rsidRPr="00093F95">
        <w:rPr>
          <w:rStyle w:val="Heading2Char"/>
        </w:rPr>
        <w:t>Letters</w:t>
      </w:r>
      <w:bookmarkEnd w:id="29"/>
      <w:r w:rsidRPr="00093F95">
        <w:rPr>
          <w:rStyle w:val="Heading2Char"/>
        </w:rPr>
        <w:t xml:space="preserve"> </w:t>
      </w:r>
    </w:p>
    <w:p w14:paraId="0368C4D8" w14:textId="7A740165" w:rsidR="008374B2" w:rsidRPr="008374B2" w:rsidRDefault="008374B2" w:rsidP="00093F95">
      <w:pPr>
        <w:pStyle w:val="DHHSbody"/>
      </w:pPr>
      <w:r w:rsidRPr="008374B2">
        <w:t xml:space="preserve">As of December 2019, all client, appeals and tenancy letters </w:t>
      </w:r>
      <w:r w:rsidR="003760DC">
        <w:t>are</w:t>
      </w:r>
      <w:r w:rsidRPr="008374B2">
        <w:t xml:space="preserve"> sent via digital mail. Legal letters and payment related letters are currently not available, however will be available in a future release to ensure that legal notices are served correctly. Functionality of payment related letters does not impact current practices of frontline staff. </w:t>
      </w:r>
    </w:p>
    <w:p w14:paraId="655442F2" w14:textId="77777777" w:rsidR="008374B2" w:rsidRPr="008374B2" w:rsidRDefault="008374B2" w:rsidP="00093F95">
      <w:pPr>
        <w:pStyle w:val="DHHSbody"/>
      </w:pPr>
      <w:r w:rsidRPr="008374B2">
        <w:t xml:space="preserve">Where there is an associated form with the letter that would be added by as staff member or bulk mail, a link to an online version of the form will be provided in the MyGov inbox message. </w:t>
      </w:r>
    </w:p>
    <w:p w14:paraId="6C992BC2" w14:textId="77777777" w:rsidR="008374B2" w:rsidRPr="008374B2" w:rsidRDefault="008374B2" w:rsidP="00093F95">
      <w:pPr>
        <w:pStyle w:val="Heading2"/>
      </w:pPr>
      <w:bookmarkStart w:id="30" w:name="_Toc41311308"/>
      <w:bookmarkStart w:id="31" w:name="_Hlk33776091"/>
      <w:r w:rsidRPr="008374B2">
        <w:t>Third Parties</w:t>
      </w:r>
      <w:bookmarkEnd w:id="30"/>
    </w:p>
    <w:bookmarkEnd w:id="31"/>
    <w:p w14:paraId="2201214B" w14:textId="77777777" w:rsidR="008374B2" w:rsidRPr="008374B2" w:rsidRDefault="008374B2" w:rsidP="00093F95">
      <w:pPr>
        <w:pStyle w:val="DHHSbody"/>
      </w:pPr>
      <w:r w:rsidRPr="008374B2">
        <w:t xml:space="preserve">Staff should seek documentation outlining their appointment to ensure any powers are understood as per the department’s </w:t>
      </w:r>
      <w:hyperlink r:id="rId24" w:history="1">
        <w:r w:rsidRPr="008374B2">
          <w:rPr>
            <w:u w:val="dotted"/>
          </w:rPr>
          <w:t>Appointed representatives of tenants and applicants operational guidelines</w:t>
        </w:r>
      </w:hyperlink>
      <w:r w:rsidRPr="008374B2">
        <w:t xml:space="preserve"> &lt;https://providers.dhhs.vic.gov.au/tenancy-management-manual-appointed-representatives-tenants-and-applicants-operational-guidelines&gt;, Formal decision makers confirmed by a Power of Attorney, Administration Order issued by VCAT or a Guardian appointed by VCAT will be required to attend a department office and validate their identity in order to gain access to the client’s services. Staff must file note the exercise.</w:t>
      </w:r>
    </w:p>
    <w:p w14:paraId="20670062" w14:textId="77777777" w:rsidR="008374B2" w:rsidRPr="008374B2" w:rsidRDefault="008374B2" w:rsidP="00093F95">
      <w:pPr>
        <w:pStyle w:val="Heading2"/>
      </w:pPr>
      <w:bookmarkStart w:id="32" w:name="_Toc41311309"/>
      <w:r w:rsidRPr="008374B2">
        <w:t>Breach of Privacy is Reported</w:t>
      </w:r>
      <w:bookmarkEnd w:id="32"/>
    </w:p>
    <w:p w14:paraId="2A8663AE" w14:textId="77777777" w:rsidR="008374B2" w:rsidRDefault="008374B2" w:rsidP="00093F95">
      <w:pPr>
        <w:pStyle w:val="DHHSbody"/>
      </w:pPr>
      <w:r w:rsidRPr="008374B2">
        <w:t>If a breach of privacy is reported staff should inform their VPS 5 manager when this has occurred and the client contacted immediately. Where the client cannot be contacted and they have a support provider or an emergency contact, staff should communicate with the support or contact</w:t>
      </w:r>
    </w:p>
    <w:p w14:paraId="329D6AB4" w14:textId="77777777" w:rsidR="000D156B" w:rsidRDefault="000D156B" w:rsidP="000E502C">
      <w:pPr>
        <w:pStyle w:val="Heading1"/>
      </w:pPr>
      <w:bookmarkStart w:id="33" w:name="_Toc41311310"/>
      <w:r>
        <w:t>My Housing</w:t>
      </w:r>
      <w:bookmarkEnd w:id="33"/>
      <w:r>
        <w:t xml:space="preserve"> </w:t>
      </w:r>
    </w:p>
    <w:p w14:paraId="7EB81AD2" w14:textId="24A986DC" w:rsidR="007531EB" w:rsidRDefault="00462400" w:rsidP="000E502C">
      <w:pPr>
        <w:pStyle w:val="DHHSbody"/>
      </w:pPr>
      <w:r>
        <w:t>Through the My Housing tab, c</w:t>
      </w:r>
      <w:r w:rsidR="000E502C">
        <w:t xml:space="preserve">lients are able to </w:t>
      </w:r>
      <w:r w:rsidR="007531EB">
        <w:t xml:space="preserve">view past and current housing </w:t>
      </w:r>
      <w:r w:rsidR="000E502C">
        <w:t>services</w:t>
      </w:r>
      <w:r w:rsidR="007531EB">
        <w:t xml:space="preserve"> such as:</w:t>
      </w:r>
    </w:p>
    <w:p w14:paraId="77E9E64B" w14:textId="77777777" w:rsidR="007531EB" w:rsidRPr="00CF428E" w:rsidRDefault="007531EB" w:rsidP="007531EB">
      <w:pPr>
        <w:pStyle w:val="DHHSbullet1"/>
        <w:rPr>
          <w:lang w:eastAsia="en-AU"/>
        </w:rPr>
      </w:pPr>
      <w:r w:rsidRPr="007D57EC">
        <w:rPr>
          <w:lang w:eastAsia="en-AU"/>
        </w:rPr>
        <w:t xml:space="preserve">Tenancy </w:t>
      </w:r>
    </w:p>
    <w:p w14:paraId="6334BCC3" w14:textId="77777777" w:rsidR="007531EB" w:rsidRPr="00CF428E" w:rsidRDefault="007531EB" w:rsidP="007531EB">
      <w:pPr>
        <w:pStyle w:val="DHHSbullet1"/>
        <w:rPr>
          <w:lang w:eastAsia="en-AU"/>
        </w:rPr>
      </w:pPr>
      <w:r w:rsidRPr="00CF428E">
        <w:rPr>
          <w:lang w:eastAsia="en-AU"/>
        </w:rPr>
        <w:t>Victorian Housing Register application</w:t>
      </w:r>
    </w:p>
    <w:p w14:paraId="793A65DE" w14:textId="77777777" w:rsidR="007531EB" w:rsidRPr="007D57EC" w:rsidRDefault="007531EB" w:rsidP="007531EB">
      <w:pPr>
        <w:pStyle w:val="DHHSbullet1"/>
        <w:rPr>
          <w:lang w:eastAsia="en-AU"/>
        </w:rPr>
      </w:pPr>
      <w:r w:rsidRPr="007D57EC">
        <w:rPr>
          <w:lang w:eastAsia="en-AU"/>
        </w:rPr>
        <w:t>Movable unit application</w:t>
      </w:r>
    </w:p>
    <w:p w14:paraId="5062FE78" w14:textId="77777777" w:rsidR="007531EB" w:rsidRPr="007D57EC" w:rsidRDefault="007531EB" w:rsidP="007531EB">
      <w:pPr>
        <w:pStyle w:val="DHHSbullet1"/>
        <w:rPr>
          <w:lang w:eastAsia="en-AU"/>
        </w:rPr>
      </w:pPr>
      <w:r w:rsidRPr="007D57EC">
        <w:rPr>
          <w:lang w:eastAsia="en-AU"/>
        </w:rPr>
        <w:t>RentAssist bond loan</w:t>
      </w:r>
    </w:p>
    <w:p w14:paraId="5C134C9D" w14:textId="47394CC4" w:rsidR="000E502C" w:rsidRDefault="000E502C" w:rsidP="000E502C">
      <w:pPr>
        <w:pStyle w:val="DHHSbody"/>
      </w:pPr>
      <w:r>
        <w:t xml:space="preserve">The information a client can see will vary on what role they had within the application.  </w:t>
      </w:r>
    </w:p>
    <w:p w14:paraId="6C993CA3" w14:textId="77777777" w:rsidR="00CD7276" w:rsidRPr="007D57EC" w:rsidRDefault="00CD7276" w:rsidP="00CD7276">
      <w:pPr>
        <w:shd w:val="clear" w:color="auto" w:fill="FFFFFF"/>
        <w:outlineLvl w:val="2"/>
        <w:rPr>
          <w:rFonts w:ascii="VIC" w:hAnsi="VIC"/>
          <w:color w:val="333333"/>
          <w:lang w:eastAsia="en-AU"/>
        </w:rPr>
      </w:pPr>
    </w:p>
    <w:p w14:paraId="6B6F047A" w14:textId="77777777" w:rsidR="00730E00" w:rsidRDefault="00730E00" w:rsidP="00730E00">
      <w:pPr>
        <w:pStyle w:val="Heading2"/>
      </w:pPr>
      <w:bookmarkStart w:id="34" w:name="_Toc41311311"/>
      <w:r>
        <w:t>Victorian Housing Register applications</w:t>
      </w:r>
      <w:bookmarkEnd w:id="34"/>
    </w:p>
    <w:p w14:paraId="1FAEEDEB" w14:textId="77777777" w:rsidR="00DE1330" w:rsidRDefault="00730E00" w:rsidP="00730E00">
      <w:pPr>
        <w:pStyle w:val="DHHSbody"/>
      </w:pPr>
      <w:r>
        <w:t xml:space="preserve">Primary applicants will be able to see their reference number, application type (register of interest or Priority), application status, </w:t>
      </w:r>
      <w:r w:rsidR="004E5BCF">
        <w:t>effective</w:t>
      </w:r>
      <w:r>
        <w:t xml:space="preserve"> </w:t>
      </w:r>
      <w:r w:rsidR="004E5BCF">
        <w:t>date</w:t>
      </w:r>
      <w:r>
        <w:t xml:space="preserve"> and household members</w:t>
      </w:r>
      <w:r w:rsidR="00D51614">
        <w:t>.</w:t>
      </w:r>
    </w:p>
    <w:p w14:paraId="1D0BB1F6" w14:textId="65D9FFAE" w:rsidR="00730E00" w:rsidRDefault="00D51614" w:rsidP="00730E00">
      <w:pPr>
        <w:pStyle w:val="DHHSbody"/>
      </w:pPr>
      <w:r>
        <w:t xml:space="preserve"> </w:t>
      </w:r>
      <w:r w:rsidR="00462400">
        <w:t xml:space="preserve">However, </w:t>
      </w:r>
      <w:r>
        <w:t>If the application is at status</w:t>
      </w:r>
      <w:r w:rsidR="00462400">
        <w:t xml:space="preserve"> of</w:t>
      </w:r>
      <w:r>
        <w:t xml:space="preserve"> </w:t>
      </w:r>
      <w:r w:rsidR="00E81612">
        <w:t>‘</w:t>
      </w:r>
      <w:r>
        <w:t>community housed</w:t>
      </w:r>
      <w:r w:rsidR="00E81612">
        <w:t>’</w:t>
      </w:r>
      <w:r>
        <w:t xml:space="preserve">, </w:t>
      </w:r>
      <w:r w:rsidR="00E81612">
        <w:t>‘</w:t>
      </w:r>
      <w:r>
        <w:t>department housed</w:t>
      </w:r>
      <w:r w:rsidR="00E81612">
        <w:t>’</w:t>
      </w:r>
      <w:r>
        <w:t xml:space="preserve">, </w:t>
      </w:r>
      <w:r w:rsidR="00E81612">
        <w:t>‘</w:t>
      </w:r>
      <w:r>
        <w:t>ineligible</w:t>
      </w:r>
      <w:r w:rsidR="00E81612">
        <w:t>’’</w:t>
      </w:r>
      <w:r>
        <w:t>, not approved</w:t>
      </w:r>
      <w:r w:rsidR="00E81612">
        <w:t>’</w:t>
      </w:r>
      <w:r>
        <w:t xml:space="preserve">, </w:t>
      </w:r>
      <w:r w:rsidR="00E81612">
        <w:t>‘</w:t>
      </w:r>
      <w:r>
        <w:t>rejected</w:t>
      </w:r>
      <w:r w:rsidR="00E81612">
        <w:t>’</w:t>
      </w:r>
      <w:r>
        <w:t xml:space="preserve"> or </w:t>
      </w:r>
      <w:r w:rsidR="00E81612">
        <w:t>‘</w:t>
      </w:r>
      <w:r>
        <w:t>tenancy created</w:t>
      </w:r>
      <w:r w:rsidR="00E81612">
        <w:t>’</w:t>
      </w:r>
      <w:r w:rsidR="00462400">
        <w:t xml:space="preserve">, </w:t>
      </w:r>
      <w:r>
        <w:t>primary applicants will only be able to view their own name</w:t>
      </w:r>
      <w:r w:rsidR="00730E00">
        <w:t xml:space="preserve">. </w:t>
      </w:r>
    </w:p>
    <w:p w14:paraId="64B6E4BC" w14:textId="4E2CF8E2" w:rsidR="00730E00" w:rsidRDefault="00730E00" w:rsidP="000E502C">
      <w:pPr>
        <w:pStyle w:val="DHHSbody"/>
      </w:pPr>
      <w:r>
        <w:t>Household members who are not the primary applicant</w:t>
      </w:r>
      <w:r w:rsidR="00D51614" w:rsidRPr="00D51614">
        <w:t xml:space="preserve"> </w:t>
      </w:r>
      <w:r w:rsidR="00E81612">
        <w:t>a</w:t>
      </w:r>
      <w:r w:rsidR="00D51614">
        <w:t xml:space="preserve">nd </w:t>
      </w:r>
      <w:r w:rsidR="00E81612">
        <w:t>the application is at the status of</w:t>
      </w:r>
      <w:r w:rsidR="00D51614">
        <w:t xml:space="preserve"> </w:t>
      </w:r>
      <w:r w:rsidR="00E81612">
        <w:t>‘</w:t>
      </w:r>
      <w:r w:rsidR="00D51614">
        <w:t>accepted</w:t>
      </w:r>
      <w:r w:rsidR="00E81612">
        <w:t>’</w:t>
      </w:r>
      <w:r w:rsidR="00D51614">
        <w:t xml:space="preserve">, </w:t>
      </w:r>
      <w:r w:rsidR="00E81612">
        <w:t>‘</w:t>
      </w:r>
      <w:r w:rsidR="00D51614">
        <w:t>approved</w:t>
      </w:r>
      <w:r w:rsidR="00E81612">
        <w:t>’</w:t>
      </w:r>
      <w:r w:rsidR="00D51614">
        <w:t xml:space="preserve">, </w:t>
      </w:r>
      <w:r w:rsidR="00E81612">
        <w:t>‘</w:t>
      </w:r>
      <w:r w:rsidR="00D51614">
        <w:t>assessed</w:t>
      </w:r>
      <w:r w:rsidR="00E81612">
        <w:t>’</w:t>
      </w:r>
      <w:r w:rsidR="00D51614">
        <w:t xml:space="preserve">, </w:t>
      </w:r>
      <w:r w:rsidR="00E81612">
        <w:t>‘</w:t>
      </w:r>
      <w:r w:rsidR="00D51614">
        <w:t>awaiting action</w:t>
      </w:r>
      <w:r w:rsidR="00E81612">
        <w:t>’</w:t>
      </w:r>
      <w:r w:rsidR="00D51614">
        <w:t xml:space="preserve">, </w:t>
      </w:r>
      <w:r w:rsidR="00E81612">
        <w:t>‘</w:t>
      </w:r>
      <w:r w:rsidR="00D51614">
        <w:t>escalated</w:t>
      </w:r>
      <w:r w:rsidR="00E81612">
        <w:t>’</w:t>
      </w:r>
      <w:r w:rsidR="00D51614">
        <w:t xml:space="preserve">, </w:t>
      </w:r>
      <w:r w:rsidR="00E81612">
        <w:t>‘</w:t>
      </w:r>
      <w:r w:rsidR="00D51614">
        <w:t>new</w:t>
      </w:r>
      <w:r w:rsidR="00E81612">
        <w:t>’</w:t>
      </w:r>
      <w:r w:rsidR="00D51614">
        <w:t xml:space="preserve">, </w:t>
      </w:r>
      <w:r w:rsidR="00E81612">
        <w:t>‘</w:t>
      </w:r>
      <w:r w:rsidR="00D51614">
        <w:t>offered</w:t>
      </w:r>
      <w:r w:rsidR="00E81612">
        <w:t>’</w:t>
      </w:r>
      <w:r w:rsidR="00D51614">
        <w:t xml:space="preserve">, </w:t>
      </w:r>
      <w:r w:rsidR="00E81612">
        <w:t>‘</w:t>
      </w:r>
      <w:r w:rsidR="00D51614">
        <w:t>ready for sign up</w:t>
      </w:r>
      <w:r w:rsidR="00E81612">
        <w:t>’</w:t>
      </w:r>
      <w:r w:rsidR="00D51614">
        <w:t xml:space="preserve">, </w:t>
      </w:r>
      <w:r w:rsidR="00E81612">
        <w:t>‘</w:t>
      </w:r>
      <w:r w:rsidR="00D51614">
        <w:t>reassess</w:t>
      </w:r>
      <w:r w:rsidR="00E81612">
        <w:t>’’</w:t>
      </w:r>
      <w:r w:rsidR="00D51614">
        <w:t xml:space="preserve"> and </w:t>
      </w:r>
      <w:r w:rsidR="00E81612">
        <w:t>‘</w:t>
      </w:r>
      <w:r w:rsidR="00D51614">
        <w:t>reassessed</w:t>
      </w:r>
      <w:r w:rsidR="00E81612">
        <w:t>’</w:t>
      </w:r>
      <w:r w:rsidR="003760DC">
        <w:t xml:space="preserve"> </w:t>
      </w:r>
      <w:r>
        <w:t xml:space="preserve"> will be able to see the reference number, application type (register of interest or Priority), when they arrived or left the application and the name of the primary applicant and other household members on the application. </w:t>
      </w:r>
    </w:p>
    <w:p w14:paraId="5771ED3E" w14:textId="23B81B43" w:rsidR="00730E00" w:rsidRDefault="00D51614" w:rsidP="000E502C">
      <w:pPr>
        <w:pStyle w:val="DHHSbody"/>
      </w:pPr>
      <w:r>
        <w:t>If the application has been removed</w:t>
      </w:r>
      <w:r w:rsidR="00CD7276">
        <w:t>,</w:t>
      </w:r>
      <w:r>
        <w:t xml:space="preserve"> the user who has logged in to HVOS will see their name plus reference number, application type</w:t>
      </w:r>
      <w:r w:rsidR="00E81612">
        <w:t xml:space="preserve"> only.</w:t>
      </w:r>
    </w:p>
    <w:p w14:paraId="48A74169" w14:textId="77777777" w:rsidR="00730E00" w:rsidRDefault="00730E00" w:rsidP="004E5BCF">
      <w:pPr>
        <w:pStyle w:val="Heading2"/>
      </w:pPr>
      <w:bookmarkStart w:id="35" w:name="_Toc41311312"/>
      <w:r>
        <w:t>Tenancy services</w:t>
      </w:r>
      <w:bookmarkEnd w:id="35"/>
      <w:r>
        <w:t xml:space="preserve"> </w:t>
      </w:r>
    </w:p>
    <w:p w14:paraId="53852379" w14:textId="77777777" w:rsidR="00730E00" w:rsidRDefault="00730E00" w:rsidP="000E502C">
      <w:pPr>
        <w:pStyle w:val="DHHSbody"/>
      </w:pPr>
      <w:r>
        <w:t xml:space="preserve">Current tenants will able to see their address, reference number, tenancy start date and household members. </w:t>
      </w:r>
    </w:p>
    <w:p w14:paraId="35AEB9FD" w14:textId="77777777" w:rsidR="00730E00" w:rsidRDefault="00730E00" w:rsidP="000E502C">
      <w:pPr>
        <w:pStyle w:val="DHHSbody"/>
      </w:pPr>
      <w:r>
        <w:t>Current residents will be able to see their address, reference number and the tenancy start date.</w:t>
      </w:r>
    </w:p>
    <w:p w14:paraId="0B22015F" w14:textId="77777777" w:rsidR="00730E00" w:rsidRDefault="00730E00" w:rsidP="000E502C">
      <w:pPr>
        <w:pStyle w:val="DHHSbody"/>
      </w:pPr>
      <w:r>
        <w:t xml:space="preserve">Clients who have left a tenancy as a tenant or resident will be able to see the address, reference number, tenancy start date and tenancy end date. This is the same if the tenancy is terminated or if they have left the household and the tenancy is still active. </w:t>
      </w:r>
    </w:p>
    <w:p w14:paraId="329B408D" w14:textId="77777777" w:rsidR="00730E00" w:rsidRDefault="006431A8" w:rsidP="004E5BCF">
      <w:pPr>
        <w:pStyle w:val="Heading2"/>
      </w:pPr>
      <w:bookmarkStart w:id="36" w:name="_Toc41311313"/>
      <w:r>
        <w:t>Bond Loan Services</w:t>
      </w:r>
      <w:bookmarkEnd w:id="36"/>
    </w:p>
    <w:p w14:paraId="09082D0E" w14:textId="77777777" w:rsidR="006431A8" w:rsidRDefault="006431A8" w:rsidP="000E502C">
      <w:pPr>
        <w:pStyle w:val="DHHSbody"/>
      </w:pPr>
      <w:r>
        <w:t xml:space="preserve">All clients with current or previous bond loan services with the department will be able to see the Bond property address, reference number, the date the application was received, the amount issued and the status. </w:t>
      </w:r>
    </w:p>
    <w:p w14:paraId="19B51EAC" w14:textId="766BE66A" w:rsidR="006431A8" w:rsidRPr="00CA3751" w:rsidRDefault="006431A8" w:rsidP="00E81612">
      <w:pPr>
        <w:pStyle w:val="Heading2"/>
      </w:pPr>
      <w:bookmarkStart w:id="37" w:name="_Toc41311314"/>
      <w:r w:rsidRPr="00CA3751">
        <w:t>Movable Unit applications</w:t>
      </w:r>
      <w:bookmarkEnd w:id="37"/>
    </w:p>
    <w:p w14:paraId="546662E2" w14:textId="7105453A" w:rsidR="006431A8" w:rsidRDefault="00D51614" w:rsidP="000E502C">
      <w:pPr>
        <w:pStyle w:val="DHHSbody"/>
      </w:pPr>
      <w:r w:rsidRPr="00CA3751">
        <w:t xml:space="preserve">For those applications that are active </w:t>
      </w:r>
      <w:r w:rsidR="0027180F">
        <w:t xml:space="preserve"> and at a status of ‘</w:t>
      </w:r>
      <w:r w:rsidRPr="00CA3751">
        <w:t>accepted</w:t>
      </w:r>
      <w:r w:rsidR="0027180F">
        <w:t>’</w:t>
      </w:r>
      <w:r w:rsidRPr="00CA3751">
        <w:t xml:space="preserve">, </w:t>
      </w:r>
      <w:r w:rsidR="0027180F">
        <w:t>‘</w:t>
      </w:r>
      <w:r w:rsidRPr="00CA3751">
        <w:t>approved</w:t>
      </w:r>
      <w:r w:rsidR="0027180F">
        <w:t>’</w:t>
      </w:r>
      <w:r w:rsidRPr="00CA3751">
        <w:t xml:space="preserve">, </w:t>
      </w:r>
      <w:r w:rsidR="0027180F">
        <w:t>‘</w:t>
      </w:r>
      <w:r w:rsidRPr="00CA3751">
        <w:t>assessed</w:t>
      </w:r>
      <w:r w:rsidR="0027180F">
        <w:t>’</w:t>
      </w:r>
      <w:r w:rsidRPr="00CA3751">
        <w:t xml:space="preserve">, </w:t>
      </w:r>
      <w:r w:rsidR="0027180F">
        <w:t>‘</w:t>
      </w:r>
      <w:r w:rsidRPr="00CA3751">
        <w:t>awaiting action</w:t>
      </w:r>
      <w:r w:rsidR="0027180F">
        <w:t>’</w:t>
      </w:r>
      <w:r w:rsidRPr="00CA3751">
        <w:t xml:space="preserve">, </w:t>
      </w:r>
      <w:r w:rsidR="0027180F">
        <w:t>‘</w:t>
      </w:r>
      <w:r w:rsidRPr="00CA3751">
        <w:t>escalated</w:t>
      </w:r>
      <w:r w:rsidR="0027180F">
        <w:t>’</w:t>
      </w:r>
      <w:r w:rsidRPr="00CA3751">
        <w:t xml:space="preserve">, </w:t>
      </w:r>
      <w:r w:rsidR="0027180F">
        <w:t>‘</w:t>
      </w:r>
      <w:r w:rsidRPr="00CA3751">
        <w:t>movable unit allocated</w:t>
      </w:r>
      <w:r w:rsidR="0027180F">
        <w:t>’</w:t>
      </w:r>
      <w:r w:rsidRPr="00CA3751">
        <w:t xml:space="preserve">, </w:t>
      </w:r>
      <w:r w:rsidR="0027180F">
        <w:t>‘</w:t>
      </w:r>
      <w:r w:rsidRPr="00CA3751">
        <w:t>new</w:t>
      </w:r>
      <w:r w:rsidR="0027180F">
        <w:t>’</w:t>
      </w:r>
      <w:r w:rsidRPr="00CA3751">
        <w:t xml:space="preserve">, </w:t>
      </w:r>
      <w:r w:rsidR="0027180F">
        <w:t>‘</w:t>
      </w:r>
      <w:r w:rsidRPr="00CA3751">
        <w:t>offered</w:t>
      </w:r>
      <w:r w:rsidR="0027180F">
        <w:t>’</w:t>
      </w:r>
      <w:r w:rsidRPr="00CA3751">
        <w:t xml:space="preserve">, </w:t>
      </w:r>
      <w:r w:rsidR="0027180F">
        <w:t>‘</w:t>
      </w:r>
      <w:r w:rsidRPr="00CA3751">
        <w:t>ready for sign up</w:t>
      </w:r>
      <w:r w:rsidR="0027180F">
        <w:t>’</w:t>
      </w:r>
      <w:r w:rsidRPr="00CA3751">
        <w:t xml:space="preserve">, </w:t>
      </w:r>
      <w:r w:rsidR="0027180F">
        <w:t>‘</w:t>
      </w:r>
      <w:r w:rsidRPr="00CA3751">
        <w:t>reassess</w:t>
      </w:r>
      <w:r w:rsidR="0027180F">
        <w:t>’ or ‘</w:t>
      </w:r>
      <w:r w:rsidRPr="00CA3751">
        <w:t>reassessed</w:t>
      </w:r>
      <w:r w:rsidR="0027180F">
        <w:t>’</w:t>
      </w:r>
      <w:r w:rsidRPr="00CA3751">
        <w:t>), b</w:t>
      </w:r>
      <w:r w:rsidR="006431A8" w:rsidRPr="00CA3751">
        <w:t xml:space="preserve">oth the property host and applicant for movable units will be able to see the reference number, application received date, host name, household member names and the suburb the unit is </w:t>
      </w:r>
      <w:r w:rsidR="006431A8" w:rsidRPr="0027180F">
        <w:t>located in.</w:t>
      </w:r>
    </w:p>
    <w:p w14:paraId="76EC4CFE" w14:textId="77777777" w:rsidR="006431A8" w:rsidRDefault="006431A8" w:rsidP="004E5BCF">
      <w:pPr>
        <w:pStyle w:val="Heading1"/>
      </w:pPr>
      <w:bookmarkStart w:id="38" w:name="_Toc41311315"/>
      <w:r>
        <w:t>My account</w:t>
      </w:r>
      <w:bookmarkEnd w:id="38"/>
    </w:p>
    <w:p w14:paraId="6252A4C2" w14:textId="26D96035" w:rsidR="006431A8" w:rsidRDefault="000C6D27" w:rsidP="000E502C">
      <w:pPr>
        <w:pStyle w:val="DHHSbody"/>
      </w:pPr>
      <w:r>
        <w:t xml:space="preserve">My Account is where clients can view housing payment information and transactions. </w:t>
      </w:r>
      <w:r w:rsidR="002D2424">
        <w:t>Clients can view:</w:t>
      </w:r>
      <w:r w:rsidR="006431A8">
        <w:t xml:space="preserve"> </w:t>
      </w:r>
    </w:p>
    <w:p w14:paraId="693C2F73" w14:textId="72AE1262" w:rsidR="00CD7276" w:rsidRPr="00FD0053" w:rsidRDefault="002D2424" w:rsidP="002D2424">
      <w:pPr>
        <w:pStyle w:val="DHHSbullet1"/>
        <w:rPr>
          <w:b/>
          <w:lang w:eastAsia="en-AU"/>
        </w:rPr>
      </w:pPr>
      <w:r>
        <w:rPr>
          <w:lang w:eastAsia="en-AU"/>
        </w:rPr>
        <w:t>A</w:t>
      </w:r>
      <w:r w:rsidR="00CD7276">
        <w:rPr>
          <w:lang w:eastAsia="en-AU"/>
        </w:rPr>
        <w:t>ccount summar</w:t>
      </w:r>
      <w:r>
        <w:rPr>
          <w:lang w:eastAsia="en-AU"/>
        </w:rPr>
        <w:t xml:space="preserve">ies for their </w:t>
      </w:r>
      <w:r w:rsidR="00CD7276" w:rsidRPr="00FD0053">
        <w:rPr>
          <w:lang w:eastAsia="en-AU"/>
        </w:rPr>
        <w:t>current or vacated tenancy or bond loan</w:t>
      </w:r>
      <w:r>
        <w:rPr>
          <w:lang w:eastAsia="en-AU"/>
        </w:rPr>
        <w:t>.</w:t>
      </w:r>
    </w:p>
    <w:p w14:paraId="44F542D7" w14:textId="13F21476" w:rsidR="00CD7276" w:rsidRPr="00E52B05" w:rsidRDefault="002D2424" w:rsidP="002D2424">
      <w:pPr>
        <w:pStyle w:val="DHHSbullet1"/>
        <w:rPr>
          <w:b/>
          <w:lang w:eastAsia="en-AU"/>
        </w:rPr>
      </w:pPr>
      <w:r>
        <w:rPr>
          <w:lang w:eastAsia="en-AU"/>
        </w:rPr>
        <w:t xml:space="preserve">Their </w:t>
      </w:r>
      <w:r w:rsidR="00CD7276" w:rsidRPr="00FD0053">
        <w:rPr>
          <w:lang w:eastAsia="en-AU"/>
        </w:rPr>
        <w:t>most recent transactions and keep track of account balances</w:t>
      </w:r>
      <w:r>
        <w:rPr>
          <w:lang w:eastAsia="en-AU"/>
        </w:rPr>
        <w:t>.</w:t>
      </w:r>
    </w:p>
    <w:p w14:paraId="01A52E75" w14:textId="19318838" w:rsidR="0039024B" w:rsidRDefault="0039024B" w:rsidP="0039024B">
      <w:pPr>
        <w:pStyle w:val="DHHSbullet1"/>
      </w:pPr>
      <w:r>
        <w:t>Request statements for tenancy and bond services to be sent to their myGov inbox or other preferred method of receiving correspondence.</w:t>
      </w:r>
    </w:p>
    <w:p w14:paraId="2BF2CA85" w14:textId="469A5B81" w:rsidR="0004394C" w:rsidRPr="00E52B05" w:rsidRDefault="0004394C" w:rsidP="0004394C">
      <w:pPr>
        <w:pStyle w:val="DHHSbullet1"/>
        <w:rPr>
          <w:b/>
          <w:lang w:eastAsia="en-AU"/>
        </w:rPr>
      </w:pPr>
      <w:r>
        <w:rPr>
          <w:lang w:eastAsia="en-AU"/>
        </w:rPr>
        <w:t xml:space="preserve">Make a payment to a current or vacated tenancy or maintenance services. </w:t>
      </w:r>
    </w:p>
    <w:p w14:paraId="7C0FC465" w14:textId="3304C97F" w:rsidR="0004394C" w:rsidRPr="0004394C" w:rsidRDefault="0004394C" w:rsidP="0004394C">
      <w:pPr>
        <w:pStyle w:val="DHHSbullet1"/>
        <w:rPr>
          <w:b/>
          <w:lang w:eastAsia="en-AU"/>
        </w:rPr>
      </w:pPr>
      <w:r>
        <w:rPr>
          <w:lang w:eastAsia="en-AU"/>
        </w:rPr>
        <w:t>Make a payment for an outstanding bond loan</w:t>
      </w:r>
      <w:r w:rsidR="0039024B">
        <w:rPr>
          <w:lang w:eastAsia="en-AU"/>
        </w:rPr>
        <w:t xml:space="preserve"> debt</w:t>
      </w:r>
      <w:r>
        <w:rPr>
          <w:lang w:eastAsia="en-AU"/>
        </w:rPr>
        <w:t xml:space="preserve">. </w:t>
      </w:r>
    </w:p>
    <w:p w14:paraId="4486A12A" w14:textId="333959CE" w:rsidR="00CD7276" w:rsidRDefault="002D2424" w:rsidP="000E502C">
      <w:pPr>
        <w:pStyle w:val="DHHSbody"/>
      </w:pPr>
      <w:r>
        <w:t>What clients can see will vary on their circumstances and role in the household.</w:t>
      </w:r>
    </w:p>
    <w:p w14:paraId="17878351" w14:textId="77777777" w:rsidR="006431A8" w:rsidRDefault="006431A8" w:rsidP="004E5BCF">
      <w:pPr>
        <w:pStyle w:val="Heading2"/>
      </w:pPr>
      <w:bookmarkStart w:id="39" w:name="_Toc41311316"/>
      <w:r>
        <w:t>Tenancy Services</w:t>
      </w:r>
      <w:bookmarkEnd w:id="39"/>
      <w:r>
        <w:t xml:space="preserve"> </w:t>
      </w:r>
    </w:p>
    <w:p w14:paraId="44C56FED" w14:textId="7662F917" w:rsidR="006431A8" w:rsidRDefault="006431A8" w:rsidP="000E502C">
      <w:pPr>
        <w:pStyle w:val="DHHSbody"/>
      </w:pPr>
      <w:r>
        <w:t xml:space="preserve">Current tenants will be able to view the total weekly payment amount, last payment amount, account balance, rental balance, maintenance balance, weekly agreement details, the past 90 days of </w:t>
      </w:r>
      <w:r w:rsidR="00DF5971">
        <w:t xml:space="preserve">from the most recent </w:t>
      </w:r>
      <w:r w:rsidR="00E52B05">
        <w:t>transaction and</w:t>
      </w:r>
      <w:r w:rsidR="0004394C">
        <w:t xml:space="preserve"> request a statement of their account (</w:t>
      </w:r>
      <w:r w:rsidR="000F0CDF">
        <w:t>f</w:t>
      </w:r>
      <w:r w:rsidR="0004394C">
        <w:t>or a maximum of 18 months)</w:t>
      </w:r>
    </w:p>
    <w:p w14:paraId="6563A519" w14:textId="0B349233" w:rsidR="006431A8" w:rsidRDefault="006431A8" w:rsidP="000E502C">
      <w:pPr>
        <w:pStyle w:val="DHHSbody"/>
      </w:pPr>
      <w:r>
        <w:t xml:space="preserve">Vacated tenants will be able to view the last payment amount, vacated account balance, vacated rental balance, vacated maintenance </w:t>
      </w:r>
      <w:r w:rsidR="00E52B05">
        <w:t>balance, view</w:t>
      </w:r>
      <w:r>
        <w:t xml:space="preserve"> the last 90 days of </w:t>
      </w:r>
      <w:r w:rsidR="00DF5971">
        <w:t>from the most recent transaction</w:t>
      </w:r>
      <w:r w:rsidR="0004394C">
        <w:t xml:space="preserve"> and request a statement (for a maximum of 18 months)</w:t>
      </w:r>
      <w:r w:rsidR="0027180F">
        <w:t>.</w:t>
      </w:r>
    </w:p>
    <w:p w14:paraId="3AC18D4B" w14:textId="77777777" w:rsidR="004E5BCF" w:rsidRDefault="004E5BCF" w:rsidP="004E5BCF">
      <w:pPr>
        <w:pStyle w:val="Heading2"/>
      </w:pPr>
      <w:bookmarkStart w:id="40" w:name="_Toc41311317"/>
      <w:r>
        <w:t>Bond Loan services</w:t>
      </w:r>
      <w:bookmarkEnd w:id="40"/>
      <w:r>
        <w:t xml:space="preserve"> </w:t>
      </w:r>
    </w:p>
    <w:p w14:paraId="2E564E97" w14:textId="311107A4" w:rsidR="004E5BCF" w:rsidRDefault="004E5BCF" w:rsidP="000E502C">
      <w:pPr>
        <w:pStyle w:val="DHHSbody"/>
      </w:pPr>
      <w:r>
        <w:t>Clients with bond loans from the department that have the status of ‘settled’, ‘bond debt’ or ‘lodge</w:t>
      </w:r>
      <w:r w:rsidR="00D903E8">
        <w:t xml:space="preserve">d’ </w:t>
      </w:r>
      <w:r>
        <w:t>will be able to view the account balance and</w:t>
      </w:r>
      <w:r w:rsidR="0027180F">
        <w:t xml:space="preserve"> all transactions on the account. </w:t>
      </w:r>
    </w:p>
    <w:p w14:paraId="755EE5FB" w14:textId="28994F8E" w:rsidR="001E33B3" w:rsidRDefault="001E33B3" w:rsidP="00F14A97">
      <w:pPr>
        <w:pStyle w:val="Heading2"/>
      </w:pPr>
      <w:bookmarkStart w:id="41" w:name="_Toc41311318"/>
      <w:r>
        <w:t>Payments</w:t>
      </w:r>
      <w:bookmarkEnd w:id="41"/>
      <w:r>
        <w:t xml:space="preserve"> </w:t>
      </w:r>
    </w:p>
    <w:p w14:paraId="73D4B029" w14:textId="3BD00CD3" w:rsidR="000F0CDF" w:rsidRDefault="0004394C" w:rsidP="0004394C">
      <w:pPr>
        <w:pStyle w:val="DHHSbody"/>
      </w:pPr>
      <w:r>
        <w:t xml:space="preserve">Clients </w:t>
      </w:r>
      <w:r w:rsidR="00F14A97">
        <w:t>can</w:t>
      </w:r>
      <w:r>
        <w:t xml:space="preserve"> make payments </w:t>
      </w:r>
      <w:r w:rsidR="000F0CDF">
        <w:t xml:space="preserve">for current and vacated tenancy services or bond loan debts </w:t>
      </w:r>
      <w:r>
        <w:t>via</w:t>
      </w:r>
      <w:r w:rsidR="000F0CDF">
        <w:t xml:space="preserve"> Make a payment in the </w:t>
      </w:r>
      <w:r>
        <w:t>My Account</w:t>
      </w:r>
      <w:r w:rsidR="000F0CDF">
        <w:t xml:space="preserve"> area</w:t>
      </w:r>
    </w:p>
    <w:p w14:paraId="5BCA532F" w14:textId="36F2FAD3" w:rsidR="000F0CDF" w:rsidRDefault="000F0CDF" w:rsidP="0004394C">
      <w:pPr>
        <w:pStyle w:val="DHHSbody"/>
      </w:pPr>
      <w:r>
        <w:t>For tenancy services clients can select to make a payment into the rental or maintenance account for the tenancy service</w:t>
      </w:r>
      <w:r w:rsidR="0004394C">
        <w:t xml:space="preserve">. </w:t>
      </w:r>
    </w:p>
    <w:p w14:paraId="228D3451" w14:textId="3146F2D1" w:rsidR="000F0CDF" w:rsidRDefault="000F0CDF" w:rsidP="0004394C">
      <w:pPr>
        <w:pStyle w:val="DHHSbody"/>
      </w:pPr>
      <w:r>
        <w:t xml:space="preserve">This service can be used to make the initial one of payment required at the commencement of the tenancy. </w:t>
      </w:r>
    </w:p>
    <w:p w14:paraId="433C0E1A" w14:textId="3F7E9D0A" w:rsidR="0004394C" w:rsidRDefault="0004394C" w:rsidP="0004394C">
      <w:pPr>
        <w:pStyle w:val="DHHSbody"/>
      </w:pPr>
      <w:r>
        <w:t xml:space="preserve">Payments must be made with a Visa or Mastercard debit card. A receipt can be emailed following the transaction if the client requests. </w:t>
      </w:r>
      <w:r w:rsidR="00C01C70">
        <w:t>Payments will be processed</w:t>
      </w:r>
      <w:r w:rsidR="00914031">
        <w:t xml:space="preserve"> the next business day.</w:t>
      </w:r>
      <w:r w:rsidR="00C01C70">
        <w:t xml:space="preserve"> </w:t>
      </w:r>
    </w:p>
    <w:p w14:paraId="24E2A98E" w14:textId="09DDF8B2" w:rsidR="000F0CDF" w:rsidRDefault="000F0CDF" w:rsidP="0004394C">
      <w:pPr>
        <w:pStyle w:val="DHHSbody"/>
      </w:pPr>
      <w:r>
        <w:t xml:space="preserve">Third parties cannot use this service to make payments on behalf of a client. </w:t>
      </w:r>
    </w:p>
    <w:p w14:paraId="239A840E" w14:textId="0AAF23A2" w:rsidR="000F0CDF" w:rsidRDefault="000F0CDF" w:rsidP="0004394C">
      <w:pPr>
        <w:pStyle w:val="DHHSbody"/>
      </w:pPr>
      <w:r>
        <w:t xml:space="preserve">Receipts are not automatically generated but can be sent to the client if an email address is provided during the transaction process. </w:t>
      </w:r>
    </w:p>
    <w:p w14:paraId="5C09AC01" w14:textId="775B4EEA" w:rsidR="006C0252" w:rsidRDefault="00D15CF0" w:rsidP="0004394C">
      <w:pPr>
        <w:pStyle w:val="DHHSbody"/>
      </w:pPr>
      <w:r>
        <w:t>There is a</w:t>
      </w:r>
      <w:r w:rsidR="00BF41D4">
        <w:t xml:space="preserve"> </w:t>
      </w:r>
      <w:r w:rsidR="00FA0139">
        <w:t>credit threshold</w:t>
      </w:r>
      <w:r>
        <w:t xml:space="preserve"> of $1000</w:t>
      </w:r>
      <w:r w:rsidR="00B927D9">
        <w:t xml:space="preserve"> credi</w:t>
      </w:r>
      <w:r w:rsidR="00075C86">
        <w:t xml:space="preserve">t on payments into an </w:t>
      </w:r>
      <w:r w:rsidR="00BF41D4">
        <w:t>account .</w:t>
      </w:r>
    </w:p>
    <w:p w14:paraId="0360B123" w14:textId="768D2157" w:rsidR="006C0252" w:rsidRDefault="00EA53D4" w:rsidP="0004394C">
      <w:pPr>
        <w:pStyle w:val="DHHSbody"/>
      </w:pPr>
      <w:r>
        <w:t>Example</w:t>
      </w:r>
      <w:r w:rsidR="005A645C">
        <w:t>:</w:t>
      </w:r>
      <w:r>
        <w:t xml:space="preserve"> </w:t>
      </w:r>
      <w:r w:rsidR="006C0252">
        <w:t xml:space="preserve"> If a tenancy account balance is $800.00CR, only $200.00 will be able to be paid into the account. </w:t>
      </w:r>
    </w:p>
    <w:p w14:paraId="41067DF9" w14:textId="77777777" w:rsidR="00635967" w:rsidRDefault="006C0252" w:rsidP="0004394C">
      <w:pPr>
        <w:pStyle w:val="DHHSbody"/>
      </w:pPr>
      <w:r>
        <w:t xml:space="preserve">If a tenancy account is in debt, the full amount of debt, </w:t>
      </w:r>
      <w:r w:rsidR="00986041">
        <w:t>is able to be paid</w:t>
      </w:r>
      <w:r w:rsidR="00635967">
        <w:t>, plus an additional $1000.00.</w:t>
      </w:r>
    </w:p>
    <w:p w14:paraId="5F901E9B" w14:textId="34F252A8" w:rsidR="000F0CDF" w:rsidRDefault="00EA53D4" w:rsidP="0004394C">
      <w:pPr>
        <w:pStyle w:val="DHHSbody"/>
      </w:pPr>
      <w:r>
        <w:t>Example</w:t>
      </w:r>
      <w:r w:rsidR="005A645C">
        <w:t>:</w:t>
      </w:r>
      <w:r w:rsidR="00635967">
        <w:t xml:space="preserve"> If a tenancy account </w:t>
      </w:r>
      <w:r>
        <w:t>balance</w:t>
      </w:r>
      <w:r w:rsidR="001340D8">
        <w:t xml:space="preserve"> is $</w:t>
      </w:r>
      <w:r>
        <w:t>2000.00DR,</w:t>
      </w:r>
      <w:r w:rsidR="001340D8">
        <w:t xml:space="preserve"> an total amount of $3000.00 could be paid into the account. </w:t>
      </w:r>
    </w:p>
    <w:p w14:paraId="1C8DD374" w14:textId="6AE68117" w:rsidR="001E33B3" w:rsidRDefault="0004394C" w:rsidP="0004394C">
      <w:pPr>
        <w:pStyle w:val="DHHSbody"/>
      </w:pPr>
      <w:r>
        <w:t xml:space="preserve">For tenancy services </w:t>
      </w:r>
      <w:r w:rsidR="00C01C70">
        <w:t xml:space="preserve">residents may make payment if the tenant/s has granted the resident consent. </w:t>
      </w:r>
    </w:p>
    <w:p w14:paraId="0A3BEBB5" w14:textId="3751BCC1" w:rsidR="001E33B3" w:rsidRDefault="001E33B3" w:rsidP="00FA0139">
      <w:pPr>
        <w:pStyle w:val="Heading1"/>
      </w:pPr>
      <w:bookmarkStart w:id="42" w:name="_Toc41311319"/>
      <w:r>
        <w:t>Consent for residents</w:t>
      </w:r>
      <w:bookmarkEnd w:id="42"/>
    </w:p>
    <w:p w14:paraId="55C31818" w14:textId="7B209EAD" w:rsidR="001E33B3" w:rsidRDefault="001E33B3" w:rsidP="000E502C">
      <w:pPr>
        <w:pStyle w:val="DHHSbody"/>
      </w:pPr>
      <w:r>
        <w:t xml:space="preserve">Tenants </w:t>
      </w:r>
      <w:r w:rsidR="00F14A97">
        <w:t>can</w:t>
      </w:r>
      <w:r>
        <w:t xml:space="preserve"> grant residents within their household to make payments via the</w:t>
      </w:r>
      <w:r w:rsidR="00FC5FDF">
        <w:t xml:space="preserve"> Permissions on the home screen</w:t>
      </w:r>
      <w:r w:rsidR="00FA0139">
        <w:t>.</w:t>
      </w:r>
    </w:p>
    <w:p w14:paraId="52B6E95A" w14:textId="6F4805ED" w:rsidR="001E33B3" w:rsidRDefault="001E33B3" w:rsidP="000E502C">
      <w:pPr>
        <w:pStyle w:val="DHHSbody"/>
      </w:pPr>
      <w:r>
        <w:t xml:space="preserve">Granting consent to a resident does not grant the resident tenancy rights. The tenant/s of the property remain </w:t>
      </w:r>
      <w:r w:rsidR="00F14A97">
        <w:t>solely</w:t>
      </w:r>
      <w:r>
        <w:t xml:space="preserve"> responsible for ensuring that the rental account of the property does not go into arrears.</w:t>
      </w:r>
      <w:r w:rsidR="0004394C">
        <w:t xml:space="preserve"> When consent is granted both the tenant and the resident will be sent a letter outlining their legal obligations. </w:t>
      </w:r>
    </w:p>
    <w:p w14:paraId="3C0AF820" w14:textId="13CDA16F" w:rsidR="001E33B3" w:rsidRDefault="001E33B3" w:rsidP="000E502C">
      <w:pPr>
        <w:pStyle w:val="DHHSbody"/>
      </w:pPr>
      <w:r>
        <w:t>A resident who has been given consent can:</w:t>
      </w:r>
    </w:p>
    <w:p w14:paraId="0C008C8F" w14:textId="2504ED9C" w:rsidR="001E33B3" w:rsidRDefault="001E33B3" w:rsidP="00F14A97">
      <w:pPr>
        <w:pStyle w:val="DHHSbullet1"/>
      </w:pPr>
      <w:r>
        <w:t>Make payments online</w:t>
      </w:r>
    </w:p>
    <w:p w14:paraId="491C4FEA" w14:textId="29716E2C" w:rsidR="001E33B3" w:rsidRDefault="001E33B3" w:rsidP="00F14A97">
      <w:pPr>
        <w:pStyle w:val="DHHSbullet1"/>
      </w:pPr>
      <w:r>
        <w:t xml:space="preserve">Contact a local office to set up a direct debit payment from their bank account </w:t>
      </w:r>
    </w:p>
    <w:p w14:paraId="7F9C467A" w14:textId="54496DAC" w:rsidR="001E33B3" w:rsidRDefault="001E33B3" w:rsidP="00F14A97">
      <w:pPr>
        <w:pStyle w:val="DHHSbullet1"/>
      </w:pPr>
      <w:r>
        <w:t xml:space="preserve">Contact a local office to set up </w:t>
      </w:r>
      <w:r w:rsidR="002E75AE">
        <w:t>Centrelink</w:t>
      </w:r>
      <w:r>
        <w:t xml:space="preserve"> direct debit payments. </w:t>
      </w:r>
    </w:p>
    <w:p w14:paraId="31BEE9EC" w14:textId="3525CE35" w:rsidR="001E33B3" w:rsidRDefault="0004394C" w:rsidP="00F14A97">
      <w:pPr>
        <w:pStyle w:val="DHHSbullet1"/>
      </w:pPr>
      <w:r>
        <w:t>View their payments on the tenancy account.</w:t>
      </w:r>
    </w:p>
    <w:p w14:paraId="066496E8" w14:textId="4D545DAA" w:rsidR="0004394C" w:rsidRDefault="0004394C" w:rsidP="000E502C">
      <w:pPr>
        <w:pStyle w:val="DHHSbody"/>
      </w:pPr>
      <w:r>
        <w:t xml:space="preserve">The tenant/s of the household can remove consent for the resident at any time via  </w:t>
      </w:r>
      <w:r w:rsidR="00FA0139">
        <w:t>Permissions</w:t>
      </w:r>
      <w:r>
        <w:t xml:space="preserve">. Consent will be automatically revoked if the resident leaves the household or the tenancy ends. </w:t>
      </w:r>
    </w:p>
    <w:p w14:paraId="550E4083" w14:textId="77777777" w:rsidR="001E33B3" w:rsidRPr="004E5BCF" w:rsidRDefault="001E33B3" w:rsidP="000E502C">
      <w:pPr>
        <w:pStyle w:val="DHHSbody"/>
      </w:pPr>
    </w:p>
    <w:p w14:paraId="4011B040" w14:textId="77777777" w:rsidR="008374B2" w:rsidRPr="008374B2" w:rsidRDefault="008374B2" w:rsidP="00093F95">
      <w:pPr>
        <w:pStyle w:val="Heading1"/>
      </w:pPr>
      <w:bookmarkStart w:id="43" w:name="_Toc41311320"/>
      <w:r w:rsidRPr="008374B2">
        <w:t>Lodging a Complaint</w:t>
      </w:r>
      <w:bookmarkEnd w:id="43"/>
    </w:p>
    <w:p w14:paraId="01A36657" w14:textId="77777777" w:rsidR="008374B2" w:rsidRPr="008374B2" w:rsidRDefault="008374B2" w:rsidP="00093F95">
      <w:pPr>
        <w:pStyle w:val="DHHSbody"/>
      </w:pPr>
      <w:r w:rsidRPr="008374B2">
        <w:t xml:space="preserve">Where a client wishes to make a complaint about the delivery of the HousingVic Online services, they should firstly contact the department housing office or the Housing Call Centre to speak with a staff member.  If the client remains dissatisfied with the outcome, they may seek to discuss the issue with the local manager. If the matter remains unresolved, the client may submit their complaint online by completing the e-form which can be accessed from the following link: </w:t>
      </w:r>
      <w:hyperlink r:id="rId25" w:history="1">
        <w:r w:rsidRPr="008374B2">
          <w:rPr>
            <w:u w:val="dotted"/>
          </w:rPr>
          <w:t>https://www.dhhs.vic.gov.au/making-complaint</w:t>
        </w:r>
      </w:hyperlink>
      <w:r w:rsidRPr="008374B2">
        <w:t xml:space="preserve">  or by calling 1300 884 706.</w:t>
      </w:r>
    </w:p>
    <w:sectPr w:rsidR="008374B2" w:rsidRPr="008374B2" w:rsidSect="00BA5E47">
      <w:headerReference w:type="even" r:id="rId26"/>
      <w:headerReference w:type="default" r:id="rId27"/>
      <w:footerReference w:type="even" r:id="rId28"/>
      <w:footerReference w:type="default" r:id="rId29"/>
      <w:footerReference w:type="first" r:id="rId3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71170" w14:textId="77777777" w:rsidR="003702D6" w:rsidRDefault="003702D6">
      <w:r>
        <w:separator/>
      </w:r>
    </w:p>
  </w:endnote>
  <w:endnote w:type="continuationSeparator" w:id="0">
    <w:p w14:paraId="75ED4F6B" w14:textId="77777777" w:rsidR="003702D6" w:rsidRDefault="0037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cdcc81a6-4af7-412c-b4ef-8e12"/>
  <w:p w14:paraId="25E24B40" w14:textId="77777777" w:rsidR="008374B2" w:rsidRDefault="008374B2">
    <w:pPr>
      <w:pStyle w:val="DocID"/>
    </w:pPr>
    <w:r>
      <w:fldChar w:fldCharType="begin"/>
    </w:r>
    <w:r>
      <w:instrText xml:space="preserve">  DOCPROPERTY "CUS_DocIDChunk0" </w:instrText>
    </w:r>
    <w:r>
      <w:fldChar w:fldCharType="separate"/>
    </w:r>
    <w:r>
      <w:t>Doc ID 588929323/v1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c732e85f-ecfd-4335-aa3c-b988"/>
  <w:p w14:paraId="088E1C1F" w14:textId="77777777" w:rsidR="008374B2" w:rsidRDefault="008374B2">
    <w:pPr>
      <w:pStyle w:val="DocID"/>
    </w:pPr>
    <w:r>
      <w:fldChar w:fldCharType="begin"/>
    </w:r>
    <w:r>
      <w:instrText xml:space="preserve">  DOCPROPERTY "CUS_DocIDChunk0" </w:instrText>
    </w:r>
    <w:r>
      <w:fldChar w:fldCharType="separate"/>
    </w:r>
    <w:r>
      <w:t>Doc ID 588929323/v1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iDocIDFieldbf9ba0a7-6d1b-4c91-90dc-ff9d"/>
  <w:p w14:paraId="7C05D94C" w14:textId="77777777" w:rsidR="008374B2" w:rsidRDefault="008374B2">
    <w:pPr>
      <w:pStyle w:val="DocID"/>
    </w:pPr>
    <w:r>
      <w:fldChar w:fldCharType="begin"/>
    </w:r>
    <w:r>
      <w:instrText xml:space="preserve">  DOCPROPERTY "CUS_DocIDChunk0" </w:instrText>
    </w:r>
    <w:r>
      <w:fldChar w:fldCharType="separate"/>
    </w:r>
    <w:r>
      <w:t>Doc ID 588929323/v1</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FCEE" w14:textId="263D1040"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5338EA">
      <w:rPr>
        <w:noProof/>
      </w:rPr>
      <w:t>10</w:t>
    </w:r>
    <w:r w:rsidRPr="005A39EC">
      <w:fldChar w:fldCharType="end"/>
    </w:r>
    <w:r w:rsidR="00277D12">
      <w:ptab w:relativeTo="margin" w:alignment="right" w:leader="none"/>
    </w:r>
    <w:r w:rsidR="005A26DF">
      <w:t xml:space="preserve">HousingVic Online Services operational guidelines </w:t>
    </w:r>
    <w:r w:rsidR="00967F77">
      <w:t>v 1.</w:t>
    </w:r>
    <w:r w:rsidR="001E33B3">
      <w:t>3</w:t>
    </w:r>
    <w:r w:rsidR="00967F77">
      <w:t xml:space="preserve"> </w:t>
    </w:r>
    <w:r w:rsidR="001E33B3">
      <w:t>June</w:t>
    </w:r>
    <w:r w:rsidR="00967F77">
      <w:t>2020</w:t>
    </w:r>
  </w:p>
  <w:p w14:paraId="1E66F70D" w14:textId="77777777" w:rsidR="002F0BF4" w:rsidRDefault="002F0B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CD2D" w14:textId="36AAA164" w:rsidR="00977C63" w:rsidRPr="0031753A" w:rsidRDefault="007531EB" w:rsidP="00E969B1">
    <w:pPr>
      <w:pStyle w:val="DHHSfooter"/>
    </w:pPr>
    <w:r>
      <w:t>HousingVic Online Services operational guidelines v 1.</w:t>
    </w:r>
    <w:r w:rsidR="002E75AE">
      <w:t>3</w:t>
    </w:r>
    <w:r>
      <w:t xml:space="preserve"> </w:t>
    </w:r>
    <w:r w:rsidR="002E75AE">
      <w:t xml:space="preserve">June </w:t>
    </w:r>
    <w:r>
      <w:t>2020</w:t>
    </w:r>
    <w:r w:rsidR="00277D12">
      <w:ptab w:relativeTo="margin" w:alignment="right" w:leader="none"/>
    </w:r>
    <w:r w:rsidR="00977C63" w:rsidRPr="0031753A">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p w14:paraId="26EE20C6" w14:textId="77777777" w:rsidR="002F0BF4" w:rsidRDefault="002F0B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84D3"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1FE82" w14:textId="77777777" w:rsidR="003702D6" w:rsidRDefault="003702D6">
      <w:r>
        <w:separator/>
      </w:r>
    </w:p>
  </w:footnote>
  <w:footnote w:type="continuationSeparator" w:id="0">
    <w:p w14:paraId="2C1CB963" w14:textId="77777777" w:rsidR="003702D6" w:rsidRDefault="0037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0A1E" w14:textId="77777777" w:rsidR="0033753C" w:rsidRDefault="00337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05CB" w14:textId="77777777" w:rsidR="0033753C" w:rsidRDefault="00337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CEE1" w14:textId="77777777" w:rsidR="0033753C" w:rsidRDefault="00337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5235" w14:textId="77777777" w:rsidR="00977C63" w:rsidRPr="0069374A" w:rsidRDefault="00977C63" w:rsidP="00E969B1">
    <w:pPr>
      <w:pStyle w:val="DHHSheader"/>
    </w:pPr>
  </w:p>
  <w:p w14:paraId="551D856F" w14:textId="77777777" w:rsidR="002F0BF4" w:rsidRDefault="002F0B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E192" w14:textId="0FA52093" w:rsidR="00977C63" w:rsidRDefault="00E52B05" w:rsidP="00E52B05">
    <w:pPr>
      <w:pStyle w:val="DHHSheader"/>
      <w:tabs>
        <w:tab w:val="clear" w:pos="9299"/>
        <w:tab w:val="left" w:pos="7513"/>
      </w:tabs>
    </w:pPr>
    <w:r>
      <w:tab/>
    </w:r>
  </w:p>
  <w:p w14:paraId="6DB66AB0" w14:textId="77777777" w:rsidR="002F0BF4" w:rsidRDefault="002F0B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2173CF4"/>
    <w:multiLevelType w:val="hybridMultilevel"/>
    <w:tmpl w:val="234EAB1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20016B75"/>
    <w:multiLevelType w:val="hybridMultilevel"/>
    <w:tmpl w:val="83967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0341FB"/>
    <w:multiLevelType w:val="hybridMultilevel"/>
    <w:tmpl w:val="FE42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7A398C"/>
    <w:multiLevelType w:val="hybridMultilevel"/>
    <w:tmpl w:val="03E83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2CCF4DCF"/>
    <w:multiLevelType w:val="hybridMultilevel"/>
    <w:tmpl w:val="6B949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B96CDA"/>
    <w:multiLevelType w:val="multilevel"/>
    <w:tmpl w:val="425069B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498A85E6"/>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F43BD"/>
    <w:multiLevelType w:val="hybridMultilevel"/>
    <w:tmpl w:val="BC56CFF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abstractNumId w:val="14"/>
  </w:num>
  <w:num w:numId="2">
    <w:abstractNumId w:val="1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num>
  <w:num w:numId="17">
    <w:abstractNumId w:val="9"/>
  </w:num>
  <w:num w:numId="18">
    <w:abstractNumId w:val="9"/>
  </w:num>
  <w:num w:numId="19">
    <w:abstractNumId w:val="8"/>
  </w:num>
  <w:num w:numId="20">
    <w:abstractNumId w:val="0"/>
  </w:num>
  <w:num w:numId="21">
    <w:abstractNumId w:val="9"/>
  </w:num>
  <w:num w:numId="22">
    <w:abstractNumId w:val="0"/>
  </w:num>
  <w:num w:numId="23">
    <w:abstractNumId w:val="10"/>
  </w:num>
  <w:num w:numId="24">
    <w:abstractNumId w:val="10"/>
  </w:num>
  <w:num w:numId="25">
    <w:abstractNumId w:val="13"/>
  </w:num>
  <w:num w:numId="26">
    <w:abstractNumId w:val="13"/>
  </w:num>
  <w:num w:numId="27">
    <w:abstractNumId w:val="11"/>
  </w:num>
  <w:num w:numId="28">
    <w:abstractNumId w:val="11"/>
  </w:num>
  <w:num w:numId="29">
    <w:abstractNumId w:val="12"/>
  </w:num>
  <w:num w:numId="30">
    <w:abstractNumId w:val="9"/>
  </w:num>
  <w:num w:numId="31">
    <w:abstractNumId w:val="0"/>
  </w:num>
  <w:num w:numId="32">
    <w:abstractNumId w:val="13"/>
  </w:num>
  <w:num w:numId="33">
    <w:abstractNumId w:val="10"/>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
  </w:num>
  <w:num w:numId="41">
    <w:abstractNumId w:val="7"/>
  </w:num>
  <w:num w:numId="42">
    <w:abstractNumId w:val="4"/>
  </w:num>
  <w:num w:numId="43">
    <w:abstractNumId w:val="5"/>
  </w:num>
  <w:num w:numId="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B2"/>
    <w:rsid w:val="00002990"/>
    <w:rsid w:val="000048AC"/>
    <w:rsid w:val="00014FC4"/>
    <w:rsid w:val="000154C9"/>
    <w:rsid w:val="000179B9"/>
    <w:rsid w:val="00020AAB"/>
    <w:rsid w:val="000223A4"/>
    <w:rsid w:val="00022E60"/>
    <w:rsid w:val="00026C19"/>
    <w:rsid w:val="00031263"/>
    <w:rsid w:val="0004394C"/>
    <w:rsid w:val="0005587D"/>
    <w:rsid w:val="00060E93"/>
    <w:rsid w:val="00064936"/>
    <w:rsid w:val="000734F8"/>
    <w:rsid w:val="000736B8"/>
    <w:rsid w:val="00075C86"/>
    <w:rsid w:val="000817CB"/>
    <w:rsid w:val="000873EF"/>
    <w:rsid w:val="00093F95"/>
    <w:rsid w:val="000A1282"/>
    <w:rsid w:val="000B3792"/>
    <w:rsid w:val="000C6242"/>
    <w:rsid w:val="000C68DB"/>
    <w:rsid w:val="000C6D27"/>
    <w:rsid w:val="000D156B"/>
    <w:rsid w:val="000D2C32"/>
    <w:rsid w:val="000E502C"/>
    <w:rsid w:val="000E6F72"/>
    <w:rsid w:val="000F0478"/>
    <w:rsid w:val="000F0A50"/>
    <w:rsid w:val="000F0CDF"/>
    <w:rsid w:val="00103D5E"/>
    <w:rsid w:val="00104EA7"/>
    <w:rsid w:val="00105FAD"/>
    <w:rsid w:val="0011155B"/>
    <w:rsid w:val="00111A6A"/>
    <w:rsid w:val="00121BF1"/>
    <w:rsid w:val="00127A8B"/>
    <w:rsid w:val="001340D8"/>
    <w:rsid w:val="00134BE5"/>
    <w:rsid w:val="001412D1"/>
    <w:rsid w:val="001423E3"/>
    <w:rsid w:val="001475EA"/>
    <w:rsid w:val="001504F5"/>
    <w:rsid w:val="001517BD"/>
    <w:rsid w:val="00170699"/>
    <w:rsid w:val="0017248D"/>
    <w:rsid w:val="00172F6E"/>
    <w:rsid w:val="00173626"/>
    <w:rsid w:val="0017614A"/>
    <w:rsid w:val="0018177B"/>
    <w:rsid w:val="001817CD"/>
    <w:rsid w:val="0018235E"/>
    <w:rsid w:val="001834B7"/>
    <w:rsid w:val="0018768C"/>
    <w:rsid w:val="00192BA0"/>
    <w:rsid w:val="00197303"/>
    <w:rsid w:val="001A17EA"/>
    <w:rsid w:val="001A1D17"/>
    <w:rsid w:val="001A22AA"/>
    <w:rsid w:val="001A7A18"/>
    <w:rsid w:val="001B1565"/>
    <w:rsid w:val="001B166D"/>
    <w:rsid w:val="001B1AA9"/>
    <w:rsid w:val="001B28B5"/>
    <w:rsid w:val="001B2975"/>
    <w:rsid w:val="001C08A9"/>
    <w:rsid w:val="001C122D"/>
    <w:rsid w:val="001D2A82"/>
    <w:rsid w:val="001D569B"/>
    <w:rsid w:val="001E0EA3"/>
    <w:rsid w:val="001E33B3"/>
    <w:rsid w:val="001E3F3D"/>
    <w:rsid w:val="001E4995"/>
    <w:rsid w:val="001E776B"/>
    <w:rsid w:val="001E7A42"/>
    <w:rsid w:val="001F09DC"/>
    <w:rsid w:val="001F43E6"/>
    <w:rsid w:val="00213772"/>
    <w:rsid w:val="00215D68"/>
    <w:rsid w:val="00220749"/>
    <w:rsid w:val="0022422C"/>
    <w:rsid w:val="0022724E"/>
    <w:rsid w:val="00230666"/>
    <w:rsid w:val="00231153"/>
    <w:rsid w:val="0023252E"/>
    <w:rsid w:val="00241C31"/>
    <w:rsid w:val="00256E7C"/>
    <w:rsid w:val="002679D5"/>
    <w:rsid w:val="002714FD"/>
    <w:rsid w:val="0027180F"/>
    <w:rsid w:val="00274BD3"/>
    <w:rsid w:val="00275F94"/>
    <w:rsid w:val="00277D12"/>
    <w:rsid w:val="00281B9C"/>
    <w:rsid w:val="00284C9B"/>
    <w:rsid w:val="002A141B"/>
    <w:rsid w:val="002A26B6"/>
    <w:rsid w:val="002A6A4E"/>
    <w:rsid w:val="002B5A85"/>
    <w:rsid w:val="002B63A7"/>
    <w:rsid w:val="002C5543"/>
    <w:rsid w:val="002D0F7F"/>
    <w:rsid w:val="002D2424"/>
    <w:rsid w:val="002E0198"/>
    <w:rsid w:val="002E1D7C"/>
    <w:rsid w:val="002E75AE"/>
    <w:rsid w:val="002F0BF4"/>
    <w:rsid w:val="002F449B"/>
    <w:rsid w:val="002F4D86"/>
    <w:rsid w:val="002F5D69"/>
    <w:rsid w:val="002F7C77"/>
    <w:rsid w:val="00300CB3"/>
    <w:rsid w:val="0030394B"/>
    <w:rsid w:val="003072C6"/>
    <w:rsid w:val="00310D8E"/>
    <w:rsid w:val="00315BBD"/>
    <w:rsid w:val="0031753A"/>
    <w:rsid w:val="00320293"/>
    <w:rsid w:val="00322CC2"/>
    <w:rsid w:val="003271DC"/>
    <w:rsid w:val="00332FA0"/>
    <w:rsid w:val="00334B54"/>
    <w:rsid w:val="0033739E"/>
    <w:rsid w:val="0033753C"/>
    <w:rsid w:val="00342351"/>
    <w:rsid w:val="00343733"/>
    <w:rsid w:val="00355886"/>
    <w:rsid w:val="00356814"/>
    <w:rsid w:val="003702D6"/>
    <w:rsid w:val="003741AD"/>
    <w:rsid w:val="003760DC"/>
    <w:rsid w:val="0038019F"/>
    <w:rsid w:val="00382071"/>
    <w:rsid w:val="0039024B"/>
    <w:rsid w:val="003A2F25"/>
    <w:rsid w:val="003B2807"/>
    <w:rsid w:val="003C1A21"/>
    <w:rsid w:val="003C3B89"/>
    <w:rsid w:val="003C68F2"/>
    <w:rsid w:val="003D58B8"/>
    <w:rsid w:val="003D5CFB"/>
    <w:rsid w:val="003E2636"/>
    <w:rsid w:val="003E2E12"/>
    <w:rsid w:val="003F39CE"/>
    <w:rsid w:val="00401108"/>
    <w:rsid w:val="00402927"/>
    <w:rsid w:val="00407993"/>
    <w:rsid w:val="00410AFD"/>
    <w:rsid w:val="00411833"/>
    <w:rsid w:val="00412F64"/>
    <w:rsid w:val="00417BEB"/>
    <w:rsid w:val="00417CC6"/>
    <w:rsid w:val="004324FF"/>
    <w:rsid w:val="00432A55"/>
    <w:rsid w:val="004372B7"/>
    <w:rsid w:val="0044260A"/>
    <w:rsid w:val="00444D82"/>
    <w:rsid w:val="004564C6"/>
    <w:rsid w:val="004610CC"/>
    <w:rsid w:val="00462400"/>
    <w:rsid w:val="00465464"/>
    <w:rsid w:val="00465E87"/>
    <w:rsid w:val="0047334D"/>
    <w:rsid w:val="0047786A"/>
    <w:rsid w:val="00477A65"/>
    <w:rsid w:val="00482DB3"/>
    <w:rsid w:val="004A0236"/>
    <w:rsid w:val="004A369A"/>
    <w:rsid w:val="004A3B3E"/>
    <w:rsid w:val="004C5777"/>
    <w:rsid w:val="004D0173"/>
    <w:rsid w:val="004D1056"/>
    <w:rsid w:val="004D2B7B"/>
    <w:rsid w:val="004D3577"/>
    <w:rsid w:val="004E1EDE"/>
    <w:rsid w:val="004E21E2"/>
    <w:rsid w:val="004E293F"/>
    <w:rsid w:val="004E380D"/>
    <w:rsid w:val="004E5BCF"/>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4310"/>
    <w:rsid w:val="00525456"/>
    <w:rsid w:val="00530452"/>
    <w:rsid w:val="00532236"/>
    <w:rsid w:val="005338EA"/>
    <w:rsid w:val="00541DFE"/>
    <w:rsid w:val="00543E6C"/>
    <w:rsid w:val="00544184"/>
    <w:rsid w:val="00551789"/>
    <w:rsid w:val="00553F68"/>
    <w:rsid w:val="005552FD"/>
    <w:rsid w:val="005600E5"/>
    <w:rsid w:val="00564E8F"/>
    <w:rsid w:val="005728A4"/>
    <w:rsid w:val="005763FC"/>
    <w:rsid w:val="00576976"/>
    <w:rsid w:val="00576EB4"/>
    <w:rsid w:val="00577B30"/>
    <w:rsid w:val="00582768"/>
    <w:rsid w:val="00583461"/>
    <w:rsid w:val="005856A4"/>
    <w:rsid w:val="00590730"/>
    <w:rsid w:val="005A26DF"/>
    <w:rsid w:val="005A3051"/>
    <w:rsid w:val="005A53FE"/>
    <w:rsid w:val="005A645C"/>
    <w:rsid w:val="005B1560"/>
    <w:rsid w:val="005B7D22"/>
    <w:rsid w:val="005C029E"/>
    <w:rsid w:val="005D5EF1"/>
    <w:rsid w:val="005E085D"/>
    <w:rsid w:val="005E3FA7"/>
    <w:rsid w:val="005E7963"/>
    <w:rsid w:val="005F218C"/>
    <w:rsid w:val="005F4523"/>
    <w:rsid w:val="00601D4D"/>
    <w:rsid w:val="006021B4"/>
    <w:rsid w:val="00605B5B"/>
    <w:rsid w:val="006062D8"/>
    <w:rsid w:val="00606827"/>
    <w:rsid w:val="00606C23"/>
    <w:rsid w:val="00620262"/>
    <w:rsid w:val="00621B4C"/>
    <w:rsid w:val="00622466"/>
    <w:rsid w:val="00627C52"/>
    <w:rsid w:val="00630937"/>
    <w:rsid w:val="00635967"/>
    <w:rsid w:val="006431A8"/>
    <w:rsid w:val="00653B84"/>
    <w:rsid w:val="00653E0D"/>
    <w:rsid w:val="006865C8"/>
    <w:rsid w:val="00686B48"/>
    <w:rsid w:val="00687038"/>
    <w:rsid w:val="0068714E"/>
    <w:rsid w:val="006872F5"/>
    <w:rsid w:val="006929F7"/>
    <w:rsid w:val="0069374A"/>
    <w:rsid w:val="00694AB8"/>
    <w:rsid w:val="00695EF7"/>
    <w:rsid w:val="0069699D"/>
    <w:rsid w:val="006A5E08"/>
    <w:rsid w:val="006B2C51"/>
    <w:rsid w:val="006B6361"/>
    <w:rsid w:val="006C0252"/>
    <w:rsid w:val="006D24CE"/>
    <w:rsid w:val="006D360C"/>
    <w:rsid w:val="006D5AC9"/>
    <w:rsid w:val="006D66ED"/>
    <w:rsid w:val="006E786B"/>
    <w:rsid w:val="006F3E0E"/>
    <w:rsid w:val="007002B1"/>
    <w:rsid w:val="00704EB7"/>
    <w:rsid w:val="00705742"/>
    <w:rsid w:val="007104FE"/>
    <w:rsid w:val="00711B0C"/>
    <w:rsid w:val="007121A2"/>
    <w:rsid w:val="0071265A"/>
    <w:rsid w:val="00713981"/>
    <w:rsid w:val="007176D6"/>
    <w:rsid w:val="00727D54"/>
    <w:rsid w:val="00730E00"/>
    <w:rsid w:val="00731EF2"/>
    <w:rsid w:val="007344C5"/>
    <w:rsid w:val="00734959"/>
    <w:rsid w:val="00735137"/>
    <w:rsid w:val="0073520D"/>
    <w:rsid w:val="007531EB"/>
    <w:rsid w:val="00780226"/>
    <w:rsid w:val="00781AB4"/>
    <w:rsid w:val="007923B7"/>
    <w:rsid w:val="00792616"/>
    <w:rsid w:val="007926BB"/>
    <w:rsid w:val="0079344C"/>
    <w:rsid w:val="007968AE"/>
    <w:rsid w:val="007A0283"/>
    <w:rsid w:val="007C02C7"/>
    <w:rsid w:val="007C21EE"/>
    <w:rsid w:val="007D3A2E"/>
    <w:rsid w:val="007D6652"/>
    <w:rsid w:val="007E343D"/>
    <w:rsid w:val="007F4383"/>
    <w:rsid w:val="007F5858"/>
    <w:rsid w:val="007F6862"/>
    <w:rsid w:val="00801601"/>
    <w:rsid w:val="0080169A"/>
    <w:rsid w:val="008036A7"/>
    <w:rsid w:val="00810991"/>
    <w:rsid w:val="00814A9B"/>
    <w:rsid w:val="00814F66"/>
    <w:rsid w:val="00817C9E"/>
    <w:rsid w:val="008205AF"/>
    <w:rsid w:val="008225E5"/>
    <w:rsid w:val="00831053"/>
    <w:rsid w:val="008314D2"/>
    <w:rsid w:val="0083254D"/>
    <w:rsid w:val="00836249"/>
    <w:rsid w:val="00836F00"/>
    <w:rsid w:val="008374B2"/>
    <w:rsid w:val="00846192"/>
    <w:rsid w:val="00850806"/>
    <w:rsid w:val="00856A1B"/>
    <w:rsid w:val="008621C3"/>
    <w:rsid w:val="00865486"/>
    <w:rsid w:val="008669BE"/>
    <w:rsid w:val="00876275"/>
    <w:rsid w:val="00882B99"/>
    <w:rsid w:val="00886121"/>
    <w:rsid w:val="008A295B"/>
    <w:rsid w:val="008A5B97"/>
    <w:rsid w:val="008A6604"/>
    <w:rsid w:val="008B1C73"/>
    <w:rsid w:val="008B5482"/>
    <w:rsid w:val="008C11F4"/>
    <w:rsid w:val="008C2BEC"/>
    <w:rsid w:val="008C503D"/>
    <w:rsid w:val="008C6523"/>
    <w:rsid w:val="008C6D0E"/>
    <w:rsid w:val="008D09D2"/>
    <w:rsid w:val="008D39C5"/>
    <w:rsid w:val="008E1D89"/>
    <w:rsid w:val="008E3E3E"/>
    <w:rsid w:val="008E6DF0"/>
    <w:rsid w:val="008F0378"/>
    <w:rsid w:val="008F5F87"/>
    <w:rsid w:val="00900A34"/>
    <w:rsid w:val="00906132"/>
    <w:rsid w:val="00907073"/>
    <w:rsid w:val="00914031"/>
    <w:rsid w:val="009208F5"/>
    <w:rsid w:val="00927D51"/>
    <w:rsid w:val="00932272"/>
    <w:rsid w:val="00932862"/>
    <w:rsid w:val="00935D60"/>
    <w:rsid w:val="009447BB"/>
    <w:rsid w:val="00944C48"/>
    <w:rsid w:val="00946335"/>
    <w:rsid w:val="009513C4"/>
    <w:rsid w:val="00955E55"/>
    <w:rsid w:val="00962200"/>
    <w:rsid w:val="00966F54"/>
    <w:rsid w:val="00967F77"/>
    <w:rsid w:val="00975543"/>
    <w:rsid w:val="00975E61"/>
    <w:rsid w:val="00976E31"/>
    <w:rsid w:val="00976EB6"/>
    <w:rsid w:val="00977C63"/>
    <w:rsid w:val="00980087"/>
    <w:rsid w:val="00980C0B"/>
    <w:rsid w:val="00984632"/>
    <w:rsid w:val="0098524F"/>
    <w:rsid w:val="00986041"/>
    <w:rsid w:val="00987ABE"/>
    <w:rsid w:val="009906C7"/>
    <w:rsid w:val="009963CD"/>
    <w:rsid w:val="009B266D"/>
    <w:rsid w:val="009B5CBF"/>
    <w:rsid w:val="009C184A"/>
    <w:rsid w:val="009C2CA5"/>
    <w:rsid w:val="009D3E45"/>
    <w:rsid w:val="009D4AA8"/>
    <w:rsid w:val="009E4235"/>
    <w:rsid w:val="009F351F"/>
    <w:rsid w:val="009F3F89"/>
    <w:rsid w:val="009F480E"/>
    <w:rsid w:val="00A022A2"/>
    <w:rsid w:val="00A02D15"/>
    <w:rsid w:val="00A11403"/>
    <w:rsid w:val="00A26B0D"/>
    <w:rsid w:val="00A3735A"/>
    <w:rsid w:val="00A42F1B"/>
    <w:rsid w:val="00A44EBE"/>
    <w:rsid w:val="00A546BC"/>
    <w:rsid w:val="00A55989"/>
    <w:rsid w:val="00A5694A"/>
    <w:rsid w:val="00A63DA4"/>
    <w:rsid w:val="00A73A66"/>
    <w:rsid w:val="00A75CD5"/>
    <w:rsid w:val="00A763D5"/>
    <w:rsid w:val="00A83DF3"/>
    <w:rsid w:val="00A85915"/>
    <w:rsid w:val="00A86270"/>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26CB"/>
    <w:rsid w:val="00B128A0"/>
    <w:rsid w:val="00B20240"/>
    <w:rsid w:val="00B23281"/>
    <w:rsid w:val="00B27571"/>
    <w:rsid w:val="00B4164B"/>
    <w:rsid w:val="00B5409A"/>
    <w:rsid w:val="00B5414B"/>
    <w:rsid w:val="00B55574"/>
    <w:rsid w:val="00B6525D"/>
    <w:rsid w:val="00B65ABA"/>
    <w:rsid w:val="00B67097"/>
    <w:rsid w:val="00B6790F"/>
    <w:rsid w:val="00B7021C"/>
    <w:rsid w:val="00B71B3B"/>
    <w:rsid w:val="00B853DB"/>
    <w:rsid w:val="00B87D61"/>
    <w:rsid w:val="00B927D9"/>
    <w:rsid w:val="00B93948"/>
    <w:rsid w:val="00BA4BC7"/>
    <w:rsid w:val="00BA55B7"/>
    <w:rsid w:val="00BA5E47"/>
    <w:rsid w:val="00BA7D57"/>
    <w:rsid w:val="00BB156E"/>
    <w:rsid w:val="00BB3330"/>
    <w:rsid w:val="00BB47D7"/>
    <w:rsid w:val="00BB4A62"/>
    <w:rsid w:val="00BC01C1"/>
    <w:rsid w:val="00BC3ADE"/>
    <w:rsid w:val="00BC45A1"/>
    <w:rsid w:val="00BC5A34"/>
    <w:rsid w:val="00BD17F5"/>
    <w:rsid w:val="00BD6E05"/>
    <w:rsid w:val="00BE54D0"/>
    <w:rsid w:val="00BF41D4"/>
    <w:rsid w:val="00BF6B6C"/>
    <w:rsid w:val="00BF7251"/>
    <w:rsid w:val="00BF7F28"/>
    <w:rsid w:val="00C01909"/>
    <w:rsid w:val="00C01C70"/>
    <w:rsid w:val="00C05787"/>
    <w:rsid w:val="00C11871"/>
    <w:rsid w:val="00C13059"/>
    <w:rsid w:val="00C156D4"/>
    <w:rsid w:val="00C167A3"/>
    <w:rsid w:val="00C2181C"/>
    <w:rsid w:val="00C2657D"/>
    <w:rsid w:val="00C26A87"/>
    <w:rsid w:val="00C3745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9676B"/>
    <w:rsid w:val="00CA18F2"/>
    <w:rsid w:val="00CA3751"/>
    <w:rsid w:val="00CA4241"/>
    <w:rsid w:val="00CA4871"/>
    <w:rsid w:val="00CA6722"/>
    <w:rsid w:val="00CA6D4E"/>
    <w:rsid w:val="00CA7B4B"/>
    <w:rsid w:val="00CB36A8"/>
    <w:rsid w:val="00CB4FC7"/>
    <w:rsid w:val="00CC139A"/>
    <w:rsid w:val="00CC1E7A"/>
    <w:rsid w:val="00CC4F64"/>
    <w:rsid w:val="00CD058C"/>
    <w:rsid w:val="00CD3B98"/>
    <w:rsid w:val="00CD4216"/>
    <w:rsid w:val="00CD518C"/>
    <w:rsid w:val="00CD7276"/>
    <w:rsid w:val="00CD733F"/>
    <w:rsid w:val="00CD7C65"/>
    <w:rsid w:val="00CE0942"/>
    <w:rsid w:val="00CE7CA5"/>
    <w:rsid w:val="00CF1D81"/>
    <w:rsid w:val="00CF2DC9"/>
    <w:rsid w:val="00CF7CB6"/>
    <w:rsid w:val="00D15CF0"/>
    <w:rsid w:val="00D311AB"/>
    <w:rsid w:val="00D32290"/>
    <w:rsid w:val="00D325A8"/>
    <w:rsid w:val="00D34977"/>
    <w:rsid w:val="00D442AD"/>
    <w:rsid w:val="00D51614"/>
    <w:rsid w:val="00D5618A"/>
    <w:rsid w:val="00D5784B"/>
    <w:rsid w:val="00D63EFB"/>
    <w:rsid w:val="00D658AF"/>
    <w:rsid w:val="00D70A79"/>
    <w:rsid w:val="00D83DE9"/>
    <w:rsid w:val="00D8450D"/>
    <w:rsid w:val="00D903E8"/>
    <w:rsid w:val="00D95AF9"/>
    <w:rsid w:val="00DA09C9"/>
    <w:rsid w:val="00DA1822"/>
    <w:rsid w:val="00DB5E1F"/>
    <w:rsid w:val="00DB6D2A"/>
    <w:rsid w:val="00DC19D8"/>
    <w:rsid w:val="00DC2613"/>
    <w:rsid w:val="00DC4512"/>
    <w:rsid w:val="00DD3691"/>
    <w:rsid w:val="00DD4B55"/>
    <w:rsid w:val="00DE1330"/>
    <w:rsid w:val="00DE1E90"/>
    <w:rsid w:val="00DE24E6"/>
    <w:rsid w:val="00DE5C8A"/>
    <w:rsid w:val="00DE7B07"/>
    <w:rsid w:val="00DF07AD"/>
    <w:rsid w:val="00DF3364"/>
    <w:rsid w:val="00DF5971"/>
    <w:rsid w:val="00E055BB"/>
    <w:rsid w:val="00E11988"/>
    <w:rsid w:val="00E15DA9"/>
    <w:rsid w:val="00E2095D"/>
    <w:rsid w:val="00E30414"/>
    <w:rsid w:val="00E40769"/>
    <w:rsid w:val="00E42E8B"/>
    <w:rsid w:val="00E52B05"/>
    <w:rsid w:val="00E60F12"/>
    <w:rsid w:val="00E645ED"/>
    <w:rsid w:val="00E652FB"/>
    <w:rsid w:val="00E66C20"/>
    <w:rsid w:val="00E71C46"/>
    <w:rsid w:val="00E731B7"/>
    <w:rsid w:val="00E75ED2"/>
    <w:rsid w:val="00E81612"/>
    <w:rsid w:val="00E8280C"/>
    <w:rsid w:val="00E83E4C"/>
    <w:rsid w:val="00E91933"/>
    <w:rsid w:val="00E92A81"/>
    <w:rsid w:val="00E969B1"/>
    <w:rsid w:val="00EA44EB"/>
    <w:rsid w:val="00EA53D4"/>
    <w:rsid w:val="00EB6552"/>
    <w:rsid w:val="00EC18E6"/>
    <w:rsid w:val="00EC1984"/>
    <w:rsid w:val="00EC234C"/>
    <w:rsid w:val="00ED3529"/>
    <w:rsid w:val="00ED4D17"/>
    <w:rsid w:val="00EE6CD3"/>
    <w:rsid w:val="00EF20D7"/>
    <w:rsid w:val="00EF3419"/>
    <w:rsid w:val="00F0119C"/>
    <w:rsid w:val="00F02BDB"/>
    <w:rsid w:val="00F0441B"/>
    <w:rsid w:val="00F07623"/>
    <w:rsid w:val="00F07D0B"/>
    <w:rsid w:val="00F14A97"/>
    <w:rsid w:val="00F2073E"/>
    <w:rsid w:val="00F3136B"/>
    <w:rsid w:val="00F314F1"/>
    <w:rsid w:val="00F327EA"/>
    <w:rsid w:val="00F33641"/>
    <w:rsid w:val="00F42842"/>
    <w:rsid w:val="00F43EE0"/>
    <w:rsid w:val="00F46E40"/>
    <w:rsid w:val="00F470CE"/>
    <w:rsid w:val="00F4760A"/>
    <w:rsid w:val="00F529FE"/>
    <w:rsid w:val="00F52B8E"/>
    <w:rsid w:val="00F53CFD"/>
    <w:rsid w:val="00F54AF5"/>
    <w:rsid w:val="00F557E3"/>
    <w:rsid w:val="00F57B88"/>
    <w:rsid w:val="00F61E78"/>
    <w:rsid w:val="00F635C5"/>
    <w:rsid w:val="00F736E3"/>
    <w:rsid w:val="00F767E8"/>
    <w:rsid w:val="00F86A3F"/>
    <w:rsid w:val="00F91297"/>
    <w:rsid w:val="00F9133B"/>
    <w:rsid w:val="00F97730"/>
    <w:rsid w:val="00FA0139"/>
    <w:rsid w:val="00FB32A4"/>
    <w:rsid w:val="00FB594D"/>
    <w:rsid w:val="00FC49BB"/>
    <w:rsid w:val="00FC5FDF"/>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CBA19A"/>
  <w15:docId w15:val="{184F75CD-7561-4E64-BB98-D9ED7B84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576976"/>
    <w:rPr>
      <w:rFonts w:ascii="Cambria" w:hAnsi="Cambria"/>
      <w:lang w:eastAsia="en-US"/>
    </w:rPr>
  </w:style>
  <w:style w:type="paragraph" w:styleId="Heading1">
    <w:name w:val="heading 1"/>
    <w:next w:val="DHHSbody"/>
    <w:link w:val="Heading1Char"/>
    <w:uiPriority w:val="1"/>
    <w:qFormat/>
    <w:rsid w:val="00B7021C"/>
    <w:pPr>
      <w:keepNext/>
      <w:keepLines/>
      <w:spacing w:before="520" w:after="440" w:line="440" w:lineRule="atLeast"/>
      <w:outlineLvl w:val="0"/>
    </w:pPr>
    <w:rPr>
      <w:rFonts w:ascii="Arial" w:hAnsi="Arial"/>
      <w:bCs/>
      <w:color w:val="004C97"/>
      <w:sz w:val="44"/>
      <w:szCs w:val="44"/>
      <w:lang w:eastAsia="en-US"/>
    </w:rPr>
  </w:style>
  <w:style w:type="paragraph" w:styleId="Heading2">
    <w:name w:val="heading 2"/>
    <w:next w:val="DHHSbody"/>
    <w:link w:val="Heading2Char"/>
    <w:uiPriority w:val="1"/>
    <w:qFormat/>
    <w:rsid w:val="00B7021C"/>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7021C"/>
    <w:rPr>
      <w:rFonts w:ascii="Arial" w:hAnsi="Arial"/>
      <w:bCs/>
      <w:color w:val="004C97"/>
      <w:sz w:val="44"/>
      <w:szCs w:val="44"/>
      <w:lang w:eastAsia="en-US"/>
    </w:rPr>
  </w:style>
  <w:style w:type="character" w:customStyle="1" w:styleId="Heading2Char">
    <w:name w:val="Heading 2 Char"/>
    <w:link w:val="Heading2"/>
    <w:uiPriority w:val="1"/>
    <w:rsid w:val="00B7021C"/>
    <w:rPr>
      <w:rFonts w:ascii="Arial" w:hAnsi="Arial"/>
      <w:b/>
      <w:color w:val="004C9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7021C"/>
    <w:pPr>
      <w:keepLines/>
      <w:spacing w:after="240" w:line="580" w:lineRule="atLeast"/>
    </w:pPr>
    <w:rPr>
      <w:rFonts w:ascii="Arial" w:hAnsi="Arial"/>
      <w:color w:val="004C9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7"/>
      </w:numPr>
    </w:pPr>
  </w:style>
  <w:style w:type="paragraph" w:customStyle="1" w:styleId="DHHStablecolhead">
    <w:name w:val="DHHS table col head"/>
    <w:uiPriority w:val="3"/>
    <w:qFormat/>
    <w:rsid w:val="00B7021C"/>
    <w:pPr>
      <w:spacing w:before="80" w:after="60"/>
    </w:pPr>
    <w:rPr>
      <w:rFonts w:ascii="Arial" w:hAnsi="Arial"/>
      <w:b/>
      <w:color w:val="004C9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B7021C"/>
    <w:pPr>
      <w:spacing w:before="0"/>
      <w:outlineLvl w:val="9"/>
    </w:pPr>
  </w:style>
  <w:style w:type="character" w:customStyle="1" w:styleId="DHHSTOCheadingreportChar">
    <w:name w:val="DHHS TOC heading report Char"/>
    <w:link w:val="DHHSTOCheadingreport"/>
    <w:uiPriority w:val="5"/>
    <w:rsid w:val="00B7021C"/>
    <w:rPr>
      <w:rFonts w:ascii="Arial" w:hAnsi="Arial"/>
      <w:bCs/>
      <w:color w:val="004C9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576976"/>
    <w:pPr>
      <w:numPr>
        <w:numId w:val="17"/>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576976"/>
    <w:pPr>
      <w:numPr>
        <w:ilvl w:val="2"/>
        <w:numId w:val="17"/>
      </w:numPr>
    </w:pPr>
  </w:style>
  <w:style w:type="paragraph" w:customStyle="1" w:styleId="DHHSbulletafternumbers2">
    <w:name w:val="DHHS bullet after numbers 2"/>
    <w:basedOn w:val="DHHSbody"/>
    <w:rsid w:val="00576976"/>
    <w:pPr>
      <w:numPr>
        <w:ilvl w:val="3"/>
        <w:numId w:val="17"/>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576976"/>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styleId="BalloonText">
    <w:name w:val="Balloon Text"/>
    <w:basedOn w:val="Normal"/>
    <w:link w:val="BalloonTextChar"/>
    <w:uiPriority w:val="99"/>
    <w:semiHidden/>
    <w:unhideWhenUsed/>
    <w:rsid w:val="00837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B2"/>
    <w:rPr>
      <w:rFonts w:ascii="Segoe UI" w:hAnsi="Segoe UI" w:cs="Segoe UI"/>
      <w:sz w:val="18"/>
      <w:szCs w:val="18"/>
      <w:lang w:eastAsia="en-US"/>
    </w:rPr>
  </w:style>
  <w:style w:type="table" w:customStyle="1" w:styleId="TableGrid1">
    <w:name w:val="Table Grid1"/>
    <w:basedOn w:val="TableNormal"/>
    <w:next w:val="TableGrid"/>
    <w:uiPriority w:val="59"/>
    <w:rsid w:val="008374B2"/>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8374B2"/>
    <w:pPr>
      <w:tabs>
        <w:tab w:val="clear" w:pos="9299"/>
      </w:tabs>
      <w:spacing w:before="60" w:after="60"/>
    </w:pPr>
    <w:rPr>
      <w:sz w:val="14"/>
      <w:szCs w:val="20"/>
      <w:lang w:eastAsia="zh-CN"/>
    </w:rPr>
  </w:style>
  <w:style w:type="character" w:customStyle="1" w:styleId="DocIDChar">
    <w:name w:val="DocID Char"/>
    <w:basedOn w:val="DefaultParagraphFont"/>
    <w:link w:val="DocID"/>
    <w:rsid w:val="008374B2"/>
    <w:rPr>
      <w:rFonts w:ascii="Arial" w:hAnsi="Arial" w:cs="Arial"/>
      <w:sz w:val="14"/>
      <w:lang w:eastAsia="zh-CN"/>
    </w:rPr>
  </w:style>
  <w:style w:type="character" w:styleId="CommentReference">
    <w:name w:val="annotation reference"/>
    <w:basedOn w:val="DefaultParagraphFont"/>
    <w:uiPriority w:val="99"/>
    <w:semiHidden/>
    <w:unhideWhenUsed/>
    <w:rsid w:val="00CA4241"/>
    <w:rPr>
      <w:sz w:val="16"/>
      <w:szCs w:val="16"/>
    </w:rPr>
  </w:style>
  <w:style w:type="paragraph" w:styleId="CommentText">
    <w:name w:val="annotation text"/>
    <w:basedOn w:val="Normal"/>
    <w:link w:val="CommentTextChar"/>
    <w:uiPriority w:val="99"/>
    <w:semiHidden/>
    <w:unhideWhenUsed/>
    <w:rsid w:val="00CA4241"/>
  </w:style>
  <w:style w:type="character" w:customStyle="1" w:styleId="CommentTextChar">
    <w:name w:val="Comment Text Char"/>
    <w:basedOn w:val="DefaultParagraphFont"/>
    <w:link w:val="CommentText"/>
    <w:uiPriority w:val="99"/>
    <w:semiHidden/>
    <w:rsid w:val="00CA424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A4241"/>
    <w:rPr>
      <w:b/>
      <w:bCs/>
    </w:rPr>
  </w:style>
  <w:style w:type="character" w:customStyle="1" w:styleId="CommentSubjectChar">
    <w:name w:val="Comment Subject Char"/>
    <w:basedOn w:val="CommentTextChar"/>
    <w:link w:val="CommentSubject"/>
    <w:uiPriority w:val="99"/>
    <w:semiHidden/>
    <w:rsid w:val="00CA4241"/>
    <w:rPr>
      <w:rFonts w:ascii="Cambria" w:hAnsi="Cambria"/>
      <w:b/>
      <w:bCs/>
      <w:lang w:eastAsia="en-US"/>
    </w:rPr>
  </w:style>
  <w:style w:type="paragraph" w:styleId="Revision">
    <w:name w:val="Revision"/>
    <w:hidden/>
    <w:uiPriority w:val="71"/>
    <w:rsid w:val="00D903E8"/>
    <w:rPr>
      <w:rFonts w:ascii="Cambria" w:hAnsi="Cambria"/>
      <w:lang w:eastAsia="en-US"/>
    </w:rPr>
  </w:style>
  <w:style w:type="paragraph" w:styleId="ListParagraph">
    <w:name w:val="List Paragraph"/>
    <w:basedOn w:val="Normal"/>
    <w:uiPriority w:val="34"/>
    <w:qFormat/>
    <w:rsid w:val="00CD727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ousing.vic.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viders.dhhs.vic.gov.au/housing-operational-guidelin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hhs.vic.gov.au/making-complai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ousing.practicesupport@dhhs.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hhs.vic.gov.au/tenancy-management-manual-appointed-representatives-tenants-and-applicants-operational-guidelin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ousing.vic.gov.au/proof-identity"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housing.vic.gov.au/contact-a-housing-off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ousing.vic.gov.au/privacy" TargetMode="External"/><Relationship Id="rId27" Type="http://schemas.openxmlformats.org/officeDocument/2006/relationships/header" Target="header5.xm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03%20Blue%2029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0377-51FC-4306-BDDD-48F14D5DD264}"/>
</file>

<file path=customXml/itemProps2.xml><?xml version="1.0" encoding="utf-8"?>
<ds:datastoreItem xmlns:ds="http://schemas.openxmlformats.org/officeDocument/2006/customXml" ds:itemID="{FBBAADC3-0C20-4256-A57D-FB38305F4B3A}">
  <ds:schemaRefs>
    <ds:schemaRef ds:uri="http://schemas.microsoft.com/sharepoint/v3/contenttype/forms"/>
  </ds:schemaRefs>
</ds:datastoreItem>
</file>

<file path=customXml/itemProps3.xml><?xml version="1.0" encoding="utf-8"?>
<ds:datastoreItem xmlns:ds="http://schemas.openxmlformats.org/officeDocument/2006/customXml" ds:itemID="{0F0712FA-287B-4807-8F56-1B61A338FA76}">
  <ds:schemaRefs>
    <ds:schemaRef ds:uri="http://purl.org/dc/terms/"/>
    <ds:schemaRef ds:uri="bf55fcd6-6c7a-4506-a863-5446a9ada152"/>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3200301-e2b6-4cc4-89b7-1e7f58048995"/>
    <ds:schemaRef ds:uri="http://www.w3.org/XML/1998/namespace"/>
  </ds:schemaRefs>
</ds:datastoreItem>
</file>

<file path=customXml/itemProps4.xml><?xml version="1.0" encoding="utf-8"?>
<ds:datastoreItem xmlns:ds="http://schemas.openxmlformats.org/officeDocument/2006/customXml" ds:itemID="{AB71FFB2-4D09-43E8-B429-112957F3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03 Blue 2945.dotx</Template>
  <TotalTime>0</TotalTime>
  <Pages>5</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HousingVic online services operational guideline March 2020</vt:lpstr>
    </vt:vector>
  </TitlesOfParts>
  <Company>Department of Health and Human Services</Company>
  <LinksUpToDate>false</LinksUpToDate>
  <CharactersWithSpaces>19982</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HousingVic online services operational guideline March 2020</dc:title>
  <dc:subject/>
  <dc:creator>housing.practicesupport@dhhs.vic.gov.au</dc:creator>
  <cp:keywords>HVOS, online services , housing online</cp:keywords>
  <cp:lastModifiedBy>Terry Truman (DHHS)</cp:lastModifiedBy>
  <cp:revision>2</cp:revision>
  <cp:lastPrinted>2017-07-07T00:32:00Z</cp:lastPrinted>
  <dcterms:created xsi:type="dcterms:W3CDTF">2020-06-05T05:05:00Z</dcterms:created>
  <dcterms:modified xsi:type="dcterms:W3CDTF">2020-06-05T05:05:00Z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