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C6AD6" w14:textId="77777777"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11714613" wp14:editId="4199F85B">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131B7B85" w14:textId="77777777" w:rsidR="00A62D44" w:rsidRPr="004C6EEE" w:rsidRDefault="00A62D44" w:rsidP="00D1443D">
      <w:pPr>
        <w:pStyle w:val="Sectionbreakfirstpage"/>
        <w:rPr>
          <w:rFonts w:eastAsia="Times"/>
          <w:noProof/>
          <w:sz w:val="12"/>
        </w:rPr>
        <w:sectPr w:rsidR="00A62D44" w:rsidRPr="004C6EEE" w:rsidSect="00F922BE">
          <w:footerReference w:type="default" r:id="rId9"/>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116"/>
      </w:tblGrid>
      <w:tr w:rsidR="00AD784C" w14:paraId="609B6765" w14:textId="77777777" w:rsidTr="00FA5827">
        <w:trPr>
          <w:trHeight w:val="905"/>
        </w:trPr>
        <w:tc>
          <w:tcPr>
            <w:tcW w:w="8116" w:type="dxa"/>
            <w:shd w:val="clear" w:color="auto" w:fill="auto"/>
            <w:vAlign w:val="bottom"/>
          </w:tcPr>
          <w:p w14:paraId="205E66D3" w14:textId="77777777" w:rsidR="00AD784C" w:rsidRPr="00DE4E5C" w:rsidRDefault="004C08E5" w:rsidP="006D72EA">
            <w:pPr>
              <w:pStyle w:val="DHHSmainheading"/>
              <w:spacing w:line="270" w:lineRule="atLeast"/>
              <w:rPr>
                <w:sz w:val="44"/>
                <w:szCs w:val="44"/>
              </w:rPr>
            </w:pPr>
            <w:r w:rsidRPr="004C08E5">
              <w:rPr>
                <w:rFonts w:cs="Arial"/>
                <w:sz w:val="44"/>
                <w:szCs w:val="44"/>
              </w:rPr>
              <w:t xml:space="preserve">Housing infrastructure – </w:t>
            </w:r>
            <w:r w:rsidR="00820BCF">
              <w:rPr>
                <w:rFonts w:cs="Arial"/>
                <w:sz w:val="44"/>
                <w:szCs w:val="44"/>
              </w:rPr>
              <w:t xml:space="preserve">facilities </w:t>
            </w:r>
            <w:r w:rsidR="00AA6895">
              <w:rPr>
                <w:rFonts w:cs="Arial"/>
                <w:sz w:val="44"/>
                <w:szCs w:val="44"/>
              </w:rPr>
              <w:t>management</w:t>
            </w:r>
            <w:r w:rsidR="00820BCF">
              <w:rPr>
                <w:rFonts w:cs="Arial"/>
                <w:sz w:val="44"/>
                <w:szCs w:val="44"/>
              </w:rPr>
              <w:t xml:space="preserve"> </w:t>
            </w:r>
            <w:r w:rsidR="00F922BE" w:rsidRPr="00DE4E5C">
              <w:rPr>
                <w:rFonts w:cs="Arial"/>
                <w:sz w:val="44"/>
                <w:szCs w:val="44"/>
              </w:rPr>
              <w:br/>
            </w:r>
            <w:r w:rsidRPr="004C08E5">
              <w:rPr>
                <w:rFonts w:cs="Arial"/>
                <w:sz w:val="44"/>
                <w:szCs w:val="44"/>
              </w:rPr>
              <w:t>914</w:t>
            </w:r>
            <w:r w:rsidR="00AA6895">
              <w:rPr>
                <w:rFonts w:cs="Arial"/>
                <w:sz w:val="44"/>
                <w:szCs w:val="44"/>
              </w:rPr>
              <w:t>15</w:t>
            </w:r>
          </w:p>
        </w:tc>
      </w:tr>
      <w:tr w:rsidR="00AD784C" w14:paraId="326CAB6F" w14:textId="77777777" w:rsidTr="00FA5827">
        <w:trPr>
          <w:trHeight w:hRule="exact" w:val="1182"/>
        </w:trPr>
        <w:tc>
          <w:tcPr>
            <w:tcW w:w="8116" w:type="dxa"/>
            <w:shd w:val="clear" w:color="auto" w:fill="auto"/>
            <w:tcMar>
              <w:top w:w="170" w:type="dxa"/>
              <w:bottom w:w="510" w:type="dxa"/>
            </w:tcMar>
          </w:tcPr>
          <w:p w14:paraId="44DA771E" w14:textId="77777777" w:rsidR="004C08E5" w:rsidRDefault="00F922BE" w:rsidP="005E76EA">
            <w:pPr>
              <w:pStyle w:val="DHHSmainsubheading"/>
              <w:rPr>
                <w:szCs w:val="28"/>
              </w:rPr>
            </w:pPr>
            <w:r>
              <w:rPr>
                <w:szCs w:val="28"/>
              </w:rPr>
              <w:t>Outcome objective</w:t>
            </w:r>
            <w:r w:rsidR="00DE4E5C">
              <w:rPr>
                <w:szCs w:val="28"/>
              </w:rPr>
              <w:t>:</w:t>
            </w:r>
            <w:r>
              <w:rPr>
                <w:szCs w:val="28"/>
              </w:rPr>
              <w:t xml:space="preserve"> </w:t>
            </w:r>
            <w:r w:rsidR="004C08E5" w:rsidRPr="004C08E5">
              <w:rPr>
                <w:szCs w:val="28"/>
              </w:rPr>
              <w:t>Victorians are safe and secure</w:t>
            </w:r>
          </w:p>
          <w:p w14:paraId="0C18832F" w14:textId="77777777" w:rsidR="00DE4E5C" w:rsidRDefault="00F922BE" w:rsidP="005E76EA">
            <w:pPr>
              <w:pStyle w:val="DHHSmainsubheading"/>
              <w:rPr>
                <w:szCs w:val="28"/>
              </w:rPr>
            </w:pPr>
            <w:r>
              <w:rPr>
                <w:szCs w:val="28"/>
              </w:rPr>
              <w:t xml:space="preserve">Output group: </w:t>
            </w:r>
            <w:r w:rsidR="00976E6E" w:rsidRPr="00976E6E">
              <w:rPr>
                <w:szCs w:val="28"/>
              </w:rPr>
              <w:t>Housing assistance</w:t>
            </w:r>
          </w:p>
          <w:p w14:paraId="236D47EA" w14:textId="77777777" w:rsidR="00F922BE" w:rsidRPr="00AD784C" w:rsidRDefault="00F922BE" w:rsidP="00D1443D">
            <w:pPr>
              <w:pStyle w:val="DHHSmainsubheading"/>
              <w:rPr>
                <w:szCs w:val="28"/>
              </w:rPr>
            </w:pPr>
            <w:r>
              <w:rPr>
                <w:szCs w:val="28"/>
              </w:rPr>
              <w:t xml:space="preserve">Output: </w:t>
            </w:r>
            <w:r w:rsidR="00976E6E" w:rsidRPr="00976E6E">
              <w:rPr>
                <w:szCs w:val="28"/>
              </w:rPr>
              <w:t>Housing support and homelessness assistance</w:t>
            </w:r>
          </w:p>
        </w:tc>
      </w:tr>
    </w:tbl>
    <w:p w14:paraId="0DF9897C" w14:textId="77777777" w:rsidR="007173CA" w:rsidRDefault="007173CA" w:rsidP="006C7A1F">
      <w:pPr>
        <w:pStyle w:val="DHHSbody"/>
        <w:spacing w:beforeLines="40" w:before="96"/>
        <w:sectPr w:rsidR="007173CA" w:rsidSect="00F922BE">
          <w:headerReference w:type="default" r:id="rId10"/>
          <w:footerReference w:type="default" r:id="rId11"/>
          <w:type w:val="continuous"/>
          <w:pgSz w:w="11906" w:h="16838" w:code="9"/>
          <w:pgMar w:top="993" w:right="851" w:bottom="1134" w:left="851" w:header="567" w:footer="510" w:gutter="0"/>
          <w:cols w:space="340"/>
          <w:titlePg/>
          <w:docGrid w:linePitch="360"/>
        </w:sectPr>
      </w:pPr>
      <w:bookmarkStart w:id="0" w:name="_Toc440566508"/>
    </w:p>
    <w:bookmarkEnd w:id="0"/>
    <w:p w14:paraId="391C0A74" w14:textId="77777777" w:rsidR="00A62D44" w:rsidRDefault="00B70F76" w:rsidP="00EE5407">
      <w:pPr>
        <w:pStyle w:val="Heading1"/>
      </w:pPr>
      <w:r w:rsidRPr="00B70F76">
        <w:t>1.</w:t>
      </w:r>
      <w:r>
        <w:t xml:space="preserve"> </w:t>
      </w:r>
      <w:r w:rsidR="00DF6BAF">
        <w:t xml:space="preserve">Service Objective </w:t>
      </w:r>
    </w:p>
    <w:p w14:paraId="03C9C4A8" w14:textId="77777777" w:rsidR="00AA6895" w:rsidRPr="000F38F6" w:rsidRDefault="00AA6895" w:rsidP="00AA6895">
      <w:pPr>
        <w:pStyle w:val="DHHSbody"/>
      </w:pPr>
      <w:bookmarkStart w:id="1" w:name="_Toc256778633"/>
      <w:r>
        <w:t xml:space="preserve">To </w:t>
      </w:r>
      <w:r w:rsidRPr="000F38F6">
        <w:t>provide positive value for public tenants and the local tenant community through management of community facilities</w:t>
      </w:r>
      <w:r w:rsidRPr="004329FB">
        <w:t xml:space="preserve"> </w:t>
      </w:r>
      <w:r>
        <w:t>(</w:t>
      </w:r>
      <w:r w:rsidRPr="000F38F6">
        <w:t>as part of the Public Housing Infrastructure Program</w:t>
      </w:r>
      <w:r>
        <w:t>)</w:t>
      </w:r>
      <w:r w:rsidRPr="000F38F6">
        <w:t xml:space="preserve">. </w:t>
      </w:r>
    </w:p>
    <w:p w14:paraId="6E8A2391" w14:textId="77777777" w:rsidR="00DF6BAF" w:rsidRDefault="00DE4E5C" w:rsidP="00EE5407">
      <w:pPr>
        <w:pStyle w:val="Heading1"/>
      </w:pPr>
      <w:r>
        <w:t>2</w:t>
      </w:r>
      <w:r w:rsidR="00B70F76" w:rsidRPr="00B70F76">
        <w:t xml:space="preserve">. </w:t>
      </w:r>
      <w:r w:rsidR="00DF6BAF">
        <w:t>Description of the service</w:t>
      </w:r>
      <w:r w:rsidR="00976E6E">
        <w:tab/>
      </w:r>
    </w:p>
    <w:p w14:paraId="448356E7" w14:textId="77777777" w:rsidR="00AA6895" w:rsidRPr="00AA6895" w:rsidRDefault="00AA6895" w:rsidP="00AA6895">
      <w:pPr>
        <w:pStyle w:val="DHHSbody"/>
      </w:pPr>
      <w:r w:rsidRPr="00AA6895">
        <w:t xml:space="preserve">The Director of Housing has approximately 110 community facilities throughout the state. While most are managed by the department’s divisional housing offices, some of these facilities are managed by Community support organisations, through Public Housing Infrastructure Program funding. Management of the facilities is focused on providing positive value for public tenants and the local tenant community. </w:t>
      </w:r>
    </w:p>
    <w:p w14:paraId="7DA9C50A" w14:textId="77777777" w:rsidR="00B70F76" w:rsidRDefault="00DF6BAF" w:rsidP="00EE5407">
      <w:pPr>
        <w:pStyle w:val="Heading1"/>
      </w:pPr>
      <w:r>
        <w:t xml:space="preserve">3. </w:t>
      </w:r>
      <w:r w:rsidR="00B70F76" w:rsidRPr="00B70F76">
        <w:t>Client group</w:t>
      </w:r>
    </w:p>
    <w:p w14:paraId="74F90AC3" w14:textId="77777777" w:rsidR="00AA6895" w:rsidRPr="00AA6895" w:rsidRDefault="00AA6895" w:rsidP="00AA6895">
      <w:pPr>
        <w:spacing w:beforeAutospacing="1" w:after="100" w:afterAutospacing="1" w:line="240" w:lineRule="auto"/>
        <w:jc w:val="both"/>
        <w:rPr>
          <w:rFonts w:cs="Arial"/>
          <w:lang w:eastAsia="en-US"/>
        </w:rPr>
      </w:pPr>
      <w:r w:rsidRPr="00AA6895">
        <w:rPr>
          <w:rFonts w:cs="Arial"/>
          <w:lang w:eastAsia="en-US"/>
        </w:rPr>
        <w:t xml:space="preserve">Public housing tenants and the local tenant community. </w:t>
      </w:r>
    </w:p>
    <w:p w14:paraId="111EDE0B" w14:textId="77777777" w:rsidR="002D1AA5" w:rsidRDefault="00DF6BAF" w:rsidP="00EE5407">
      <w:pPr>
        <w:pStyle w:val="Heading1"/>
      </w:pPr>
      <w:bookmarkStart w:id="2" w:name="_Hlk2601792"/>
      <w:r>
        <w:t>4</w:t>
      </w:r>
      <w:r w:rsidR="00B70F76">
        <w:t xml:space="preserve">. Obligations specific to this </w:t>
      </w:r>
      <w:r w:rsidR="00EC4117">
        <w:t>activity</w:t>
      </w:r>
    </w:p>
    <w:p w14:paraId="68390191"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6DFE1301" w14:textId="4EEC5134" w:rsidR="00B87C3B" w:rsidRDefault="00B87C3B" w:rsidP="00EE5407">
      <w:pPr>
        <w:pStyle w:val="Heading2"/>
      </w:pPr>
      <w:r w:rsidRPr="001F3DE2">
        <w:t xml:space="preserve">4a.  Registration and Accreditation </w:t>
      </w:r>
    </w:p>
    <w:p w14:paraId="472C0CD1" w14:textId="707F25B7" w:rsidR="00B87C3B" w:rsidRPr="001F3DE2" w:rsidRDefault="0097043E" w:rsidP="0097043E">
      <w:pPr>
        <w:pStyle w:val="DHHSbullet1"/>
        <w:numPr>
          <w:ilvl w:val="0"/>
          <w:numId w:val="0"/>
        </w:numPr>
        <w:ind w:left="284" w:hanging="284"/>
      </w:pPr>
      <w:r>
        <w:t>N/A</w:t>
      </w:r>
    </w:p>
    <w:bookmarkEnd w:id="2"/>
    <w:p w14:paraId="7FF486B6" w14:textId="77777777" w:rsidR="00B87C3B" w:rsidRPr="001F3DE2" w:rsidRDefault="00B87C3B" w:rsidP="00EE5407">
      <w:pPr>
        <w:pStyle w:val="Heading2"/>
      </w:pPr>
      <w:r w:rsidRPr="001F3DE2">
        <w:t xml:space="preserve">4b. Program requirements and other policy guidelines </w:t>
      </w:r>
    </w:p>
    <w:p w14:paraId="62E0FDAF" w14:textId="77777777" w:rsidR="00B87C3B" w:rsidRPr="00A244E8" w:rsidRDefault="00B87C3B" w:rsidP="00B87C3B">
      <w:pPr>
        <w:pStyle w:val="DHHSbody"/>
      </w:pPr>
      <w:bookmarkStart w:id="3" w:name="_Toc421023841"/>
      <w:bookmarkStart w:id="4" w:name="_Toc475953722"/>
      <w:bookmarkStart w:id="5" w:name="_Toc477437702"/>
      <w:bookmarkStart w:id="6" w:name="_Toc529373787"/>
      <w:r w:rsidRPr="00A244E8">
        <w:t>The department requires community service organisations funded through service agreements to participate in the following monitoring processes for this funded activity:</w:t>
      </w:r>
    </w:p>
    <w:p w14:paraId="3FF4BBA3" w14:textId="77777777" w:rsidR="00EE5407" w:rsidRPr="00700AF2" w:rsidRDefault="00FA5827" w:rsidP="00EE5407">
      <w:pPr>
        <w:pStyle w:val="DHHSbullet1"/>
        <w:rPr>
          <w:rStyle w:val="Hyperlink"/>
          <w:color w:val="auto"/>
          <w:u w:val="none"/>
        </w:rPr>
      </w:pPr>
      <w:hyperlink r:id="rId12" w:history="1">
        <w:r w:rsidR="00EE5407" w:rsidRPr="00700AF2">
          <w:rPr>
            <w:rStyle w:val="Hyperlink"/>
          </w:rPr>
          <w:t>Public Housing Infrastructure Program (PHIP) guidelines</w:t>
        </w:r>
      </w:hyperlink>
    </w:p>
    <w:p w14:paraId="2ACF2A84" w14:textId="77777777" w:rsidR="00EE5407" w:rsidRPr="00700AF2" w:rsidRDefault="00EE5407" w:rsidP="00EE5407">
      <w:pPr>
        <w:pStyle w:val="DHHSbullet1"/>
        <w:numPr>
          <w:ilvl w:val="0"/>
          <w:numId w:val="0"/>
        </w:numPr>
        <w:ind w:left="284"/>
      </w:pPr>
      <w:r w:rsidRPr="00700AF2">
        <w:t>&lt;https://providers.dhhs.vic.gov.au/public-housing-infrastructure-program-framework-and-funding-guidelines-2017-word&gt;</w:t>
      </w:r>
    </w:p>
    <w:p w14:paraId="7C17AC81" w14:textId="77777777" w:rsidR="00575BC9" w:rsidRPr="00575BC9" w:rsidRDefault="00DF6BAF" w:rsidP="00EE5407">
      <w:pPr>
        <w:pStyle w:val="Heading1"/>
      </w:pPr>
      <w:r>
        <w:t>5</w:t>
      </w:r>
      <w:r w:rsidR="00575BC9">
        <w:t xml:space="preserve">. </w:t>
      </w:r>
      <w:bookmarkEnd w:id="3"/>
      <w:bookmarkEnd w:id="4"/>
      <w:bookmarkEnd w:id="5"/>
      <w:bookmarkEnd w:id="6"/>
      <w:r w:rsidR="0017293C">
        <w:t>Performance</w:t>
      </w:r>
    </w:p>
    <w:p w14:paraId="3341DC02" w14:textId="77777777" w:rsidR="00575BC9" w:rsidRPr="001F1A17" w:rsidRDefault="00E05E8D" w:rsidP="00EE5407">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00A1F80C" w14:textId="77777777" w:rsidR="00575BC9" w:rsidRPr="00EE5407" w:rsidRDefault="00E05E8D" w:rsidP="00EE5407">
      <w:pPr>
        <w:pStyle w:val="Heading2"/>
      </w:pPr>
      <w:r w:rsidRPr="00EE5407">
        <w:lastRenderedPageBreak/>
        <w:t>Key performance measure</w:t>
      </w:r>
      <w:r w:rsidR="00976E6E" w:rsidRPr="00EE5407">
        <w:t xml:space="preserve"> 1</w:t>
      </w:r>
      <w:r w:rsidR="00575BC9" w:rsidRPr="00EE5407">
        <w:t xml:space="preserve">: </w:t>
      </w:r>
      <w:r w:rsidR="00976E6E" w:rsidRPr="00EE5407">
        <w:rPr>
          <w:rFonts w:eastAsia="Times"/>
        </w:rPr>
        <w:t>Achievement of deliverables in service agreement</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AA6895" w:rsidRPr="00C237A0" w14:paraId="01D5041F" w14:textId="77777777" w:rsidTr="00EE5407">
        <w:trPr>
          <w:cantSplit/>
          <w:trHeight w:hRule="exact" w:val="591"/>
        </w:trPr>
        <w:tc>
          <w:tcPr>
            <w:tcW w:w="2835" w:type="dxa"/>
          </w:tcPr>
          <w:p w14:paraId="60B58421" w14:textId="77777777" w:rsidR="00AA6895" w:rsidRPr="0017293C" w:rsidRDefault="00AA6895" w:rsidP="00AA6895">
            <w:pPr>
              <w:pStyle w:val="DHHStablecolhead"/>
            </w:pPr>
            <w:r w:rsidRPr="00575BC9">
              <w:t>Aim/objective</w:t>
            </w:r>
          </w:p>
        </w:tc>
        <w:tc>
          <w:tcPr>
            <w:tcW w:w="7379" w:type="dxa"/>
          </w:tcPr>
          <w:p w14:paraId="2E9AC06E" w14:textId="77777777" w:rsidR="00AA6895" w:rsidRPr="00A50BB1" w:rsidRDefault="00AA6895" w:rsidP="00AA6895">
            <w:pPr>
              <w:pStyle w:val="BodyTextIndent"/>
              <w:spacing w:before="100" w:beforeAutospacing="1" w:after="100" w:afterAutospacing="1"/>
              <w:ind w:left="0"/>
              <w:jc w:val="both"/>
              <w:rPr>
                <w:rFonts w:ascii="Arial" w:hAnsi="Arial" w:cs="Arial"/>
              </w:rPr>
            </w:pPr>
            <w:r>
              <w:rPr>
                <w:rFonts w:ascii="Arial" w:hAnsi="Arial" w:cs="Arial"/>
              </w:rPr>
              <w:t>Facilities management is focused on</w:t>
            </w:r>
            <w:r w:rsidRPr="001A72E1">
              <w:rPr>
                <w:rFonts w:ascii="Arial" w:hAnsi="Arial" w:cs="Arial"/>
              </w:rPr>
              <w:t xml:space="preserve"> provid</w:t>
            </w:r>
            <w:r>
              <w:rPr>
                <w:rFonts w:ascii="Arial" w:hAnsi="Arial" w:cs="Arial"/>
              </w:rPr>
              <w:t>ing</w:t>
            </w:r>
            <w:r w:rsidRPr="001A72E1">
              <w:rPr>
                <w:rFonts w:ascii="Arial" w:hAnsi="Arial" w:cs="Arial"/>
              </w:rPr>
              <w:t xml:space="preserve"> positive value for public tenants </w:t>
            </w:r>
            <w:r>
              <w:rPr>
                <w:rFonts w:ascii="Arial" w:hAnsi="Arial" w:cs="Arial"/>
              </w:rPr>
              <w:t>and</w:t>
            </w:r>
            <w:r w:rsidRPr="001A72E1">
              <w:rPr>
                <w:rFonts w:ascii="Arial" w:hAnsi="Arial" w:cs="Arial"/>
              </w:rPr>
              <w:t xml:space="preserve"> the local tenant community. </w:t>
            </w:r>
          </w:p>
        </w:tc>
      </w:tr>
      <w:tr w:rsidR="00AA6895" w:rsidRPr="00C237A0" w14:paraId="61FBF7C1" w14:textId="77777777" w:rsidTr="00EE5407">
        <w:trPr>
          <w:cantSplit/>
          <w:trHeight w:hRule="exact" w:val="340"/>
        </w:trPr>
        <w:tc>
          <w:tcPr>
            <w:tcW w:w="2835" w:type="dxa"/>
          </w:tcPr>
          <w:p w14:paraId="640BC9AA" w14:textId="77777777" w:rsidR="00AA6895" w:rsidRPr="0017293C" w:rsidRDefault="00AA6895" w:rsidP="00AA6895">
            <w:pPr>
              <w:pStyle w:val="DHHStablecolhead"/>
            </w:pPr>
            <w:r w:rsidRPr="00575BC9">
              <w:t>Target</w:t>
            </w:r>
          </w:p>
        </w:tc>
        <w:tc>
          <w:tcPr>
            <w:tcW w:w="7379" w:type="dxa"/>
          </w:tcPr>
          <w:p w14:paraId="334465A3" w14:textId="77777777" w:rsidR="00AA6895" w:rsidRPr="002F7C4B" w:rsidRDefault="00AA6895" w:rsidP="00AA6895">
            <w:pPr>
              <w:pStyle w:val="DHHSbody"/>
              <w:spacing w:after="0"/>
              <w:rPr>
                <w:color w:val="7030A0"/>
              </w:rPr>
            </w:pPr>
            <w:r>
              <w:t>The performance measure target is provided in the Service Agreement.</w:t>
            </w:r>
          </w:p>
        </w:tc>
      </w:tr>
      <w:tr w:rsidR="00AA6895" w:rsidRPr="00C237A0" w14:paraId="283CC310" w14:textId="77777777" w:rsidTr="00EE5407">
        <w:trPr>
          <w:cantSplit/>
          <w:trHeight w:hRule="exact" w:val="340"/>
        </w:trPr>
        <w:tc>
          <w:tcPr>
            <w:tcW w:w="2835" w:type="dxa"/>
          </w:tcPr>
          <w:p w14:paraId="1A5C8347" w14:textId="77777777" w:rsidR="00AA6895" w:rsidRPr="0017293C" w:rsidRDefault="00AA6895" w:rsidP="00AA6895">
            <w:pPr>
              <w:pStyle w:val="DHHStablecolhead"/>
            </w:pPr>
            <w:r w:rsidRPr="00575BC9">
              <w:t>Type of count</w:t>
            </w:r>
          </w:p>
        </w:tc>
        <w:tc>
          <w:tcPr>
            <w:tcW w:w="7379" w:type="dxa"/>
          </w:tcPr>
          <w:p w14:paraId="6A24FE4D" w14:textId="77777777" w:rsidR="00AA6895" w:rsidRPr="00C237A0" w:rsidRDefault="00AA6895" w:rsidP="00AA6895">
            <w:pPr>
              <w:pStyle w:val="DHHStabletext"/>
              <w:spacing w:before="0" w:after="0"/>
            </w:pPr>
            <w:r>
              <w:rPr>
                <w:color w:val="7030A0"/>
              </w:rPr>
              <w:fldChar w:fldCharType="begin">
                <w:ffData>
                  <w:name w:val="Check2"/>
                  <w:enabled/>
                  <w:calcOnExit w:val="0"/>
                  <w:checkBox>
                    <w:sizeAuto/>
                    <w:default w:val="1"/>
                  </w:checkBox>
                </w:ffData>
              </w:fldChar>
            </w:r>
            <w:bookmarkStart w:id="7" w:name="Check2"/>
            <w:r>
              <w:rPr>
                <w:color w:val="7030A0"/>
              </w:rPr>
              <w:instrText xml:space="preserve"> FORMCHECKBOX </w:instrText>
            </w:r>
            <w:r w:rsidR="00FA5827">
              <w:rPr>
                <w:color w:val="7030A0"/>
              </w:rPr>
            </w:r>
            <w:r w:rsidR="00FA5827">
              <w:rPr>
                <w:color w:val="7030A0"/>
              </w:rPr>
              <w:fldChar w:fldCharType="separate"/>
            </w:r>
            <w:r>
              <w:rPr>
                <w:color w:val="7030A0"/>
              </w:rPr>
              <w:fldChar w:fldCharType="end"/>
            </w:r>
            <w:bookmarkEnd w:id="7"/>
            <w:r>
              <w:rPr>
                <w:color w:val="7030A0"/>
              </w:rPr>
              <w:t xml:space="preserve"> </w:t>
            </w:r>
            <w:r>
              <w:t xml:space="preserve">Cumulative          </w:t>
            </w:r>
            <w:r>
              <w:rPr>
                <w:color w:val="7030A0"/>
              </w:rPr>
              <w:fldChar w:fldCharType="begin">
                <w:ffData>
                  <w:name w:val="Check2"/>
                  <w:enabled/>
                  <w:calcOnExit w:val="0"/>
                  <w:checkBox>
                    <w:sizeAuto/>
                    <w:default w:val="0"/>
                  </w:checkBox>
                </w:ffData>
              </w:fldChar>
            </w:r>
            <w:r>
              <w:rPr>
                <w:color w:val="7030A0"/>
              </w:rPr>
              <w:instrText xml:space="preserve"> FORMCHECKBOX </w:instrText>
            </w:r>
            <w:r w:rsidR="00FA5827">
              <w:rPr>
                <w:color w:val="7030A0"/>
              </w:rPr>
            </w:r>
            <w:r w:rsidR="00FA5827">
              <w:rPr>
                <w:color w:val="7030A0"/>
              </w:rPr>
              <w:fldChar w:fldCharType="separate"/>
            </w:r>
            <w:r>
              <w:rPr>
                <w:color w:val="7030A0"/>
              </w:rPr>
              <w:fldChar w:fldCharType="end"/>
            </w:r>
            <w:r>
              <w:rPr>
                <w:color w:val="7030A0"/>
              </w:rPr>
              <w:t xml:space="preserve"> </w:t>
            </w:r>
            <w:r>
              <w:t>Non-cumulative</w:t>
            </w:r>
          </w:p>
        </w:tc>
      </w:tr>
      <w:tr w:rsidR="00AA6895" w:rsidRPr="00C237A0" w14:paraId="11ECA100" w14:textId="77777777" w:rsidTr="00EE5407">
        <w:trPr>
          <w:cantSplit/>
          <w:trHeight w:hRule="exact" w:val="340"/>
        </w:trPr>
        <w:tc>
          <w:tcPr>
            <w:tcW w:w="2835" w:type="dxa"/>
          </w:tcPr>
          <w:p w14:paraId="3E1416A7" w14:textId="77777777" w:rsidR="00AA6895" w:rsidRPr="0017293C" w:rsidRDefault="00AA6895" w:rsidP="00AA6895">
            <w:pPr>
              <w:pStyle w:val="DHHStablecolhead"/>
            </w:pPr>
            <w:r w:rsidRPr="00575BC9">
              <w:t>Counting rule</w:t>
            </w:r>
          </w:p>
        </w:tc>
        <w:tc>
          <w:tcPr>
            <w:tcW w:w="7379" w:type="dxa"/>
          </w:tcPr>
          <w:p w14:paraId="23B5D658" w14:textId="77777777" w:rsidR="00AA6895" w:rsidRPr="003C7459" w:rsidRDefault="00AA6895" w:rsidP="00AA6895">
            <w:pPr>
              <w:pStyle w:val="DHHStabletext"/>
            </w:pPr>
            <w:r>
              <w:t>As per Service Agreement</w:t>
            </w:r>
          </w:p>
        </w:tc>
      </w:tr>
      <w:tr w:rsidR="00AA6895" w:rsidRPr="00C237A0" w14:paraId="6319919C" w14:textId="77777777" w:rsidTr="00EE5407">
        <w:trPr>
          <w:cantSplit/>
          <w:trHeight w:hRule="exact" w:val="686"/>
        </w:trPr>
        <w:tc>
          <w:tcPr>
            <w:tcW w:w="2835" w:type="dxa"/>
          </w:tcPr>
          <w:p w14:paraId="3DE924DD" w14:textId="77777777" w:rsidR="00AA6895" w:rsidRPr="0017293C" w:rsidRDefault="00AA6895" w:rsidP="00AA6895">
            <w:pPr>
              <w:pStyle w:val="DHHStablecolhead"/>
            </w:pPr>
            <w:r w:rsidRPr="00575BC9">
              <w:t>Data source(s) collection</w:t>
            </w:r>
          </w:p>
        </w:tc>
        <w:tc>
          <w:tcPr>
            <w:tcW w:w="7379" w:type="dxa"/>
          </w:tcPr>
          <w:p w14:paraId="3437FE0A" w14:textId="77777777" w:rsidR="00AA6895" w:rsidRPr="003C7459" w:rsidRDefault="00AA6895" w:rsidP="00AA6895">
            <w:pPr>
              <w:pStyle w:val="DHHStabletext"/>
            </w:pPr>
            <w:r w:rsidRPr="003C7459">
              <w:t>Service provision report including data detailing progress against the service agreement/work plan.</w:t>
            </w:r>
          </w:p>
        </w:tc>
      </w:tr>
      <w:tr w:rsidR="00AA6895" w:rsidRPr="00C237A0" w14:paraId="04D8EB75" w14:textId="77777777" w:rsidTr="00EE5407">
        <w:trPr>
          <w:cantSplit/>
          <w:trHeight w:hRule="exact" w:val="453"/>
        </w:trPr>
        <w:tc>
          <w:tcPr>
            <w:tcW w:w="2835" w:type="dxa"/>
          </w:tcPr>
          <w:p w14:paraId="66F3EE8D" w14:textId="77777777" w:rsidR="00AA6895" w:rsidRPr="0017293C" w:rsidRDefault="00AA6895" w:rsidP="00AA6895">
            <w:pPr>
              <w:pStyle w:val="DHHStablecolhead"/>
            </w:pPr>
            <w:r w:rsidRPr="00575BC9">
              <w:t>Definition of terms</w:t>
            </w:r>
          </w:p>
        </w:tc>
        <w:tc>
          <w:tcPr>
            <w:tcW w:w="7379" w:type="dxa"/>
          </w:tcPr>
          <w:p w14:paraId="3713921B" w14:textId="77777777" w:rsidR="00AA6895" w:rsidRPr="003C7459" w:rsidRDefault="00AA6895" w:rsidP="00AA6895">
            <w:pPr>
              <w:pStyle w:val="DHHStabletext"/>
            </w:pPr>
            <w:r w:rsidRPr="00C237A0">
              <w:t>Provided in Service Agreement</w:t>
            </w:r>
          </w:p>
        </w:tc>
      </w:tr>
    </w:tbl>
    <w:p w14:paraId="10CD8C39" w14:textId="77777777" w:rsidR="00575BC9" w:rsidRPr="00575BC9" w:rsidRDefault="00DF6BAF" w:rsidP="00EE5407">
      <w:pPr>
        <w:pStyle w:val="Heading1"/>
      </w:pPr>
      <w:r>
        <w:t>6</w:t>
      </w:r>
      <w:r w:rsidR="00575BC9">
        <w:t>. Data collection</w:t>
      </w:r>
    </w:p>
    <w:p w14:paraId="38891A55" w14:textId="77777777" w:rsidR="00575BC9" w:rsidRDefault="00A11FC5" w:rsidP="00EE5407">
      <w:pPr>
        <w:pStyle w:val="DHHSbody"/>
      </w:pPr>
      <w:r>
        <w:t>The r</w:t>
      </w:r>
      <w:r w:rsidR="0087683C">
        <w:t>eporting requirements for this service</w:t>
      </w:r>
      <w:r>
        <w:t xml:space="preserve"> are:</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2429"/>
        <w:gridCol w:w="3028"/>
        <w:gridCol w:w="1828"/>
      </w:tblGrid>
      <w:tr w:rsidR="00575BC9" w:rsidRPr="00045493" w14:paraId="1D88A639" w14:textId="77777777" w:rsidTr="00FE56BD">
        <w:trPr>
          <w:trHeight w:hRule="exact" w:val="340"/>
          <w:tblHeader/>
        </w:trPr>
        <w:tc>
          <w:tcPr>
            <w:tcW w:w="3028" w:type="dxa"/>
            <w:vAlign w:val="center"/>
          </w:tcPr>
          <w:p w14:paraId="7EC40E7C" w14:textId="77777777" w:rsidR="00575BC9" w:rsidRPr="00575BC9" w:rsidRDefault="00575BC9" w:rsidP="0017293C">
            <w:pPr>
              <w:pStyle w:val="DHHStablecolhead"/>
              <w:spacing w:before="0" w:after="0"/>
            </w:pPr>
            <w:r w:rsidRPr="00575BC9">
              <w:t>Data collection name</w:t>
            </w:r>
          </w:p>
        </w:tc>
        <w:tc>
          <w:tcPr>
            <w:tcW w:w="2429" w:type="dxa"/>
            <w:vAlign w:val="center"/>
          </w:tcPr>
          <w:p w14:paraId="426CA28F" w14:textId="77777777" w:rsidR="00575BC9" w:rsidRPr="00575BC9" w:rsidRDefault="00575BC9" w:rsidP="0017293C">
            <w:pPr>
              <w:pStyle w:val="DHHStablecolhead"/>
              <w:spacing w:before="0" w:after="0"/>
            </w:pPr>
            <w:r w:rsidRPr="00575BC9">
              <w:t xml:space="preserve">Data system </w:t>
            </w:r>
          </w:p>
        </w:tc>
        <w:tc>
          <w:tcPr>
            <w:tcW w:w="3028" w:type="dxa"/>
            <w:vAlign w:val="center"/>
          </w:tcPr>
          <w:p w14:paraId="5CA516FF" w14:textId="77777777" w:rsidR="00575BC9" w:rsidRPr="00575BC9" w:rsidRDefault="00575BC9" w:rsidP="0017293C">
            <w:pPr>
              <w:pStyle w:val="DHHStablecolhead"/>
              <w:spacing w:before="0" w:after="0"/>
            </w:pPr>
            <w:r w:rsidRPr="00575BC9">
              <w:t xml:space="preserve">Data set </w:t>
            </w:r>
          </w:p>
        </w:tc>
        <w:tc>
          <w:tcPr>
            <w:tcW w:w="1828" w:type="dxa"/>
            <w:vAlign w:val="center"/>
          </w:tcPr>
          <w:p w14:paraId="447026AD" w14:textId="77777777" w:rsidR="00575BC9" w:rsidRPr="00575BC9" w:rsidRDefault="00575BC9" w:rsidP="0017293C">
            <w:pPr>
              <w:pStyle w:val="DHHStablecolhead"/>
              <w:spacing w:before="0" w:after="0"/>
            </w:pPr>
            <w:r w:rsidRPr="00575BC9">
              <w:t>Reporting cycle</w:t>
            </w:r>
          </w:p>
        </w:tc>
      </w:tr>
      <w:tr w:rsidR="00976E6E" w:rsidRPr="00C237A0" w14:paraId="6F18041F" w14:textId="77777777" w:rsidTr="00FE56BD">
        <w:trPr>
          <w:trHeight w:val="776"/>
        </w:trPr>
        <w:tc>
          <w:tcPr>
            <w:tcW w:w="3028" w:type="dxa"/>
          </w:tcPr>
          <w:p w14:paraId="1E5D9759" w14:textId="77777777" w:rsidR="00976E6E" w:rsidRPr="00280A35" w:rsidDel="00326E44" w:rsidRDefault="00976E6E" w:rsidP="00137D66">
            <w:pPr>
              <w:pStyle w:val="DHHStabletext"/>
              <w:rPr>
                <w:b/>
              </w:rPr>
            </w:pPr>
            <w:r>
              <w:t>Public housing infrastructure program data collection</w:t>
            </w:r>
          </w:p>
        </w:tc>
        <w:tc>
          <w:tcPr>
            <w:tcW w:w="2429" w:type="dxa"/>
          </w:tcPr>
          <w:p w14:paraId="0784057B" w14:textId="77777777" w:rsidR="00976E6E" w:rsidRPr="00280A35" w:rsidRDefault="00976E6E" w:rsidP="00137D66">
            <w:pPr>
              <w:pStyle w:val="DHHStabletext"/>
            </w:pPr>
            <w:r>
              <w:t>Service provision report</w:t>
            </w:r>
          </w:p>
        </w:tc>
        <w:tc>
          <w:tcPr>
            <w:tcW w:w="3028" w:type="dxa"/>
          </w:tcPr>
          <w:p w14:paraId="6ED2F27C" w14:textId="77777777" w:rsidR="00976E6E" w:rsidRPr="00280A35" w:rsidRDefault="00976E6E" w:rsidP="00137D66">
            <w:pPr>
              <w:pStyle w:val="DHHStabletext"/>
            </w:pPr>
            <w:r>
              <w:t>Public housing infrastructure program data collection</w:t>
            </w:r>
          </w:p>
        </w:tc>
        <w:tc>
          <w:tcPr>
            <w:tcW w:w="1828" w:type="dxa"/>
          </w:tcPr>
          <w:p w14:paraId="2DAD5EBB" w14:textId="77777777" w:rsidR="00976E6E" w:rsidRPr="00280A35" w:rsidRDefault="00976E6E" w:rsidP="00137D66">
            <w:pPr>
              <w:pStyle w:val="DHHStabletext"/>
            </w:pPr>
            <w:r>
              <w:t>Annual</w:t>
            </w:r>
          </w:p>
        </w:tc>
      </w:tr>
      <w:bookmarkEnd w:id="1"/>
    </w:tbl>
    <w:p w14:paraId="07631173" w14:textId="77777777" w:rsidR="006C7A1F" w:rsidRDefault="006C7A1F" w:rsidP="00AA3CA8">
      <w:pPr>
        <w:rPr>
          <w:sz w:val="4"/>
          <w:szCs w:val="4"/>
        </w:rPr>
      </w:pPr>
    </w:p>
    <w:p w14:paraId="7EA129BD" w14:textId="77777777" w:rsidR="006C7A1F" w:rsidRDefault="006C7A1F" w:rsidP="00AA3CA8">
      <w:pPr>
        <w:rPr>
          <w:sz w:val="4"/>
          <w:szCs w:val="4"/>
        </w:rPr>
      </w:pPr>
    </w:p>
    <w:tbl>
      <w:tblPr>
        <w:tblW w:w="4895" w:type="pct"/>
        <w:tblInd w:w="113" w:type="dxa"/>
        <w:tblCellMar>
          <w:top w:w="113" w:type="dxa"/>
          <w:bottom w:w="57" w:type="dxa"/>
        </w:tblCellMar>
        <w:tblLook w:val="00A0" w:firstRow="1" w:lastRow="0" w:firstColumn="1" w:lastColumn="0" w:noHBand="0" w:noVBand="0"/>
      </w:tblPr>
      <w:tblGrid>
        <w:gridCol w:w="9980"/>
      </w:tblGrid>
      <w:tr w:rsidR="00EE5407" w:rsidRPr="002802E3" w14:paraId="29F2DD72" w14:textId="77777777" w:rsidTr="005E0552">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50C1D0" w14:textId="77777777" w:rsidR="00FA5827" w:rsidRDefault="00FA5827" w:rsidP="00FA5827">
            <w:pPr>
              <w:pStyle w:val="DHHSaccessibilitypara"/>
            </w:pPr>
            <w:r>
              <w:t xml:space="preserve">To receive this publication in an accessible format </w:t>
            </w:r>
            <w:hyperlink r:id="rId13" w:history="1">
              <w:r>
                <w:rPr>
                  <w:rStyle w:val="Hyperlink"/>
                </w:rPr>
                <w:t>email Service Agreement Policy</w:t>
              </w:r>
            </w:hyperlink>
            <w:r>
              <w:t xml:space="preserve"> &lt;</w:t>
            </w:r>
            <w:hyperlink r:id="rId14" w:history="1">
              <w:r>
                <w:rPr>
                  <w:rStyle w:val="Hyperlink"/>
                </w:rPr>
                <w:t>sapolicy@dhhs.vic.gov.au</w:t>
              </w:r>
            </w:hyperlink>
            <w:r>
              <w:t>&gt;</w:t>
            </w:r>
          </w:p>
          <w:p w14:paraId="19280E53" w14:textId="77777777" w:rsidR="00FA5827" w:rsidRDefault="00FA5827" w:rsidP="00FA5827">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02FFC9F1" w14:textId="30BA3DC0" w:rsidR="00EE5407" w:rsidRPr="008328D4" w:rsidRDefault="00FA5827" w:rsidP="00FA5827">
            <w:pPr>
              <w:pStyle w:val="DHHSbody"/>
              <w:rPr>
                <w:color w:val="FF0000"/>
                <w:szCs w:val="19"/>
              </w:rPr>
            </w:pPr>
            <w:r>
              <w:t xml:space="preserve">Available on the department’s </w:t>
            </w:r>
            <w:hyperlink r:id="rId15" w:history="1">
              <w:r>
                <w:rPr>
                  <w:rStyle w:val="Hyperlink"/>
                </w:rPr>
                <w:t>Health and human services activity search</w:t>
              </w:r>
            </w:hyperlink>
            <w:r>
              <w:t xml:space="preserve"> &lt;</w:t>
            </w:r>
            <w:hyperlink r:id="rId16" w:history="1">
              <w:r>
                <w:rPr>
                  <w:rStyle w:val="Hyperlink"/>
                  <w:lang w:eastAsia="en-AU"/>
                </w:rPr>
                <w:t>http://providers.dhhs.vic.gov.au/health-human-services-activity-search</w:t>
              </w:r>
            </w:hyperlink>
            <w:r>
              <w:rPr>
                <w:color w:val="000000"/>
                <w:lang w:eastAsia="en-AU"/>
              </w:rPr>
              <w:t>&gt;</w:t>
            </w:r>
            <w:bookmarkStart w:id="8" w:name="_GoBack"/>
            <w:bookmarkEnd w:id="8"/>
          </w:p>
        </w:tc>
      </w:tr>
    </w:tbl>
    <w:p w14:paraId="07CB2403" w14:textId="77777777" w:rsidR="006C7A1F" w:rsidRDefault="006C7A1F" w:rsidP="00AA3CA8">
      <w:pPr>
        <w:rPr>
          <w:sz w:val="4"/>
          <w:szCs w:val="4"/>
        </w:rPr>
      </w:pPr>
    </w:p>
    <w:p w14:paraId="17312D62" w14:textId="77777777" w:rsidR="00DF6BAF" w:rsidRPr="00AA0F86" w:rsidRDefault="00DF6BAF" w:rsidP="00AA3CA8">
      <w:pPr>
        <w:rPr>
          <w:rFonts w:eastAsia="MS Gothic"/>
          <w:b/>
          <w:bCs/>
          <w:sz w:val="24"/>
          <w:szCs w:val="26"/>
          <w:lang w:eastAsia="en-US"/>
        </w:rPr>
      </w:pPr>
    </w:p>
    <w:p w14:paraId="54A6B51C" w14:textId="77777777" w:rsidR="006C7A1F" w:rsidRDefault="006C7A1F" w:rsidP="00AA3CA8">
      <w:pPr>
        <w:rPr>
          <w:sz w:val="4"/>
          <w:szCs w:val="4"/>
        </w:rPr>
      </w:pPr>
    </w:p>
    <w:p w14:paraId="1A7EC8F8" w14:textId="77777777" w:rsidR="006C7A1F" w:rsidRDefault="006C7A1F" w:rsidP="00AA3CA8">
      <w:pPr>
        <w:rPr>
          <w:sz w:val="4"/>
          <w:szCs w:val="4"/>
        </w:rPr>
      </w:pPr>
    </w:p>
    <w:p w14:paraId="0CF084C0" w14:textId="77777777" w:rsidR="006C7A1F" w:rsidRDefault="006C7A1F" w:rsidP="00AA3CA8">
      <w:pPr>
        <w:rPr>
          <w:sz w:val="4"/>
          <w:szCs w:val="4"/>
        </w:rPr>
      </w:pPr>
    </w:p>
    <w:p w14:paraId="02216523" w14:textId="77777777" w:rsidR="000667DA" w:rsidRDefault="000667DA" w:rsidP="00AA3CA8">
      <w:pPr>
        <w:rPr>
          <w:sz w:val="4"/>
          <w:szCs w:val="4"/>
        </w:rPr>
      </w:pPr>
    </w:p>
    <w:p w14:paraId="5631A9B5" w14:textId="77777777" w:rsidR="000667DA" w:rsidRDefault="000667DA" w:rsidP="00AA3CA8">
      <w:pPr>
        <w:rPr>
          <w:sz w:val="4"/>
          <w:szCs w:val="4"/>
        </w:rPr>
      </w:pPr>
    </w:p>
    <w:p w14:paraId="4A487539" w14:textId="77777777" w:rsidR="006C7A1F" w:rsidRDefault="006C7A1F" w:rsidP="00AA3CA8">
      <w:pPr>
        <w:rPr>
          <w:sz w:val="4"/>
          <w:szCs w:val="4"/>
        </w:rPr>
      </w:pPr>
    </w:p>
    <w:p w14:paraId="58C5EED6" w14:textId="77777777" w:rsidR="006C7A1F" w:rsidRPr="006C7A1F" w:rsidRDefault="006C7A1F" w:rsidP="00AA3CA8">
      <w:pPr>
        <w:rPr>
          <w:sz w:val="4"/>
          <w:szCs w:val="4"/>
        </w:rPr>
      </w:pPr>
    </w:p>
    <w:p w14:paraId="03D4B004" w14:textId="77777777"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0BE8A" w14:textId="77777777" w:rsidR="000D3756" w:rsidRDefault="000D3756">
      <w:r>
        <w:separator/>
      </w:r>
    </w:p>
  </w:endnote>
  <w:endnote w:type="continuationSeparator" w:id="0">
    <w:p w14:paraId="3FB5676E" w14:textId="77777777"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6B1D5"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21A89320" wp14:editId="5B20FAA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D2134" w14:textId="4315CD47" w:rsidR="009D70A4" w:rsidRPr="00A11421" w:rsidRDefault="006A7939" w:rsidP="0051568D">
    <w:pPr>
      <w:pStyle w:val="DHHSfooter"/>
    </w:pPr>
    <w:r>
      <w:t>Activity description</w:t>
    </w:r>
    <w:r w:rsidR="00EE5407">
      <w:t xml:space="preserve"> (human services): Housing Infrastruc</w:t>
    </w:r>
    <w:r w:rsidR="00441AAE">
      <w:t>ture facilities management</w:t>
    </w:r>
    <w:r>
      <w:t xml:space="preserve"> </w:t>
    </w:r>
    <w:r w:rsidR="00B87C3B">
      <w:t>914</w:t>
    </w:r>
    <w:r w:rsidR="00AA6895">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C4F6E" w14:textId="77777777" w:rsidR="000D3756" w:rsidRDefault="000D3756" w:rsidP="002862F1">
      <w:pPr>
        <w:spacing w:before="120"/>
      </w:pPr>
      <w:r>
        <w:separator/>
      </w:r>
    </w:p>
  </w:footnote>
  <w:footnote w:type="continuationSeparator" w:id="0">
    <w:p w14:paraId="56D6D171" w14:textId="77777777" w:rsidR="000D3756" w:rsidRDefault="000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40DB9"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5F195B"/>
    <w:multiLevelType w:val="hybridMultilevel"/>
    <w:tmpl w:val="F240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0"/>
  </w:num>
  <w:num w:numId="10">
    <w:abstractNumId w:val="12"/>
  </w:num>
  <w:num w:numId="11">
    <w:abstractNumId w:val="6"/>
  </w:num>
  <w:num w:numId="12">
    <w:abstractNumId w:val="7"/>
  </w:num>
  <w:num w:numId="13">
    <w:abstractNumId w:val="4"/>
  </w:num>
  <w:num w:numId="14">
    <w:abstractNumId w:val="11"/>
  </w:num>
  <w:num w:numId="15">
    <w:abstractNumId w:val="2"/>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20209"/>
    <w:rsid w:val="000214DC"/>
    <w:rsid w:val="00024D89"/>
    <w:rsid w:val="000250B6"/>
    <w:rsid w:val="00031F0E"/>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0F2B4A"/>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A2C"/>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B2205"/>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1AAE"/>
    <w:rsid w:val="00442C6C"/>
    <w:rsid w:val="00443CBE"/>
    <w:rsid w:val="00443E8A"/>
    <w:rsid w:val="004441BC"/>
    <w:rsid w:val="004468B4"/>
    <w:rsid w:val="0045230A"/>
    <w:rsid w:val="00457337"/>
    <w:rsid w:val="00457807"/>
    <w:rsid w:val="00462CB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08E5"/>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2031"/>
    <w:rsid w:val="00575BC9"/>
    <w:rsid w:val="00576E84"/>
    <w:rsid w:val="00580459"/>
    <w:rsid w:val="00580E19"/>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7574"/>
    <w:rsid w:val="0068454C"/>
    <w:rsid w:val="00691B62"/>
    <w:rsid w:val="00693D14"/>
    <w:rsid w:val="00695418"/>
    <w:rsid w:val="00697090"/>
    <w:rsid w:val="006A18C2"/>
    <w:rsid w:val="006A7939"/>
    <w:rsid w:val="006B077C"/>
    <w:rsid w:val="006B6803"/>
    <w:rsid w:val="006C5390"/>
    <w:rsid w:val="006C7A1F"/>
    <w:rsid w:val="006D2A3F"/>
    <w:rsid w:val="006D2FBC"/>
    <w:rsid w:val="006D72EA"/>
    <w:rsid w:val="006E138B"/>
    <w:rsid w:val="006F0FB0"/>
    <w:rsid w:val="006F1FDC"/>
    <w:rsid w:val="006F4D07"/>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573C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BCF"/>
    <w:rsid w:val="00820E0C"/>
    <w:rsid w:val="008237E6"/>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165"/>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7043E"/>
    <w:rsid w:val="00976E6E"/>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6895"/>
    <w:rsid w:val="00AA7900"/>
    <w:rsid w:val="00AB06E8"/>
    <w:rsid w:val="00AB1CD3"/>
    <w:rsid w:val="00AB352F"/>
    <w:rsid w:val="00AC0C15"/>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4AE8"/>
    <w:rsid w:val="00B62B50"/>
    <w:rsid w:val="00B635B7"/>
    <w:rsid w:val="00B63AE8"/>
    <w:rsid w:val="00B65950"/>
    <w:rsid w:val="00B66D83"/>
    <w:rsid w:val="00B672C0"/>
    <w:rsid w:val="00B70F76"/>
    <w:rsid w:val="00B7459A"/>
    <w:rsid w:val="00B75646"/>
    <w:rsid w:val="00B8690F"/>
    <w:rsid w:val="00B87C3B"/>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4EDD"/>
    <w:rsid w:val="00DD6628"/>
    <w:rsid w:val="00DE3250"/>
    <w:rsid w:val="00DE4E5C"/>
    <w:rsid w:val="00DE6028"/>
    <w:rsid w:val="00DE78A3"/>
    <w:rsid w:val="00DF1A71"/>
    <w:rsid w:val="00DF68C7"/>
    <w:rsid w:val="00DF6BAF"/>
    <w:rsid w:val="00DF731A"/>
    <w:rsid w:val="00E05E8D"/>
    <w:rsid w:val="00E170DC"/>
    <w:rsid w:val="00E26818"/>
    <w:rsid w:val="00E2716A"/>
    <w:rsid w:val="00E27FFC"/>
    <w:rsid w:val="00E30B15"/>
    <w:rsid w:val="00E327EB"/>
    <w:rsid w:val="00E40181"/>
    <w:rsid w:val="00E53D0C"/>
    <w:rsid w:val="00E56A01"/>
    <w:rsid w:val="00E629A1"/>
    <w:rsid w:val="00E71591"/>
    <w:rsid w:val="00E82C55"/>
    <w:rsid w:val="00E92AC3"/>
    <w:rsid w:val="00EA4CB5"/>
    <w:rsid w:val="00EB00E0"/>
    <w:rsid w:val="00EB442C"/>
    <w:rsid w:val="00EC059F"/>
    <w:rsid w:val="00EC1F24"/>
    <w:rsid w:val="00EC22F6"/>
    <w:rsid w:val="00EC27BC"/>
    <w:rsid w:val="00EC4117"/>
    <w:rsid w:val="00ED5B9B"/>
    <w:rsid w:val="00ED6BAD"/>
    <w:rsid w:val="00ED7447"/>
    <w:rsid w:val="00EE1488"/>
    <w:rsid w:val="00EE4D5D"/>
    <w:rsid w:val="00EE5131"/>
    <w:rsid w:val="00EE5407"/>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A5827"/>
    <w:rsid w:val="00FB4CDA"/>
    <w:rsid w:val="00FC0F81"/>
    <w:rsid w:val="00FC395C"/>
    <w:rsid w:val="00FD3766"/>
    <w:rsid w:val="00FD47C4"/>
    <w:rsid w:val="00FE2DCF"/>
    <w:rsid w:val="00FE56BD"/>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634DBF54"/>
  <w15:docId w15:val="{5BE8E689-C65B-445A-8AC6-F78C0268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uiPriority w:val="1"/>
    <w:qFormat/>
    <w:rsid w:val="00EE5407"/>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uiPriority w:val="1"/>
    <w:qFormat/>
    <w:rsid w:val="00EE5407"/>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E5407"/>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EE5407"/>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paragraph" w:styleId="BodyTextIndent">
    <w:name w:val="Body Text Indent"/>
    <w:basedOn w:val="Normal"/>
    <w:link w:val="BodyTextIndentChar"/>
    <w:rsid w:val="00AA6895"/>
    <w:pPr>
      <w:spacing w:before="0" w:after="120" w:line="240" w:lineRule="auto"/>
      <w:ind w:left="283"/>
    </w:pPr>
    <w:rPr>
      <w:rFonts w:ascii="Verdana" w:hAnsi="Verdana"/>
      <w:lang w:eastAsia="en-US"/>
    </w:rPr>
  </w:style>
  <w:style w:type="character" w:customStyle="1" w:styleId="BodyTextIndentChar">
    <w:name w:val="Body Text Indent Char"/>
    <w:basedOn w:val="DefaultParagraphFont"/>
    <w:link w:val="BodyTextIndent"/>
    <w:rsid w:val="00AA6895"/>
    <w:rPr>
      <w:rFonts w:ascii="Verdana" w:hAnsi="Verdana"/>
      <w:lang w:eastAsia="en-US"/>
    </w:rPr>
  </w:style>
  <w:style w:type="character" w:styleId="CommentReference">
    <w:name w:val="annotation reference"/>
    <w:basedOn w:val="DefaultParagraphFont"/>
    <w:uiPriority w:val="99"/>
    <w:semiHidden/>
    <w:unhideWhenUsed/>
    <w:rsid w:val="008D4165"/>
    <w:rPr>
      <w:sz w:val="16"/>
      <w:szCs w:val="16"/>
    </w:rPr>
  </w:style>
  <w:style w:type="paragraph" w:styleId="CommentText">
    <w:name w:val="annotation text"/>
    <w:basedOn w:val="Normal"/>
    <w:link w:val="CommentTextChar"/>
    <w:uiPriority w:val="99"/>
    <w:semiHidden/>
    <w:unhideWhenUsed/>
    <w:rsid w:val="008D4165"/>
    <w:pPr>
      <w:spacing w:line="240" w:lineRule="auto"/>
    </w:pPr>
  </w:style>
  <w:style w:type="character" w:customStyle="1" w:styleId="CommentTextChar">
    <w:name w:val="Comment Text Char"/>
    <w:basedOn w:val="DefaultParagraphFont"/>
    <w:link w:val="CommentText"/>
    <w:uiPriority w:val="99"/>
    <w:semiHidden/>
    <w:rsid w:val="008D4165"/>
    <w:rPr>
      <w:rFonts w:ascii="Arial" w:hAnsi="Arial"/>
    </w:rPr>
  </w:style>
  <w:style w:type="paragraph" w:styleId="CommentSubject">
    <w:name w:val="annotation subject"/>
    <w:basedOn w:val="CommentText"/>
    <w:next w:val="CommentText"/>
    <w:link w:val="CommentSubjectChar"/>
    <w:uiPriority w:val="99"/>
    <w:semiHidden/>
    <w:unhideWhenUsed/>
    <w:rsid w:val="008D4165"/>
    <w:rPr>
      <w:b/>
      <w:bCs/>
    </w:rPr>
  </w:style>
  <w:style w:type="character" w:customStyle="1" w:styleId="CommentSubjectChar">
    <w:name w:val="Comment Subject Char"/>
    <w:basedOn w:val="CommentTextChar"/>
    <w:link w:val="CommentSubject"/>
    <w:uiPriority w:val="99"/>
    <w:semiHidden/>
    <w:rsid w:val="008D416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8958842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providers.dhhs.vic.gov.au/public-housing-infrastructure-program-framework-and-funding-guidelines-2017-wor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oviders.dhhs.vic.gov.au/health-human-services-activity-search"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policy@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DDF85259-5D16-481C-BE76-DA074BA147D7}">
  <ds:schemaRefs>
    <ds:schemaRef ds:uri="http://schemas.openxmlformats.org/officeDocument/2006/bibliography"/>
  </ds:schemaRefs>
</ds:datastoreItem>
</file>

<file path=customXml/itemProps2.xml><?xml version="1.0" encoding="utf-8"?>
<ds:datastoreItem xmlns:ds="http://schemas.openxmlformats.org/officeDocument/2006/customXml" ds:itemID="{6880A2C8-75CF-4B1E-974B-30D433DDD4DF}"/>
</file>

<file path=customXml/itemProps3.xml><?xml version="1.0" encoding="utf-8"?>
<ds:datastoreItem xmlns:ds="http://schemas.openxmlformats.org/officeDocument/2006/customXml" ds:itemID="{028F847D-44AC-4DF4-8FFD-C4A745521FF9}"/>
</file>

<file path=customXml/itemProps4.xml><?xml version="1.0" encoding="utf-8"?>
<ds:datastoreItem xmlns:ds="http://schemas.openxmlformats.org/officeDocument/2006/customXml" ds:itemID="{EE4994F7-0A87-4FCF-AEAC-D0DA1ED96DF7}"/>
</file>

<file path=docProps/app.xml><?xml version="1.0" encoding="utf-8"?>
<Properties xmlns="http://schemas.openxmlformats.org/officeDocument/2006/extended-properties" xmlns:vt="http://schemas.openxmlformats.org/officeDocument/2006/docPropsVTypes">
  <Template>DHHS Factsheet 01 Navy 2765.dot</Template>
  <TotalTime>3</TotalTime>
  <Pages>2</Pages>
  <Words>402</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Activity description human services housing infrastructure facilities management 91415</vt:lpstr>
    </vt:vector>
  </TitlesOfParts>
  <Company>Department of Health and Human Services</Company>
  <LinksUpToDate>false</LinksUpToDate>
  <CharactersWithSpaces>3578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housing infrastructure facilities management 91415</dc:title>
  <dc:subject>service agreement activity descriptions</dc:subject>
  <dc:creator>service agreement policy unit</dc:creator>
  <cp:keywords>service agreement; activity description; human services; housing assistance; housing infrastructure facilities management; 91415</cp:keywords>
  <cp:lastModifiedBy>Louise Crowther (DHHS)</cp:lastModifiedBy>
  <cp:revision>5</cp:revision>
  <cp:lastPrinted>2019-05-06T02:56:00Z</cp:lastPrinted>
  <dcterms:created xsi:type="dcterms:W3CDTF">2019-06-07T01:39:00Z</dcterms:created>
  <dcterms:modified xsi:type="dcterms:W3CDTF">2019-06-18T02:25:00Z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