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5DF340A7">
        <w:trPr>
          <w:trHeight w:val="1418"/>
        </w:trPr>
        <w:tc>
          <w:tcPr>
            <w:tcW w:w="7825" w:type="dxa"/>
            <w:vAlign w:val="bottom"/>
          </w:tcPr>
          <w:p w14:paraId="1B06FE4C" w14:textId="5C4275AE" w:rsidR="00AD784C" w:rsidRPr="0009050A" w:rsidRDefault="002961F2" w:rsidP="0016037B">
            <w:pPr>
              <w:pStyle w:val="Documenttitle"/>
            </w:pPr>
            <w:r w:rsidRPr="002961F2">
              <w:t>Housing First for Young People Leaving Care</w:t>
            </w:r>
            <w:r w:rsidR="004E7923">
              <w:t xml:space="preserve"> (Housing First)</w:t>
            </w:r>
          </w:p>
        </w:tc>
      </w:tr>
      <w:tr w:rsidR="000B2117" w14:paraId="5DF317EC" w14:textId="77777777" w:rsidTr="5DF340A7">
        <w:trPr>
          <w:trHeight w:val="1247"/>
        </w:trPr>
        <w:tc>
          <w:tcPr>
            <w:tcW w:w="7825" w:type="dxa"/>
          </w:tcPr>
          <w:p w14:paraId="69C24C39" w14:textId="62225ACC" w:rsidR="000B2117" w:rsidRPr="0016037B" w:rsidRDefault="002961F2" w:rsidP="0016037B">
            <w:pPr>
              <w:pStyle w:val="Documentsubtitle"/>
            </w:pPr>
            <w:r>
              <w:t>Performance and Reporting Practice Advice</w:t>
            </w:r>
          </w:p>
        </w:tc>
      </w:tr>
      <w:tr w:rsidR="00CF4148" w14:paraId="5F5E6105" w14:textId="77777777" w:rsidTr="5DF340A7">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2CCD4945" w14:textId="285092FB" w:rsidR="00004D2D"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7400006" w:history="1">
        <w:r w:rsidR="00004D2D" w:rsidRPr="00E259C4">
          <w:rPr>
            <w:rStyle w:val="Hyperlink"/>
          </w:rPr>
          <w:t>Introduction</w:t>
        </w:r>
        <w:r w:rsidR="00004D2D">
          <w:rPr>
            <w:webHidden/>
          </w:rPr>
          <w:tab/>
        </w:r>
        <w:r w:rsidR="00004D2D">
          <w:rPr>
            <w:webHidden/>
          </w:rPr>
          <w:fldChar w:fldCharType="begin"/>
        </w:r>
        <w:r w:rsidR="00004D2D">
          <w:rPr>
            <w:webHidden/>
          </w:rPr>
          <w:instrText xml:space="preserve"> PAGEREF _Toc187400006 \h </w:instrText>
        </w:r>
        <w:r w:rsidR="00004D2D">
          <w:rPr>
            <w:webHidden/>
          </w:rPr>
        </w:r>
        <w:r w:rsidR="00004D2D">
          <w:rPr>
            <w:webHidden/>
          </w:rPr>
          <w:fldChar w:fldCharType="separate"/>
        </w:r>
        <w:r w:rsidR="00004D2D">
          <w:rPr>
            <w:webHidden/>
          </w:rPr>
          <w:t>1</w:t>
        </w:r>
        <w:r w:rsidR="00004D2D">
          <w:rPr>
            <w:webHidden/>
          </w:rPr>
          <w:fldChar w:fldCharType="end"/>
        </w:r>
      </w:hyperlink>
    </w:p>
    <w:p w14:paraId="5A80A5A5" w14:textId="704A1455"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07" w:history="1">
        <w:r w:rsidRPr="00E259C4">
          <w:rPr>
            <w:rStyle w:val="Hyperlink"/>
          </w:rPr>
          <w:t>Purpose</w:t>
        </w:r>
        <w:r>
          <w:rPr>
            <w:webHidden/>
          </w:rPr>
          <w:tab/>
        </w:r>
        <w:r>
          <w:rPr>
            <w:webHidden/>
          </w:rPr>
          <w:fldChar w:fldCharType="begin"/>
        </w:r>
        <w:r>
          <w:rPr>
            <w:webHidden/>
          </w:rPr>
          <w:instrText xml:space="preserve"> PAGEREF _Toc187400007 \h </w:instrText>
        </w:r>
        <w:r>
          <w:rPr>
            <w:webHidden/>
          </w:rPr>
        </w:r>
        <w:r>
          <w:rPr>
            <w:webHidden/>
          </w:rPr>
          <w:fldChar w:fldCharType="separate"/>
        </w:r>
        <w:r>
          <w:rPr>
            <w:webHidden/>
          </w:rPr>
          <w:t>2</w:t>
        </w:r>
        <w:r>
          <w:rPr>
            <w:webHidden/>
          </w:rPr>
          <w:fldChar w:fldCharType="end"/>
        </w:r>
      </w:hyperlink>
    </w:p>
    <w:p w14:paraId="145F9305" w14:textId="1950C501"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08" w:history="1">
        <w:r w:rsidRPr="00E259C4">
          <w:rPr>
            <w:rStyle w:val="Hyperlink"/>
          </w:rPr>
          <w:t>Audience</w:t>
        </w:r>
        <w:r>
          <w:rPr>
            <w:webHidden/>
          </w:rPr>
          <w:tab/>
        </w:r>
        <w:r>
          <w:rPr>
            <w:webHidden/>
          </w:rPr>
          <w:fldChar w:fldCharType="begin"/>
        </w:r>
        <w:r>
          <w:rPr>
            <w:webHidden/>
          </w:rPr>
          <w:instrText xml:space="preserve"> PAGEREF _Toc187400008 \h </w:instrText>
        </w:r>
        <w:r>
          <w:rPr>
            <w:webHidden/>
          </w:rPr>
        </w:r>
        <w:r>
          <w:rPr>
            <w:webHidden/>
          </w:rPr>
          <w:fldChar w:fldCharType="separate"/>
        </w:r>
        <w:r>
          <w:rPr>
            <w:webHidden/>
          </w:rPr>
          <w:t>2</w:t>
        </w:r>
        <w:r>
          <w:rPr>
            <w:webHidden/>
          </w:rPr>
          <w:fldChar w:fldCharType="end"/>
        </w:r>
      </w:hyperlink>
    </w:p>
    <w:p w14:paraId="3197E5C2" w14:textId="3DD6628E"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09" w:history="1">
        <w:r w:rsidRPr="00E259C4">
          <w:rPr>
            <w:rStyle w:val="Hyperlink"/>
          </w:rPr>
          <w:t>Performance and reporting requirements</w:t>
        </w:r>
        <w:r>
          <w:rPr>
            <w:webHidden/>
          </w:rPr>
          <w:tab/>
        </w:r>
        <w:r>
          <w:rPr>
            <w:webHidden/>
          </w:rPr>
          <w:fldChar w:fldCharType="begin"/>
        </w:r>
        <w:r>
          <w:rPr>
            <w:webHidden/>
          </w:rPr>
          <w:instrText xml:space="preserve"> PAGEREF _Toc187400009 \h </w:instrText>
        </w:r>
        <w:r>
          <w:rPr>
            <w:webHidden/>
          </w:rPr>
        </w:r>
        <w:r>
          <w:rPr>
            <w:webHidden/>
          </w:rPr>
          <w:fldChar w:fldCharType="separate"/>
        </w:r>
        <w:r>
          <w:rPr>
            <w:webHidden/>
          </w:rPr>
          <w:t>2</w:t>
        </w:r>
        <w:r>
          <w:rPr>
            <w:webHidden/>
          </w:rPr>
          <w:fldChar w:fldCharType="end"/>
        </w:r>
      </w:hyperlink>
    </w:p>
    <w:p w14:paraId="2B560D22" w14:textId="148DF0C9"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10" w:history="1">
        <w:r w:rsidRPr="00E259C4">
          <w:rPr>
            <w:rStyle w:val="Hyperlink"/>
          </w:rPr>
          <w:t>The department’s service agreement requirements</w:t>
        </w:r>
        <w:r>
          <w:rPr>
            <w:webHidden/>
          </w:rPr>
          <w:tab/>
        </w:r>
        <w:r>
          <w:rPr>
            <w:webHidden/>
          </w:rPr>
          <w:fldChar w:fldCharType="begin"/>
        </w:r>
        <w:r>
          <w:rPr>
            <w:webHidden/>
          </w:rPr>
          <w:instrText xml:space="preserve"> PAGEREF _Toc187400010 \h </w:instrText>
        </w:r>
        <w:r>
          <w:rPr>
            <w:webHidden/>
          </w:rPr>
        </w:r>
        <w:r>
          <w:rPr>
            <w:webHidden/>
          </w:rPr>
          <w:fldChar w:fldCharType="separate"/>
        </w:r>
        <w:r>
          <w:rPr>
            <w:webHidden/>
          </w:rPr>
          <w:t>2</w:t>
        </w:r>
        <w:r>
          <w:rPr>
            <w:webHidden/>
          </w:rPr>
          <w:fldChar w:fldCharType="end"/>
        </w:r>
      </w:hyperlink>
    </w:p>
    <w:p w14:paraId="1F429A09" w14:textId="18808FFB"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11" w:history="1">
        <w:r w:rsidRPr="00E259C4">
          <w:rPr>
            <w:rStyle w:val="Hyperlink"/>
          </w:rPr>
          <w:t>The department’s reporting tools</w:t>
        </w:r>
        <w:r>
          <w:rPr>
            <w:webHidden/>
          </w:rPr>
          <w:tab/>
        </w:r>
        <w:r>
          <w:rPr>
            <w:webHidden/>
          </w:rPr>
          <w:fldChar w:fldCharType="begin"/>
        </w:r>
        <w:r>
          <w:rPr>
            <w:webHidden/>
          </w:rPr>
          <w:instrText xml:space="preserve"> PAGEREF _Toc187400011 \h </w:instrText>
        </w:r>
        <w:r>
          <w:rPr>
            <w:webHidden/>
          </w:rPr>
        </w:r>
        <w:r>
          <w:rPr>
            <w:webHidden/>
          </w:rPr>
          <w:fldChar w:fldCharType="separate"/>
        </w:r>
        <w:r>
          <w:rPr>
            <w:webHidden/>
          </w:rPr>
          <w:t>3</w:t>
        </w:r>
        <w:r>
          <w:rPr>
            <w:webHidden/>
          </w:rPr>
          <w:fldChar w:fldCharType="end"/>
        </w:r>
      </w:hyperlink>
    </w:p>
    <w:p w14:paraId="591C0616" w14:textId="162E7066" w:rsidR="00004D2D" w:rsidRDefault="00004D2D">
      <w:pPr>
        <w:pStyle w:val="TOC2"/>
        <w:rPr>
          <w:rFonts w:asciiTheme="minorHAnsi" w:eastAsiaTheme="minorEastAsia" w:hAnsiTheme="minorHAnsi" w:cstheme="minorBidi"/>
          <w:kern w:val="2"/>
          <w:sz w:val="24"/>
          <w:szCs w:val="24"/>
          <w:lang w:eastAsia="en-AU"/>
          <w14:ligatures w14:val="standardContextual"/>
        </w:rPr>
      </w:pPr>
      <w:hyperlink w:anchor="_Toc187400012" w:history="1">
        <w:r w:rsidRPr="00E259C4">
          <w:rPr>
            <w:rStyle w:val="Hyperlink"/>
          </w:rPr>
          <w:t>Service delivery tracking</w:t>
        </w:r>
        <w:r>
          <w:rPr>
            <w:webHidden/>
          </w:rPr>
          <w:tab/>
        </w:r>
        <w:r>
          <w:rPr>
            <w:webHidden/>
          </w:rPr>
          <w:fldChar w:fldCharType="begin"/>
        </w:r>
        <w:r>
          <w:rPr>
            <w:webHidden/>
          </w:rPr>
          <w:instrText xml:space="preserve"> PAGEREF _Toc187400012 \h </w:instrText>
        </w:r>
        <w:r>
          <w:rPr>
            <w:webHidden/>
          </w:rPr>
        </w:r>
        <w:r>
          <w:rPr>
            <w:webHidden/>
          </w:rPr>
          <w:fldChar w:fldCharType="separate"/>
        </w:r>
        <w:r>
          <w:rPr>
            <w:webHidden/>
          </w:rPr>
          <w:t>3</w:t>
        </w:r>
        <w:r>
          <w:rPr>
            <w:webHidden/>
          </w:rPr>
          <w:fldChar w:fldCharType="end"/>
        </w:r>
      </w:hyperlink>
    </w:p>
    <w:p w14:paraId="23226A63" w14:textId="115E48C0"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13" w:history="1">
        <w:r w:rsidRPr="00E259C4">
          <w:rPr>
            <w:rStyle w:val="Hyperlink"/>
          </w:rPr>
          <w:t>Information regarding Housing First (31652) funded activities</w:t>
        </w:r>
        <w:r>
          <w:rPr>
            <w:webHidden/>
          </w:rPr>
          <w:tab/>
        </w:r>
        <w:r>
          <w:rPr>
            <w:webHidden/>
          </w:rPr>
          <w:fldChar w:fldCharType="begin"/>
        </w:r>
        <w:r>
          <w:rPr>
            <w:webHidden/>
          </w:rPr>
          <w:instrText xml:space="preserve"> PAGEREF _Toc187400013 \h </w:instrText>
        </w:r>
        <w:r>
          <w:rPr>
            <w:webHidden/>
          </w:rPr>
        </w:r>
        <w:r>
          <w:rPr>
            <w:webHidden/>
          </w:rPr>
          <w:fldChar w:fldCharType="separate"/>
        </w:r>
        <w:r>
          <w:rPr>
            <w:webHidden/>
          </w:rPr>
          <w:t>3</w:t>
        </w:r>
        <w:r>
          <w:rPr>
            <w:webHidden/>
          </w:rPr>
          <w:fldChar w:fldCharType="end"/>
        </w:r>
      </w:hyperlink>
    </w:p>
    <w:p w14:paraId="7A581D1F" w14:textId="71B2F1D8" w:rsidR="00004D2D" w:rsidRDefault="00004D2D">
      <w:pPr>
        <w:pStyle w:val="TOC2"/>
        <w:rPr>
          <w:rFonts w:asciiTheme="minorHAnsi" w:eastAsiaTheme="minorEastAsia" w:hAnsiTheme="minorHAnsi" w:cstheme="minorBidi"/>
          <w:kern w:val="2"/>
          <w:sz w:val="24"/>
          <w:szCs w:val="24"/>
          <w:lang w:eastAsia="en-AU"/>
          <w14:ligatures w14:val="standardContextual"/>
        </w:rPr>
      </w:pPr>
      <w:hyperlink w:anchor="_Toc187400014" w:history="1">
        <w:r w:rsidRPr="00E259C4">
          <w:rPr>
            <w:rStyle w:val="Hyperlink"/>
          </w:rPr>
          <w:t>Housing First case work Support (10 hours)</w:t>
        </w:r>
        <w:r>
          <w:rPr>
            <w:webHidden/>
          </w:rPr>
          <w:tab/>
        </w:r>
        <w:r>
          <w:rPr>
            <w:webHidden/>
          </w:rPr>
          <w:fldChar w:fldCharType="begin"/>
        </w:r>
        <w:r>
          <w:rPr>
            <w:webHidden/>
          </w:rPr>
          <w:instrText xml:space="preserve"> PAGEREF _Toc187400014 \h </w:instrText>
        </w:r>
        <w:r>
          <w:rPr>
            <w:webHidden/>
          </w:rPr>
        </w:r>
        <w:r>
          <w:rPr>
            <w:webHidden/>
          </w:rPr>
          <w:fldChar w:fldCharType="separate"/>
        </w:r>
        <w:r>
          <w:rPr>
            <w:webHidden/>
          </w:rPr>
          <w:t>3</w:t>
        </w:r>
        <w:r>
          <w:rPr>
            <w:webHidden/>
          </w:rPr>
          <w:fldChar w:fldCharType="end"/>
        </w:r>
      </w:hyperlink>
    </w:p>
    <w:p w14:paraId="21622134" w14:textId="1E8DEBED" w:rsidR="00004D2D" w:rsidRDefault="00004D2D">
      <w:pPr>
        <w:pStyle w:val="TOC2"/>
        <w:rPr>
          <w:rFonts w:asciiTheme="minorHAnsi" w:eastAsiaTheme="minorEastAsia" w:hAnsiTheme="minorHAnsi" w:cstheme="minorBidi"/>
          <w:kern w:val="2"/>
          <w:sz w:val="24"/>
          <w:szCs w:val="24"/>
          <w:lang w:eastAsia="en-AU"/>
          <w14:ligatures w14:val="standardContextual"/>
        </w:rPr>
      </w:pPr>
      <w:hyperlink w:anchor="_Toc187400015" w:history="1">
        <w:r w:rsidRPr="00E259C4">
          <w:rPr>
            <w:rStyle w:val="Hyperlink"/>
          </w:rPr>
          <w:t>Tenancy support</w:t>
        </w:r>
        <w:r>
          <w:rPr>
            <w:webHidden/>
          </w:rPr>
          <w:tab/>
        </w:r>
        <w:r>
          <w:rPr>
            <w:webHidden/>
          </w:rPr>
          <w:fldChar w:fldCharType="begin"/>
        </w:r>
        <w:r>
          <w:rPr>
            <w:webHidden/>
          </w:rPr>
          <w:instrText xml:space="preserve"> PAGEREF _Toc187400015 \h </w:instrText>
        </w:r>
        <w:r>
          <w:rPr>
            <w:webHidden/>
          </w:rPr>
        </w:r>
        <w:r>
          <w:rPr>
            <w:webHidden/>
          </w:rPr>
          <w:fldChar w:fldCharType="separate"/>
        </w:r>
        <w:r>
          <w:rPr>
            <w:webHidden/>
          </w:rPr>
          <w:t>4</w:t>
        </w:r>
        <w:r>
          <w:rPr>
            <w:webHidden/>
          </w:rPr>
          <w:fldChar w:fldCharType="end"/>
        </w:r>
      </w:hyperlink>
    </w:p>
    <w:p w14:paraId="4CA093F1" w14:textId="7BB0D567" w:rsidR="00004D2D" w:rsidRDefault="00004D2D">
      <w:pPr>
        <w:pStyle w:val="TOC2"/>
        <w:rPr>
          <w:rFonts w:asciiTheme="minorHAnsi" w:eastAsiaTheme="minorEastAsia" w:hAnsiTheme="minorHAnsi" w:cstheme="minorBidi"/>
          <w:kern w:val="2"/>
          <w:sz w:val="24"/>
          <w:szCs w:val="24"/>
          <w:lang w:eastAsia="en-AU"/>
          <w14:ligatures w14:val="standardContextual"/>
        </w:rPr>
      </w:pPr>
      <w:hyperlink w:anchor="_Toc187400016" w:history="1">
        <w:r w:rsidRPr="00E259C4">
          <w:rPr>
            <w:rStyle w:val="Hyperlink"/>
          </w:rPr>
          <w:t>Requirements</w:t>
        </w:r>
        <w:r>
          <w:rPr>
            <w:webHidden/>
          </w:rPr>
          <w:tab/>
        </w:r>
        <w:r>
          <w:rPr>
            <w:webHidden/>
          </w:rPr>
          <w:fldChar w:fldCharType="begin"/>
        </w:r>
        <w:r>
          <w:rPr>
            <w:webHidden/>
          </w:rPr>
          <w:instrText xml:space="preserve"> PAGEREF _Toc187400016 \h </w:instrText>
        </w:r>
        <w:r>
          <w:rPr>
            <w:webHidden/>
          </w:rPr>
        </w:r>
        <w:r>
          <w:rPr>
            <w:webHidden/>
          </w:rPr>
          <w:fldChar w:fldCharType="separate"/>
        </w:r>
        <w:r>
          <w:rPr>
            <w:webHidden/>
          </w:rPr>
          <w:t>4</w:t>
        </w:r>
        <w:r>
          <w:rPr>
            <w:webHidden/>
          </w:rPr>
          <w:fldChar w:fldCharType="end"/>
        </w:r>
      </w:hyperlink>
    </w:p>
    <w:p w14:paraId="47586C67" w14:textId="57436015" w:rsidR="00004D2D" w:rsidRDefault="00004D2D">
      <w:pPr>
        <w:pStyle w:val="TOC2"/>
        <w:rPr>
          <w:rFonts w:asciiTheme="minorHAnsi" w:eastAsiaTheme="minorEastAsia" w:hAnsiTheme="minorHAnsi" w:cstheme="minorBidi"/>
          <w:kern w:val="2"/>
          <w:sz w:val="24"/>
          <w:szCs w:val="24"/>
          <w:lang w:eastAsia="en-AU"/>
          <w14:ligatures w14:val="standardContextual"/>
        </w:rPr>
      </w:pPr>
      <w:hyperlink w:anchor="_Toc187400017" w:history="1">
        <w:r w:rsidRPr="00E259C4">
          <w:rPr>
            <w:rStyle w:val="Hyperlink"/>
          </w:rPr>
          <w:t>Brokerage for Aboriginal young people</w:t>
        </w:r>
        <w:r>
          <w:rPr>
            <w:webHidden/>
          </w:rPr>
          <w:tab/>
        </w:r>
        <w:r>
          <w:rPr>
            <w:webHidden/>
          </w:rPr>
          <w:fldChar w:fldCharType="begin"/>
        </w:r>
        <w:r>
          <w:rPr>
            <w:webHidden/>
          </w:rPr>
          <w:instrText xml:space="preserve"> PAGEREF _Toc187400017 \h </w:instrText>
        </w:r>
        <w:r>
          <w:rPr>
            <w:webHidden/>
          </w:rPr>
        </w:r>
        <w:r>
          <w:rPr>
            <w:webHidden/>
          </w:rPr>
          <w:fldChar w:fldCharType="separate"/>
        </w:r>
        <w:r>
          <w:rPr>
            <w:webHidden/>
          </w:rPr>
          <w:t>5</w:t>
        </w:r>
        <w:r>
          <w:rPr>
            <w:webHidden/>
          </w:rPr>
          <w:fldChar w:fldCharType="end"/>
        </w:r>
      </w:hyperlink>
    </w:p>
    <w:p w14:paraId="26437BD1" w14:textId="79E75690"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18" w:history="1">
        <w:r w:rsidRPr="00E259C4">
          <w:rPr>
            <w:rStyle w:val="Hyperlink"/>
          </w:rPr>
          <w:t>Guidelines for number of service hours</w:t>
        </w:r>
        <w:r>
          <w:rPr>
            <w:webHidden/>
          </w:rPr>
          <w:tab/>
        </w:r>
        <w:r>
          <w:rPr>
            <w:webHidden/>
          </w:rPr>
          <w:fldChar w:fldCharType="begin"/>
        </w:r>
        <w:r>
          <w:rPr>
            <w:webHidden/>
          </w:rPr>
          <w:instrText xml:space="preserve"> PAGEREF _Toc187400018 \h </w:instrText>
        </w:r>
        <w:r>
          <w:rPr>
            <w:webHidden/>
          </w:rPr>
        </w:r>
        <w:r>
          <w:rPr>
            <w:webHidden/>
          </w:rPr>
          <w:fldChar w:fldCharType="separate"/>
        </w:r>
        <w:r>
          <w:rPr>
            <w:webHidden/>
          </w:rPr>
          <w:t>5</w:t>
        </w:r>
        <w:r>
          <w:rPr>
            <w:webHidden/>
          </w:rPr>
          <w:fldChar w:fldCharType="end"/>
        </w:r>
      </w:hyperlink>
    </w:p>
    <w:p w14:paraId="05F1D6F3" w14:textId="12AAD38F" w:rsidR="00004D2D" w:rsidRDefault="00004D2D">
      <w:pPr>
        <w:pStyle w:val="TOC1"/>
        <w:rPr>
          <w:rFonts w:asciiTheme="minorHAnsi" w:eastAsiaTheme="minorEastAsia" w:hAnsiTheme="minorHAnsi" w:cstheme="minorBidi"/>
          <w:b w:val="0"/>
          <w:kern w:val="2"/>
          <w:sz w:val="24"/>
          <w:szCs w:val="24"/>
          <w:lang w:eastAsia="en-AU"/>
          <w14:ligatures w14:val="standardContextual"/>
        </w:rPr>
      </w:pPr>
      <w:hyperlink w:anchor="_Toc187400019" w:history="1">
        <w:r w:rsidRPr="00E259C4">
          <w:rPr>
            <w:rStyle w:val="Hyperlink"/>
          </w:rPr>
          <w:t>Additional information</w:t>
        </w:r>
        <w:r>
          <w:rPr>
            <w:webHidden/>
          </w:rPr>
          <w:tab/>
        </w:r>
        <w:r>
          <w:rPr>
            <w:webHidden/>
          </w:rPr>
          <w:fldChar w:fldCharType="begin"/>
        </w:r>
        <w:r>
          <w:rPr>
            <w:webHidden/>
          </w:rPr>
          <w:instrText xml:space="preserve"> PAGEREF _Toc187400019 \h </w:instrText>
        </w:r>
        <w:r>
          <w:rPr>
            <w:webHidden/>
          </w:rPr>
        </w:r>
        <w:r>
          <w:rPr>
            <w:webHidden/>
          </w:rPr>
          <w:fldChar w:fldCharType="separate"/>
        </w:r>
        <w:r>
          <w:rPr>
            <w:webHidden/>
          </w:rPr>
          <w:t>6</w:t>
        </w:r>
        <w:r>
          <w:rPr>
            <w:webHidden/>
          </w:rPr>
          <w:fldChar w:fldCharType="end"/>
        </w:r>
      </w:hyperlink>
    </w:p>
    <w:p w14:paraId="13445742" w14:textId="29CFC979" w:rsidR="00580394" w:rsidRPr="00B519CD" w:rsidRDefault="00AD784C"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6500107F" w14:textId="6BBE89BF" w:rsidR="008A5D60" w:rsidRDefault="009525E5" w:rsidP="003D7E30">
      <w:pPr>
        <w:pStyle w:val="Heading1"/>
      </w:pPr>
      <w:bookmarkStart w:id="0" w:name="_Toc187400006"/>
      <w:r>
        <w:t>Introduction</w:t>
      </w:r>
      <w:bookmarkEnd w:id="0"/>
    </w:p>
    <w:p w14:paraId="729678EC" w14:textId="77777777" w:rsidR="00A57EF8" w:rsidRDefault="00A57EF8" w:rsidP="00A57EF8">
      <w:pPr>
        <w:pStyle w:val="Body"/>
      </w:pPr>
      <w:r>
        <w:t>Each year in Victoria, about 1,000 young people aged 16 to 18 have their child protection order end for the final time and leave care.</w:t>
      </w:r>
    </w:p>
    <w:p w14:paraId="7505235B" w14:textId="77777777" w:rsidR="00964C9C" w:rsidRDefault="00E656EC" w:rsidP="00A57EF8">
      <w:pPr>
        <w:pStyle w:val="Body"/>
      </w:pPr>
      <w:r w:rsidRPr="00E656EC">
        <w:t>Young care leavers are more likely to experience a range of adverse life outcomes than their peers from a non-care background. Access to stable housing continues to be a challenge</w:t>
      </w:r>
      <w:r w:rsidR="00964C9C">
        <w:t>.</w:t>
      </w:r>
    </w:p>
    <w:p w14:paraId="3FC88FE2" w14:textId="49A41977" w:rsidR="00A57EF8" w:rsidRDefault="005C21C2" w:rsidP="00A57EF8">
      <w:pPr>
        <w:pStyle w:val="Body"/>
      </w:pPr>
      <w:r>
        <w:t xml:space="preserve">In </w:t>
      </w:r>
      <w:r w:rsidR="00A57EF8">
        <w:t>the 2023</w:t>
      </w:r>
      <w:r w:rsidR="0089341C">
        <w:t>/</w:t>
      </w:r>
      <w:r w:rsidR="00A57EF8">
        <w:t xml:space="preserve">24 State Budget, the </w:t>
      </w:r>
      <w:r w:rsidR="00C55BF5">
        <w:t>Victorian government</w:t>
      </w:r>
      <w:r w:rsidR="00F80693">
        <w:t xml:space="preserve"> </w:t>
      </w:r>
      <w:r w:rsidR="00A57EF8">
        <w:t>funded the Housing First for Young People Leaving Care (Housing First)</w:t>
      </w:r>
      <w:r>
        <w:t xml:space="preserve"> program. The program </w:t>
      </w:r>
      <w:r w:rsidR="008A65DA">
        <w:t xml:space="preserve">is </w:t>
      </w:r>
      <w:r w:rsidR="00A57EF8">
        <w:t>support</w:t>
      </w:r>
      <w:r w:rsidR="008A65DA">
        <w:t>ing up to</w:t>
      </w:r>
      <w:r w:rsidR="00A57EF8">
        <w:t xml:space="preserve"> 225 young people leaving residential care and other settings with at least </w:t>
      </w:r>
      <w:r>
        <w:t xml:space="preserve">2 </w:t>
      </w:r>
      <w:r w:rsidR="00A57EF8">
        <w:t xml:space="preserve">years of housing and at least </w:t>
      </w:r>
      <w:r>
        <w:t xml:space="preserve">3 </w:t>
      </w:r>
      <w:r w:rsidR="00A57EF8">
        <w:t>years of wrap-around support.</w:t>
      </w:r>
    </w:p>
    <w:p w14:paraId="0C44AF37" w14:textId="77777777" w:rsidR="00A57EF8" w:rsidRDefault="00A57EF8" w:rsidP="00A57EF8">
      <w:pPr>
        <w:pStyle w:val="Body"/>
      </w:pPr>
      <w:r>
        <w:t xml:space="preserve">Housing First will: </w:t>
      </w:r>
    </w:p>
    <w:p w14:paraId="420289DA" w14:textId="34CC5D27" w:rsidR="00A57EF8" w:rsidRDefault="00A57EF8" w:rsidP="00A57EF8">
      <w:pPr>
        <w:pStyle w:val="Bullet1"/>
      </w:pPr>
      <w:r>
        <w:t>give young people leaving care guaranteed housing and support</w:t>
      </w:r>
    </w:p>
    <w:p w14:paraId="766F44DC" w14:textId="6BD29664" w:rsidR="00A57EF8" w:rsidRDefault="00A57EF8" w:rsidP="00A57EF8">
      <w:pPr>
        <w:pStyle w:val="Bullet1"/>
      </w:pPr>
      <w:r>
        <w:t>add to existing supports like Better Futures and Home Stretch</w:t>
      </w:r>
    </w:p>
    <w:p w14:paraId="25B1B5DE" w14:textId="2705E25D" w:rsidR="00A57EF8" w:rsidRDefault="00A57EF8" w:rsidP="00A57EF8">
      <w:pPr>
        <w:pStyle w:val="Bullet1"/>
      </w:pPr>
      <w:r>
        <w:t>make the transition from care for young people more gradual and supported</w:t>
      </w:r>
    </w:p>
    <w:p w14:paraId="2D9AC890" w14:textId="05A47485" w:rsidR="00A57EF8" w:rsidRDefault="00A57EF8" w:rsidP="00A57EF8">
      <w:pPr>
        <w:pStyle w:val="Bullet1"/>
      </w:pPr>
      <w:r>
        <w:t>increase chances for good life outcomes and thriving in adulthood.</w:t>
      </w:r>
    </w:p>
    <w:p w14:paraId="5E003C5D" w14:textId="6755897A" w:rsidR="00683FC8" w:rsidRDefault="00A57EF8" w:rsidP="00A57EF8">
      <w:pPr>
        <w:pStyle w:val="Bodyafterbullets"/>
      </w:pPr>
      <w:r>
        <w:lastRenderedPageBreak/>
        <w:t>The program include</w:t>
      </w:r>
      <w:r w:rsidR="00FB2C1A">
        <w:t>s</w:t>
      </w:r>
      <w:r>
        <w:t xml:space="preserve"> a number of dedicated places for Aboriginal young people given their over-representation within the leaving care population</w:t>
      </w:r>
      <w:r w:rsidR="00683FC8">
        <w:t>.</w:t>
      </w:r>
      <w:r>
        <w:t xml:space="preserve"> </w:t>
      </w:r>
    </w:p>
    <w:p w14:paraId="1287BAE7" w14:textId="2236A6BB" w:rsidR="00A57EF8" w:rsidRPr="00A57EF8" w:rsidRDefault="00A57EF8" w:rsidP="00A57EF8">
      <w:pPr>
        <w:pStyle w:val="Bodyafterbullets"/>
      </w:pPr>
      <w:r>
        <w:t xml:space="preserve">For more information about the Housing First </w:t>
      </w:r>
      <w:r w:rsidR="00FB2C1A">
        <w:t>program</w:t>
      </w:r>
      <w:r>
        <w:t xml:space="preserve">, refer to the Housing First service specifications and other related documentation available at </w:t>
      </w:r>
      <w:hyperlink r:id="rId16" w:history="1">
        <w:r w:rsidR="00A94047" w:rsidRPr="00884842">
          <w:rPr>
            <w:rStyle w:val="Hyperlink"/>
          </w:rPr>
          <w:t>Providers – Housing First</w:t>
        </w:r>
      </w:hyperlink>
      <w:r w:rsidR="000B502E">
        <w:rPr>
          <w:rStyle w:val="FootnoteReference"/>
        </w:rPr>
        <w:footnoteReference w:id="2"/>
      </w:r>
      <w:r w:rsidR="000B502E">
        <w:t>.</w:t>
      </w:r>
      <w:r w:rsidR="00A94047">
        <w:t xml:space="preserve"> </w:t>
      </w:r>
    </w:p>
    <w:p w14:paraId="6E97CFE3" w14:textId="324E9ED5" w:rsidR="003D7E30" w:rsidRDefault="00EB05C1" w:rsidP="008A5D60">
      <w:pPr>
        <w:pStyle w:val="Heading1"/>
      </w:pPr>
      <w:bookmarkStart w:id="1" w:name="_Toc187400007"/>
      <w:r>
        <w:t>Purpose</w:t>
      </w:r>
      <w:bookmarkEnd w:id="1"/>
    </w:p>
    <w:p w14:paraId="7878781D" w14:textId="2CCCD51D" w:rsidR="00AB385A" w:rsidRDefault="00AB385A" w:rsidP="00AB385A">
      <w:pPr>
        <w:pStyle w:val="Body"/>
      </w:pPr>
      <w:r>
        <w:t xml:space="preserve">Housing First is designed to improve outcomes for young people transitioning from residential care and other settings to supported independence. It is guided by the </w:t>
      </w:r>
      <w:hyperlink r:id="rId17" w:history="1">
        <w:r w:rsidR="00816D72" w:rsidRPr="00515E96">
          <w:rPr>
            <w:rStyle w:val="Hyperlink"/>
          </w:rPr>
          <w:t xml:space="preserve">Better Futures </w:t>
        </w:r>
        <w:r w:rsidRPr="00515E96">
          <w:rPr>
            <w:rStyle w:val="Hyperlink"/>
          </w:rPr>
          <w:t>Advantaged Thinking practice framework</w:t>
        </w:r>
      </w:hyperlink>
      <w:r w:rsidR="00515E96">
        <w:rPr>
          <w:rStyle w:val="FootnoteReference"/>
        </w:rPr>
        <w:footnoteReference w:id="3"/>
      </w:r>
      <w:r>
        <w:t xml:space="preserve"> and support is tailored to meet the individual needs of young people.</w:t>
      </w:r>
    </w:p>
    <w:p w14:paraId="40A4E460" w14:textId="77777777" w:rsidR="00AB385A" w:rsidRDefault="00AB385A" w:rsidP="00AB385A">
      <w:pPr>
        <w:pStyle w:val="Body"/>
      </w:pPr>
      <w:r>
        <w:t>This performance and reporting practice advice outlines performance and reporting requirements for organisations delivering Housing First as per the activities contained in the service agreement.</w:t>
      </w:r>
    </w:p>
    <w:p w14:paraId="452F69AA" w14:textId="5BEC98D5" w:rsidR="00AB385A" w:rsidRPr="00AB385A" w:rsidRDefault="00AB385A" w:rsidP="00AB385A">
      <w:pPr>
        <w:pStyle w:val="Body"/>
      </w:pPr>
      <w:r>
        <w:t xml:space="preserve">This document should be read with </w:t>
      </w:r>
      <w:r w:rsidR="00035ABB">
        <w:t xml:space="preserve">the </w:t>
      </w:r>
      <w:r>
        <w:t xml:space="preserve">individual-funded activity descriptions </w:t>
      </w:r>
      <w:r w:rsidR="00035ABB">
        <w:t>which can be found</w:t>
      </w:r>
      <w:r>
        <w:t xml:space="preserve"> </w:t>
      </w:r>
      <w:r w:rsidR="00B52A15">
        <w:t xml:space="preserve">on the </w:t>
      </w:r>
      <w:hyperlink r:id="rId18" w:history="1">
        <w:r w:rsidR="00A06AAF" w:rsidRPr="65DA6D5A">
          <w:rPr>
            <w:rStyle w:val="Hyperlink"/>
          </w:rPr>
          <w:t>D</w:t>
        </w:r>
        <w:r w:rsidR="00577A8C" w:rsidRPr="65DA6D5A">
          <w:rPr>
            <w:rStyle w:val="Hyperlink"/>
          </w:rPr>
          <w:t>epartment</w:t>
        </w:r>
        <w:r w:rsidR="00A06AAF" w:rsidRPr="65DA6D5A">
          <w:rPr>
            <w:rStyle w:val="Hyperlink"/>
          </w:rPr>
          <w:t xml:space="preserve"> of Families, Fairness and Housing (the department)</w:t>
        </w:r>
        <w:r w:rsidR="00577A8C" w:rsidRPr="65DA6D5A">
          <w:rPr>
            <w:rStyle w:val="Hyperlink"/>
          </w:rPr>
          <w:t xml:space="preserve"> activity search website</w:t>
        </w:r>
      </w:hyperlink>
      <w:r w:rsidR="00884842">
        <w:rPr>
          <w:rStyle w:val="FootnoteReference"/>
        </w:rPr>
        <w:footnoteReference w:id="4"/>
      </w:r>
      <w:r w:rsidR="00EF1D95">
        <w:t>.</w:t>
      </w:r>
    </w:p>
    <w:p w14:paraId="5406CEF7" w14:textId="404BFBB1" w:rsidR="003D7E30" w:rsidRDefault="000073E4" w:rsidP="000073E4">
      <w:pPr>
        <w:pStyle w:val="Heading1"/>
      </w:pPr>
      <w:bookmarkStart w:id="2" w:name="_Toc187400008"/>
      <w:r>
        <w:t>Audience</w:t>
      </w:r>
      <w:bookmarkEnd w:id="2"/>
    </w:p>
    <w:p w14:paraId="28F4885D" w14:textId="249CB9DD" w:rsidR="004657DD" w:rsidRDefault="00D5585C" w:rsidP="004657DD">
      <w:pPr>
        <w:pStyle w:val="Bullet1"/>
      </w:pPr>
      <w:r w:rsidRPr="00D5585C">
        <w:t xml:space="preserve">Community </w:t>
      </w:r>
      <w:r w:rsidR="004657DD">
        <w:t>s</w:t>
      </w:r>
      <w:r w:rsidR="004657DD" w:rsidRPr="00D5585C">
        <w:t xml:space="preserve">ervice </w:t>
      </w:r>
      <w:r w:rsidR="004657DD">
        <w:t>o</w:t>
      </w:r>
      <w:r w:rsidR="004657DD" w:rsidRPr="00D5585C">
        <w:t xml:space="preserve">rganisations </w:t>
      </w:r>
      <w:r w:rsidRPr="00D5585C">
        <w:t>and Aboriginal Community Controlled Organisations delivering Housing First</w:t>
      </w:r>
      <w:r w:rsidR="00214B57">
        <w:t xml:space="preserve"> Stage 1 and </w:t>
      </w:r>
      <w:r w:rsidR="00651D97">
        <w:t>Stage 2</w:t>
      </w:r>
    </w:p>
    <w:p w14:paraId="60F5D4E5" w14:textId="79B95CEE" w:rsidR="004657DD" w:rsidRDefault="14BFF6E2" w:rsidP="004657DD">
      <w:pPr>
        <w:pStyle w:val="Bullet1"/>
      </w:pPr>
      <w:r>
        <w:t xml:space="preserve">DFFH </w:t>
      </w:r>
      <w:r w:rsidR="00D5585C">
        <w:t>Agency Performance and System Support teams</w:t>
      </w:r>
      <w:r w:rsidR="0088460D">
        <w:t xml:space="preserve"> (AP</w:t>
      </w:r>
      <w:r w:rsidR="009072B5">
        <w:t>S</w:t>
      </w:r>
      <w:r w:rsidR="0088460D">
        <w:t>S)</w:t>
      </w:r>
    </w:p>
    <w:p w14:paraId="75317A4B" w14:textId="489DC2AE" w:rsidR="274E71A7" w:rsidRDefault="00220A6E" w:rsidP="006276FE">
      <w:pPr>
        <w:pStyle w:val="Bullet1"/>
      </w:pPr>
      <w:r>
        <w:t>D</w:t>
      </w:r>
      <w:r w:rsidRPr="00D5585C">
        <w:t xml:space="preserve">ivisional </w:t>
      </w:r>
      <w:r w:rsidR="00D5585C" w:rsidRPr="00D5585C">
        <w:t xml:space="preserve">Housing First </w:t>
      </w:r>
      <w:r w:rsidR="004657DD">
        <w:t>s</w:t>
      </w:r>
      <w:r w:rsidR="00D5585C" w:rsidRPr="00D5585C">
        <w:t xml:space="preserve">enior </w:t>
      </w:r>
      <w:r w:rsidR="004657DD">
        <w:t>program</w:t>
      </w:r>
      <w:r w:rsidR="004657DD" w:rsidRPr="00D5585C">
        <w:t xml:space="preserve"> </w:t>
      </w:r>
      <w:r w:rsidR="004657DD">
        <w:t>o</w:t>
      </w:r>
      <w:r w:rsidR="004657DD" w:rsidRPr="00D5585C">
        <w:t>fficers</w:t>
      </w:r>
      <w:r w:rsidR="00D5585C" w:rsidRPr="00D5585C">
        <w:t>.</w:t>
      </w:r>
    </w:p>
    <w:p w14:paraId="57D386DD" w14:textId="77777777" w:rsidR="00E119E8" w:rsidRDefault="00E119E8" w:rsidP="00E119E8">
      <w:pPr>
        <w:pStyle w:val="Heading1"/>
      </w:pPr>
      <w:bookmarkStart w:id="3" w:name="_Toc187400009"/>
      <w:r w:rsidRPr="00E119E8">
        <w:t>Performance and reporting requirements</w:t>
      </w:r>
      <w:bookmarkEnd w:id="3"/>
    </w:p>
    <w:p w14:paraId="7B8BB9E7" w14:textId="3857F1F4" w:rsidR="00827BA9" w:rsidRDefault="00827BA9" w:rsidP="007D0AA7">
      <w:pPr>
        <w:pStyle w:val="Body"/>
        <w:rPr>
          <w:b/>
        </w:rPr>
      </w:pPr>
      <w:r>
        <w:t xml:space="preserve">This practice advice outlines the activities organisations funded to deliver Housing First </w:t>
      </w:r>
      <w:r w:rsidR="736799AF">
        <w:t xml:space="preserve">must complete </w:t>
      </w:r>
      <w:r>
        <w:t xml:space="preserve">along with the department’s performance monitoring tools and resources. </w:t>
      </w:r>
    </w:p>
    <w:p w14:paraId="2EDACCAB" w14:textId="2E49033B" w:rsidR="003B1BDC" w:rsidRDefault="00037D8D" w:rsidP="00037D8D">
      <w:pPr>
        <w:pStyle w:val="Heading1"/>
      </w:pPr>
      <w:bookmarkStart w:id="4" w:name="_Toc187400010"/>
      <w:r w:rsidRPr="00037D8D">
        <w:t>The department’s service agreement requirements</w:t>
      </w:r>
      <w:bookmarkEnd w:id="4"/>
    </w:p>
    <w:p w14:paraId="64AD9DCC" w14:textId="7B2CC49E" w:rsidR="00D330D6" w:rsidRDefault="00D330D6" w:rsidP="00D330D6">
      <w:pPr>
        <w:pStyle w:val="Body"/>
      </w:pPr>
      <w:r>
        <w:t xml:space="preserve">Service agreements are used to manage departmental funding to organisations. The service agreement establishes the standard terms and conditions that apply to all funded organisations and provides organisation-specific information </w:t>
      </w:r>
      <w:r w:rsidR="002A0EF1">
        <w:t xml:space="preserve">on </w:t>
      </w:r>
      <w:r>
        <w:t>funding and payments in its schedules.</w:t>
      </w:r>
    </w:p>
    <w:p w14:paraId="738B8D86" w14:textId="6E7E08E3" w:rsidR="00D330D6" w:rsidRDefault="00D330D6" w:rsidP="00D330D6">
      <w:pPr>
        <w:pStyle w:val="Body"/>
      </w:pPr>
      <w:r>
        <w:t xml:space="preserve">The </w:t>
      </w:r>
      <w:hyperlink r:id="rId19" w:history="1">
        <w:r w:rsidRPr="00911B18">
          <w:rPr>
            <w:rStyle w:val="Hyperlink"/>
          </w:rPr>
          <w:t>Service Agreement Requirements</w:t>
        </w:r>
      </w:hyperlink>
      <w:r w:rsidR="00911B18">
        <w:rPr>
          <w:rStyle w:val="FootnoteReference"/>
        </w:rPr>
        <w:footnoteReference w:id="5"/>
      </w:r>
      <w:r>
        <w:t xml:space="preserve"> outlines the policies and obligations that form part of the service agreement.</w:t>
      </w:r>
    </w:p>
    <w:p w14:paraId="4BC13588" w14:textId="77777777" w:rsidR="00D330D6" w:rsidRDefault="00D330D6" w:rsidP="00D330D6">
      <w:pPr>
        <w:pStyle w:val="Body"/>
      </w:pPr>
      <w:r>
        <w:t>To meet the terms of the service agreement, funded organisations must ensure they comply with:</w:t>
      </w:r>
    </w:p>
    <w:p w14:paraId="4E2F72F4" w14:textId="12F1B644" w:rsidR="00D330D6" w:rsidRDefault="00D330D6" w:rsidP="00D330D6">
      <w:pPr>
        <w:pStyle w:val="Bullet1"/>
      </w:pPr>
      <w:r>
        <w:t>the service agreement</w:t>
      </w:r>
    </w:p>
    <w:p w14:paraId="0D59DE99" w14:textId="446F3074" w:rsidR="00D330D6" w:rsidRDefault="00D330D6" w:rsidP="00D330D6">
      <w:pPr>
        <w:pStyle w:val="Bullet1"/>
      </w:pPr>
      <w:r>
        <w:t>the standard policies and obligations in the service agreement requirements</w:t>
      </w:r>
    </w:p>
    <w:p w14:paraId="4BBD52E5" w14:textId="6EC18B95" w:rsidR="00D330D6" w:rsidRDefault="00D330D6" w:rsidP="00D330D6">
      <w:pPr>
        <w:pStyle w:val="Bullet1"/>
      </w:pPr>
      <w:r>
        <w:t>the specific policies and obligations in each relevant activity description.</w:t>
      </w:r>
    </w:p>
    <w:p w14:paraId="392207B0" w14:textId="5A4BE304" w:rsidR="00D330D6" w:rsidRDefault="00D330D6" w:rsidP="003F52B8">
      <w:pPr>
        <w:pStyle w:val="Bodyafterbullets"/>
      </w:pPr>
      <w:r>
        <w:lastRenderedPageBreak/>
        <w:t xml:space="preserve">To access funded activity descriptions, refer to the </w:t>
      </w:r>
      <w:hyperlink r:id="rId20" w:history="1">
        <w:r w:rsidRPr="003F52B8">
          <w:rPr>
            <w:rStyle w:val="Hyperlink"/>
          </w:rPr>
          <w:t>department’s activity search website</w:t>
        </w:r>
      </w:hyperlink>
      <w:r w:rsidR="003F52B8">
        <w:rPr>
          <w:rStyle w:val="FootnoteReference"/>
        </w:rPr>
        <w:footnoteReference w:id="6"/>
      </w:r>
      <w:r>
        <w:t>.</w:t>
      </w:r>
    </w:p>
    <w:p w14:paraId="0AFADB8D" w14:textId="6D4CD4C5" w:rsidR="00D330D6" w:rsidRDefault="00D330D6" w:rsidP="00D330D6">
      <w:pPr>
        <w:pStyle w:val="Bodyafterbullets"/>
      </w:pPr>
      <w:r>
        <w:t xml:space="preserve">The online search functionality requires the individual activity name or number. </w:t>
      </w:r>
      <w:r w:rsidRPr="00081EB2">
        <w:t xml:space="preserve">Use the relevant Housing First activity name or activity </w:t>
      </w:r>
      <w:r w:rsidR="5BFCDE89" w:rsidRPr="00081EB2">
        <w:t>number</w:t>
      </w:r>
      <w:r w:rsidR="0B7A554C" w:rsidRPr="00081EB2">
        <w:t xml:space="preserve"> </w:t>
      </w:r>
      <w:r w:rsidR="00171BE4" w:rsidRPr="00081EB2">
        <w:rPr>
          <w:b/>
          <w:bCs/>
        </w:rPr>
        <w:t>31652</w:t>
      </w:r>
      <w:r w:rsidRPr="00081EB2">
        <w:t xml:space="preserve"> to undertake the search.</w:t>
      </w:r>
    </w:p>
    <w:p w14:paraId="7E9436D8" w14:textId="0810A1EF" w:rsidR="003F52B8" w:rsidRDefault="00CC1AF9" w:rsidP="00CC1AF9">
      <w:pPr>
        <w:pStyle w:val="Heading1"/>
      </w:pPr>
      <w:bookmarkStart w:id="5" w:name="_Toc187400011"/>
      <w:r w:rsidRPr="00CC1AF9">
        <w:t>The department’s reporting tools</w:t>
      </w:r>
      <w:bookmarkEnd w:id="5"/>
    </w:p>
    <w:p w14:paraId="70BF7D23" w14:textId="77777777" w:rsidR="00F23226" w:rsidRDefault="00F23226" w:rsidP="00F23226">
      <w:pPr>
        <w:pStyle w:val="Heading2"/>
      </w:pPr>
      <w:bookmarkStart w:id="6" w:name="_Toc187400012"/>
      <w:r>
        <w:t>Service delivery tracking</w:t>
      </w:r>
      <w:bookmarkEnd w:id="6"/>
    </w:p>
    <w:p w14:paraId="7D30A238" w14:textId="77777777" w:rsidR="00F23226" w:rsidRDefault="00F23226" w:rsidP="00F23226">
      <w:pPr>
        <w:pStyle w:val="Body"/>
      </w:pPr>
      <w:r>
        <w:t>Service Delivery Tracking (SDT) supports organisations in managing their progress towards meeting agreed targets and assists the department in managing its reporting commitments. SDT is an online tracking tool that service providers are required to use to report monthly service delivery against the service agreement.</w:t>
      </w:r>
    </w:p>
    <w:p w14:paraId="4DCC3DF2" w14:textId="77777777" w:rsidR="00F23226" w:rsidRDefault="00F23226" w:rsidP="00F23226">
      <w:pPr>
        <w:pStyle w:val="Body"/>
      </w:pPr>
      <w:r>
        <w:t>The SDT acquittal templates are available for updating and submission from the first day of the month, following the reporting month.</w:t>
      </w:r>
    </w:p>
    <w:p w14:paraId="42A1F464" w14:textId="5DA92C3D" w:rsidR="00037D8D" w:rsidRDefault="00F23226" w:rsidP="00F23226">
      <w:pPr>
        <w:pStyle w:val="Body"/>
      </w:pPr>
      <w:r>
        <w:t xml:space="preserve">More information about SDT can be found on the </w:t>
      </w:r>
      <w:hyperlink r:id="rId21" w:history="1">
        <w:r w:rsidRPr="005753E6">
          <w:rPr>
            <w:rStyle w:val="Hyperlink"/>
          </w:rPr>
          <w:t>Funded Agency Channel website</w:t>
        </w:r>
      </w:hyperlink>
      <w:r w:rsidR="005753E6">
        <w:rPr>
          <w:rStyle w:val="FootnoteReference"/>
        </w:rPr>
        <w:footnoteReference w:id="7"/>
      </w:r>
      <w:r>
        <w:t>.</w:t>
      </w:r>
    </w:p>
    <w:p w14:paraId="3B6B14DF" w14:textId="5E2B8CB2" w:rsidR="00CC643E" w:rsidRDefault="00CC643E" w:rsidP="00CC643E">
      <w:pPr>
        <w:pStyle w:val="Heading1"/>
      </w:pPr>
      <w:bookmarkStart w:id="7" w:name="_Toc187400013"/>
      <w:r w:rsidRPr="00CC643E">
        <w:t xml:space="preserve">Information </w:t>
      </w:r>
      <w:r w:rsidR="00E954E1">
        <w:t>about</w:t>
      </w:r>
      <w:r w:rsidR="00E954E1" w:rsidRPr="00CC643E">
        <w:t xml:space="preserve"> </w:t>
      </w:r>
      <w:r w:rsidRPr="00CC643E">
        <w:t>Housing First</w:t>
      </w:r>
      <w:r w:rsidR="00073502">
        <w:t xml:space="preserve"> (31652)</w:t>
      </w:r>
      <w:r w:rsidRPr="00CC643E">
        <w:t xml:space="preserve"> funded activities</w:t>
      </w:r>
      <w:bookmarkEnd w:id="7"/>
    </w:p>
    <w:p w14:paraId="08B2FCDC" w14:textId="15B61B6E" w:rsidR="008F5139" w:rsidRDefault="008F5139" w:rsidP="008F5139">
      <w:pPr>
        <w:pStyle w:val="Body"/>
      </w:pPr>
      <w:r>
        <w:t>The following sub-activity descriptions set out the department’s approach to measuring the performance of Housing First providers. For more detailed information on funded activities refer to individual activity descriptions accessible via the department’s website as noted above.</w:t>
      </w:r>
    </w:p>
    <w:p w14:paraId="559B4BC7" w14:textId="2EFF1CE3" w:rsidR="008F5139" w:rsidRDefault="008F5139" w:rsidP="008F5139">
      <w:pPr>
        <w:pStyle w:val="Heading2"/>
      </w:pPr>
      <w:bookmarkStart w:id="8" w:name="_Toc187400014"/>
      <w:r>
        <w:t xml:space="preserve">Housing </w:t>
      </w:r>
      <w:r w:rsidR="00C15598">
        <w:t>F</w:t>
      </w:r>
      <w:r w:rsidR="005D3BC5">
        <w:t xml:space="preserve">irst case work </w:t>
      </w:r>
      <w:r w:rsidR="66E96015">
        <w:t>s</w:t>
      </w:r>
      <w:r>
        <w:t>upport (10 hours)</w:t>
      </w:r>
      <w:bookmarkEnd w:id="8"/>
    </w:p>
    <w:p w14:paraId="41B6F28D" w14:textId="77777777" w:rsidR="008F5139" w:rsidRDefault="008F5139" w:rsidP="008F5139">
      <w:pPr>
        <w:pStyle w:val="Body"/>
      </w:pPr>
      <w:r>
        <w:t>This sub-activity refers to the number of case work hours of service provided by the Housing First service provider.</w:t>
      </w:r>
    </w:p>
    <w:p w14:paraId="61644887" w14:textId="7AF3DCE8" w:rsidR="00F46529" w:rsidRDefault="00F46529" w:rsidP="008F5139">
      <w:pPr>
        <w:pStyle w:val="Body"/>
      </w:pPr>
      <w:r w:rsidRPr="00E0494E">
        <w:t>Funding is allocated to Housing First case work providers as base funding to support all young people</w:t>
      </w:r>
      <w:r w:rsidR="001022BB" w:rsidRPr="00E0494E">
        <w:t xml:space="preserve"> in the program</w:t>
      </w:r>
      <w:r w:rsidRPr="00E0494E">
        <w:t xml:space="preserve">; funding is </w:t>
      </w:r>
      <w:r w:rsidRPr="00E0494E">
        <w:rPr>
          <w:u w:val="single"/>
        </w:rPr>
        <w:t>not</w:t>
      </w:r>
      <w:r w:rsidRPr="00E0494E">
        <w:t xml:space="preserve"> </w:t>
      </w:r>
      <w:r w:rsidR="00F2312F" w:rsidRPr="00E0494E">
        <w:t>allocated</w:t>
      </w:r>
      <w:r w:rsidR="00DC6DCD" w:rsidRPr="00E0494E">
        <w:t xml:space="preserve"> </w:t>
      </w:r>
      <w:r w:rsidR="00795D0B" w:rsidRPr="00E0494E">
        <w:t xml:space="preserve">specifically to individual young people (sometimes called individually </w:t>
      </w:r>
      <w:r w:rsidRPr="00E0494E">
        <w:t>attached</w:t>
      </w:r>
      <w:r w:rsidR="00936370" w:rsidRPr="00E0494E">
        <w:t xml:space="preserve"> </w:t>
      </w:r>
      <w:r w:rsidRPr="00E0494E">
        <w:t>funding</w:t>
      </w:r>
      <w:r w:rsidR="00795D0B" w:rsidRPr="00E0494E">
        <w:t>)</w:t>
      </w:r>
      <w:r w:rsidRPr="00E0494E">
        <w:t xml:space="preserve">. This means the Housing First case work provider </w:t>
      </w:r>
      <w:r w:rsidR="00D73AC3" w:rsidRPr="00E0494E">
        <w:t>can</w:t>
      </w:r>
      <w:r w:rsidRPr="00E0494E">
        <w:t xml:space="preserve"> deliver </w:t>
      </w:r>
      <w:r w:rsidR="00A53110" w:rsidRPr="00E0494E">
        <w:t xml:space="preserve">support </w:t>
      </w:r>
      <w:r w:rsidRPr="00E0494E">
        <w:t>in a flexible manner which focuses on young people’s individual needs in relation to the level of support they require</w:t>
      </w:r>
      <w:r w:rsidR="00AB707D" w:rsidRPr="00E0494E">
        <w:t>.</w:t>
      </w:r>
      <w:r w:rsidR="00AB707D">
        <w:t xml:space="preserve"> </w:t>
      </w:r>
    </w:p>
    <w:p w14:paraId="2283DC39" w14:textId="667561CC" w:rsidR="008F5139" w:rsidRDefault="008F5139" w:rsidP="008F5139">
      <w:pPr>
        <w:pStyle w:val="Body"/>
      </w:pPr>
      <w:r>
        <w:t>Organisations must report on the</w:t>
      </w:r>
      <w:r w:rsidR="008B72EE">
        <w:t>:</w:t>
      </w:r>
    </w:p>
    <w:p w14:paraId="37A437BF" w14:textId="242556DE" w:rsidR="008F5139" w:rsidRDefault="008F5139" w:rsidP="008F5139">
      <w:pPr>
        <w:pStyle w:val="Bullet1"/>
      </w:pPr>
      <w:r>
        <w:t>total number of service hours provided to young people participating in the Housing First program.</w:t>
      </w:r>
    </w:p>
    <w:p w14:paraId="31FB6757" w14:textId="76E1D590" w:rsidR="008F5139" w:rsidRDefault="008F5139" w:rsidP="008F5139">
      <w:pPr>
        <w:pStyle w:val="Bodyafterbullets"/>
      </w:pPr>
      <w:r>
        <w:t xml:space="preserve">Service hours are defined as hours spent by the service provider’s staff providing Housing First case work support to young people.  </w:t>
      </w:r>
    </w:p>
    <w:p w14:paraId="14B83CFD" w14:textId="77777777" w:rsidR="008F5139" w:rsidRDefault="008F5139" w:rsidP="008F5139">
      <w:pPr>
        <w:pStyle w:val="Body"/>
      </w:pPr>
      <w:r>
        <w:t>Case work support includes a range of service activities such as assessment, active engagement, planning and review.</w:t>
      </w:r>
    </w:p>
    <w:p w14:paraId="7B087B37" w14:textId="77777777" w:rsidR="008F5139" w:rsidRDefault="008F5139" w:rsidP="008F5139">
      <w:pPr>
        <w:pStyle w:val="Body"/>
      </w:pPr>
      <w:r>
        <w:t>Example:</w:t>
      </w:r>
    </w:p>
    <w:p w14:paraId="0F6BEDDC" w14:textId="4C2A3AB3" w:rsidR="008F5139" w:rsidRDefault="008F5139" w:rsidP="008F5139">
      <w:pPr>
        <w:pStyle w:val="Body"/>
      </w:pPr>
      <w:r>
        <w:t xml:space="preserve">A Housing First worker provides </w:t>
      </w:r>
      <w:r w:rsidR="008B72EE">
        <w:t xml:space="preserve">2 </w:t>
      </w:r>
      <w:r>
        <w:t xml:space="preserve">hours of case work to one young person. </w:t>
      </w:r>
      <w:r w:rsidR="00C20FCD">
        <w:t>The</w:t>
      </w:r>
      <w:r>
        <w:t xml:space="preserve"> worker </w:t>
      </w:r>
      <w:r w:rsidR="00C20FCD">
        <w:t xml:space="preserve">also </w:t>
      </w:r>
      <w:r>
        <w:t xml:space="preserve">travelled 30 minutes each way to meet the young person. This is counted as one Housing First worker </w:t>
      </w:r>
      <w:r w:rsidR="00786F71">
        <w:t xml:space="preserve">for </w:t>
      </w:r>
      <w:r w:rsidR="008B72EE">
        <w:t xml:space="preserve">2 </w:t>
      </w:r>
      <w:r>
        <w:t xml:space="preserve">hours of case work </w:t>
      </w:r>
      <w:r w:rsidR="00786F71">
        <w:t xml:space="preserve">plus </w:t>
      </w:r>
      <w:r>
        <w:t xml:space="preserve">one hour of travel </w:t>
      </w:r>
      <w:r w:rsidR="00786F71">
        <w:t>equals to</w:t>
      </w:r>
      <w:r w:rsidR="00516E19">
        <w:t xml:space="preserve"> </w:t>
      </w:r>
      <w:r w:rsidR="008B72EE">
        <w:t xml:space="preserve">3 </w:t>
      </w:r>
      <w:r>
        <w:t>service hours.</w:t>
      </w:r>
    </w:p>
    <w:p w14:paraId="3A90D495" w14:textId="77777777" w:rsidR="008F5139" w:rsidRDefault="008F5139" w:rsidP="008F5139">
      <w:pPr>
        <w:pStyle w:val="Body"/>
      </w:pPr>
      <w:r>
        <w:t>Service hours include time spent writing case notes, travelling and other activities directly relating to individual young people.</w:t>
      </w:r>
    </w:p>
    <w:p w14:paraId="294A1A41" w14:textId="729F9D6B" w:rsidR="00CC643E" w:rsidRDefault="008F5139" w:rsidP="008F5139">
      <w:pPr>
        <w:pStyle w:val="Body"/>
      </w:pPr>
      <w:r>
        <w:lastRenderedPageBreak/>
        <w:t xml:space="preserve">The number of hours of service provided is recorded on </w:t>
      </w:r>
      <w:r w:rsidR="002B5C1E">
        <w:t>C</w:t>
      </w:r>
      <w:r w:rsidR="00F8702C">
        <w:t xml:space="preserve">lient </w:t>
      </w:r>
      <w:r w:rsidR="00F705CC">
        <w:t xml:space="preserve">Relationship Information System </w:t>
      </w:r>
      <w:r w:rsidR="007516D1">
        <w:t>for Service Providers (</w:t>
      </w:r>
      <w:r>
        <w:t>CRISSP</w:t>
      </w:r>
      <w:r w:rsidR="007516D1">
        <w:t>)</w:t>
      </w:r>
      <w:r>
        <w:t xml:space="preserve"> by the service provider, generated into the monthly CRISSP report and </w:t>
      </w:r>
      <w:r w:rsidR="009F6056">
        <w:t>entered</w:t>
      </w:r>
      <w:r>
        <w:t xml:space="preserve"> </w:t>
      </w:r>
      <w:r w:rsidR="00B36770">
        <w:t xml:space="preserve">in </w:t>
      </w:r>
      <w:r>
        <w:t>SDT.</w:t>
      </w:r>
    </w:p>
    <w:p w14:paraId="651DA440" w14:textId="57572E79" w:rsidR="0043690D" w:rsidRDefault="0043690D" w:rsidP="00651D97">
      <w:pPr>
        <w:pStyle w:val="Heading3"/>
      </w:pPr>
      <w:r>
        <w:t>Requirements</w:t>
      </w:r>
      <w:r w:rsidR="00C15598">
        <w:t xml:space="preserve"> for Housing First case work support (10 hours)</w:t>
      </w:r>
    </w:p>
    <w:tbl>
      <w:tblPr>
        <w:tblStyle w:val="TableGrid"/>
        <w:tblW w:w="0" w:type="auto"/>
        <w:tblLook w:val="0620" w:firstRow="1" w:lastRow="0" w:firstColumn="0" w:lastColumn="0" w:noHBand="1" w:noVBand="1"/>
      </w:tblPr>
      <w:tblGrid>
        <w:gridCol w:w="2038"/>
        <w:gridCol w:w="2039"/>
        <w:gridCol w:w="2039"/>
        <w:gridCol w:w="2039"/>
        <w:gridCol w:w="2039"/>
      </w:tblGrid>
      <w:tr w:rsidR="0043690D" w:rsidRPr="0043690D" w14:paraId="1645517E" w14:textId="77777777" w:rsidTr="00651D97">
        <w:trPr>
          <w:tblHeader/>
        </w:trPr>
        <w:tc>
          <w:tcPr>
            <w:tcW w:w="2038" w:type="dxa"/>
          </w:tcPr>
          <w:p w14:paraId="451F080E" w14:textId="77777777" w:rsidR="0043690D" w:rsidRPr="0043690D" w:rsidRDefault="0043690D" w:rsidP="0043690D">
            <w:pPr>
              <w:pStyle w:val="Tablecolhead"/>
            </w:pPr>
            <w:r w:rsidRPr="0043690D">
              <w:t>Measure</w:t>
            </w:r>
          </w:p>
        </w:tc>
        <w:tc>
          <w:tcPr>
            <w:tcW w:w="2039" w:type="dxa"/>
          </w:tcPr>
          <w:p w14:paraId="5284E6C3" w14:textId="77777777" w:rsidR="0043690D" w:rsidRPr="0043690D" w:rsidRDefault="0043690D" w:rsidP="0043690D">
            <w:pPr>
              <w:pStyle w:val="Tablecolhead"/>
            </w:pPr>
            <w:r w:rsidRPr="0043690D">
              <w:t>Description</w:t>
            </w:r>
          </w:p>
        </w:tc>
        <w:tc>
          <w:tcPr>
            <w:tcW w:w="2039" w:type="dxa"/>
          </w:tcPr>
          <w:p w14:paraId="4F95B356" w14:textId="77777777" w:rsidR="0043690D" w:rsidRPr="0043690D" w:rsidRDefault="0043690D" w:rsidP="0043690D">
            <w:pPr>
              <w:pStyle w:val="Tablecolhead"/>
            </w:pPr>
            <w:r w:rsidRPr="0043690D">
              <w:t>Count</w:t>
            </w:r>
          </w:p>
        </w:tc>
        <w:tc>
          <w:tcPr>
            <w:tcW w:w="2039" w:type="dxa"/>
          </w:tcPr>
          <w:p w14:paraId="3D0DC4AE" w14:textId="77777777" w:rsidR="0043690D" w:rsidRPr="0043690D" w:rsidRDefault="0043690D" w:rsidP="0043690D">
            <w:pPr>
              <w:pStyle w:val="Tablecolhead"/>
            </w:pPr>
            <w:r w:rsidRPr="0043690D">
              <w:t>Reporting frequency</w:t>
            </w:r>
          </w:p>
        </w:tc>
        <w:tc>
          <w:tcPr>
            <w:tcW w:w="2039" w:type="dxa"/>
          </w:tcPr>
          <w:p w14:paraId="543F2A44" w14:textId="77777777" w:rsidR="0043690D" w:rsidRPr="0043690D" w:rsidRDefault="0043690D" w:rsidP="0043690D">
            <w:pPr>
              <w:pStyle w:val="Tablecolhead"/>
            </w:pPr>
            <w:r w:rsidRPr="0043690D">
              <w:t>Report</w:t>
            </w:r>
          </w:p>
        </w:tc>
      </w:tr>
      <w:tr w:rsidR="0043690D" w:rsidRPr="0043690D" w14:paraId="6DA54C37" w14:textId="77777777" w:rsidTr="00651D97">
        <w:tc>
          <w:tcPr>
            <w:tcW w:w="2038" w:type="dxa"/>
          </w:tcPr>
          <w:p w14:paraId="7C53F9A1" w14:textId="77777777" w:rsidR="0043690D" w:rsidRPr="0043690D" w:rsidRDefault="0043690D">
            <w:pPr>
              <w:pStyle w:val="Body"/>
            </w:pPr>
            <w:r w:rsidRPr="0043690D">
              <w:t>Key performance measure 1</w:t>
            </w:r>
          </w:p>
        </w:tc>
        <w:tc>
          <w:tcPr>
            <w:tcW w:w="2039" w:type="dxa"/>
          </w:tcPr>
          <w:p w14:paraId="3C9C91CB" w14:textId="77777777" w:rsidR="0043690D" w:rsidRPr="0043690D" w:rsidRDefault="0043690D">
            <w:pPr>
              <w:pStyle w:val="Body"/>
            </w:pPr>
            <w:r w:rsidRPr="0043690D">
              <w:t>Number of service hours</w:t>
            </w:r>
          </w:p>
        </w:tc>
        <w:tc>
          <w:tcPr>
            <w:tcW w:w="2039" w:type="dxa"/>
          </w:tcPr>
          <w:p w14:paraId="5D91FFC5" w14:textId="77777777" w:rsidR="0043690D" w:rsidRPr="0043690D" w:rsidRDefault="0043690D">
            <w:pPr>
              <w:pStyle w:val="Body"/>
            </w:pPr>
            <w:r w:rsidRPr="0043690D">
              <w:t>Cumulative</w:t>
            </w:r>
          </w:p>
        </w:tc>
        <w:tc>
          <w:tcPr>
            <w:tcW w:w="2039" w:type="dxa"/>
          </w:tcPr>
          <w:p w14:paraId="450E1F67" w14:textId="77777777" w:rsidR="0043690D" w:rsidRPr="0043690D" w:rsidRDefault="0043690D">
            <w:pPr>
              <w:pStyle w:val="Body"/>
            </w:pPr>
            <w:r w:rsidRPr="0043690D">
              <w:t>Monthly</w:t>
            </w:r>
          </w:p>
        </w:tc>
        <w:tc>
          <w:tcPr>
            <w:tcW w:w="2039" w:type="dxa"/>
          </w:tcPr>
          <w:p w14:paraId="49D78F67" w14:textId="07916AE6" w:rsidR="0043690D" w:rsidRPr="0043690D" w:rsidRDefault="0043690D">
            <w:pPr>
              <w:pStyle w:val="Body"/>
            </w:pPr>
            <w:r w:rsidRPr="0043690D">
              <w:t>SDT</w:t>
            </w:r>
          </w:p>
        </w:tc>
      </w:tr>
    </w:tbl>
    <w:p w14:paraId="60E08F70" w14:textId="1C3EA173" w:rsidR="0008426F" w:rsidRPr="00E0494E" w:rsidRDefault="00172302" w:rsidP="00172302">
      <w:pPr>
        <w:pStyle w:val="Bodyafterbullets"/>
      </w:pPr>
      <w:bookmarkStart w:id="9" w:name="_Toc187400018"/>
      <w:r w:rsidRPr="00E0494E">
        <w:t>The case work funding performance measure for Housing First case work providers is the total number of funded hours delivered for the reporting period; this is not a per person measure.</w:t>
      </w:r>
      <w:r w:rsidR="4E354B03" w:rsidRPr="00E0494E">
        <w:t xml:space="preserve"> </w:t>
      </w:r>
    </w:p>
    <w:p w14:paraId="1555D1F4" w14:textId="5F10A196" w:rsidR="19F1A370" w:rsidRPr="00E0494E" w:rsidRDefault="19F1A370" w:rsidP="5DF340A7">
      <w:pPr>
        <w:pStyle w:val="Bodyafterbullets"/>
      </w:pPr>
      <w:r w:rsidRPr="00E0494E">
        <w:t xml:space="preserve">Housing First providers </w:t>
      </w:r>
      <w:r w:rsidR="5CE78FB5" w:rsidRPr="00E0494E">
        <w:t>can</w:t>
      </w:r>
      <w:r w:rsidRPr="00E0494E">
        <w:t xml:space="preserve"> carry over unused case work support funding </w:t>
      </w:r>
      <w:r w:rsidR="00D564FE" w:rsidRPr="00E0494E">
        <w:t xml:space="preserve">from one financial year </w:t>
      </w:r>
      <w:r w:rsidRPr="00E0494E">
        <w:t>to the following financial year</w:t>
      </w:r>
      <w:r w:rsidR="006C5423" w:rsidRPr="00E0494E">
        <w:t>,</w:t>
      </w:r>
      <w:r w:rsidRPr="00E0494E">
        <w:t xml:space="preserve"> </w:t>
      </w:r>
      <w:r w:rsidR="00D564FE" w:rsidRPr="00E0494E">
        <w:t xml:space="preserve">where required </w:t>
      </w:r>
      <w:r w:rsidRPr="00E0494E">
        <w:t xml:space="preserve">to </w:t>
      </w:r>
      <w:r w:rsidR="4E354B03" w:rsidRPr="00E0494E">
        <w:t>align with service delivery expectations</w:t>
      </w:r>
      <w:r w:rsidR="27E3ED11" w:rsidRPr="00E0494E">
        <w:t xml:space="preserve"> for the cohort of young people they are supporting.</w:t>
      </w:r>
      <w:r w:rsidR="4E354B03" w:rsidRPr="00E0494E">
        <w:t xml:space="preserve"> </w:t>
      </w:r>
    </w:p>
    <w:p w14:paraId="5B7F4D81" w14:textId="0CFCCBDD" w:rsidR="0035303B" w:rsidRDefault="0035303B" w:rsidP="00734860">
      <w:pPr>
        <w:pStyle w:val="Heading3"/>
      </w:pPr>
      <w:r>
        <w:t>Guidelines for number of service hours</w:t>
      </w:r>
      <w:bookmarkEnd w:id="9"/>
    </w:p>
    <w:p w14:paraId="114D9DDE" w14:textId="77777777" w:rsidR="00507CBD" w:rsidRPr="00D3139E" w:rsidRDefault="00507CBD" w:rsidP="006331DE">
      <w:pPr>
        <w:pStyle w:val="Body"/>
      </w:pPr>
      <w:r w:rsidRPr="00D3139E">
        <w:t>The table below provides an estimated number of minutes or hours allocated to tasks undertaken by Housing First providers. The estimated number of hours have been developed incorporating feedback from service providers and have been rounded. Tasks may take less or more time and the actual time taken should be recorded in CRISSP.</w:t>
      </w:r>
    </w:p>
    <w:p w14:paraId="69AE14FA" w14:textId="77777777" w:rsidR="00507CBD" w:rsidRPr="00D3139E" w:rsidRDefault="00507CBD" w:rsidP="006331DE">
      <w:pPr>
        <w:pStyle w:val="Body"/>
      </w:pPr>
      <w:r w:rsidRPr="00D3139E">
        <w:t>These are guidelines only and should be applied flexibly.</w:t>
      </w:r>
    </w:p>
    <w:tbl>
      <w:tblPr>
        <w:tblStyle w:val="TableGrid"/>
        <w:tblW w:w="10060" w:type="dxa"/>
        <w:tblLook w:val="0620" w:firstRow="1" w:lastRow="0" w:firstColumn="0" w:lastColumn="0" w:noHBand="1" w:noVBand="1"/>
      </w:tblPr>
      <w:tblGrid>
        <w:gridCol w:w="7083"/>
        <w:gridCol w:w="2977"/>
      </w:tblGrid>
      <w:tr w:rsidR="00507CBD" w:rsidRPr="00D3139E" w14:paraId="2ED346F6" w14:textId="77777777" w:rsidTr="00F6689E">
        <w:trPr>
          <w:tblHeader/>
        </w:trPr>
        <w:tc>
          <w:tcPr>
            <w:tcW w:w="7083" w:type="dxa"/>
          </w:tcPr>
          <w:p w14:paraId="5667B806" w14:textId="77777777" w:rsidR="00507CBD" w:rsidRPr="007518C3" w:rsidRDefault="00507CBD">
            <w:pPr>
              <w:pStyle w:val="Tablecolhead"/>
            </w:pPr>
            <w:r w:rsidRPr="007518C3">
              <w:t>Task</w:t>
            </w:r>
          </w:p>
        </w:tc>
        <w:tc>
          <w:tcPr>
            <w:tcW w:w="2977" w:type="dxa"/>
          </w:tcPr>
          <w:p w14:paraId="640BAC06" w14:textId="77777777" w:rsidR="00507CBD" w:rsidRPr="007518C3" w:rsidRDefault="00507CBD">
            <w:pPr>
              <w:pStyle w:val="Tablecolhead"/>
            </w:pPr>
            <w:r w:rsidRPr="007518C3">
              <w:t>Estimated time</w:t>
            </w:r>
          </w:p>
        </w:tc>
      </w:tr>
      <w:tr w:rsidR="00507CBD" w:rsidRPr="00D3139E" w14:paraId="5CD60D60" w14:textId="77777777" w:rsidTr="00F6689E">
        <w:tc>
          <w:tcPr>
            <w:tcW w:w="7083" w:type="dxa"/>
            <w:vAlign w:val="bottom"/>
          </w:tcPr>
          <w:p w14:paraId="7A560A9A" w14:textId="77777777" w:rsidR="00507CBD" w:rsidRPr="00507CBD" w:rsidRDefault="00507CBD" w:rsidP="00507CBD">
            <w:pPr>
              <w:pStyle w:val="Tabletext"/>
            </w:pPr>
            <w:r w:rsidRPr="00507CBD">
              <w:t>Text sent</w:t>
            </w:r>
          </w:p>
        </w:tc>
        <w:tc>
          <w:tcPr>
            <w:tcW w:w="2977" w:type="dxa"/>
            <w:vAlign w:val="bottom"/>
          </w:tcPr>
          <w:p w14:paraId="51E1C1D6" w14:textId="77777777" w:rsidR="00507CBD" w:rsidRPr="00507CBD" w:rsidRDefault="00507CBD" w:rsidP="00507CBD">
            <w:pPr>
              <w:pStyle w:val="Tabletext"/>
            </w:pPr>
            <w:r w:rsidRPr="00507CBD">
              <w:t>10 minutes</w:t>
            </w:r>
          </w:p>
        </w:tc>
      </w:tr>
      <w:tr w:rsidR="00507CBD" w:rsidRPr="00D3139E" w14:paraId="3EF2DB7D" w14:textId="77777777" w:rsidTr="00F6689E">
        <w:tc>
          <w:tcPr>
            <w:tcW w:w="7083" w:type="dxa"/>
            <w:vAlign w:val="bottom"/>
          </w:tcPr>
          <w:p w14:paraId="1ACC0587" w14:textId="77777777" w:rsidR="00507CBD" w:rsidRPr="00507CBD" w:rsidRDefault="00507CBD" w:rsidP="00507CBD">
            <w:pPr>
              <w:pStyle w:val="Tabletext"/>
            </w:pPr>
            <w:r w:rsidRPr="00507CBD">
              <w:t>Text response</w:t>
            </w:r>
          </w:p>
        </w:tc>
        <w:tc>
          <w:tcPr>
            <w:tcW w:w="2977" w:type="dxa"/>
            <w:vAlign w:val="bottom"/>
          </w:tcPr>
          <w:p w14:paraId="1FFCC3DE" w14:textId="77777777" w:rsidR="00507CBD" w:rsidRPr="00507CBD" w:rsidRDefault="00507CBD" w:rsidP="00507CBD">
            <w:pPr>
              <w:pStyle w:val="Tabletext"/>
            </w:pPr>
            <w:r w:rsidRPr="00507CBD">
              <w:t>10 minutes</w:t>
            </w:r>
          </w:p>
        </w:tc>
      </w:tr>
      <w:tr w:rsidR="00507CBD" w:rsidRPr="00D3139E" w14:paraId="1A4BF8AF" w14:textId="77777777" w:rsidTr="00F6689E">
        <w:tc>
          <w:tcPr>
            <w:tcW w:w="7083" w:type="dxa"/>
            <w:vAlign w:val="bottom"/>
          </w:tcPr>
          <w:p w14:paraId="05DB1AF6" w14:textId="77777777" w:rsidR="00507CBD" w:rsidRPr="00507CBD" w:rsidRDefault="00507CBD" w:rsidP="00507CBD">
            <w:pPr>
              <w:pStyle w:val="Tabletext"/>
            </w:pPr>
            <w:r w:rsidRPr="00507CBD">
              <w:t>Phone not answered voicemail left</w:t>
            </w:r>
          </w:p>
        </w:tc>
        <w:tc>
          <w:tcPr>
            <w:tcW w:w="2977" w:type="dxa"/>
            <w:vAlign w:val="bottom"/>
          </w:tcPr>
          <w:p w14:paraId="41A60CF5" w14:textId="77777777" w:rsidR="00507CBD" w:rsidRPr="00507CBD" w:rsidRDefault="00507CBD" w:rsidP="00507CBD">
            <w:pPr>
              <w:pStyle w:val="Tabletext"/>
            </w:pPr>
            <w:r w:rsidRPr="00507CBD">
              <w:t>10 minutes</w:t>
            </w:r>
          </w:p>
        </w:tc>
      </w:tr>
      <w:tr w:rsidR="00507CBD" w:rsidRPr="00D3139E" w14:paraId="09D31BEF" w14:textId="77777777" w:rsidTr="00F6689E">
        <w:tc>
          <w:tcPr>
            <w:tcW w:w="7083" w:type="dxa"/>
            <w:vAlign w:val="bottom"/>
          </w:tcPr>
          <w:p w14:paraId="6F9017B4" w14:textId="77777777" w:rsidR="00507CBD" w:rsidRPr="00507CBD" w:rsidRDefault="00507CBD" w:rsidP="00507CBD">
            <w:pPr>
              <w:pStyle w:val="Tabletext"/>
            </w:pPr>
            <w:r w:rsidRPr="00507CBD">
              <w:t>Outreach/face to face contact</w:t>
            </w:r>
          </w:p>
        </w:tc>
        <w:tc>
          <w:tcPr>
            <w:tcW w:w="2977" w:type="dxa"/>
            <w:vAlign w:val="bottom"/>
          </w:tcPr>
          <w:p w14:paraId="05EA5532" w14:textId="43BE69FD" w:rsidR="00507CBD" w:rsidRPr="00507CBD" w:rsidRDefault="00507CBD" w:rsidP="00507CBD">
            <w:pPr>
              <w:pStyle w:val="Tabletext"/>
            </w:pPr>
            <w:r w:rsidRPr="00507CBD">
              <w:t>1</w:t>
            </w:r>
            <w:r w:rsidR="00963BDA">
              <w:t xml:space="preserve"> </w:t>
            </w:r>
            <w:r w:rsidRPr="00507CBD">
              <w:t>h</w:t>
            </w:r>
            <w:r w:rsidR="00963BDA">
              <w:t>ou</w:t>
            </w:r>
            <w:r w:rsidRPr="00507CBD">
              <w:t>r</w:t>
            </w:r>
          </w:p>
        </w:tc>
      </w:tr>
      <w:tr w:rsidR="00507CBD" w:rsidRPr="00D3139E" w14:paraId="13FF91F4" w14:textId="77777777" w:rsidTr="00F6689E">
        <w:tc>
          <w:tcPr>
            <w:tcW w:w="7083" w:type="dxa"/>
            <w:vAlign w:val="bottom"/>
          </w:tcPr>
          <w:p w14:paraId="02E35F38" w14:textId="77777777" w:rsidR="00507CBD" w:rsidRPr="00507CBD" w:rsidRDefault="00507CBD" w:rsidP="00507CBD">
            <w:pPr>
              <w:pStyle w:val="Tabletext"/>
            </w:pPr>
            <w:r w:rsidRPr="00507CBD">
              <w:t>Telephone call</w:t>
            </w:r>
          </w:p>
        </w:tc>
        <w:tc>
          <w:tcPr>
            <w:tcW w:w="2977" w:type="dxa"/>
            <w:vAlign w:val="bottom"/>
          </w:tcPr>
          <w:p w14:paraId="67C88E14" w14:textId="77777777" w:rsidR="00507CBD" w:rsidRPr="00507CBD" w:rsidRDefault="00507CBD" w:rsidP="00507CBD">
            <w:pPr>
              <w:pStyle w:val="Tabletext"/>
            </w:pPr>
            <w:r w:rsidRPr="00507CBD">
              <w:t>10 minutes</w:t>
            </w:r>
          </w:p>
        </w:tc>
      </w:tr>
      <w:tr w:rsidR="00507CBD" w:rsidRPr="00D3139E" w14:paraId="5C4729D9" w14:textId="77777777" w:rsidTr="00F6689E">
        <w:tc>
          <w:tcPr>
            <w:tcW w:w="7083" w:type="dxa"/>
            <w:vAlign w:val="bottom"/>
          </w:tcPr>
          <w:p w14:paraId="4E8EEB59" w14:textId="77777777" w:rsidR="00507CBD" w:rsidRPr="00507CBD" w:rsidRDefault="00507CBD" w:rsidP="00507CBD">
            <w:pPr>
              <w:pStyle w:val="Tabletext"/>
            </w:pPr>
            <w:r w:rsidRPr="00507CBD">
              <w:t>Email</w:t>
            </w:r>
          </w:p>
        </w:tc>
        <w:tc>
          <w:tcPr>
            <w:tcW w:w="2977" w:type="dxa"/>
            <w:vAlign w:val="bottom"/>
          </w:tcPr>
          <w:p w14:paraId="5BE78787" w14:textId="77777777" w:rsidR="00507CBD" w:rsidRPr="00507CBD" w:rsidRDefault="00507CBD" w:rsidP="00507CBD">
            <w:pPr>
              <w:pStyle w:val="Tabletext"/>
            </w:pPr>
            <w:r w:rsidRPr="00507CBD">
              <w:t>10 minutes</w:t>
            </w:r>
          </w:p>
        </w:tc>
      </w:tr>
      <w:tr w:rsidR="00507CBD" w:rsidRPr="00D3139E" w14:paraId="4A6515FB" w14:textId="77777777" w:rsidTr="00F6689E">
        <w:tc>
          <w:tcPr>
            <w:tcW w:w="7083" w:type="dxa"/>
            <w:vAlign w:val="bottom"/>
          </w:tcPr>
          <w:p w14:paraId="311D4193" w14:textId="77777777" w:rsidR="00507CBD" w:rsidRPr="00507CBD" w:rsidRDefault="00507CBD" w:rsidP="00507CBD">
            <w:pPr>
              <w:pStyle w:val="Tabletext"/>
            </w:pPr>
            <w:r w:rsidRPr="00507CBD">
              <w:t>Email received and case noted</w:t>
            </w:r>
          </w:p>
        </w:tc>
        <w:tc>
          <w:tcPr>
            <w:tcW w:w="2977" w:type="dxa"/>
            <w:vAlign w:val="bottom"/>
          </w:tcPr>
          <w:p w14:paraId="4A6972C7" w14:textId="77777777" w:rsidR="00507CBD" w:rsidRPr="00507CBD" w:rsidRDefault="00507CBD" w:rsidP="00507CBD">
            <w:pPr>
              <w:pStyle w:val="Tabletext"/>
            </w:pPr>
            <w:r w:rsidRPr="00507CBD">
              <w:t>10 minutes</w:t>
            </w:r>
          </w:p>
        </w:tc>
      </w:tr>
      <w:tr w:rsidR="00507CBD" w:rsidRPr="00D3139E" w14:paraId="12DE99DD" w14:textId="77777777" w:rsidTr="00F6689E">
        <w:tc>
          <w:tcPr>
            <w:tcW w:w="7083" w:type="dxa"/>
            <w:vAlign w:val="bottom"/>
          </w:tcPr>
          <w:p w14:paraId="23092849" w14:textId="77777777" w:rsidR="00507CBD" w:rsidRPr="00507CBD" w:rsidRDefault="00507CBD" w:rsidP="00507CBD">
            <w:pPr>
              <w:pStyle w:val="Tabletext"/>
            </w:pPr>
            <w:r w:rsidRPr="00507CBD">
              <w:t>Email sent and case noted</w:t>
            </w:r>
          </w:p>
        </w:tc>
        <w:tc>
          <w:tcPr>
            <w:tcW w:w="2977" w:type="dxa"/>
            <w:vAlign w:val="bottom"/>
          </w:tcPr>
          <w:p w14:paraId="315B33CA" w14:textId="77777777" w:rsidR="00507CBD" w:rsidRPr="00507CBD" w:rsidRDefault="00507CBD" w:rsidP="00507CBD">
            <w:pPr>
              <w:pStyle w:val="Tabletext"/>
            </w:pPr>
            <w:r w:rsidRPr="00507CBD">
              <w:t>10 minutes</w:t>
            </w:r>
          </w:p>
        </w:tc>
      </w:tr>
      <w:tr w:rsidR="00507CBD" w:rsidRPr="00D3139E" w14:paraId="332E5142" w14:textId="77777777" w:rsidTr="00F6689E">
        <w:tc>
          <w:tcPr>
            <w:tcW w:w="7083" w:type="dxa"/>
            <w:vAlign w:val="bottom"/>
          </w:tcPr>
          <w:p w14:paraId="00C15FB9" w14:textId="77777777" w:rsidR="00507CBD" w:rsidRPr="00507CBD" w:rsidRDefault="00507CBD" w:rsidP="00507CBD">
            <w:pPr>
              <w:pStyle w:val="Tabletext"/>
            </w:pPr>
            <w:r w:rsidRPr="00507CBD">
              <w:t>Provided secondary consultation</w:t>
            </w:r>
          </w:p>
        </w:tc>
        <w:tc>
          <w:tcPr>
            <w:tcW w:w="2977" w:type="dxa"/>
            <w:vAlign w:val="bottom"/>
          </w:tcPr>
          <w:p w14:paraId="1581E4AC" w14:textId="77777777" w:rsidR="00507CBD" w:rsidRPr="00507CBD" w:rsidRDefault="00507CBD" w:rsidP="00507CBD">
            <w:pPr>
              <w:pStyle w:val="Tabletext"/>
            </w:pPr>
            <w:r w:rsidRPr="00507CBD">
              <w:t>30 minutes</w:t>
            </w:r>
          </w:p>
        </w:tc>
      </w:tr>
      <w:tr w:rsidR="00507CBD" w:rsidRPr="00D3139E" w14:paraId="7D15388A" w14:textId="77777777" w:rsidTr="00F6689E">
        <w:tc>
          <w:tcPr>
            <w:tcW w:w="7083" w:type="dxa"/>
            <w:vAlign w:val="bottom"/>
          </w:tcPr>
          <w:p w14:paraId="12F02DDA" w14:textId="77777777" w:rsidR="00507CBD" w:rsidRPr="00507CBD" w:rsidRDefault="00507CBD" w:rsidP="00507CBD">
            <w:pPr>
              <w:pStyle w:val="Tabletext"/>
            </w:pPr>
            <w:r w:rsidRPr="00507CBD">
              <w:t>Undertaking a consultation</w:t>
            </w:r>
          </w:p>
        </w:tc>
        <w:tc>
          <w:tcPr>
            <w:tcW w:w="2977" w:type="dxa"/>
            <w:vAlign w:val="bottom"/>
          </w:tcPr>
          <w:p w14:paraId="231BD05D" w14:textId="77777777" w:rsidR="00507CBD" w:rsidRPr="00507CBD" w:rsidRDefault="00507CBD" w:rsidP="00507CBD">
            <w:pPr>
              <w:pStyle w:val="Tabletext"/>
            </w:pPr>
            <w:r w:rsidRPr="00507CBD">
              <w:t>30 minutes</w:t>
            </w:r>
          </w:p>
        </w:tc>
      </w:tr>
      <w:tr w:rsidR="00507CBD" w:rsidRPr="00D3139E" w14:paraId="6464FA02" w14:textId="77777777" w:rsidTr="00F6689E">
        <w:tc>
          <w:tcPr>
            <w:tcW w:w="7083" w:type="dxa"/>
            <w:vAlign w:val="bottom"/>
          </w:tcPr>
          <w:p w14:paraId="322709E5" w14:textId="00F0E039" w:rsidR="00507CBD" w:rsidRPr="00507CBD" w:rsidRDefault="00306896" w:rsidP="00507CBD">
            <w:pPr>
              <w:pStyle w:val="Tabletext"/>
            </w:pPr>
            <w:r>
              <w:t>Safe and reasonable t</w:t>
            </w:r>
            <w:r w:rsidR="00507CBD" w:rsidRPr="00507CBD">
              <w:t>ravel time</w:t>
            </w:r>
          </w:p>
        </w:tc>
        <w:tc>
          <w:tcPr>
            <w:tcW w:w="2977" w:type="dxa"/>
            <w:vAlign w:val="bottom"/>
          </w:tcPr>
          <w:p w14:paraId="1EB36CE3" w14:textId="77777777" w:rsidR="00507CBD" w:rsidRPr="00507CBD" w:rsidRDefault="00507CBD" w:rsidP="00507CBD">
            <w:pPr>
              <w:pStyle w:val="Tabletext"/>
            </w:pPr>
            <w:r w:rsidRPr="00507CBD">
              <w:t>10 minutes</w:t>
            </w:r>
          </w:p>
        </w:tc>
      </w:tr>
      <w:tr w:rsidR="00507CBD" w:rsidRPr="00D3139E" w14:paraId="1182A7BC" w14:textId="77777777" w:rsidTr="00F6689E">
        <w:tc>
          <w:tcPr>
            <w:tcW w:w="7083" w:type="dxa"/>
            <w:vAlign w:val="bottom"/>
          </w:tcPr>
          <w:p w14:paraId="10D80BC0" w14:textId="77777777" w:rsidR="00507CBD" w:rsidRPr="00507CBD" w:rsidRDefault="00507CBD" w:rsidP="00507CBD">
            <w:pPr>
              <w:pStyle w:val="Tabletext"/>
            </w:pPr>
            <w:r w:rsidRPr="00507CBD">
              <w:t>Administration</w:t>
            </w:r>
          </w:p>
        </w:tc>
        <w:tc>
          <w:tcPr>
            <w:tcW w:w="2977" w:type="dxa"/>
            <w:vAlign w:val="bottom"/>
          </w:tcPr>
          <w:p w14:paraId="4B47833D" w14:textId="77777777" w:rsidR="00507CBD" w:rsidRPr="00507CBD" w:rsidRDefault="00507CBD" w:rsidP="00507CBD">
            <w:pPr>
              <w:pStyle w:val="Tabletext"/>
            </w:pPr>
            <w:r w:rsidRPr="00507CBD">
              <w:t>10 minutes</w:t>
            </w:r>
          </w:p>
        </w:tc>
      </w:tr>
      <w:tr w:rsidR="00507CBD" w:rsidRPr="00D3139E" w14:paraId="39A8774B" w14:textId="77777777" w:rsidTr="00F6689E">
        <w:tc>
          <w:tcPr>
            <w:tcW w:w="7083" w:type="dxa"/>
            <w:vAlign w:val="bottom"/>
          </w:tcPr>
          <w:p w14:paraId="5C699257" w14:textId="77777777" w:rsidR="00507CBD" w:rsidRPr="00507CBD" w:rsidRDefault="00507CBD" w:rsidP="00507CBD">
            <w:pPr>
              <w:pStyle w:val="Tabletext"/>
            </w:pPr>
            <w:r w:rsidRPr="00507CBD">
              <w:t>Flexible funding request administration</w:t>
            </w:r>
          </w:p>
        </w:tc>
        <w:tc>
          <w:tcPr>
            <w:tcW w:w="2977" w:type="dxa"/>
            <w:vAlign w:val="bottom"/>
          </w:tcPr>
          <w:p w14:paraId="591FF28A" w14:textId="77777777" w:rsidR="00507CBD" w:rsidRPr="00507CBD" w:rsidRDefault="00507CBD" w:rsidP="00507CBD">
            <w:pPr>
              <w:pStyle w:val="Tabletext"/>
            </w:pPr>
            <w:r w:rsidRPr="00507CBD">
              <w:t>30 minutes</w:t>
            </w:r>
          </w:p>
        </w:tc>
      </w:tr>
      <w:tr w:rsidR="00507CBD" w:rsidRPr="00D3139E" w14:paraId="15E73BDD" w14:textId="77777777" w:rsidTr="00F6689E">
        <w:tc>
          <w:tcPr>
            <w:tcW w:w="7083" w:type="dxa"/>
            <w:vAlign w:val="bottom"/>
          </w:tcPr>
          <w:p w14:paraId="0EF545F3" w14:textId="77777777" w:rsidR="00507CBD" w:rsidRPr="00507CBD" w:rsidRDefault="00507CBD" w:rsidP="00507CBD">
            <w:pPr>
              <w:pStyle w:val="Tabletext"/>
            </w:pPr>
            <w:r w:rsidRPr="00507CBD">
              <w:t>Intake triaging</w:t>
            </w:r>
          </w:p>
        </w:tc>
        <w:tc>
          <w:tcPr>
            <w:tcW w:w="2977" w:type="dxa"/>
            <w:vAlign w:val="bottom"/>
          </w:tcPr>
          <w:p w14:paraId="72893C9D" w14:textId="3175D69C" w:rsidR="00507CBD" w:rsidRPr="00507CBD" w:rsidRDefault="00507CBD" w:rsidP="00507CBD">
            <w:pPr>
              <w:pStyle w:val="Tabletext"/>
            </w:pPr>
            <w:r w:rsidRPr="00507CBD">
              <w:t>1</w:t>
            </w:r>
            <w:r w:rsidR="00CB0269">
              <w:t xml:space="preserve"> </w:t>
            </w:r>
            <w:r w:rsidRPr="00507CBD">
              <w:t>h</w:t>
            </w:r>
            <w:r w:rsidR="00CB0269">
              <w:t>ou</w:t>
            </w:r>
            <w:r w:rsidRPr="00507CBD">
              <w:t>r</w:t>
            </w:r>
          </w:p>
        </w:tc>
      </w:tr>
      <w:tr w:rsidR="00507CBD" w:rsidRPr="00D3139E" w14:paraId="5D452E6B" w14:textId="77777777" w:rsidTr="00F6689E">
        <w:tc>
          <w:tcPr>
            <w:tcW w:w="7083" w:type="dxa"/>
            <w:vAlign w:val="bottom"/>
          </w:tcPr>
          <w:p w14:paraId="62F04541" w14:textId="77777777" w:rsidR="00507CBD" w:rsidRPr="00507CBD" w:rsidRDefault="00507CBD" w:rsidP="00507CBD">
            <w:pPr>
              <w:pStyle w:val="Tabletext"/>
            </w:pPr>
            <w:r w:rsidRPr="00507CBD">
              <w:t>Research and information gathering in relation to the young person’s goals</w:t>
            </w:r>
          </w:p>
        </w:tc>
        <w:tc>
          <w:tcPr>
            <w:tcW w:w="2977" w:type="dxa"/>
            <w:vAlign w:val="bottom"/>
          </w:tcPr>
          <w:p w14:paraId="369DC2C1" w14:textId="77777777" w:rsidR="00507CBD" w:rsidRPr="00507CBD" w:rsidRDefault="00507CBD" w:rsidP="00507CBD">
            <w:pPr>
              <w:pStyle w:val="Tabletext"/>
            </w:pPr>
            <w:r w:rsidRPr="00507CBD">
              <w:t>30 minutes</w:t>
            </w:r>
          </w:p>
        </w:tc>
      </w:tr>
      <w:tr w:rsidR="00507CBD" w:rsidRPr="00D3139E" w14:paraId="64D8CBEB" w14:textId="77777777" w:rsidTr="00F6689E">
        <w:tc>
          <w:tcPr>
            <w:tcW w:w="7083" w:type="dxa"/>
            <w:vAlign w:val="bottom"/>
          </w:tcPr>
          <w:p w14:paraId="4212A393" w14:textId="77777777" w:rsidR="00507CBD" w:rsidRPr="00507CBD" w:rsidRDefault="00507CBD" w:rsidP="00507CBD">
            <w:pPr>
              <w:pStyle w:val="Tabletext"/>
            </w:pPr>
            <w:r w:rsidRPr="00507CBD">
              <w:t>Referrals</w:t>
            </w:r>
          </w:p>
        </w:tc>
        <w:tc>
          <w:tcPr>
            <w:tcW w:w="2977" w:type="dxa"/>
            <w:vAlign w:val="bottom"/>
          </w:tcPr>
          <w:p w14:paraId="601A1D09" w14:textId="77777777" w:rsidR="00507CBD" w:rsidRPr="00507CBD" w:rsidRDefault="00507CBD" w:rsidP="00507CBD">
            <w:pPr>
              <w:pStyle w:val="Tabletext"/>
            </w:pPr>
            <w:r w:rsidRPr="00507CBD">
              <w:t>30 minutes</w:t>
            </w:r>
          </w:p>
        </w:tc>
      </w:tr>
      <w:tr w:rsidR="00507CBD" w:rsidRPr="00D3139E" w14:paraId="3458E2EF" w14:textId="77777777" w:rsidTr="00F6689E">
        <w:tc>
          <w:tcPr>
            <w:tcW w:w="7083" w:type="dxa"/>
            <w:vAlign w:val="bottom"/>
          </w:tcPr>
          <w:p w14:paraId="6C13D48E" w14:textId="77777777" w:rsidR="00507CBD" w:rsidRPr="00507CBD" w:rsidRDefault="00507CBD" w:rsidP="00507CBD">
            <w:pPr>
              <w:pStyle w:val="Tabletext"/>
            </w:pPr>
            <w:r w:rsidRPr="00507CBD">
              <w:t>Writing assessments, case notes, support plans etc</w:t>
            </w:r>
          </w:p>
        </w:tc>
        <w:tc>
          <w:tcPr>
            <w:tcW w:w="2977" w:type="dxa"/>
            <w:vAlign w:val="bottom"/>
          </w:tcPr>
          <w:p w14:paraId="4FCE31CA" w14:textId="77777777" w:rsidR="00507CBD" w:rsidRPr="00507CBD" w:rsidRDefault="00507CBD" w:rsidP="00507CBD">
            <w:pPr>
              <w:pStyle w:val="Tabletext"/>
            </w:pPr>
            <w:r w:rsidRPr="00507CBD">
              <w:t>10 minutes</w:t>
            </w:r>
          </w:p>
        </w:tc>
      </w:tr>
      <w:tr w:rsidR="00507CBD" w:rsidRPr="00D3139E" w14:paraId="1A7A8793" w14:textId="77777777" w:rsidTr="00F6689E">
        <w:tc>
          <w:tcPr>
            <w:tcW w:w="7083" w:type="dxa"/>
            <w:vAlign w:val="bottom"/>
          </w:tcPr>
          <w:p w14:paraId="5106A86A" w14:textId="77777777" w:rsidR="00507CBD" w:rsidRPr="00507CBD" w:rsidRDefault="00507CBD" w:rsidP="00507CBD">
            <w:pPr>
              <w:pStyle w:val="Tabletext"/>
            </w:pPr>
            <w:r w:rsidRPr="00507CBD">
              <w:t>Attending meetings, events, appointments etc with or on behalf of the young person</w:t>
            </w:r>
          </w:p>
        </w:tc>
        <w:tc>
          <w:tcPr>
            <w:tcW w:w="2977" w:type="dxa"/>
            <w:vAlign w:val="bottom"/>
          </w:tcPr>
          <w:p w14:paraId="0777D030" w14:textId="5AA5AB2F" w:rsidR="00507CBD" w:rsidRPr="00507CBD" w:rsidRDefault="00507CBD" w:rsidP="00507CBD">
            <w:pPr>
              <w:pStyle w:val="Tabletext"/>
            </w:pPr>
            <w:r w:rsidRPr="00507CBD">
              <w:t>1</w:t>
            </w:r>
            <w:r w:rsidR="00CB0269">
              <w:t xml:space="preserve"> </w:t>
            </w:r>
            <w:r w:rsidRPr="00507CBD">
              <w:t>h</w:t>
            </w:r>
            <w:r w:rsidR="00CB0269">
              <w:t>ou</w:t>
            </w:r>
            <w:r w:rsidRPr="00507CBD">
              <w:t>r</w:t>
            </w:r>
          </w:p>
        </w:tc>
      </w:tr>
    </w:tbl>
    <w:p w14:paraId="51E00574" w14:textId="4832E2FD" w:rsidR="00734860" w:rsidRDefault="00781338" w:rsidP="00734860">
      <w:pPr>
        <w:pStyle w:val="Heading2"/>
      </w:pPr>
      <w:bookmarkStart w:id="10" w:name="_Toc187400019"/>
      <w:r>
        <w:lastRenderedPageBreak/>
        <w:t xml:space="preserve">Housing First </w:t>
      </w:r>
      <w:r w:rsidR="00734860" w:rsidRPr="00E54B1E">
        <w:t xml:space="preserve">Tenancy Support </w:t>
      </w:r>
    </w:p>
    <w:p w14:paraId="1A3E033E" w14:textId="7DB7C9F6" w:rsidR="00734860" w:rsidRDefault="00734860" w:rsidP="00734860">
      <w:pPr>
        <w:pStyle w:val="Body"/>
      </w:pPr>
      <w:r>
        <w:t>This sub</w:t>
      </w:r>
      <w:r w:rsidR="00A539AA">
        <w:t>-</w:t>
      </w:r>
      <w:r>
        <w:t xml:space="preserve">activity relates to the delivery of agreed deliverables of the Tenancy Support provider and does not apply to </w:t>
      </w:r>
      <w:r w:rsidR="00B63A13">
        <w:t>Housing First case work support</w:t>
      </w:r>
      <w:r>
        <w:t>.</w:t>
      </w:r>
    </w:p>
    <w:p w14:paraId="580F1BAB" w14:textId="77777777" w:rsidR="00734860" w:rsidRDefault="00734860" w:rsidP="00734860">
      <w:pPr>
        <w:pStyle w:val="Body"/>
      </w:pPr>
      <w:r>
        <w:t>Tenancy Support providers are required to:</w:t>
      </w:r>
    </w:p>
    <w:p w14:paraId="56A54729" w14:textId="554E2F58" w:rsidR="00734860" w:rsidRDefault="00734860" w:rsidP="00734860">
      <w:pPr>
        <w:pStyle w:val="Bullet1"/>
      </w:pPr>
      <w:r>
        <w:t xml:space="preserve">submit a Tenancy Support Annual Directions </w:t>
      </w:r>
      <w:r w:rsidR="00450C1E">
        <w:t xml:space="preserve">plan </w:t>
      </w:r>
      <w:r>
        <w:t>using the template provided, by 30 June each year</w:t>
      </w:r>
    </w:p>
    <w:p w14:paraId="1DA7DA25" w14:textId="4F699811" w:rsidR="00734860" w:rsidRDefault="00734860" w:rsidP="00734860">
      <w:pPr>
        <w:pStyle w:val="Bullet1"/>
      </w:pPr>
      <w:r>
        <w:t>submit a Tenancy Support Annual Outcomes report using the template provided, by 15 July each year</w:t>
      </w:r>
    </w:p>
    <w:p w14:paraId="4B6886A5" w14:textId="77777777" w:rsidR="00734860" w:rsidRDefault="00734860" w:rsidP="00734860">
      <w:pPr>
        <w:pStyle w:val="Bodyafterbullets"/>
      </w:pPr>
      <w:r>
        <w:t xml:space="preserve">Tenancy Support providers must submit both Tenancy Support Annual Directions plan and Tenancy Support Annual Outcomes report to their local APSS advisor for departmental endorsement. Departmental endorsement is required by the APSS Manager, or a nominated delegate determined by the local area. APSS advisors are required to send a copy of the endorsed report to the department’s Transitions from Care team at </w:t>
      </w:r>
      <w:hyperlink r:id="rId22" w:history="1">
        <w:r w:rsidRPr="0002518B">
          <w:rPr>
            <w:rStyle w:val="Hyperlink"/>
          </w:rPr>
          <w:t>betterfuturescentral@dffh.vic.gov.au</w:t>
        </w:r>
      </w:hyperlink>
      <w:r>
        <w:rPr>
          <w:rStyle w:val="Hyperlink"/>
        </w:rPr>
        <w:t>.</w:t>
      </w:r>
      <w:r>
        <w:t xml:space="preserve"> </w:t>
      </w:r>
    </w:p>
    <w:p w14:paraId="0402538B" w14:textId="159C8BE0" w:rsidR="00734860" w:rsidRDefault="00734860" w:rsidP="00734860">
      <w:pPr>
        <w:pStyle w:val="Body"/>
      </w:pPr>
      <w:r>
        <w:t xml:space="preserve">Please note, the department is currently developing enhancements to CRISSP to include the Tenancy </w:t>
      </w:r>
      <w:r w:rsidRPr="00862D9B">
        <w:t>Support</w:t>
      </w:r>
      <w:r>
        <w:t xml:space="preserve"> </w:t>
      </w:r>
      <w:r w:rsidR="00450C1E">
        <w:t xml:space="preserve">Annual </w:t>
      </w:r>
      <w:r>
        <w:t xml:space="preserve">Directions plan and </w:t>
      </w:r>
      <w:r w:rsidR="001136BB">
        <w:t xml:space="preserve">Annual </w:t>
      </w:r>
      <w:r>
        <w:t xml:space="preserve">Outcomes report templates. Interim templates are available for providers and can be accessed via their local APSS advisor or their divisional Housing First Senior Program Officer. </w:t>
      </w:r>
    </w:p>
    <w:p w14:paraId="3992E2FE" w14:textId="38DA989C" w:rsidR="00734860" w:rsidRPr="00853CF6" w:rsidRDefault="008010F3" w:rsidP="00734860">
      <w:pPr>
        <w:pStyle w:val="Heading3"/>
      </w:pPr>
      <w:r>
        <w:t>Requi</w:t>
      </w:r>
      <w:r w:rsidR="000721C9">
        <w:t>rement</w:t>
      </w:r>
      <w:r w:rsidR="008346BA">
        <w:t xml:space="preserve">s for </w:t>
      </w:r>
      <w:r w:rsidR="00734860" w:rsidRPr="001D476A">
        <w:t>Tenancy Support report against agreed objectives</w:t>
      </w:r>
    </w:p>
    <w:tbl>
      <w:tblPr>
        <w:tblStyle w:val="TableGrid"/>
        <w:tblW w:w="0" w:type="auto"/>
        <w:tblLook w:val="0620" w:firstRow="1" w:lastRow="0" w:firstColumn="0" w:lastColumn="0" w:noHBand="1" w:noVBand="1"/>
      </w:tblPr>
      <w:tblGrid>
        <w:gridCol w:w="1699"/>
        <w:gridCol w:w="1699"/>
        <w:gridCol w:w="1699"/>
        <w:gridCol w:w="1699"/>
        <w:gridCol w:w="1699"/>
        <w:gridCol w:w="1699"/>
      </w:tblGrid>
      <w:tr w:rsidR="00734860" w:rsidRPr="00306896" w14:paraId="5E5B8001" w14:textId="77777777">
        <w:trPr>
          <w:tblHeader/>
        </w:trPr>
        <w:tc>
          <w:tcPr>
            <w:tcW w:w="1699" w:type="dxa"/>
          </w:tcPr>
          <w:p w14:paraId="531B0490" w14:textId="77777777" w:rsidR="00734860" w:rsidRPr="00306896" w:rsidRDefault="00734860">
            <w:pPr>
              <w:pStyle w:val="Tablecolhead"/>
            </w:pPr>
            <w:r w:rsidRPr="00306896">
              <w:t>Measure</w:t>
            </w:r>
          </w:p>
        </w:tc>
        <w:tc>
          <w:tcPr>
            <w:tcW w:w="1699" w:type="dxa"/>
          </w:tcPr>
          <w:p w14:paraId="4E8ADD6E" w14:textId="77777777" w:rsidR="00734860" w:rsidRPr="00306896" w:rsidRDefault="00734860">
            <w:pPr>
              <w:pStyle w:val="Tablecolhead"/>
            </w:pPr>
            <w:r w:rsidRPr="00306896">
              <w:t>Description</w:t>
            </w:r>
          </w:p>
        </w:tc>
        <w:tc>
          <w:tcPr>
            <w:tcW w:w="1699" w:type="dxa"/>
          </w:tcPr>
          <w:p w14:paraId="405DABFD" w14:textId="77777777" w:rsidR="00734860" w:rsidRPr="00306896" w:rsidRDefault="00734860">
            <w:pPr>
              <w:pStyle w:val="Tablecolhead"/>
            </w:pPr>
            <w:r w:rsidRPr="00306896">
              <w:t>Count</w:t>
            </w:r>
          </w:p>
        </w:tc>
        <w:tc>
          <w:tcPr>
            <w:tcW w:w="1699" w:type="dxa"/>
          </w:tcPr>
          <w:p w14:paraId="649BD962" w14:textId="77777777" w:rsidR="00734860" w:rsidRPr="00306896" w:rsidRDefault="00734860">
            <w:pPr>
              <w:pStyle w:val="Tablecolhead"/>
            </w:pPr>
            <w:r w:rsidRPr="00306896">
              <w:t>CRISSP Report</w:t>
            </w:r>
          </w:p>
        </w:tc>
        <w:tc>
          <w:tcPr>
            <w:tcW w:w="1699" w:type="dxa"/>
          </w:tcPr>
          <w:p w14:paraId="49EF6196" w14:textId="77777777" w:rsidR="00734860" w:rsidRPr="00306896" w:rsidRDefault="00734860">
            <w:pPr>
              <w:pStyle w:val="Tablecolhead"/>
            </w:pPr>
            <w:r w:rsidRPr="00306896">
              <w:t>Reporting frequency</w:t>
            </w:r>
          </w:p>
        </w:tc>
        <w:tc>
          <w:tcPr>
            <w:tcW w:w="1699" w:type="dxa"/>
          </w:tcPr>
          <w:p w14:paraId="7F7FA14A" w14:textId="77777777" w:rsidR="00734860" w:rsidRPr="00306896" w:rsidRDefault="00734860">
            <w:pPr>
              <w:pStyle w:val="Tablecolhead"/>
            </w:pPr>
            <w:r w:rsidRPr="00306896">
              <w:t>Report</w:t>
            </w:r>
          </w:p>
        </w:tc>
      </w:tr>
      <w:tr w:rsidR="00734860" w:rsidRPr="00306896" w14:paraId="4728CDFC" w14:textId="77777777">
        <w:tc>
          <w:tcPr>
            <w:tcW w:w="1699" w:type="dxa"/>
          </w:tcPr>
          <w:p w14:paraId="774A8465" w14:textId="77777777" w:rsidR="00734860" w:rsidRPr="00306896" w:rsidRDefault="00734860">
            <w:pPr>
              <w:pStyle w:val="Tabletext"/>
            </w:pPr>
            <w:r>
              <w:t>Performance measure 2</w:t>
            </w:r>
          </w:p>
        </w:tc>
        <w:tc>
          <w:tcPr>
            <w:tcW w:w="1699" w:type="dxa"/>
          </w:tcPr>
          <w:p w14:paraId="00C61553" w14:textId="77777777" w:rsidR="00734860" w:rsidRPr="00306896" w:rsidRDefault="00734860">
            <w:pPr>
              <w:pStyle w:val="Tabletext"/>
            </w:pPr>
            <w:r>
              <w:t>Tenancy Support Directions plan and Tenancy Support Outcomes  report</w:t>
            </w:r>
          </w:p>
        </w:tc>
        <w:tc>
          <w:tcPr>
            <w:tcW w:w="1699" w:type="dxa"/>
          </w:tcPr>
          <w:p w14:paraId="4A2CC3BB" w14:textId="77777777" w:rsidR="00734860" w:rsidRPr="00306896" w:rsidRDefault="00734860">
            <w:pPr>
              <w:pStyle w:val="Tabletext"/>
            </w:pPr>
            <w:r>
              <w:t>C</w:t>
            </w:r>
            <w:r w:rsidRPr="00306896">
              <w:t>umulative</w:t>
            </w:r>
          </w:p>
        </w:tc>
        <w:tc>
          <w:tcPr>
            <w:tcW w:w="1699" w:type="dxa"/>
          </w:tcPr>
          <w:p w14:paraId="325DA7B7" w14:textId="77777777" w:rsidR="00734860" w:rsidRPr="00306896" w:rsidRDefault="00734860">
            <w:pPr>
              <w:pStyle w:val="Tabletext"/>
            </w:pPr>
            <w:r w:rsidRPr="00306896">
              <w:t>Template not yet available in CRISSP. Manual template available</w:t>
            </w:r>
          </w:p>
        </w:tc>
        <w:tc>
          <w:tcPr>
            <w:tcW w:w="1699" w:type="dxa"/>
          </w:tcPr>
          <w:p w14:paraId="4DF7E10F" w14:textId="77777777" w:rsidR="00734860" w:rsidRPr="00306896" w:rsidRDefault="00734860">
            <w:pPr>
              <w:pStyle w:val="Tabletext"/>
            </w:pPr>
            <w:r>
              <w:t>Annually</w:t>
            </w:r>
          </w:p>
        </w:tc>
        <w:tc>
          <w:tcPr>
            <w:tcW w:w="1699" w:type="dxa"/>
          </w:tcPr>
          <w:p w14:paraId="3981E486" w14:textId="77777777" w:rsidR="00734860" w:rsidRPr="00306896" w:rsidRDefault="00734860">
            <w:pPr>
              <w:pStyle w:val="Tabletext"/>
            </w:pPr>
            <w:r>
              <w:t xml:space="preserve">Manual submission </w:t>
            </w:r>
          </w:p>
        </w:tc>
      </w:tr>
    </w:tbl>
    <w:p w14:paraId="03730635" w14:textId="77777777" w:rsidR="00734860" w:rsidRDefault="00734860" w:rsidP="00734860">
      <w:pPr>
        <w:pStyle w:val="Heading2"/>
      </w:pPr>
      <w:r>
        <w:t>Brokerage for Aboriginal young people</w:t>
      </w:r>
    </w:p>
    <w:p w14:paraId="6EC1C192" w14:textId="583F4532" w:rsidR="00734860" w:rsidRDefault="00734860" w:rsidP="00734860">
      <w:pPr>
        <w:pStyle w:val="Body"/>
      </w:pPr>
      <w:r>
        <w:t xml:space="preserve">This sub-activity supports the </w:t>
      </w:r>
      <w:r w:rsidR="00B53079">
        <w:t xml:space="preserve">brokerage expended </w:t>
      </w:r>
      <w:r>
        <w:t>for Aboriginal young people receiving Housing First support.</w:t>
      </w:r>
    </w:p>
    <w:p w14:paraId="1A2BDF39" w14:textId="77777777" w:rsidR="00734860" w:rsidRDefault="00734860" w:rsidP="00734860">
      <w:pPr>
        <w:pStyle w:val="Body"/>
      </w:pPr>
      <w:r>
        <w:t xml:space="preserve">Each Aboriginal young person who participates in the Housing First program will be entitled to an amount equating up to $10,000 in brokerage, across their period of involvement in the program. </w:t>
      </w:r>
    </w:p>
    <w:p w14:paraId="201F57D0" w14:textId="77777777" w:rsidR="00734860" w:rsidRDefault="00734860" w:rsidP="00734860">
      <w:pPr>
        <w:pStyle w:val="Body"/>
      </w:pPr>
      <w:r>
        <w:t xml:space="preserve">The funding is to be brokered by the Housing First service provider and can be used for Cultural Connection activities and/or goals identified in the young person’s Cultural Plan. </w:t>
      </w:r>
    </w:p>
    <w:p w14:paraId="72B529CA" w14:textId="099595DA" w:rsidR="00D7103F" w:rsidRPr="00E0494E" w:rsidRDefault="009E0B0A" w:rsidP="00734860">
      <w:pPr>
        <w:pStyle w:val="Body"/>
      </w:pPr>
      <w:r w:rsidRPr="00E0494E">
        <w:t>The brokerage is allocated to Aboriginal Community Controlled Organisation</w:t>
      </w:r>
      <w:r w:rsidR="000E0CF2" w:rsidRPr="00E0494E">
        <w:t>s</w:t>
      </w:r>
      <w:r w:rsidR="00120F5D" w:rsidRPr="00E0494E">
        <w:t xml:space="preserve"> (ACCO</w:t>
      </w:r>
      <w:r w:rsidR="000E0CF2" w:rsidRPr="00E0494E">
        <w:t>s</w:t>
      </w:r>
      <w:r w:rsidR="00120F5D" w:rsidRPr="00E0494E">
        <w:t>)</w:t>
      </w:r>
      <w:r w:rsidRPr="00E0494E">
        <w:t xml:space="preserve"> </w:t>
      </w:r>
      <w:r w:rsidR="00E85A82" w:rsidRPr="00E0494E">
        <w:t>or Community Services Organisation</w:t>
      </w:r>
      <w:r w:rsidR="000E0CF2" w:rsidRPr="00E0494E">
        <w:t>s</w:t>
      </w:r>
      <w:r w:rsidR="00E85A82" w:rsidRPr="00E0494E">
        <w:t xml:space="preserve"> </w:t>
      </w:r>
      <w:r w:rsidRPr="00E0494E">
        <w:t xml:space="preserve">who </w:t>
      </w:r>
      <w:r w:rsidR="000E0CF2" w:rsidRPr="00E0494E">
        <w:t>are</w:t>
      </w:r>
      <w:r w:rsidRPr="00E0494E">
        <w:t xml:space="preserve"> </w:t>
      </w:r>
      <w:r w:rsidR="00CB5470" w:rsidRPr="00E0494E">
        <w:t xml:space="preserve">providing Housing First </w:t>
      </w:r>
      <w:r w:rsidRPr="00E0494E">
        <w:t>support</w:t>
      </w:r>
      <w:r w:rsidR="00CB5470" w:rsidRPr="00E0494E">
        <w:t xml:space="preserve"> to</w:t>
      </w:r>
      <w:r w:rsidRPr="00E0494E">
        <w:t xml:space="preserve"> Aboriginal young pe</w:t>
      </w:r>
      <w:r w:rsidR="000E0CF2" w:rsidRPr="00E0494E">
        <w:t>ople</w:t>
      </w:r>
      <w:r w:rsidRPr="00E0494E">
        <w:t xml:space="preserve">. Funding for brokerage commences from the start of the young person’s housing period and is allocated in full during the first financial year, to be utilised by the </w:t>
      </w:r>
      <w:r w:rsidR="00FE2591" w:rsidRPr="00E0494E">
        <w:t>provider</w:t>
      </w:r>
      <w:r w:rsidR="00120F5D" w:rsidRPr="00E0494E">
        <w:t xml:space="preserve"> </w:t>
      </w:r>
      <w:r w:rsidR="00F03168" w:rsidRPr="00E0494E">
        <w:t>over the</w:t>
      </w:r>
      <w:r w:rsidR="00120F5D" w:rsidRPr="00E0494E">
        <w:t xml:space="preserve"> period o</w:t>
      </w:r>
      <w:r w:rsidR="00600211" w:rsidRPr="00E0494E">
        <w:t>f the young person’s involvement in Housing First.</w:t>
      </w:r>
      <w:r w:rsidR="00F03168" w:rsidRPr="00E0494E">
        <w:t xml:space="preserve"> </w:t>
      </w:r>
      <w:r w:rsidR="00E843BF" w:rsidRPr="00E0494E">
        <w:t>It is not expected that the full amount of brokerage will be expended within the first financial year.</w:t>
      </w:r>
      <w:r w:rsidR="1A0F15F4" w:rsidRPr="00E0494E">
        <w:t xml:space="preserve"> </w:t>
      </w:r>
      <w:r w:rsidR="00AB5610" w:rsidRPr="00E0494E">
        <w:t xml:space="preserve">Providers can </w:t>
      </w:r>
      <w:r w:rsidR="00420FFF" w:rsidRPr="00E0494E">
        <w:t>carry over this funding from one financial year to another, as required, until it is fully expended.</w:t>
      </w:r>
    </w:p>
    <w:p w14:paraId="77285A94" w14:textId="4AF73F13" w:rsidR="1A0F15F4" w:rsidRPr="00E0494E" w:rsidRDefault="1A0F15F4" w:rsidP="5DF340A7">
      <w:pPr>
        <w:pStyle w:val="Body"/>
      </w:pPr>
      <w:r w:rsidRPr="00E0494E">
        <w:t>In circumstances where an Aboriginal young person withdraws from the program prior to fully utilising their brokerage funding, or the brokerage funding isn’t fully expended at the end of the young person’s final year in Housing First, the funding is recouped and returned to the Children and Families Division.</w:t>
      </w:r>
    </w:p>
    <w:p w14:paraId="6D7892B0" w14:textId="77777777" w:rsidR="00734860" w:rsidRDefault="00734860" w:rsidP="00734860">
      <w:pPr>
        <w:pStyle w:val="Body"/>
      </w:pPr>
      <w:r>
        <w:t>Organisations must report on the:</w:t>
      </w:r>
    </w:p>
    <w:p w14:paraId="45A058C2" w14:textId="59F221E7" w:rsidR="00734860" w:rsidRDefault="00734860" w:rsidP="00734860">
      <w:pPr>
        <w:pStyle w:val="Bullet1"/>
      </w:pPr>
      <w:r>
        <w:t xml:space="preserve">total amount of Brokerage for Aboriginal young people </w:t>
      </w:r>
      <w:r w:rsidR="00A24DAB">
        <w:t xml:space="preserve">spent </w:t>
      </w:r>
      <w:r>
        <w:t>in the reporting period.</w:t>
      </w:r>
    </w:p>
    <w:p w14:paraId="3379D6D4" w14:textId="215E6A0C" w:rsidR="00734860" w:rsidRDefault="00A24DAB" w:rsidP="00734860">
      <w:pPr>
        <w:pStyle w:val="Bodyafterbullets"/>
      </w:pPr>
      <w:r>
        <w:lastRenderedPageBreak/>
        <w:t xml:space="preserve">This </w:t>
      </w:r>
      <w:r w:rsidR="00FA0D7D">
        <w:t xml:space="preserve">advice </w:t>
      </w:r>
      <w:r>
        <w:t>refers</w:t>
      </w:r>
      <w:r w:rsidR="00FA0D7D">
        <w:t xml:space="preserve"> </w:t>
      </w:r>
      <w:r w:rsidR="00734860">
        <w:t xml:space="preserve">to funds spent and not funds approved. The total flexible funding expenditure is recorded by an organisation on CRISSP. An annual expenditure report is then generated by organisations for the previous financial year and provided to </w:t>
      </w:r>
      <w:r w:rsidR="00E1016A">
        <w:t>their</w:t>
      </w:r>
      <w:r w:rsidR="00734860">
        <w:t xml:space="preserve"> local APSS advisor by 15 July.</w:t>
      </w:r>
    </w:p>
    <w:p w14:paraId="64336060" w14:textId="77777777" w:rsidR="00734860" w:rsidRDefault="00734860" w:rsidP="00734860">
      <w:pPr>
        <w:pStyle w:val="Heading3"/>
      </w:pPr>
      <w:r>
        <w:t>Requirements - Brokerage for Aboriginal young people</w:t>
      </w:r>
    </w:p>
    <w:tbl>
      <w:tblPr>
        <w:tblStyle w:val="TableGrid"/>
        <w:tblW w:w="0" w:type="auto"/>
        <w:tblLook w:val="0620" w:firstRow="1" w:lastRow="0" w:firstColumn="0" w:lastColumn="0" w:noHBand="1" w:noVBand="1"/>
      </w:tblPr>
      <w:tblGrid>
        <w:gridCol w:w="1699"/>
        <w:gridCol w:w="1699"/>
        <w:gridCol w:w="1699"/>
        <w:gridCol w:w="1699"/>
        <w:gridCol w:w="1699"/>
        <w:gridCol w:w="1699"/>
      </w:tblGrid>
      <w:tr w:rsidR="00734860" w:rsidRPr="00346B8B" w14:paraId="342F1FC2" w14:textId="77777777">
        <w:trPr>
          <w:tblHeader/>
        </w:trPr>
        <w:tc>
          <w:tcPr>
            <w:tcW w:w="1699" w:type="dxa"/>
          </w:tcPr>
          <w:p w14:paraId="22052927" w14:textId="77777777" w:rsidR="00734860" w:rsidRPr="00346B8B" w:rsidRDefault="00734860">
            <w:pPr>
              <w:pStyle w:val="Tablecolhead"/>
            </w:pPr>
            <w:r w:rsidRPr="00346B8B">
              <w:t>Measure</w:t>
            </w:r>
          </w:p>
        </w:tc>
        <w:tc>
          <w:tcPr>
            <w:tcW w:w="1699" w:type="dxa"/>
          </w:tcPr>
          <w:p w14:paraId="3B0894AF" w14:textId="77777777" w:rsidR="00734860" w:rsidRPr="00346B8B" w:rsidRDefault="00734860">
            <w:pPr>
              <w:pStyle w:val="Tablecolhead"/>
            </w:pPr>
            <w:r w:rsidRPr="00346B8B">
              <w:t>Description</w:t>
            </w:r>
          </w:p>
        </w:tc>
        <w:tc>
          <w:tcPr>
            <w:tcW w:w="1699" w:type="dxa"/>
          </w:tcPr>
          <w:p w14:paraId="533CDD68" w14:textId="77777777" w:rsidR="00734860" w:rsidRPr="00346B8B" w:rsidRDefault="00734860">
            <w:pPr>
              <w:pStyle w:val="Tablecolhead"/>
            </w:pPr>
            <w:r w:rsidRPr="00346B8B">
              <w:t>Count</w:t>
            </w:r>
          </w:p>
        </w:tc>
        <w:tc>
          <w:tcPr>
            <w:tcW w:w="1699" w:type="dxa"/>
          </w:tcPr>
          <w:p w14:paraId="6106C4D5" w14:textId="77777777" w:rsidR="00734860" w:rsidRPr="00346B8B" w:rsidRDefault="00734860">
            <w:pPr>
              <w:pStyle w:val="Tablecolhead"/>
            </w:pPr>
            <w:r w:rsidRPr="00346B8B">
              <w:t>CRISSP Report</w:t>
            </w:r>
          </w:p>
        </w:tc>
        <w:tc>
          <w:tcPr>
            <w:tcW w:w="1699" w:type="dxa"/>
          </w:tcPr>
          <w:p w14:paraId="5BBA085A" w14:textId="77777777" w:rsidR="00734860" w:rsidRPr="00346B8B" w:rsidRDefault="00734860">
            <w:pPr>
              <w:pStyle w:val="Tablecolhead"/>
            </w:pPr>
            <w:r w:rsidRPr="00346B8B">
              <w:t>Reporting frequency</w:t>
            </w:r>
          </w:p>
        </w:tc>
        <w:tc>
          <w:tcPr>
            <w:tcW w:w="1699" w:type="dxa"/>
          </w:tcPr>
          <w:p w14:paraId="0ADF50E5" w14:textId="77777777" w:rsidR="00734860" w:rsidRPr="00346B8B" w:rsidRDefault="00734860">
            <w:pPr>
              <w:pStyle w:val="Tablecolhead"/>
            </w:pPr>
            <w:r w:rsidRPr="00346B8B">
              <w:t>Report</w:t>
            </w:r>
          </w:p>
        </w:tc>
      </w:tr>
      <w:tr w:rsidR="00734860" w:rsidRPr="00346B8B" w14:paraId="46C35CCB" w14:textId="77777777">
        <w:tc>
          <w:tcPr>
            <w:tcW w:w="1699" w:type="dxa"/>
          </w:tcPr>
          <w:p w14:paraId="0EE222A8" w14:textId="77777777" w:rsidR="00734860" w:rsidRPr="00346B8B" w:rsidRDefault="00734860">
            <w:pPr>
              <w:pStyle w:val="Tabletext"/>
            </w:pPr>
            <w:r w:rsidRPr="00346B8B">
              <w:t>Performance measure 3</w:t>
            </w:r>
          </w:p>
        </w:tc>
        <w:tc>
          <w:tcPr>
            <w:tcW w:w="1699" w:type="dxa"/>
          </w:tcPr>
          <w:p w14:paraId="14583DF5" w14:textId="77777777" w:rsidR="00734860" w:rsidRPr="00346B8B" w:rsidRDefault="00734860">
            <w:pPr>
              <w:pStyle w:val="Tabletext"/>
            </w:pPr>
            <w:r w:rsidRPr="00346B8B">
              <w:t>Amount of funding expended in the reporting period</w:t>
            </w:r>
          </w:p>
        </w:tc>
        <w:tc>
          <w:tcPr>
            <w:tcW w:w="1699" w:type="dxa"/>
          </w:tcPr>
          <w:p w14:paraId="184D98F4" w14:textId="77777777" w:rsidR="00734860" w:rsidRPr="00346B8B" w:rsidRDefault="00734860">
            <w:pPr>
              <w:pStyle w:val="Tabletext"/>
            </w:pPr>
            <w:r w:rsidRPr="00346B8B">
              <w:t>Cumulative</w:t>
            </w:r>
          </w:p>
        </w:tc>
        <w:tc>
          <w:tcPr>
            <w:tcW w:w="1699" w:type="dxa"/>
          </w:tcPr>
          <w:p w14:paraId="73F17DE9" w14:textId="77777777" w:rsidR="00734860" w:rsidRPr="00346B8B" w:rsidRDefault="00734860">
            <w:pPr>
              <w:pStyle w:val="Tabletext"/>
            </w:pPr>
            <w:r>
              <w:t>Client Expenditure: Housing First Aboriginal Young People Brokerage</w:t>
            </w:r>
          </w:p>
        </w:tc>
        <w:tc>
          <w:tcPr>
            <w:tcW w:w="1699" w:type="dxa"/>
          </w:tcPr>
          <w:p w14:paraId="12785978" w14:textId="77777777" w:rsidR="00734860" w:rsidRPr="00346B8B" w:rsidRDefault="00734860">
            <w:pPr>
              <w:pStyle w:val="Tabletext"/>
            </w:pPr>
            <w:r w:rsidRPr="00346B8B">
              <w:t>Annually</w:t>
            </w:r>
          </w:p>
        </w:tc>
        <w:tc>
          <w:tcPr>
            <w:tcW w:w="1699" w:type="dxa"/>
          </w:tcPr>
          <w:p w14:paraId="2E0D13F5" w14:textId="77777777" w:rsidR="00734860" w:rsidRPr="00346B8B" w:rsidRDefault="00734860">
            <w:pPr>
              <w:pStyle w:val="Tabletext"/>
            </w:pPr>
            <w:r w:rsidRPr="00346B8B">
              <w:t xml:space="preserve">Provided to local APSS </w:t>
            </w:r>
            <w:r>
              <w:t>A</w:t>
            </w:r>
            <w:r w:rsidRPr="00346B8B">
              <w:t>dvisor</w:t>
            </w:r>
          </w:p>
        </w:tc>
      </w:tr>
    </w:tbl>
    <w:p w14:paraId="65265C17" w14:textId="2F800A8A" w:rsidR="0025101B" w:rsidRDefault="0025101B" w:rsidP="0025101B">
      <w:pPr>
        <w:pStyle w:val="Heading1"/>
      </w:pPr>
      <w:r>
        <w:t>Additional information</w:t>
      </w:r>
      <w:bookmarkEnd w:id="10"/>
    </w:p>
    <w:p w14:paraId="02DFED6C" w14:textId="2340FD10" w:rsidR="00885FBC" w:rsidRDefault="00885FBC" w:rsidP="00885FBC">
      <w:pPr>
        <w:pStyle w:val="Body"/>
      </w:pPr>
      <w:r>
        <w:t xml:space="preserve">Supporting documentation and publications may be accessed via the </w:t>
      </w:r>
      <w:r w:rsidR="00E225C2">
        <w:t>department</w:t>
      </w:r>
      <w:r>
        <w:t xml:space="preserve"> website:</w:t>
      </w:r>
    </w:p>
    <w:p w14:paraId="63A3F7D0" w14:textId="557334BB" w:rsidR="00885FBC" w:rsidRDefault="00885FBC" w:rsidP="00885FBC">
      <w:pPr>
        <w:pStyle w:val="Bullet1"/>
      </w:pPr>
      <w:hyperlink r:id="rId23" w:history="1">
        <w:r w:rsidRPr="006F1FB6">
          <w:rPr>
            <w:rStyle w:val="Hyperlink"/>
          </w:rPr>
          <w:t>providers.dffh.vic.gov.au/housing-first</w:t>
        </w:r>
      </w:hyperlink>
      <w:r w:rsidR="006F1FB6">
        <w:rPr>
          <w:rStyle w:val="FootnoteReference"/>
        </w:rPr>
        <w:footnoteReference w:id="8"/>
      </w:r>
      <w:r>
        <w:t xml:space="preserve"> </w:t>
      </w:r>
    </w:p>
    <w:p w14:paraId="2466CD85" w14:textId="2E76335C" w:rsidR="00885FBC" w:rsidRDefault="00885FBC" w:rsidP="00885FBC">
      <w:pPr>
        <w:pStyle w:val="Bullet1"/>
      </w:pPr>
      <w:hyperlink r:id="rId24" w:history="1">
        <w:r w:rsidRPr="00927502">
          <w:rPr>
            <w:rStyle w:val="Hyperlink"/>
          </w:rPr>
          <w:t>providers.dffh.vic.gov.au/leaving-care</w:t>
        </w:r>
      </w:hyperlink>
      <w:r w:rsidR="00927502">
        <w:rPr>
          <w:rStyle w:val="FootnoteReference"/>
        </w:rPr>
        <w:footnoteReference w:id="9"/>
      </w:r>
      <w:r>
        <w:t xml:space="preserve"> </w:t>
      </w:r>
    </w:p>
    <w:p w14:paraId="16E72177" w14:textId="098707BC" w:rsidR="00885FBC" w:rsidRDefault="00885FBC" w:rsidP="00885FBC">
      <w:pPr>
        <w:pStyle w:val="Bullet1"/>
      </w:pPr>
      <w:hyperlink r:id="rId25" w:history="1">
        <w:r w:rsidRPr="001E20F8">
          <w:rPr>
            <w:rStyle w:val="Hyperlink"/>
          </w:rPr>
          <w:t>services.dffh.vic.gov.au/leaving-care</w:t>
        </w:r>
      </w:hyperlink>
      <w:r w:rsidR="001E20F8">
        <w:rPr>
          <w:rStyle w:val="FootnoteReference"/>
        </w:rPr>
        <w:footnoteReference w:id="10"/>
      </w:r>
      <w:r>
        <w:t xml:space="preserve"> </w:t>
      </w:r>
    </w:p>
    <w:p w14:paraId="3BFB83E9" w14:textId="38152C05" w:rsidR="00885FBC" w:rsidRDefault="00885FBC" w:rsidP="00885FBC">
      <w:pPr>
        <w:pStyle w:val="Bullet1"/>
      </w:pPr>
      <w:hyperlink r:id="rId26" w:history="1">
        <w:r w:rsidRPr="008947C2">
          <w:rPr>
            <w:rStyle w:val="Hyperlink"/>
          </w:rPr>
          <w:t>Funded Agency Channel</w:t>
        </w:r>
      </w:hyperlink>
      <w:r w:rsidR="008947C2">
        <w:rPr>
          <w:rStyle w:val="FootnoteReference"/>
        </w:rPr>
        <w:footnoteReference w:id="11"/>
      </w:r>
      <w:r>
        <w:t xml:space="preserve"> </w:t>
      </w:r>
    </w:p>
    <w:p w14:paraId="47509DD8" w14:textId="5BC84DDE" w:rsidR="00346B8B" w:rsidRDefault="00885FBC" w:rsidP="007758BD">
      <w:pPr>
        <w:pStyle w:val="Bullet1"/>
      </w:pPr>
      <w:r>
        <w:t xml:space="preserve">Funded activity descriptors are accessible via the </w:t>
      </w:r>
      <w:hyperlink r:id="rId27" w:history="1">
        <w:r w:rsidRPr="00091F6E">
          <w:rPr>
            <w:rStyle w:val="Hyperlink"/>
          </w:rPr>
          <w:t>department’s activity search website</w:t>
        </w:r>
      </w:hyperlink>
      <w:r w:rsidR="00091F6E">
        <w:rPr>
          <w:rStyle w:val="FootnoteReference"/>
        </w:rPr>
        <w:footnoteReference w:id="12"/>
      </w:r>
      <w:r>
        <w:t xml:space="preserve"> </w:t>
      </w:r>
    </w:p>
    <w:p w14:paraId="3AF0E033" w14:textId="144698E3" w:rsidR="00CB7822" w:rsidRDefault="00CB7822" w:rsidP="00CB7822">
      <w:pPr>
        <w:pStyle w:val="Heading1"/>
      </w:pPr>
      <w:r>
        <w:t>Version history</w:t>
      </w:r>
    </w:p>
    <w:tbl>
      <w:tblPr>
        <w:tblStyle w:val="TableGrid"/>
        <w:tblW w:w="0" w:type="auto"/>
        <w:tblLook w:val="04A0" w:firstRow="1" w:lastRow="0" w:firstColumn="1" w:lastColumn="0" w:noHBand="0" w:noVBand="1"/>
      </w:tblPr>
      <w:tblGrid>
        <w:gridCol w:w="2548"/>
        <w:gridCol w:w="2548"/>
        <w:gridCol w:w="2549"/>
        <w:gridCol w:w="2549"/>
      </w:tblGrid>
      <w:tr w:rsidR="00BA79ED" w14:paraId="24334FD6" w14:textId="77777777" w:rsidTr="00BA79ED">
        <w:tc>
          <w:tcPr>
            <w:tcW w:w="2548" w:type="dxa"/>
          </w:tcPr>
          <w:p w14:paraId="7436AEBC" w14:textId="31F41972" w:rsidR="00BA79ED" w:rsidRDefault="00BA79ED" w:rsidP="00BA79ED">
            <w:pPr>
              <w:pStyle w:val="Tablecolhead"/>
            </w:pPr>
            <w:r>
              <w:t>Version number</w:t>
            </w:r>
          </w:p>
        </w:tc>
        <w:tc>
          <w:tcPr>
            <w:tcW w:w="2548" w:type="dxa"/>
          </w:tcPr>
          <w:p w14:paraId="70DA61BF" w14:textId="3AC368DB" w:rsidR="00BA79ED" w:rsidRDefault="00BA79ED" w:rsidP="00BA79ED">
            <w:pPr>
              <w:pStyle w:val="Tablecolhead"/>
            </w:pPr>
            <w:r>
              <w:t>Publication date</w:t>
            </w:r>
          </w:p>
        </w:tc>
        <w:tc>
          <w:tcPr>
            <w:tcW w:w="2549" w:type="dxa"/>
          </w:tcPr>
          <w:p w14:paraId="04E4DB8B" w14:textId="0B0129CD" w:rsidR="00BA79ED" w:rsidRDefault="00551920" w:rsidP="00BA79ED">
            <w:pPr>
              <w:pStyle w:val="Tablecolhead"/>
            </w:pPr>
            <w:r>
              <w:t>Summary of changes</w:t>
            </w:r>
          </w:p>
        </w:tc>
        <w:tc>
          <w:tcPr>
            <w:tcW w:w="2549" w:type="dxa"/>
          </w:tcPr>
          <w:p w14:paraId="5AC72069" w14:textId="1019C6CC" w:rsidR="00BA79ED" w:rsidRDefault="00551920" w:rsidP="00BA79ED">
            <w:pPr>
              <w:pStyle w:val="Tablecolhead"/>
            </w:pPr>
            <w:r>
              <w:t>Version author</w:t>
            </w:r>
          </w:p>
        </w:tc>
      </w:tr>
      <w:tr w:rsidR="00551920" w14:paraId="3817C5C8" w14:textId="77777777" w:rsidTr="00BA79ED">
        <w:tc>
          <w:tcPr>
            <w:tcW w:w="2548" w:type="dxa"/>
          </w:tcPr>
          <w:p w14:paraId="42B24149" w14:textId="070A2255" w:rsidR="00551920" w:rsidRDefault="003E21D3" w:rsidP="00551920">
            <w:pPr>
              <w:pStyle w:val="Tabletext"/>
            </w:pPr>
            <w:r>
              <w:t>V1.1</w:t>
            </w:r>
          </w:p>
        </w:tc>
        <w:tc>
          <w:tcPr>
            <w:tcW w:w="2548" w:type="dxa"/>
          </w:tcPr>
          <w:p w14:paraId="4B7F7525" w14:textId="710DF3AA" w:rsidR="00551920" w:rsidRDefault="003E21D3" w:rsidP="00551920">
            <w:pPr>
              <w:pStyle w:val="Tabletext"/>
            </w:pPr>
            <w:r>
              <w:t>January 2025</w:t>
            </w:r>
          </w:p>
        </w:tc>
        <w:tc>
          <w:tcPr>
            <w:tcW w:w="2549" w:type="dxa"/>
          </w:tcPr>
          <w:p w14:paraId="73BDEE4C" w14:textId="548E4BB6" w:rsidR="00551920" w:rsidRDefault="008165CC" w:rsidP="003E21D3">
            <w:pPr>
              <w:pStyle w:val="Tablebullet1"/>
            </w:pPr>
            <w:r>
              <w:t>Added Housing First Tenancy Support</w:t>
            </w:r>
          </w:p>
        </w:tc>
        <w:tc>
          <w:tcPr>
            <w:tcW w:w="2549" w:type="dxa"/>
          </w:tcPr>
          <w:p w14:paraId="586BBBFD" w14:textId="264C8994" w:rsidR="00551920" w:rsidRDefault="008165CC" w:rsidP="00551920">
            <w:pPr>
              <w:pStyle w:val="Tabletext"/>
            </w:pPr>
            <w:r>
              <w:t>Transitions from Care</w:t>
            </w:r>
          </w:p>
        </w:tc>
      </w:tr>
      <w:tr w:rsidR="00BA79ED" w14:paraId="3B822A06" w14:textId="77777777" w:rsidTr="00BA79ED">
        <w:tc>
          <w:tcPr>
            <w:tcW w:w="2548" w:type="dxa"/>
          </w:tcPr>
          <w:p w14:paraId="5F8A899A" w14:textId="730D5486" w:rsidR="00BA79ED" w:rsidRDefault="008165CC" w:rsidP="00CB7822">
            <w:pPr>
              <w:pStyle w:val="Body"/>
            </w:pPr>
            <w:r>
              <w:t>V2</w:t>
            </w:r>
          </w:p>
        </w:tc>
        <w:tc>
          <w:tcPr>
            <w:tcW w:w="2548" w:type="dxa"/>
          </w:tcPr>
          <w:p w14:paraId="60CDB003" w14:textId="5CEB31F9" w:rsidR="00BA79ED" w:rsidRDefault="008165CC" w:rsidP="00CB7822">
            <w:pPr>
              <w:pStyle w:val="Body"/>
            </w:pPr>
            <w:r>
              <w:t>February 2026</w:t>
            </w:r>
          </w:p>
        </w:tc>
        <w:tc>
          <w:tcPr>
            <w:tcW w:w="2549" w:type="dxa"/>
          </w:tcPr>
          <w:p w14:paraId="78E33057" w14:textId="4C166983" w:rsidR="00BA79ED" w:rsidRDefault="00117B78" w:rsidP="006B5792">
            <w:pPr>
              <w:pStyle w:val="Tablebullet1"/>
            </w:pPr>
            <w:r>
              <w:t xml:space="preserve">Clarification </w:t>
            </w:r>
            <w:r w:rsidR="00341451">
              <w:t>to Housing First case work support funding</w:t>
            </w:r>
            <w:r>
              <w:t>.</w:t>
            </w:r>
          </w:p>
          <w:p w14:paraId="4DE63F7A" w14:textId="72F7B43C" w:rsidR="00117B78" w:rsidRDefault="00117B78" w:rsidP="006B5792">
            <w:pPr>
              <w:pStyle w:val="Tablebullet1"/>
            </w:pPr>
            <w:r>
              <w:t xml:space="preserve">Clarification </w:t>
            </w:r>
            <w:r w:rsidR="00341451">
              <w:t>to</w:t>
            </w:r>
            <w:r w:rsidR="00C67DED">
              <w:t xml:space="preserve"> Brokerage for Aboriginal young </w:t>
            </w:r>
            <w:r w:rsidR="00341451">
              <w:t>people allocation and usage.</w:t>
            </w:r>
          </w:p>
        </w:tc>
        <w:tc>
          <w:tcPr>
            <w:tcW w:w="2549" w:type="dxa"/>
          </w:tcPr>
          <w:p w14:paraId="151E03BD" w14:textId="4CBED806" w:rsidR="00BA79ED" w:rsidRDefault="00341451" w:rsidP="00CB7822">
            <w:pPr>
              <w:pStyle w:val="Body"/>
            </w:pPr>
            <w:r>
              <w:t>Transitions from Care</w:t>
            </w:r>
          </w:p>
        </w:tc>
      </w:tr>
    </w:tbl>
    <w:p w14:paraId="3BB636F0" w14:textId="77777777" w:rsidR="00067014" w:rsidRPr="00CC643E" w:rsidRDefault="00067014" w:rsidP="00067014">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6DD7F21A" w:rsidR="0055119B" w:rsidRPr="0055119B" w:rsidRDefault="0055119B" w:rsidP="0055119B">
            <w:pPr>
              <w:pStyle w:val="Accessibilitypara"/>
            </w:pPr>
            <w:bookmarkStart w:id="11" w:name="_Hlk37240926"/>
            <w:r w:rsidRPr="0055119B">
              <w:t>To receive this document in another format</w:t>
            </w:r>
            <w:r w:rsidR="00091F6E">
              <w:t xml:space="preserve"> </w:t>
            </w:r>
            <w:r w:rsidRPr="0055119B">
              <w:t>email</w:t>
            </w:r>
            <w:r w:rsidR="00B23C41">
              <w:t>,</w:t>
            </w:r>
            <w:r w:rsidRPr="0055119B">
              <w:t xml:space="preserve"> </w:t>
            </w:r>
            <w:r w:rsidR="00B23C41" w:rsidRPr="00A64637">
              <w:t>Transitions from Care</w:t>
            </w:r>
            <w:r w:rsidRPr="006B0EB3">
              <w:rPr>
                <w:color w:val="004C97"/>
              </w:rPr>
              <w:t>,</w:t>
            </w:r>
            <w:r w:rsidRPr="0055119B">
              <w:rPr>
                <w:color w:val="004C97"/>
              </w:rPr>
              <w:t xml:space="preserve"> </w:t>
            </w:r>
            <w:hyperlink r:id="rId28" w:history="1">
              <w:r w:rsidR="00B23C41">
                <w:rPr>
                  <w:rStyle w:val="Hyperlink"/>
                </w:rPr>
                <w:t>betterfuturescentral@dffh.vic.gov.au</w:t>
              </w:r>
            </w:hyperlink>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4AF318F8" w:rsidR="0055119B" w:rsidRPr="0055119B" w:rsidRDefault="0055119B" w:rsidP="00E33237">
            <w:pPr>
              <w:pStyle w:val="Imprint"/>
            </w:pPr>
            <w:r w:rsidRPr="0055119B">
              <w:lastRenderedPageBreak/>
              <w:t xml:space="preserve">© State of Victoria, Australia, Department </w:t>
            </w:r>
            <w:r w:rsidRPr="001B058F">
              <w:t xml:space="preserve">of </w:t>
            </w:r>
            <w:r w:rsidR="00002D68">
              <w:t>Families, Fairness and Housing</w:t>
            </w:r>
            <w:r w:rsidRPr="0055119B">
              <w:t xml:space="preserve">, </w:t>
            </w:r>
            <w:r w:rsidR="00B15BCB">
              <w:t>February</w:t>
            </w:r>
            <w:r w:rsidR="00017A5F">
              <w:t xml:space="preserve"> 202</w:t>
            </w:r>
            <w:r w:rsidR="00B15BCB">
              <w:t>6</w:t>
            </w:r>
            <w:r w:rsidR="00017A5F">
              <w:t>.</w:t>
            </w:r>
          </w:p>
          <w:p w14:paraId="3DA6EBE2" w14:textId="50D721B5" w:rsidR="00124316" w:rsidRDefault="0055119B" w:rsidP="00E33237">
            <w:pPr>
              <w:pStyle w:val="Imprint"/>
            </w:pPr>
            <w:bookmarkStart w:id="12" w:name="_Hlk62746129"/>
            <w:r w:rsidRPr="007262C9">
              <w:t>In this document, ‘Aboriginal’ refers to both</w:t>
            </w:r>
            <w:r w:rsidR="00124316">
              <w:t xml:space="preserve"> Aboriginal and Torres Strait Islander people. ‘Indigenous</w:t>
            </w:r>
            <w:r w:rsidR="00CF3A28">
              <w:t>’</w:t>
            </w:r>
            <w:r w:rsidR="00124316">
              <w:t xml:space="preserve"> or ‘Koori/Koorie’ is retained when part of the title of a report,</w:t>
            </w:r>
            <w:r w:rsidR="00CF3A28">
              <w:t xml:space="preserve"> program or quotation.</w:t>
            </w:r>
            <w:r w:rsidR="00124316">
              <w:t xml:space="preserve"> </w:t>
            </w:r>
          </w:p>
          <w:p w14:paraId="25D7B6AE" w14:textId="0173B42A" w:rsidR="00FF5F41" w:rsidRPr="00B53079" w:rsidRDefault="00B53079" w:rsidP="00E33237">
            <w:pPr>
              <w:pStyle w:val="Imprint"/>
              <w:rPr>
                <w:rFonts w:cs="Arial"/>
                <w:color w:val="000000"/>
              </w:rPr>
            </w:pPr>
            <w:r w:rsidRPr="00B53079">
              <w:rPr>
                <w:rFonts w:cs="Arial"/>
                <w:b/>
                <w:bCs/>
                <w:color w:val="000000"/>
              </w:rPr>
              <w:t>ISBN</w:t>
            </w:r>
            <w:r w:rsidRPr="00B53079">
              <w:rPr>
                <w:rFonts w:cs="Arial"/>
                <w:color w:val="000000"/>
              </w:rPr>
              <w:t xml:space="preserve"> 978-1-76130-755-3 </w:t>
            </w:r>
          </w:p>
          <w:p w14:paraId="0C92739F" w14:textId="049F17A9" w:rsidR="0055119B" w:rsidRDefault="0055119B" w:rsidP="00E33237">
            <w:pPr>
              <w:pStyle w:val="Imprint"/>
            </w:pPr>
            <w:r w:rsidRPr="0055119B">
              <w:t xml:space="preserve">Available at </w:t>
            </w:r>
            <w:hyperlink r:id="rId29" w:history="1">
              <w:r w:rsidR="00813809" w:rsidRPr="00813809">
                <w:rPr>
                  <w:rStyle w:val="Hyperlink"/>
                </w:rPr>
                <w:t>providers.dffh.vic.gov.au/housing-first</w:t>
              </w:r>
            </w:hyperlink>
            <w:r w:rsidR="00813809" w:rsidRPr="00D3139E">
              <w:t xml:space="preserve"> providers.dffh.vic.gov.au/housing-first</w:t>
            </w:r>
            <w:r w:rsidR="007351F2">
              <w:t>.</w:t>
            </w:r>
            <w:r w:rsidR="00813809" w:rsidRPr="00D3139E">
              <w:t xml:space="preserve"> </w:t>
            </w:r>
            <w:bookmarkEnd w:id="12"/>
          </w:p>
        </w:tc>
      </w:tr>
      <w:bookmarkEnd w:id="11"/>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B9E5" w14:textId="77777777" w:rsidR="007970F8" w:rsidRDefault="007970F8">
      <w:r>
        <w:separator/>
      </w:r>
    </w:p>
    <w:p w14:paraId="2A7D64E7" w14:textId="77777777" w:rsidR="007970F8" w:rsidRDefault="007970F8"/>
  </w:endnote>
  <w:endnote w:type="continuationSeparator" w:id="0">
    <w:p w14:paraId="120EE684" w14:textId="77777777" w:rsidR="007970F8" w:rsidRDefault="007970F8">
      <w:r>
        <w:continuationSeparator/>
      </w:r>
    </w:p>
    <w:p w14:paraId="60AE0109" w14:textId="77777777" w:rsidR="007970F8" w:rsidRDefault="007970F8"/>
  </w:endnote>
  <w:endnote w:type="continuationNotice" w:id="1">
    <w:p w14:paraId="2BB3D67D" w14:textId="77777777" w:rsidR="007970F8" w:rsidRDefault="00797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D4F8029">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AF84E78">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F57533C">
            <v:shapetype id="_x0000_t202" coordsize="21600,21600" o:spt="202" path="m,l,21600r21600,l21600,xe" w14:anchorId="005089CE">
              <v:stroke joinstyle="miter"/>
              <v:path gradientshapeok="t" o:connecttype="rect"/>
            </v:shapetype>
            <v:shape id="_x0000_s1028"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1AFC" w14:textId="77777777" w:rsidR="007970F8" w:rsidRDefault="007970F8" w:rsidP="00207717">
      <w:pPr>
        <w:spacing w:before="120"/>
      </w:pPr>
      <w:r>
        <w:separator/>
      </w:r>
    </w:p>
  </w:footnote>
  <w:footnote w:type="continuationSeparator" w:id="0">
    <w:p w14:paraId="644E4F66" w14:textId="77777777" w:rsidR="007970F8" w:rsidRDefault="007970F8">
      <w:r>
        <w:continuationSeparator/>
      </w:r>
    </w:p>
    <w:p w14:paraId="2B48F537" w14:textId="77777777" w:rsidR="007970F8" w:rsidRDefault="007970F8"/>
  </w:footnote>
  <w:footnote w:type="continuationNotice" w:id="1">
    <w:p w14:paraId="35C274F9" w14:textId="77777777" w:rsidR="007970F8" w:rsidRDefault="007970F8">
      <w:pPr>
        <w:spacing w:after="0" w:line="240" w:lineRule="auto"/>
      </w:pPr>
    </w:p>
  </w:footnote>
  <w:footnote w:id="2">
    <w:p w14:paraId="48BD330E" w14:textId="0CDBD366" w:rsidR="000B502E" w:rsidRDefault="000B502E">
      <w:pPr>
        <w:pStyle w:val="FootnoteText"/>
      </w:pPr>
      <w:r>
        <w:rPr>
          <w:rStyle w:val="FootnoteReference"/>
        </w:rPr>
        <w:footnoteRef/>
      </w:r>
      <w:r>
        <w:t xml:space="preserve"> </w:t>
      </w:r>
      <w:r w:rsidRPr="000B502E">
        <w:t>https://providers.dffh.vic.gov.au/housing-first</w:t>
      </w:r>
    </w:p>
  </w:footnote>
  <w:footnote w:id="3">
    <w:p w14:paraId="491879E6" w14:textId="2B7892D9" w:rsidR="00515E96" w:rsidRDefault="00515E96">
      <w:pPr>
        <w:pStyle w:val="FootnoteText"/>
      </w:pPr>
      <w:r>
        <w:rPr>
          <w:rStyle w:val="FootnoteReference"/>
        </w:rPr>
        <w:footnoteRef/>
      </w:r>
      <w:r>
        <w:t xml:space="preserve"> </w:t>
      </w:r>
      <w:r w:rsidRPr="00515E96">
        <w:t>https://assets.bsl.org.au/assets/services/Young-people/BSL-Better-Futures-Advantaged-Thinking-Practice-Framework_Revised-April-2024.pdf</w:t>
      </w:r>
    </w:p>
  </w:footnote>
  <w:footnote w:id="4">
    <w:p w14:paraId="383FEF3E" w14:textId="69323C5D" w:rsidR="00884842" w:rsidRDefault="00884842">
      <w:pPr>
        <w:pStyle w:val="FootnoteText"/>
      </w:pPr>
      <w:r>
        <w:rPr>
          <w:rStyle w:val="FootnoteReference"/>
        </w:rPr>
        <w:footnoteRef/>
      </w:r>
      <w:r>
        <w:t xml:space="preserve"> </w:t>
      </w:r>
      <w:r w:rsidRPr="00884842">
        <w:t>https://providers.dffh.vic.gov.au/families-fairness-housing-health-activity-search</w:t>
      </w:r>
    </w:p>
  </w:footnote>
  <w:footnote w:id="5">
    <w:p w14:paraId="07A19A2B" w14:textId="151C24C7" w:rsidR="00911B18" w:rsidRDefault="00911B18">
      <w:pPr>
        <w:pStyle w:val="FootnoteText"/>
      </w:pPr>
      <w:r>
        <w:rPr>
          <w:rStyle w:val="FootnoteReference"/>
        </w:rPr>
        <w:footnoteRef/>
      </w:r>
      <w:r>
        <w:t xml:space="preserve"> </w:t>
      </w:r>
      <w:hyperlink r:id="rId1" w:history="1">
        <w:r w:rsidRPr="005E3AD5">
          <w:rPr>
            <w:rStyle w:val="Hyperlink"/>
            <w:color w:val="auto"/>
            <w:u w:val="none"/>
          </w:rPr>
          <w:t>fac.dffh.vic.gov.au/service-agreement-requirements</w:t>
        </w:r>
      </w:hyperlink>
    </w:p>
  </w:footnote>
  <w:footnote w:id="6">
    <w:p w14:paraId="2C50E499" w14:textId="0FF597A8" w:rsidR="003F52B8" w:rsidRDefault="003F52B8">
      <w:pPr>
        <w:pStyle w:val="FootnoteText"/>
      </w:pPr>
      <w:r>
        <w:rPr>
          <w:rStyle w:val="FootnoteReference"/>
        </w:rPr>
        <w:footnoteRef/>
      </w:r>
      <w:r>
        <w:t xml:space="preserve"> </w:t>
      </w:r>
      <w:hyperlink r:id="rId2" w:history="1">
        <w:r w:rsidRPr="005E3AD5">
          <w:t>https://providers.dffh.vic.gov.au/families-fairness-housing-health-activity-search</w:t>
        </w:r>
      </w:hyperlink>
      <w:r w:rsidRPr="005E3AD5">
        <w:rPr>
          <w:rStyle w:val="Hyperlink"/>
          <w:color w:val="auto"/>
          <w:u w:val="none"/>
        </w:rPr>
        <w:tab/>
      </w:r>
    </w:p>
  </w:footnote>
  <w:footnote w:id="7">
    <w:p w14:paraId="3E1312E0" w14:textId="34D420FF" w:rsidR="005753E6" w:rsidRDefault="005753E6">
      <w:pPr>
        <w:pStyle w:val="FootnoteText"/>
      </w:pPr>
      <w:r>
        <w:rPr>
          <w:rStyle w:val="FootnoteReference"/>
        </w:rPr>
        <w:footnoteRef/>
      </w:r>
      <w:r>
        <w:t xml:space="preserve"> </w:t>
      </w:r>
      <w:hyperlink r:id="rId3" w:history="1">
        <w:r w:rsidRPr="005E3AD5">
          <w:rPr>
            <w:rStyle w:val="Hyperlink"/>
            <w:color w:val="auto"/>
            <w:u w:val="none"/>
          </w:rPr>
          <w:t>https://fac.dffh.vic.gov.au/service-delivery-tracking</w:t>
        </w:r>
      </w:hyperlink>
      <w:r w:rsidRPr="005E3AD5">
        <w:tab/>
      </w:r>
    </w:p>
  </w:footnote>
  <w:footnote w:id="8">
    <w:p w14:paraId="3FBACF89" w14:textId="27C4EE74" w:rsidR="006F1FB6" w:rsidRDefault="006F1FB6">
      <w:pPr>
        <w:pStyle w:val="FootnoteText"/>
      </w:pPr>
      <w:r>
        <w:rPr>
          <w:rStyle w:val="FootnoteReference"/>
        </w:rPr>
        <w:footnoteRef/>
      </w:r>
      <w:r>
        <w:t xml:space="preserve"> </w:t>
      </w:r>
      <w:r w:rsidRPr="005E3AD5">
        <w:t>https://providers.dffh.vic.gov.au/housing-first</w:t>
      </w:r>
    </w:p>
  </w:footnote>
  <w:footnote w:id="9">
    <w:p w14:paraId="079D2AB7" w14:textId="52464820" w:rsidR="00927502" w:rsidRDefault="00927502">
      <w:pPr>
        <w:pStyle w:val="FootnoteText"/>
      </w:pPr>
      <w:r>
        <w:rPr>
          <w:rStyle w:val="FootnoteReference"/>
        </w:rPr>
        <w:footnoteRef/>
      </w:r>
      <w:r>
        <w:t xml:space="preserve"> </w:t>
      </w:r>
      <w:r w:rsidRPr="005E3AD5">
        <w:rPr>
          <w:rStyle w:val="Hyperlink"/>
          <w:color w:val="auto"/>
          <w:u w:val="none"/>
        </w:rPr>
        <w:t>https://providers.dffh.vic.gov.au/leaving-care</w:t>
      </w:r>
    </w:p>
  </w:footnote>
  <w:footnote w:id="10">
    <w:p w14:paraId="1C406109" w14:textId="68948647" w:rsidR="001E20F8" w:rsidRDefault="001E20F8">
      <w:pPr>
        <w:pStyle w:val="FootnoteText"/>
      </w:pPr>
      <w:r>
        <w:rPr>
          <w:rStyle w:val="FootnoteReference"/>
        </w:rPr>
        <w:footnoteRef/>
      </w:r>
      <w:r>
        <w:t xml:space="preserve"> </w:t>
      </w:r>
      <w:r w:rsidRPr="005E3AD5">
        <w:t>https://services.dffh.vic.gov.au/leaving-care</w:t>
      </w:r>
    </w:p>
  </w:footnote>
  <w:footnote w:id="11">
    <w:p w14:paraId="1F469821" w14:textId="56CBDEDD" w:rsidR="008947C2" w:rsidRDefault="008947C2">
      <w:pPr>
        <w:pStyle w:val="FootnoteText"/>
      </w:pPr>
      <w:r>
        <w:rPr>
          <w:rStyle w:val="FootnoteReference"/>
        </w:rPr>
        <w:footnoteRef/>
      </w:r>
      <w:r>
        <w:t xml:space="preserve"> </w:t>
      </w:r>
      <w:hyperlink r:id="rId4" w:history="1">
        <w:r w:rsidRPr="005E3AD5">
          <w:t>https://fac.dhhs.vic.gov.au</w:t>
        </w:r>
      </w:hyperlink>
    </w:p>
  </w:footnote>
  <w:footnote w:id="12">
    <w:p w14:paraId="3D097D55" w14:textId="36C5E884" w:rsidR="00091F6E" w:rsidRDefault="00091F6E">
      <w:pPr>
        <w:pStyle w:val="FootnoteText"/>
      </w:pPr>
      <w:r>
        <w:rPr>
          <w:rStyle w:val="FootnoteReference"/>
        </w:rPr>
        <w:footnoteRef/>
      </w:r>
      <w:r>
        <w:t xml:space="preserve"> </w:t>
      </w:r>
      <w:hyperlink r:id="rId5" w:history="1">
        <w:r w:rsidRPr="005E3AD5">
          <w:t>https://providers.dffh.vic.gov.au/families-fairness-housing-health-activity-search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D896788" w:rsidR="00E261B3" w:rsidRPr="0051568D" w:rsidRDefault="00252D5F" w:rsidP="0017674D">
    <w:pPr>
      <w:pStyle w:val="Header"/>
    </w:pPr>
    <w:r>
      <w:t>Housing First for Young People Leaving Residential Care</w:t>
    </w:r>
    <w:r w:rsidR="005742E1">
      <w:t xml:space="preserve"> </w:t>
    </w:r>
    <w:r>
      <w:t>- Performance and Reporting Practice Advice</w:t>
    </w:r>
    <w:r w:rsidR="000B502E">
      <w:ptab w:relativeTo="margin" w:alignment="right" w:leader="none"/>
    </w:r>
    <w:r w:rsidR="00A94047">
      <w:fldChar w:fldCharType="begin"/>
    </w:r>
    <w:r w:rsidR="00A94047">
      <w:instrText xml:space="preserve"> PAGE   \* MERGEFORMAT </w:instrText>
    </w:r>
    <w:r w:rsidR="00A94047">
      <w:fldChar w:fldCharType="separate"/>
    </w:r>
    <w:r w:rsidR="00A94047">
      <w:rPr>
        <w:noProof/>
      </w:rPr>
      <w:t>1</w:t>
    </w:r>
    <w:r w:rsidR="00A94047">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4D2D"/>
    <w:rsid w:val="00005347"/>
    <w:rsid w:val="0000629C"/>
    <w:rsid w:val="000072B6"/>
    <w:rsid w:val="000073E4"/>
    <w:rsid w:val="0001021B"/>
    <w:rsid w:val="00011D89"/>
    <w:rsid w:val="000154FD"/>
    <w:rsid w:val="00017667"/>
    <w:rsid w:val="00017752"/>
    <w:rsid w:val="00017A5F"/>
    <w:rsid w:val="00022271"/>
    <w:rsid w:val="000235E8"/>
    <w:rsid w:val="00024D89"/>
    <w:rsid w:val="00024EDE"/>
    <w:rsid w:val="000250B6"/>
    <w:rsid w:val="00031F0B"/>
    <w:rsid w:val="00033D81"/>
    <w:rsid w:val="00035ABB"/>
    <w:rsid w:val="00037366"/>
    <w:rsid w:val="00037D8D"/>
    <w:rsid w:val="00041BF0"/>
    <w:rsid w:val="00042921"/>
    <w:rsid w:val="00042C8A"/>
    <w:rsid w:val="0004536B"/>
    <w:rsid w:val="00046B68"/>
    <w:rsid w:val="0005118F"/>
    <w:rsid w:val="000527DD"/>
    <w:rsid w:val="0005752D"/>
    <w:rsid w:val="000578B2"/>
    <w:rsid w:val="00060959"/>
    <w:rsid w:val="00060C8F"/>
    <w:rsid w:val="0006298A"/>
    <w:rsid w:val="000643BD"/>
    <w:rsid w:val="000663CD"/>
    <w:rsid w:val="00067014"/>
    <w:rsid w:val="000721C9"/>
    <w:rsid w:val="00072300"/>
    <w:rsid w:val="000733FE"/>
    <w:rsid w:val="00073502"/>
    <w:rsid w:val="00074219"/>
    <w:rsid w:val="00074ED5"/>
    <w:rsid w:val="00075280"/>
    <w:rsid w:val="00081EB2"/>
    <w:rsid w:val="0008426F"/>
    <w:rsid w:val="0008508E"/>
    <w:rsid w:val="00086557"/>
    <w:rsid w:val="000872EB"/>
    <w:rsid w:val="00087951"/>
    <w:rsid w:val="00087D8A"/>
    <w:rsid w:val="0009050A"/>
    <w:rsid w:val="00091009"/>
    <w:rsid w:val="0009113B"/>
    <w:rsid w:val="00091F6E"/>
    <w:rsid w:val="00093402"/>
    <w:rsid w:val="00094DA3"/>
    <w:rsid w:val="00096CD1"/>
    <w:rsid w:val="00097918"/>
    <w:rsid w:val="000A012C"/>
    <w:rsid w:val="000A0DC7"/>
    <w:rsid w:val="000A0EB9"/>
    <w:rsid w:val="000A186C"/>
    <w:rsid w:val="000A1EA4"/>
    <w:rsid w:val="000A2476"/>
    <w:rsid w:val="000A53BD"/>
    <w:rsid w:val="000A641A"/>
    <w:rsid w:val="000B14DE"/>
    <w:rsid w:val="000B2117"/>
    <w:rsid w:val="000B3EDB"/>
    <w:rsid w:val="000B4A50"/>
    <w:rsid w:val="000B502E"/>
    <w:rsid w:val="000B543D"/>
    <w:rsid w:val="000B55F9"/>
    <w:rsid w:val="000B5BF7"/>
    <w:rsid w:val="000B66E4"/>
    <w:rsid w:val="000B6BC8"/>
    <w:rsid w:val="000C0303"/>
    <w:rsid w:val="000C2128"/>
    <w:rsid w:val="000C42EA"/>
    <w:rsid w:val="000C4546"/>
    <w:rsid w:val="000C50B6"/>
    <w:rsid w:val="000D1242"/>
    <w:rsid w:val="000D6005"/>
    <w:rsid w:val="000D6319"/>
    <w:rsid w:val="000E0970"/>
    <w:rsid w:val="000E0CF2"/>
    <w:rsid w:val="000E3C0C"/>
    <w:rsid w:val="000E3CC7"/>
    <w:rsid w:val="000E5EF3"/>
    <w:rsid w:val="000E6BD4"/>
    <w:rsid w:val="000E6D6D"/>
    <w:rsid w:val="000F1F1E"/>
    <w:rsid w:val="000F2259"/>
    <w:rsid w:val="000F2948"/>
    <w:rsid w:val="000F2DDA"/>
    <w:rsid w:val="000F2EA0"/>
    <w:rsid w:val="000F3F06"/>
    <w:rsid w:val="000F46E4"/>
    <w:rsid w:val="000F5213"/>
    <w:rsid w:val="000F63FD"/>
    <w:rsid w:val="00101001"/>
    <w:rsid w:val="001022BB"/>
    <w:rsid w:val="00103276"/>
    <w:rsid w:val="0010392D"/>
    <w:rsid w:val="0010447F"/>
    <w:rsid w:val="00104FE3"/>
    <w:rsid w:val="00105291"/>
    <w:rsid w:val="0010714F"/>
    <w:rsid w:val="001120C5"/>
    <w:rsid w:val="001136BB"/>
    <w:rsid w:val="0011480D"/>
    <w:rsid w:val="001176FC"/>
    <w:rsid w:val="00117B78"/>
    <w:rsid w:val="00120BD3"/>
    <w:rsid w:val="00120F5D"/>
    <w:rsid w:val="00122FEA"/>
    <w:rsid w:val="001232BD"/>
    <w:rsid w:val="00124316"/>
    <w:rsid w:val="00124ED5"/>
    <w:rsid w:val="00126C11"/>
    <w:rsid w:val="001276FA"/>
    <w:rsid w:val="00132EB7"/>
    <w:rsid w:val="0013372B"/>
    <w:rsid w:val="00137057"/>
    <w:rsid w:val="0014445D"/>
    <w:rsid w:val="001447B3"/>
    <w:rsid w:val="001466EA"/>
    <w:rsid w:val="00151A6E"/>
    <w:rsid w:val="00152073"/>
    <w:rsid w:val="001538C7"/>
    <w:rsid w:val="00156598"/>
    <w:rsid w:val="0016037B"/>
    <w:rsid w:val="00160CA8"/>
    <w:rsid w:val="00161939"/>
    <w:rsid w:val="00161AA0"/>
    <w:rsid w:val="00161D2E"/>
    <w:rsid w:val="00161F3E"/>
    <w:rsid w:val="00162093"/>
    <w:rsid w:val="00162CA9"/>
    <w:rsid w:val="00165459"/>
    <w:rsid w:val="00165A57"/>
    <w:rsid w:val="001712C2"/>
    <w:rsid w:val="00171A96"/>
    <w:rsid w:val="00171BE4"/>
    <w:rsid w:val="00172302"/>
    <w:rsid w:val="00172BAF"/>
    <w:rsid w:val="0017674D"/>
    <w:rsid w:val="001771DD"/>
    <w:rsid w:val="00177589"/>
    <w:rsid w:val="00177995"/>
    <w:rsid w:val="00177A8C"/>
    <w:rsid w:val="001819F5"/>
    <w:rsid w:val="0018515C"/>
    <w:rsid w:val="00186B33"/>
    <w:rsid w:val="001877A9"/>
    <w:rsid w:val="001901C7"/>
    <w:rsid w:val="001918B0"/>
    <w:rsid w:val="00192F9D"/>
    <w:rsid w:val="00193FBF"/>
    <w:rsid w:val="00194891"/>
    <w:rsid w:val="00196EB8"/>
    <w:rsid w:val="00196EFB"/>
    <w:rsid w:val="001979FF"/>
    <w:rsid w:val="00197B17"/>
    <w:rsid w:val="001A1950"/>
    <w:rsid w:val="001A1C54"/>
    <w:rsid w:val="001A202A"/>
    <w:rsid w:val="001A3ACE"/>
    <w:rsid w:val="001B058F"/>
    <w:rsid w:val="001B07F2"/>
    <w:rsid w:val="001B6B96"/>
    <w:rsid w:val="001B7228"/>
    <w:rsid w:val="001B738B"/>
    <w:rsid w:val="001C09DB"/>
    <w:rsid w:val="001C277E"/>
    <w:rsid w:val="001C2A72"/>
    <w:rsid w:val="001C31B7"/>
    <w:rsid w:val="001D0B75"/>
    <w:rsid w:val="001D2910"/>
    <w:rsid w:val="001D39A5"/>
    <w:rsid w:val="001D3C09"/>
    <w:rsid w:val="001D44E8"/>
    <w:rsid w:val="001D476A"/>
    <w:rsid w:val="001D60EC"/>
    <w:rsid w:val="001D6F59"/>
    <w:rsid w:val="001E20F8"/>
    <w:rsid w:val="001E44DF"/>
    <w:rsid w:val="001E68A5"/>
    <w:rsid w:val="001E6BB0"/>
    <w:rsid w:val="001E7282"/>
    <w:rsid w:val="001F1A3C"/>
    <w:rsid w:val="001F1DAA"/>
    <w:rsid w:val="001F2764"/>
    <w:rsid w:val="001F3826"/>
    <w:rsid w:val="001F6E46"/>
    <w:rsid w:val="001F7C91"/>
    <w:rsid w:val="00201840"/>
    <w:rsid w:val="002033B7"/>
    <w:rsid w:val="00206463"/>
    <w:rsid w:val="00206F2F"/>
    <w:rsid w:val="00206F56"/>
    <w:rsid w:val="00207717"/>
    <w:rsid w:val="0021053D"/>
    <w:rsid w:val="00210A92"/>
    <w:rsid w:val="002122E7"/>
    <w:rsid w:val="00214B57"/>
    <w:rsid w:val="00216C03"/>
    <w:rsid w:val="00220828"/>
    <w:rsid w:val="00220A6E"/>
    <w:rsid w:val="00220C04"/>
    <w:rsid w:val="0022278D"/>
    <w:rsid w:val="0022386A"/>
    <w:rsid w:val="00224ADA"/>
    <w:rsid w:val="00224B66"/>
    <w:rsid w:val="0022701F"/>
    <w:rsid w:val="00227C68"/>
    <w:rsid w:val="0023308C"/>
    <w:rsid w:val="00233311"/>
    <w:rsid w:val="002333F5"/>
    <w:rsid w:val="00233724"/>
    <w:rsid w:val="00233EBE"/>
    <w:rsid w:val="00234906"/>
    <w:rsid w:val="002365B4"/>
    <w:rsid w:val="00236773"/>
    <w:rsid w:val="00242378"/>
    <w:rsid w:val="002432E1"/>
    <w:rsid w:val="002442FC"/>
    <w:rsid w:val="00246207"/>
    <w:rsid w:val="00246C5E"/>
    <w:rsid w:val="00250960"/>
    <w:rsid w:val="00250DC4"/>
    <w:rsid w:val="0025101B"/>
    <w:rsid w:val="00251343"/>
    <w:rsid w:val="002526C6"/>
    <w:rsid w:val="00252D5F"/>
    <w:rsid w:val="002536A4"/>
    <w:rsid w:val="00254F58"/>
    <w:rsid w:val="002620BC"/>
    <w:rsid w:val="002627CE"/>
    <w:rsid w:val="00262802"/>
    <w:rsid w:val="00263A90"/>
    <w:rsid w:val="0026408B"/>
    <w:rsid w:val="00267C3E"/>
    <w:rsid w:val="00270627"/>
    <w:rsid w:val="002709BB"/>
    <w:rsid w:val="0027131C"/>
    <w:rsid w:val="00273BAC"/>
    <w:rsid w:val="002763B3"/>
    <w:rsid w:val="002802E3"/>
    <w:rsid w:val="00280C4B"/>
    <w:rsid w:val="0028213D"/>
    <w:rsid w:val="00282A90"/>
    <w:rsid w:val="002862F1"/>
    <w:rsid w:val="002865B2"/>
    <w:rsid w:val="00291373"/>
    <w:rsid w:val="00292768"/>
    <w:rsid w:val="0029597D"/>
    <w:rsid w:val="00295B1B"/>
    <w:rsid w:val="002960CA"/>
    <w:rsid w:val="002961F2"/>
    <w:rsid w:val="002962C3"/>
    <w:rsid w:val="0029752B"/>
    <w:rsid w:val="002A0A9C"/>
    <w:rsid w:val="002A0EF1"/>
    <w:rsid w:val="002A483C"/>
    <w:rsid w:val="002A67B3"/>
    <w:rsid w:val="002B0C7C"/>
    <w:rsid w:val="002B1729"/>
    <w:rsid w:val="002B36C7"/>
    <w:rsid w:val="002B4DD4"/>
    <w:rsid w:val="002B5277"/>
    <w:rsid w:val="002B5375"/>
    <w:rsid w:val="002B5C1E"/>
    <w:rsid w:val="002B678D"/>
    <w:rsid w:val="002B6EC8"/>
    <w:rsid w:val="002B77C1"/>
    <w:rsid w:val="002C0ED7"/>
    <w:rsid w:val="002C2728"/>
    <w:rsid w:val="002C2DE7"/>
    <w:rsid w:val="002C6655"/>
    <w:rsid w:val="002D0ADC"/>
    <w:rsid w:val="002D15D5"/>
    <w:rsid w:val="002D1A28"/>
    <w:rsid w:val="002D1E0D"/>
    <w:rsid w:val="002D5006"/>
    <w:rsid w:val="002D77D2"/>
    <w:rsid w:val="002E01D0"/>
    <w:rsid w:val="002E034C"/>
    <w:rsid w:val="002E161D"/>
    <w:rsid w:val="002E18E3"/>
    <w:rsid w:val="002E3100"/>
    <w:rsid w:val="002E438A"/>
    <w:rsid w:val="002E6C95"/>
    <w:rsid w:val="002E7C36"/>
    <w:rsid w:val="002F3ADF"/>
    <w:rsid w:val="002F3D32"/>
    <w:rsid w:val="002F5F31"/>
    <w:rsid w:val="002F5F46"/>
    <w:rsid w:val="002F76A6"/>
    <w:rsid w:val="00302216"/>
    <w:rsid w:val="00303E53"/>
    <w:rsid w:val="00305CC1"/>
    <w:rsid w:val="00306896"/>
    <w:rsid w:val="00306E5F"/>
    <w:rsid w:val="00307E14"/>
    <w:rsid w:val="00311B73"/>
    <w:rsid w:val="00312521"/>
    <w:rsid w:val="003125D0"/>
    <w:rsid w:val="00314054"/>
    <w:rsid w:val="00316276"/>
    <w:rsid w:val="00316F27"/>
    <w:rsid w:val="003214F1"/>
    <w:rsid w:val="00321767"/>
    <w:rsid w:val="003221E5"/>
    <w:rsid w:val="00322E4B"/>
    <w:rsid w:val="003252EE"/>
    <w:rsid w:val="00327870"/>
    <w:rsid w:val="0033259D"/>
    <w:rsid w:val="003333D2"/>
    <w:rsid w:val="00337339"/>
    <w:rsid w:val="003406C6"/>
    <w:rsid w:val="00341451"/>
    <w:rsid w:val="003418CC"/>
    <w:rsid w:val="00341A7A"/>
    <w:rsid w:val="003459BD"/>
    <w:rsid w:val="00346B8B"/>
    <w:rsid w:val="00347990"/>
    <w:rsid w:val="00350D38"/>
    <w:rsid w:val="00351405"/>
    <w:rsid w:val="003514B6"/>
    <w:rsid w:val="00351B36"/>
    <w:rsid w:val="0035303B"/>
    <w:rsid w:val="00356BC2"/>
    <w:rsid w:val="00357B4E"/>
    <w:rsid w:val="00357B78"/>
    <w:rsid w:val="003716FD"/>
    <w:rsid w:val="0037204B"/>
    <w:rsid w:val="003744CF"/>
    <w:rsid w:val="00374717"/>
    <w:rsid w:val="0037676C"/>
    <w:rsid w:val="00377A1A"/>
    <w:rsid w:val="00381043"/>
    <w:rsid w:val="003829E5"/>
    <w:rsid w:val="00383A4E"/>
    <w:rsid w:val="00386109"/>
    <w:rsid w:val="00386944"/>
    <w:rsid w:val="00386C99"/>
    <w:rsid w:val="003940BA"/>
    <w:rsid w:val="003954FE"/>
    <w:rsid w:val="003955E4"/>
    <w:rsid w:val="003956CC"/>
    <w:rsid w:val="00395C9A"/>
    <w:rsid w:val="003A04E1"/>
    <w:rsid w:val="003A0853"/>
    <w:rsid w:val="003A2829"/>
    <w:rsid w:val="003A3CB9"/>
    <w:rsid w:val="003A3EEC"/>
    <w:rsid w:val="003A5266"/>
    <w:rsid w:val="003A6B67"/>
    <w:rsid w:val="003B13B6"/>
    <w:rsid w:val="003B14C3"/>
    <w:rsid w:val="003B15E6"/>
    <w:rsid w:val="003B1BDC"/>
    <w:rsid w:val="003B408A"/>
    <w:rsid w:val="003B6590"/>
    <w:rsid w:val="003B7A8D"/>
    <w:rsid w:val="003C08A2"/>
    <w:rsid w:val="003C134C"/>
    <w:rsid w:val="003C2045"/>
    <w:rsid w:val="003C43A1"/>
    <w:rsid w:val="003C4FC0"/>
    <w:rsid w:val="003C55F4"/>
    <w:rsid w:val="003C5D96"/>
    <w:rsid w:val="003C7897"/>
    <w:rsid w:val="003C7A3F"/>
    <w:rsid w:val="003D2766"/>
    <w:rsid w:val="003D2A74"/>
    <w:rsid w:val="003D325D"/>
    <w:rsid w:val="003D3E8F"/>
    <w:rsid w:val="003D6475"/>
    <w:rsid w:val="003D6EE6"/>
    <w:rsid w:val="003D7000"/>
    <w:rsid w:val="003D7E30"/>
    <w:rsid w:val="003E1F5E"/>
    <w:rsid w:val="003E21D3"/>
    <w:rsid w:val="003E2EE3"/>
    <w:rsid w:val="003E375C"/>
    <w:rsid w:val="003E4086"/>
    <w:rsid w:val="003E639E"/>
    <w:rsid w:val="003E71E5"/>
    <w:rsid w:val="003E7341"/>
    <w:rsid w:val="003F0445"/>
    <w:rsid w:val="003F0CF0"/>
    <w:rsid w:val="003F14B1"/>
    <w:rsid w:val="003F2B20"/>
    <w:rsid w:val="003F3289"/>
    <w:rsid w:val="003F3C62"/>
    <w:rsid w:val="003F52B8"/>
    <w:rsid w:val="003F5CB9"/>
    <w:rsid w:val="003F5CDA"/>
    <w:rsid w:val="003F761B"/>
    <w:rsid w:val="004013C7"/>
    <w:rsid w:val="00401FCF"/>
    <w:rsid w:val="00406157"/>
    <w:rsid w:val="00406285"/>
    <w:rsid w:val="00407F9B"/>
    <w:rsid w:val="00413DBC"/>
    <w:rsid w:val="004148F9"/>
    <w:rsid w:val="0041637C"/>
    <w:rsid w:val="0041742F"/>
    <w:rsid w:val="0042084E"/>
    <w:rsid w:val="00420FFF"/>
    <w:rsid w:val="00421EEF"/>
    <w:rsid w:val="00423E12"/>
    <w:rsid w:val="00424D65"/>
    <w:rsid w:val="004263C8"/>
    <w:rsid w:val="00426B42"/>
    <w:rsid w:val="00430393"/>
    <w:rsid w:val="00430CD9"/>
    <w:rsid w:val="004312E6"/>
    <w:rsid w:val="00431806"/>
    <w:rsid w:val="00432973"/>
    <w:rsid w:val="004345D6"/>
    <w:rsid w:val="00434DE7"/>
    <w:rsid w:val="004350F9"/>
    <w:rsid w:val="00435A8A"/>
    <w:rsid w:val="0043690D"/>
    <w:rsid w:val="00437AC5"/>
    <w:rsid w:val="00437DC7"/>
    <w:rsid w:val="00441CCD"/>
    <w:rsid w:val="00442C6C"/>
    <w:rsid w:val="00443CBE"/>
    <w:rsid w:val="00443E8A"/>
    <w:rsid w:val="004441BC"/>
    <w:rsid w:val="00444822"/>
    <w:rsid w:val="004468B4"/>
    <w:rsid w:val="00450C1E"/>
    <w:rsid w:val="0045230A"/>
    <w:rsid w:val="004528F1"/>
    <w:rsid w:val="00454AD0"/>
    <w:rsid w:val="00457337"/>
    <w:rsid w:val="00460F88"/>
    <w:rsid w:val="00462E3D"/>
    <w:rsid w:val="00463F1E"/>
    <w:rsid w:val="0046440A"/>
    <w:rsid w:val="004644B7"/>
    <w:rsid w:val="00464F5E"/>
    <w:rsid w:val="004657DD"/>
    <w:rsid w:val="0046583C"/>
    <w:rsid w:val="00465AC1"/>
    <w:rsid w:val="00466E79"/>
    <w:rsid w:val="00470D7D"/>
    <w:rsid w:val="0047372D"/>
    <w:rsid w:val="00473BA3"/>
    <w:rsid w:val="00474310"/>
    <w:rsid w:val="004743DD"/>
    <w:rsid w:val="00474CEA"/>
    <w:rsid w:val="00476D18"/>
    <w:rsid w:val="00481B19"/>
    <w:rsid w:val="00483968"/>
    <w:rsid w:val="004841BE"/>
    <w:rsid w:val="00484CF6"/>
    <w:rsid w:val="00484F86"/>
    <w:rsid w:val="00485CD4"/>
    <w:rsid w:val="00490746"/>
    <w:rsid w:val="00490852"/>
    <w:rsid w:val="00491C9C"/>
    <w:rsid w:val="00492F30"/>
    <w:rsid w:val="004946F4"/>
    <w:rsid w:val="0049487E"/>
    <w:rsid w:val="004A160D"/>
    <w:rsid w:val="004A3E81"/>
    <w:rsid w:val="004A4195"/>
    <w:rsid w:val="004A5C62"/>
    <w:rsid w:val="004A5CE5"/>
    <w:rsid w:val="004A6139"/>
    <w:rsid w:val="004A707D"/>
    <w:rsid w:val="004B24CA"/>
    <w:rsid w:val="004B4185"/>
    <w:rsid w:val="004C02DF"/>
    <w:rsid w:val="004C32C4"/>
    <w:rsid w:val="004C34C3"/>
    <w:rsid w:val="004C52CF"/>
    <w:rsid w:val="004C542F"/>
    <w:rsid w:val="004C5541"/>
    <w:rsid w:val="004C6EEE"/>
    <w:rsid w:val="004C702B"/>
    <w:rsid w:val="004D0033"/>
    <w:rsid w:val="004D016B"/>
    <w:rsid w:val="004D1B22"/>
    <w:rsid w:val="004D23CC"/>
    <w:rsid w:val="004D36F2"/>
    <w:rsid w:val="004D716F"/>
    <w:rsid w:val="004D71DE"/>
    <w:rsid w:val="004E1106"/>
    <w:rsid w:val="004E138F"/>
    <w:rsid w:val="004E2A4A"/>
    <w:rsid w:val="004E4649"/>
    <w:rsid w:val="004E5C2B"/>
    <w:rsid w:val="004E7923"/>
    <w:rsid w:val="004F00DD"/>
    <w:rsid w:val="004F20B2"/>
    <w:rsid w:val="004F2133"/>
    <w:rsid w:val="004F5398"/>
    <w:rsid w:val="004F55F1"/>
    <w:rsid w:val="004F6936"/>
    <w:rsid w:val="004F7B35"/>
    <w:rsid w:val="00500B74"/>
    <w:rsid w:val="00503DC6"/>
    <w:rsid w:val="0050694B"/>
    <w:rsid w:val="00506F5D"/>
    <w:rsid w:val="00507CBD"/>
    <w:rsid w:val="00510C37"/>
    <w:rsid w:val="005126D0"/>
    <w:rsid w:val="00513109"/>
    <w:rsid w:val="00514667"/>
    <w:rsid w:val="0051568D"/>
    <w:rsid w:val="00515E96"/>
    <w:rsid w:val="00516E19"/>
    <w:rsid w:val="00520D58"/>
    <w:rsid w:val="00523B83"/>
    <w:rsid w:val="00523FB9"/>
    <w:rsid w:val="00526AC7"/>
    <w:rsid w:val="00526C15"/>
    <w:rsid w:val="005344CA"/>
    <w:rsid w:val="00534BCD"/>
    <w:rsid w:val="00536499"/>
    <w:rsid w:val="005370AC"/>
    <w:rsid w:val="00542A03"/>
    <w:rsid w:val="00543723"/>
    <w:rsid w:val="00543903"/>
    <w:rsid w:val="00543F11"/>
    <w:rsid w:val="0054405A"/>
    <w:rsid w:val="0054476C"/>
    <w:rsid w:val="005453DB"/>
    <w:rsid w:val="00546305"/>
    <w:rsid w:val="00547A95"/>
    <w:rsid w:val="0055119B"/>
    <w:rsid w:val="00551920"/>
    <w:rsid w:val="00561202"/>
    <w:rsid w:val="005643AB"/>
    <w:rsid w:val="00567F30"/>
    <w:rsid w:val="00571446"/>
    <w:rsid w:val="00572031"/>
    <w:rsid w:val="00572282"/>
    <w:rsid w:val="00573CE3"/>
    <w:rsid w:val="005742E1"/>
    <w:rsid w:val="005753E6"/>
    <w:rsid w:val="00576E84"/>
    <w:rsid w:val="005778D2"/>
    <w:rsid w:val="00577A8C"/>
    <w:rsid w:val="00580394"/>
    <w:rsid w:val="005809CD"/>
    <w:rsid w:val="00582B8C"/>
    <w:rsid w:val="0058757E"/>
    <w:rsid w:val="005904D3"/>
    <w:rsid w:val="00592C89"/>
    <w:rsid w:val="00593A99"/>
    <w:rsid w:val="00596A4B"/>
    <w:rsid w:val="00597507"/>
    <w:rsid w:val="005A2AF8"/>
    <w:rsid w:val="005A479D"/>
    <w:rsid w:val="005A743E"/>
    <w:rsid w:val="005B1C6D"/>
    <w:rsid w:val="005B21B6"/>
    <w:rsid w:val="005B3A08"/>
    <w:rsid w:val="005B48A7"/>
    <w:rsid w:val="005B7A63"/>
    <w:rsid w:val="005B7AFC"/>
    <w:rsid w:val="005C02F7"/>
    <w:rsid w:val="005C0955"/>
    <w:rsid w:val="005C21C2"/>
    <w:rsid w:val="005C49DA"/>
    <w:rsid w:val="005C50F3"/>
    <w:rsid w:val="005C54B5"/>
    <w:rsid w:val="005C5D80"/>
    <w:rsid w:val="005C5D91"/>
    <w:rsid w:val="005D0072"/>
    <w:rsid w:val="005D07B8"/>
    <w:rsid w:val="005D1125"/>
    <w:rsid w:val="005D3BC5"/>
    <w:rsid w:val="005D47EF"/>
    <w:rsid w:val="005D47F6"/>
    <w:rsid w:val="005D4B24"/>
    <w:rsid w:val="005D4DC7"/>
    <w:rsid w:val="005D5938"/>
    <w:rsid w:val="005D6597"/>
    <w:rsid w:val="005E044E"/>
    <w:rsid w:val="005E14E7"/>
    <w:rsid w:val="005E26A3"/>
    <w:rsid w:val="005E2ECB"/>
    <w:rsid w:val="005E447E"/>
    <w:rsid w:val="005E4FD1"/>
    <w:rsid w:val="005E7A24"/>
    <w:rsid w:val="005F04CD"/>
    <w:rsid w:val="005F068E"/>
    <w:rsid w:val="005F0775"/>
    <w:rsid w:val="005F0CF5"/>
    <w:rsid w:val="005F21EB"/>
    <w:rsid w:val="005F22EB"/>
    <w:rsid w:val="005F64CF"/>
    <w:rsid w:val="005F6ED0"/>
    <w:rsid w:val="00600211"/>
    <w:rsid w:val="00601FF9"/>
    <w:rsid w:val="006041AD"/>
    <w:rsid w:val="00605211"/>
    <w:rsid w:val="00605908"/>
    <w:rsid w:val="00607850"/>
    <w:rsid w:val="00610D7C"/>
    <w:rsid w:val="0061302C"/>
    <w:rsid w:val="00613414"/>
    <w:rsid w:val="00614F67"/>
    <w:rsid w:val="00616615"/>
    <w:rsid w:val="00620154"/>
    <w:rsid w:val="0062408D"/>
    <w:rsid w:val="006240CC"/>
    <w:rsid w:val="00624940"/>
    <w:rsid w:val="006254F8"/>
    <w:rsid w:val="006276FE"/>
    <w:rsid w:val="00627DA7"/>
    <w:rsid w:val="00630DA4"/>
    <w:rsid w:val="00631CD4"/>
    <w:rsid w:val="00632025"/>
    <w:rsid w:val="00632597"/>
    <w:rsid w:val="006331DE"/>
    <w:rsid w:val="00634D13"/>
    <w:rsid w:val="006358B4"/>
    <w:rsid w:val="0063601E"/>
    <w:rsid w:val="006407FB"/>
    <w:rsid w:val="00641724"/>
    <w:rsid w:val="006419AA"/>
    <w:rsid w:val="00644B1F"/>
    <w:rsid w:val="00644B7E"/>
    <w:rsid w:val="006454E6"/>
    <w:rsid w:val="00646235"/>
    <w:rsid w:val="00646A68"/>
    <w:rsid w:val="00646D20"/>
    <w:rsid w:val="0064745D"/>
    <w:rsid w:val="006505BD"/>
    <w:rsid w:val="006508EA"/>
    <w:rsid w:val="0065092E"/>
    <w:rsid w:val="00651D97"/>
    <w:rsid w:val="006557A7"/>
    <w:rsid w:val="00656290"/>
    <w:rsid w:val="006601C9"/>
    <w:rsid w:val="006608D8"/>
    <w:rsid w:val="006621D7"/>
    <w:rsid w:val="0066302A"/>
    <w:rsid w:val="00667770"/>
    <w:rsid w:val="00670597"/>
    <w:rsid w:val="00670605"/>
    <w:rsid w:val="006706D0"/>
    <w:rsid w:val="00677411"/>
    <w:rsid w:val="00677574"/>
    <w:rsid w:val="00682BA9"/>
    <w:rsid w:val="00683878"/>
    <w:rsid w:val="00683FC8"/>
    <w:rsid w:val="0068454C"/>
    <w:rsid w:val="00686D9D"/>
    <w:rsid w:val="00690F8B"/>
    <w:rsid w:val="00691B62"/>
    <w:rsid w:val="00692253"/>
    <w:rsid w:val="006933B5"/>
    <w:rsid w:val="00693D14"/>
    <w:rsid w:val="00695A93"/>
    <w:rsid w:val="00696F27"/>
    <w:rsid w:val="00697683"/>
    <w:rsid w:val="006A18C2"/>
    <w:rsid w:val="006A2492"/>
    <w:rsid w:val="006A3383"/>
    <w:rsid w:val="006B077C"/>
    <w:rsid w:val="006B0EB3"/>
    <w:rsid w:val="006B16AF"/>
    <w:rsid w:val="006B45F4"/>
    <w:rsid w:val="006B5792"/>
    <w:rsid w:val="006B6803"/>
    <w:rsid w:val="006C5423"/>
    <w:rsid w:val="006C6A0C"/>
    <w:rsid w:val="006C6BD4"/>
    <w:rsid w:val="006D0F16"/>
    <w:rsid w:val="006D2134"/>
    <w:rsid w:val="006D2A3F"/>
    <w:rsid w:val="006D2D6C"/>
    <w:rsid w:val="006D2FBC"/>
    <w:rsid w:val="006D40B0"/>
    <w:rsid w:val="006E0004"/>
    <w:rsid w:val="006E138B"/>
    <w:rsid w:val="006E1867"/>
    <w:rsid w:val="006E2293"/>
    <w:rsid w:val="006E2A4A"/>
    <w:rsid w:val="006E62A8"/>
    <w:rsid w:val="006F0330"/>
    <w:rsid w:val="006F1FB6"/>
    <w:rsid w:val="006F1FDC"/>
    <w:rsid w:val="006F2F0C"/>
    <w:rsid w:val="006F375E"/>
    <w:rsid w:val="006F3AE8"/>
    <w:rsid w:val="006F6B8C"/>
    <w:rsid w:val="006F7349"/>
    <w:rsid w:val="0070091C"/>
    <w:rsid w:val="007013C2"/>
    <w:rsid w:val="007013EF"/>
    <w:rsid w:val="007055BD"/>
    <w:rsid w:val="007145FF"/>
    <w:rsid w:val="007173CA"/>
    <w:rsid w:val="007216AA"/>
    <w:rsid w:val="00721AB5"/>
    <w:rsid w:val="00721CFB"/>
    <w:rsid w:val="00721DEF"/>
    <w:rsid w:val="00724A43"/>
    <w:rsid w:val="007262C9"/>
    <w:rsid w:val="007273AC"/>
    <w:rsid w:val="00731AD4"/>
    <w:rsid w:val="007346E4"/>
    <w:rsid w:val="00734860"/>
    <w:rsid w:val="007351F2"/>
    <w:rsid w:val="00740F22"/>
    <w:rsid w:val="00741977"/>
    <w:rsid w:val="00741CF0"/>
    <w:rsid w:val="00741F1A"/>
    <w:rsid w:val="00743A2C"/>
    <w:rsid w:val="00743B44"/>
    <w:rsid w:val="007447DA"/>
    <w:rsid w:val="007450F8"/>
    <w:rsid w:val="007451BB"/>
    <w:rsid w:val="0074696E"/>
    <w:rsid w:val="0074776E"/>
    <w:rsid w:val="00750135"/>
    <w:rsid w:val="00750EC2"/>
    <w:rsid w:val="007516D1"/>
    <w:rsid w:val="00752B28"/>
    <w:rsid w:val="007541A9"/>
    <w:rsid w:val="00754E36"/>
    <w:rsid w:val="00755872"/>
    <w:rsid w:val="00756806"/>
    <w:rsid w:val="007620C7"/>
    <w:rsid w:val="00762EE5"/>
    <w:rsid w:val="00763139"/>
    <w:rsid w:val="00766414"/>
    <w:rsid w:val="00766F80"/>
    <w:rsid w:val="00770F37"/>
    <w:rsid w:val="007711A0"/>
    <w:rsid w:val="00772D5E"/>
    <w:rsid w:val="00773D78"/>
    <w:rsid w:val="0077463E"/>
    <w:rsid w:val="007758BD"/>
    <w:rsid w:val="00776928"/>
    <w:rsid w:val="00776E0F"/>
    <w:rsid w:val="007774B1"/>
    <w:rsid w:val="00777BE1"/>
    <w:rsid w:val="00781338"/>
    <w:rsid w:val="007817F3"/>
    <w:rsid w:val="007833D8"/>
    <w:rsid w:val="00785677"/>
    <w:rsid w:val="007861EB"/>
    <w:rsid w:val="00786F16"/>
    <w:rsid w:val="00786F71"/>
    <w:rsid w:val="00791BD7"/>
    <w:rsid w:val="007933F7"/>
    <w:rsid w:val="00793DEE"/>
    <w:rsid w:val="00795D0B"/>
    <w:rsid w:val="00796E20"/>
    <w:rsid w:val="007970F8"/>
    <w:rsid w:val="00797C32"/>
    <w:rsid w:val="00797DD4"/>
    <w:rsid w:val="007A11E8"/>
    <w:rsid w:val="007B0914"/>
    <w:rsid w:val="007B1374"/>
    <w:rsid w:val="007B32E5"/>
    <w:rsid w:val="007B3DB9"/>
    <w:rsid w:val="007B4D35"/>
    <w:rsid w:val="007B589F"/>
    <w:rsid w:val="007B6186"/>
    <w:rsid w:val="007B6CB8"/>
    <w:rsid w:val="007B727B"/>
    <w:rsid w:val="007B73BC"/>
    <w:rsid w:val="007B778E"/>
    <w:rsid w:val="007C1838"/>
    <w:rsid w:val="007C1E07"/>
    <w:rsid w:val="007C20B9"/>
    <w:rsid w:val="007C6BFC"/>
    <w:rsid w:val="007C7301"/>
    <w:rsid w:val="007C7859"/>
    <w:rsid w:val="007C7F28"/>
    <w:rsid w:val="007D0AA7"/>
    <w:rsid w:val="007D1188"/>
    <w:rsid w:val="007D1466"/>
    <w:rsid w:val="007D2BDE"/>
    <w:rsid w:val="007D2FB6"/>
    <w:rsid w:val="007D49EB"/>
    <w:rsid w:val="007D5E1C"/>
    <w:rsid w:val="007D5E95"/>
    <w:rsid w:val="007D7225"/>
    <w:rsid w:val="007E0DE2"/>
    <w:rsid w:val="007E10F1"/>
    <w:rsid w:val="007E2FE6"/>
    <w:rsid w:val="007E3B98"/>
    <w:rsid w:val="007E417A"/>
    <w:rsid w:val="007F31B6"/>
    <w:rsid w:val="007F4DB8"/>
    <w:rsid w:val="007F546C"/>
    <w:rsid w:val="007F625F"/>
    <w:rsid w:val="007F665E"/>
    <w:rsid w:val="00800412"/>
    <w:rsid w:val="008010F3"/>
    <w:rsid w:val="0080587B"/>
    <w:rsid w:val="00806468"/>
    <w:rsid w:val="008119CA"/>
    <w:rsid w:val="00811BBF"/>
    <w:rsid w:val="008130C4"/>
    <w:rsid w:val="00813809"/>
    <w:rsid w:val="008155F0"/>
    <w:rsid w:val="008165CC"/>
    <w:rsid w:val="00816735"/>
    <w:rsid w:val="00816D72"/>
    <w:rsid w:val="00820141"/>
    <w:rsid w:val="00820E0C"/>
    <w:rsid w:val="00821B18"/>
    <w:rsid w:val="00823275"/>
    <w:rsid w:val="0082366F"/>
    <w:rsid w:val="00827BA9"/>
    <w:rsid w:val="008332EA"/>
    <w:rsid w:val="008338A2"/>
    <w:rsid w:val="008339C8"/>
    <w:rsid w:val="008346BA"/>
    <w:rsid w:val="00841AA9"/>
    <w:rsid w:val="00841DF3"/>
    <w:rsid w:val="00844FEA"/>
    <w:rsid w:val="008474FE"/>
    <w:rsid w:val="0085232E"/>
    <w:rsid w:val="00853CF6"/>
    <w:rsid w:val="00853EE4"/>
    <w:rsid w:val="00855535"/>
    <w:rsid w:val="00857C5A"/>
    <w:rsid w:val="0086048A"/>
    <w:rsid w:val="0086255E"/>
    <w:rsid w:val="008629CE"/>
    <w:rsid w:val="00862D9B"/>
    <w:rsid w:val="008633F0"/>
    <w:rsid w:val="00867D9D"/>
    <w:rsid w:val="00872C54"/>
    <w:rsid w:val="00872E0A"/>
    <w:rsid w:val="00873594"/>
    <w:rsid w:val="00875285"/>
    <w:rsid w:val="0088460D"/>
    <w:rsid w:val="00884842"/>
    <w:rsid w:val="00884B62"/>
    <w:rsid w:val="0088529C"/>
    <w:rsid w:val="00885FBC"/>
    <w:rsid w:val="00886674"/>
    <w:rsid w:val="00887903"/>
    <w:rsid w:val="0089097B"/>
    <w:rsid w:val="0089270A"/>
    <w:rsid w:val="0089341C"/>
    <w:rsid w:val="00893AF6"/>
    <w:rsid w:val="008947C2"/>
    <w:rsid w:val="00894BC4"/>
    <w:rsid w:val="00895371"/>
    <w:rsid w:val="00897BB4"/>
    <w:rsid w:val="008A28A8"/>
    <w:rsid w:val="008A56E9"/>
    <w:rsid w:val="008A5B32"/>
    <w:rsid w:val="008A5D60"/>
    <w:rsid w:val="008A65DA"/>
    <w:rsid w:val="008A6774"/>
    <w:rsid w:val="008B2029"/>
    <w:rsid w:val="008B2EE4"/>
    <w:rsid w:val="008B3821"/>
    <w:rsid w:val="008B4D3D"/>
    <w:rsid w:val="008B57C7"/>
    <w:rsid w:val="008B72EE"/>
    <w:rsid w:val="008C042B"/>
    <w:rsid w:val="008C2F92"/>
    <w:rsid w:val="008C589D"/>
    <w:rsid w:val="008C58F5"/>
    <w:rsid w:val="008C6804"/>
    <w:rsid w:val="008C6D51"/>
    <w:rsid w:val="008D2846"/>
    <w:rsid w:val="008D4236"/>
    <w:rsid w:val="008D462F"/>
    <w:rsid w:val="008D5C45"/>
    <w:rsid w:val="008D63C1"/>
    <w:rsid w:val="008D6DCF"/>
    <w:rsid w:val="008E085B"/>
    <w:rsid w:val="008E175F"/>
    <w:rsid w:val="008E4376"/>
    <w:rsid w:val="008E43D2"/>
    <w:rsid w:val="008E7A0A"/>
    <w:rsid w:val="008E7B49"/>
    <w:rsid w:val="008F5139"/>
    <w:rsid w:val="008F59F6"/>
    <w:rsid w:val="00900719"/>
    <w:rsid w:val="009017AC"/>
    <w:rsid w:val="00902A9A"/>
    <w:rsid w:val="00904A1C"/>
    <w:rsid w:val="00904E00"/>
    <w:rsid w:val="00905030"/>
    <w:rsid w:val="00906490"/>
    <w:rsid w:val="009072B5"/>
    <w:rsid w:val="009111B2"/>
    <w:rsid w:val="00911B18"/>
    <w:rsid w:val="00914092"/>
    <w:rsid w:val="00914C5B"/>
    <w:rsid w:val="009151F5"/>
    <w:rsid w:val="00920C40"/>
    <w:rsid w:val="009249B3"/>
    <w:rsid w:val="00924AE1"/>
    <w:rsid w:val="009257ED"/>
    <w:rsid w:val="009269B1"/>
    <w:rsid w:val="0092724D"/>
    <w:rsid w:val="009272B3"/>
    <w:rsid w:val="00927502"/>
    <w:rsid w:val="00927B09"/>
    <w:rsid w:val="00930D53"/>
    <w:rsid w:val="009315BE"/>
    <w:rsid w:val="0093338F"/>
    <w:rsid w:val="00936370"/>
    <w:rsid w:val="00936968"/>
    <w:rsid w:val="009374F8"/>
    <w:rsid w:val="00937BD9"/>
    <w:rsid w:val="0094058E"/>
    <w:rsid w:val="0094126A"/>
    <w:rsid w:val="009438C5"/>
    <w:rsid w:val="009461F8"/>
    <w:rsid w:val="00950E2C"/>
    <w:rsid w:val="00951D50"/>
    <w:rsid w:val="009525E5"/>
    <w:rsid w:val="009525EB"/>
    <w:rsid w:val="0095357B"/>
    <w:rsid w:val="00953A41"/>
    <w:rsid w:val="0095470B"/>
    <w:rsid w:val="00954874"/>
    <w:rsid w:val="00954AA5"/>
    <w:rsid w:val="00954D01"/>
    <w:rsid w:val="0095615A"/>
    <w:rsid w:val="0095769C"/>
    <w:rsid w:val="00957DDB"/>
    <w:rsid w:val="00961400"/>
    <w:rsid w:val="0096147E"/>
    <w:rsid w:val="00962AFB"/>
    <w:rsid w:val="00963646"/>
    <w:rsid w:val="00963BDA"/>
    <w:rsid w:val="00964C9C"/>
    <w:rsid w:val="0096632D"/>
    <w:rsid w:val="00967124"/>
    <w:rsid w:val="00967335"/>
    <w:rsid w:val="009718C7"/>
    <w:rsid w:val="00972C75"/>
    <w:rsid w:val="00974A90"/>
    <w:rsid w:val="0097559F"/>
    <w:rsid w:val="009761EA"/>
    <w:rsid w:val="0097761E"/>
    <w:rsid w:val="0098093F"/>
    <w:rsid w:val="00982454"/>
    <w:rsid w:val="00982CF0"/>
    <w:rsid w:val="009853E1"/>
    <w:rsid w:val="00986E6B"/>
    <w:rsid w:val="0098715C"/>
    <w:rsid w:val="00990032"/>
    <w:rsid w:val="00990B19"/>
    <w:rsid w:val="0099153B"/>
    <w:rsid w:val="00991769"/>
    <w:rsid w:val="0099181C"/>
    <w:rsid w:val="0099232C"/>
    <w:rsid w:val="00994386"/>
    <w:rsid w:val="00994791"/>
    <w:rsid w:val="00996039"/>
    <w:rsid w:val="009A13D8"/>
    <w:rsid w:val="009A279E"/>
    <w:rsid w:val="009A3015"/>
    <w:rsid w:val="009A3490"/>
    <w:rsid w:val="009B0A6F"/>
    <w:rsid w:val="009B0A94"/>
    <w:rsid w:val="009B13D3"/>
    <w:rsid w:val="009B2AE8"/>
    <w:rsid w:val="009B448E"/>
    <w:rsid w:val="009B5622"/>
    <w:rsid w:val="009B59E9"/>
    <w:rsid w:val="009B70AA"/>
    <w:rsid w:val="009C1A3D"/>
    <w:rsid w:val="009C1CB1"/>
    <w:rsid w:val="009C5E77"/>
    <w:rsid w:val="009C6CB8"/>
    <w:rsid w:val="009C7A7E"/>
    <w:rsid w:val="009D02E8"/>
    <w:rsid w:val="009D08F4"/>
    <w:rsid w:val="009D1A7F"/>
    <w:rsid w:val="009D2489"/>
    <w:rsid w:val="009D3C68"/>
    <w:rsid w:val="009D51D0"/>
    <w:rsid w:val="009D67AB"/>
    <w:rsid w:val="009D70A4"/>
    <w:rsid w:val="009D7A52"/>
    <w:rsid w:val="009D7B14"/>
    <w:rsid w:val="009E08D1"/>
    <w:rsid w:val="009E0B0A"/>
    <w:rsid w:val="009E1B95"/>
    <w:rsid w:val="009E2901"/>
    <w:rsid w:val="009E303A"/>
    <w:rsid w:val="009E496F"/>
    <w:rsid w:val="009E4B0D"/>
    <w:rsid w:val="009E5250"/>
    <w:rsid w:val="009E63CB"/>
    <w:rsid w:val="009E7A69"/>
    <w:rsid w:val="009E7F92"/>
    <w:rsid w:val="009F02A3"/>
    <w:rsid w:val="009F223A"/>
    <w:rsid w:val="009F2F27"/>
    <w:rsid w:val="009F34AA"/>
    <w:rsid w:val="009F4B08"/>
    <w:rsid w:val="009F6056"/>
    <w:rsid w:val="009F6111"/>
    <w:rsid w:val="009F6BCB"/>
    <w:rsid w:val="009F7B78"/>
    <w:rsid w:val="00A0022F"/>
    <w:rsid w:val="00A0057A"/>
    <w:rsid w:val="00A009B8"/>
    <w:rsid w:val="00A02FA1"/>
    <w:rsid w:val="00A04CCE"/>
    <w:rsid w:val="00A04F42"/>
    <w:rsid w:val="00A05254"/>
    <w:rsid w:val="00A06AAF"/>
    <w:rsid w:val="00A07421"/>
    <w:rsid w:val="00A0776B"/>
    <w:rsid w:val="00A10FB9"/>
    <w:rsid w:val="00A10FE0"/>
    <w:rsid w:val="00A11421"/>
    <w:rsid w:val="00A11FD8"/>
    <w:rsid w:val="00A1389F"/>
    <w:rsid w:val="00A14996"/>
    <w:rsid w:val="00A157B1"/>
    <w:rsid w:val="00A170CC"/>
    <w:rsid w:val="00A22229"/>
    <w:rsid w:val="00A24240"/>
    <w:rsid w:val="00A24442"/>
    <w:rsid w:val="00A24DAB"/>
    <w:rsid w:val="00A252B9"/>
    <w:rsid w:val="00A32577"/>
    <w:rsid w:val="00A330BB"/>
    <w:rsid w:val="00A34ACD"/>
    <w:rsid w:val="00A42535"/>
    <w:rsid w:val="00A439C9"/>
    <w:rsid w:val="00A44882"/>
    <w:rsid w:val="00A45125"/>
    <w:rsid w:val="00A513A9"/>
    <w:rsid w:val="00A53110"/>
    <w:rsid w:val="00A53264"/>
    <w:rsid w:val="00A539AA"/>
    <w:rsid w:val="00A54715"/>
    <w:rsid w:val="00A570ED"/>
    <w:rsid w:val="00A57EF8"/>
    <w:rsid w:val="00A6061C"/>
    <w:rsid w:val="00A62223"/>
    <w:rsid w:val="00A62D44"/>
    <w:rsid w:val="00A64637"/>
    <w:rsid w:val="00A67263"/>
    <w:rsid w:val="00A7161C"/>
    <w:rsid w:val="00A77AA3"/>
    <w:rsid w:val="00A8236D"/>
    <w:rsid w:val="00A854EB"/>
    <w:rsid w:val="00A872E5"/>
    <w:rsid w:val="00A877F1"/>
    <w:rsid w:val="00A91406"/>
    <w:rsid w:val="00A94047"/>
    <w:rsid w:val="00A96E65"/>
    <w:rsid w:val="00A96ECE"/>
    <w:rsid w:val="00A97C72"/>
    <w:rsid w:val="00A97FCF"/>
    <w:rsid w:val="00AA310B"/>
    <w:rsid w:val="00AA63D4"/>
    <w:rsid w:val="00AB06E8"/>
    <w:rsid w:val="00AB1723"/>
    <w:rsid w:val="00AB1A4F"/>
    <w:rsid w:val="00AB1CD3"/>
    <w:rsid w:val="00AB352F"/>
    <w:rsid w:val="00AB385A"/>
    <w:rsid w:val="00AB5610"/>
    <w:rsid w:val="00AB707D"/>
    <w:rsid w:val="00AC0866"/>
    <w:rsid w:val="00AC274B"/>
    <w:rsid w:val="00AC4764"/>
    <w:rsid w:val="00AC6D36"/>
    <w:rsid w:val="00AD0CBA"/>
    <w:rsid w:val="00AD26E2"/>
    <w:rsid w:val="00AD3D52"/>
    <w:rsid w:val="00AD5207"/>
    <w:rsid w:val="00AD784B"/>
    <w:rsid w:val="00AD784C"/>
    <w:rsid w:val="00AE126A"/>
    <w:rsid w:val="00AE1BAE"/>
    <w:rsid w:val="00AE3005"/>
    <w:rsid w:val="00AE3BD5"/>
    <w:rsid w:val="00AE43B1"/>
    <w:rsid w:val="00AE4E20"/>
    <w:rsid w:val="00AE59A0"/>
    <w:rsid w:val="00AE7145"/>
    <w:rsid w:val="00AF0C57"/>
    <w:rsid w:val="00AF26F3"/>
    <w:rsid w:val="00AF5F04"/>
    <w:rsid w:val="00B00672"/>
    <w:rsid w:val="00B01584"/>
    <w:rsid w:val="00B01B4D"/>
    <w:rsid w:val="00B04489"/>
    <w:rsid w:val="00B051A9"/>
    <w:rsid w:val="00B06571"/>
    <w:rsid w:val="00B068BA"/>
    <w:rsid w:val="00B07217"/>
    <w:rsid w:val="00B1072A"/>
    <w:rsid w:val="00B13851"/>
    <w:rsid w:val="00B13B1C"/>
    <w:rsid w:val="00B14B5F"/>
    <w:rsid w:val="00B15BCB"/>
    <w:rsid w:val="00B21F90"/>
    <w:rsid w:val="00B22291"/>
    <w:rsid w:val="00B23C41"/>
    <w:rsid w:val="00B23F9A"/>
    <w:rsid w:val="00B2417B"/>
    <w:rsid w:val="00B24E6F"/>
    <w:rsid w:val="00B26CB5"/>
    <w:rsid w:val="00B2752E"/>
    <w:rsid w:val="00B307CC"/>
    <w:rsid w:val="00B326B7"/>
    <w:rsid w:val="00B3505A"/>
    <w:rsid w:val="00B3588E"/>
    <w:rsid w:val="00B36770"/>
    <w:rsid w:val="00B4198F"/>
    <w:rsid w:val="00B41F3D"/>
    <w:rsid w:val="00B431E8"/>
    <w:rsid w:val="00B4491F"/>
    <w:rsid w:val="00B45141"/>
    <w:rsid w:val="00B45E1D"/>
    <w:rsid w:val="00B46300"/>
    <w:rsid w:val="00B46642"/>
    <w:rsid w:val="00B46924"/>
    <w:rsid w:val="00B519CD"/>
    <w:rsid w:val="00B5273A"/>
    <w:rsid w:val="00B52834"/>
    <w:rsid w:val="00B52A15"/>
    <w:rsid w:val="00B53079"/>
    <w:rsid w:val="00B5315E"/>
    <w:rsid w:val="00B553FD"/>
    <w:rsid w:val="00B5667B"/>
    <w:rsid w:val="00B56B07"/>
    <w:rsid w:val="00B57329"/>
    <w:rsid w:val="00B603AF"/>
    <w:rsid w:val="00B60E61"/>
    <w:rsid w:val="00B62B50"/>
    <w:rsid w:val="00B635B7"/>
    <w:rsid w:val="00B63A13"/>
    <w:rsid w:val="00B63AE8"/>
    <w:rsid w:val="00B63AEA"/>
    <w:rsid w:val="00B65950"/>
    <w:rsid w:val="00B66D83"/>
    <w:rsid w:val="00B672C0"/>
    <w:rsid w:val="00B676FD"/>
    <w:rsid w:val="00B678B6"/>
    <w:rsid w:val="00B706E8"/>
    <w:rsid w:val="00B71362"/>
    <w:rsid w:val="00B75646"/>
    <w:rsid w:val="00B7629E"/>
    <w:rsid w:val="00B769D7"/>
    <w:rsid w:val="00B84A07"/>
    <w:rsid w:val="00B86F6D"/>
    <w:rsid w:val="00B9027D"/>
    <w:rsid w:val="00B90729"/>
    <w:rsid w:val="00B907DA"/>
    <w:rsid w:val="00B91FFE"/>
    <w:rsid w:val="00B9316B"/>
    <w:rsid w:val="00B946D2"/>
    <w:rsid w:val="00B950BC"/>
    <w:rsid w:val="00B95325"/>
    <w:rsid w:val="00B95AB9"/>
    <w:rsid w:val="00B96AA1"/>
    <w:rsid w:val="00B9714C"/>
    <w:rsid w:val="00BA29AD"/>
    <w:rsid w:val="00BA33CF"/>
    <w:rsid w:val="00BA37D1"/>
    <w:rsid w:val="00BA3F8D"/>
    <w:rsid w:val="00BA79CD"/>
    <w:rsid w:val="00BA79ED"/>
    <w:rsid w:val="00BB5E7E"/>
    <w:rsid w:val="00BB7A10"/>
    <w:rsid w:val="00BC60BE"/>
    <w:rsid w:val="00BC62C9"/>
    <w:rsid w:val="00BC6C39"/>
    <w:rsid w:val="00BC7468"/>
    <w:rsid w:val="00BC7D4F"/>
    <w:rsid w:val="00BC7ED7"/>
    <w:rsid w:val="00BD09F3"/>
    <w:rsid w:val="00BD1ECE"/>
    <w:rsid w:val="00BD22C7"/>
    <w:rsid w:val="00BD2850"/>
    <w:rsid w:val="00BD43B9"/>
    <w:rsid w:val="00BD6049"/>
    <w:rsid w:val="00BE0B50"/>
    <w:rsid w:val="00BE25F7"/>
    <w:rsid w:val="00BE28D2"/>
    <w:rsid w:val="00BE4A64"/>
    <w:rsid w:val="00BE4AE1"/>
    <w:rsid w:val="00BE5E43"/>
    <w:rsid w:val="00BF413E"/>
    <w:rsid w:val="00BF557D"/>
    <w:rsid w:val="00BF7F58"/>
    <w:rsid w:val="00C01381"/>
    <w:rsid w:val="00C01929"/>
    <w:rsid w:val="00C01AB1"/>
    <w:rsid w:val="00C026A0"/>
    <w:rsid w:val="00C03031"/>
    <w:rsid w:val="00C03EA4"/>
    <w:rsid w:val="00C04F42"/>
    <w:rsid w:val="00C06137"/>
    <w:rsid w:val="00C06929"/>
    <w:rsid w:val="00C079B8"/>
    <w:rsid w:val="00C07AFE"/>
    <w:rsid w:val="00C10037"/>
    <w:rsid w:val="00C107BA"/>
    <w:rsid w:val="00C123EA"/>
    <w:rsid w:val="00C12A49"/>
    <w:rsid w:val="00C1302C"/>
    <w:rsid w:val="00C133EE"/>
    <w:rsid w:val="00C149D0"/>
    <w:rsid w:val="00C15403"/>
    <w:rsid w:val="00C15598"/>
    <w:rsid w:val="00C20FCD"/>
    <w:rsid w:val="00C231A0"/>
    <w:rsid w:val="00C23790"/>
    <w:rsid w:val="00C246B8"/>
    <w:rsid w:val="00C26588"/>
    <w:rsid w:val="00C27DE9"/>
    <w:rsid w:val="00C32989"/>
    <w:rsid w:val="00C33388"/>
    <w:rsid w:val="00C34E3B"/>
    <w:rsid w:val="00C35484"/>
    <w:rsid w:val="00C36160"/>
    <w:rsid w:val="00C4173A"/>
    <w:rsid w:val="00C44091"/>
    <w:rsid w:val="00C45460"/>
    <w:rsid w:val="00C47367"/>
    <w:rsid w:val="00C47399"/>
    <w:rsid w:val="00C47451"/>
    <w:rsid w:val="00C5002C"/>
    <w:rsid w:val="00C5087D"/>
    <w:rsid w:val="00C50DED"/>
    <w:rsid w:val="00C52217"/>
    <w:rsid w:val="00C55BF5"/>
    <w:rsid w:val="00C573FF"/>
    <w:rsid w:val="00C602FF"/>
    <w:rsid w:val="00C61174"/>
    <w:rsid w:val="00C6148F"/>
    <w:rsid w:val="00C621B1"/>
    <w:rsid w:val="00C62F7A"/>
    <w:rsid w:val="00C63B9C"/>
    <w:rsid w:val="00C64DE2"/>
    <w:rsid w:val="00C6682F"/>
    <w:rsid w:val="00C67BF4"/>
    <w:rsid w:val="00C67DED"/>
    <w:rsid w:val="00C71010"/>
    <w:rsid w:val="00C7275E"/>
    <w:rsid w:val="00C73C79"/>
    <w:rsid w:val="00C74C5D"/>
    <w:rsid w:val="00C75970"/>
    <w:rsid w:val="00C815AB"/>
    <w:rsid w:val="00C8213C"/>
    <w:rsid w:val="00C82B14"/>
    <w:rsid w:val="00C82E13"/>
    <w:rsid w:val="00C8371D"/>
    <w:rsid w:val="00C863C4"/>
    <w:rsid w:val="00C866A9"/>
    <w:rsid w:val="00C920EA"/>
    <w:rsid w:val="00C929B7"/>
    <w:rsid w:val="00C93C3E"/>
    <w:rsid w:val="00C93E4E"/>
    <w:rsid w:val="00C95251"/>
    <w:rsid w:val="00CA12E3"/>
    <w:rsid w:val="00CA1476"/>
    <w:rsid w:val="00CA2EB5"/>
    <w:rsid w:val="00CA4115"/>
    <w:rsid w:val="00CA6611"/>
    <w:rsid w:val="00CA6AE6"/>
    <w:rsid w:val="00CA782F"/>
    <w:rsid w:val="00CB0269"/>
    <w:rsid w:val="00CB187B"/>
    <w:rsid w:val="00CB2835"/>
    <w:rsid w:val="00CB3285"/>
    <w:rsid w:val="00CB4500"/>
    <w:rsid w:val="00CB5470"/>
    <w:rsid w:val="00CB7822"/>
    <w:rsid w:val="00CC03D3"/>
    <w:rsid w:val="00CC0C72"/>
    <w:rsid w:val="00CC1991"/>
    <w:rsid w:val="00CC1AF9"/>
    <w:rsid w:val="00CC2BFD"/>
    <w:rsid w:val="00CC31ED"/>
    <w:rsid w:val="00CC3F62"/>
    <w:rsid w:val="00CC5B8E"/>
    <w:rsid w:val="00CC643E"/>
    <w:rsid w:val="00CC6CE5"/>
    <w:rsid w:val="00CD1A9A"/>
    <w:rsid w:val="00CD3476"/>
    <w:rsid w:val="00CD412D"/>
    <w:rsid w:val="00CD51B6"/>
    <w:rsid w:val="00CD64DF"/>
    <w:rsid w:val="00CD6CE5"/>
    <w:rsid w:val="00CD7D5E"/>
    <w:rsid w:val="00CE1C73"/>
    <w:rsid w:val="00CE225F"/>
    <w:rsid w:val="00CE3561"/>
    <w:rsid w:val="00CE59FC"/>
    <w:rsid w:val="00CF0686"/>
    <w:rsid w:val="00CF2F50"/>
    <w:rsid w:val="00CF35F3"/>
    <w:rsid w:val="00CF3A28"/>
    <w:rsid w:val="00CF4148"/>
    <w:rsid w:val="00CF5C08"/>
    <w:rsid w:val="00CF6198"/>
    <w:rsid w:val="00D00570"/>
    <w:rsid w:val="00D02919"/>
    <w:rsid w:val="00D04C61"/>
    <w:rsid w:val="00D05B8D"/>
    <w:rsid w:val="00D05B9B"/>
    <w:rsid w:val="00D065A2"/>
    <w:rsid w:val="00D079AA"/>
    <w:rsid w:val="00D07F00"/>
    <w:rsid w:val="00D1130F"/>
    <w:rsid w:val="00D17B72"/>
    <w:rsid w:val="00D30721"/>
    <w:rsid w:val="00D3185C"/>
    <w:rsid w:val="00D3205F"/>
    <w:rsid w:val="00D330D6"/>
    <w:rsid w:val="00D3318E"/>
    <w:rsid w:val="00D33B6F"/>
    <w:rsid w:val="00D33E72"/>
    <w:rsid w:val="00D35BD6"/>
    <w:rsid w:val="00D361B5"/>
    <w:rsid w:val="00D402DB"/>
    <w:rsid w:val="00D411A2"/>
    <w:rsid w:val="00D42091"/>
    <w:rsid w:val="00D4606D"/>
    <w:rsid w:val="00D50B9C"/>
    <w:rsid w:val="00D50DA3"/>
    <w:rsid w:val="00D51A2A"/>
    <w:rsid w:val="00D52D73"/>
    <w:rsid w:val="00D52E58"/>
    <w:rsid w:val="00D5585C"/>
    <w:rsid w:val="00D564FE"/>
    <w:rsid w:val="00D56B20"/>
    <w:rsid w:val="00D57239"/>
    <w:rsid w:val="00D578B3"/>
    <w:rsid w:val="00D61493"/>
    <w:rsid w:val="00D618F4"/>
    <w:rsid w:val="00D64FF6"/>
    <w:rsid w:val="00D7103F"/>
    <w:rsid w:val="00D714CC"/>
    <w:rsid w:val="00D73AC3"/>
    <w:rsid w:val="00D75EA7"/>
    <w:rsid w:val="00D81ADF"/>
    <w:rsid w:val="00D81F21"/>
    <w:rsid w:val="00D821EA"/>
    <w:rsid w:val="00D83021"/>
    <w:rsid w:val="00D8423D"/>
    <w:rsid w:val="00D84658"/>
    <w:rsid w:val="00D84DF0"/>
    <w:rsid w:val="00D864F2"/>
    <w:rsid w:val="00D9228F"/>
    <w:rsid w:val="00D9362E"/>
    <w:rsid w:val="00D943F8"/>
    <w:rsid w:val="00D95470"/>
    <w:rsid w:val="00D96B55"/>
    <w:rsid w:val="00DA2619"/>
    <w:rsid w:val="00DA2BE7"/>
    <w:rsid w:val="00DA2E57"/>
    <w:rsid w:val="00DA4239"/>
    <w:rsid w:val="00DA65DE"/>
    <w:rsid w:val="00DB0B61"/>
    <w:rsid w:val="00DB1474"/>
    <w:rsid w:val="00DB255A"/>
    <w:rsid w:val="00DB2962"/>
    <w:rsid w:val="00DB4223"/>
    <w:rsid w:val="00DB52FB"/>
    <w:rsid w:val="00DC013B"/>
    <w:rsid w:val="00DC090B"/>
    <w:rsid w:val="00DC1679"/>
    <w:rsid w:val="00DC219B"/>
    <w:rsid w:val="00DC2CF1"/>
    <w:rsid w:val="00DC3A7C"/>
    <w:rsid w:val="00DC4FCF"/>
    <w:rsid w:val="00DC50E0"/>
    <w:rsid w:val="00DC5837"/>
    <w:rsid w:val="00DC6386"/>
    <w:rsid w:val="00DC6DCD"/>
    <w:rsid w:val="00DD1130"/>
    <w:rsid w:val="00DD1951"/>
    <w:rsid w:val="00DD487D"/>
    <w:rsid w:val="00DD4E83"/>
    <w:rsid w:val="00DD5979"/>
    <w:rsid w:val="00DD6628"/>
    <w:rsid w:val="00DD6945"/>
    <w:rsid w:val="00DE2D04"/>
    <w:rsid w:val="00DE3250"/>
    <w:rsid w:val="00DE6028"/>
    <w:rsid w:val="00DE6C85"/>
    <w:rsid w:val="00DE74AC"/>
    <w:rsid w:val="00DE78A3"/>
    <w:rsid w:val="00DF0988"/>
    <w:rsid w:val="00DF1A71"/>
    <w:rsid w:val="00DF2C3E"/>
    <w:rsid w:val="00DF43F2"/>
    <w:rsid w:val="00DF50FC"/>
    <w:rsid w:val="00DF5C46"/>
    <w:rsid w:val="00DF68C7"/>
    <w:rsid w:val="00DF6EF0"/>
    <w:rsid w:val="00DF731A"/>
    <w:rsid w:val="00E01891"/>
    <w:rsid w:val="00E0494E"/>
    <w:rsid w:val="00E04CD4"/>
    <w:rsid w:val="00E06B75"/>
    <w:rsid w:val="00E1016A"/>
    <w:rsid w:val="00E11332"/>
    <w:rsid w:val="00E11352"/>
    <w:rsid w:val="00E113B1"/>
    <w:rsid w:val="00E119E8"/>
    <w:rsid w:val="00E11F37"/>
    <w:rsid w:val="00E12550"/>
    <w:rsid w:val="00E12FAF"/>
    <w:rsid w:val="00E1686B"/>
    <w:rsid w:val="00E170DC"/>
    <w:rsid w:val="00E17546"/>
    <w:rsid w:val="00E210B5"/>
    <w:rsid w:val="00E225C2"/>
    <w:rsid w:val="00E261B3"/>
    <w:rsid w:val="00E26818"/>
    <w:rsid w:val="00E270C1"/>
    <w:rsid w:val="00E27FFC"/>
    <w:rsid w:val="00E30B15"/>
    <w:rsid w:val="00E31126"/>
    <w:rsid w:val="00E33237"/>
    <w:rsid w:val="00E34F1B"/>
    <w:rsid w:val="00E3549B"/>
    <w:rsid w:val="00E40181"/>
    <w:rsid w:val="00E42FA5"/>
    <w:rsid w:val="00E5058E"/>
    <w:rsid w:val="00E54950"/>
    <w:rsid w:val="00E54AF3"/>
    <w:rsid w:val="00E54B1E"/>
    <w:rsid w:val="00E55FB3"/>
    <w:rsid w:val="00E56A01"/>
    <w:rsid w:val="00E57241"/>
    <w:rsid w:val="00E61901"/>
    <w:rsid w:val="00E629A1"/>
    <w:rsid w:val="00E656EC"/>
    <w:rsid w:val="00E65AE6"/>
    <w:rsid w:val="00E6794C"/>
    <w:rsid w:val="00E70827"/>
    <w:rsid w:val="00E713B2"/>
    <w:rsid w:val="00E71591"/>
    <w:rsid w:val="00E71CEB"/>
    <w:rsid w:val="00E7474F"/>
    <w:rsid w:val="00E751CF"/>
    <w:rsid w:val="00E77901"/>
    <w:rsid w:val="00E77FA1"/>
    <w:rsid w:val="00E80DE3"/>
    <w:rsid w:val="00E82C55"/>
    <w:rsid w:val="00E843BF"/>
    <w:rsid w:val="00E85A82"/>
    <w:rsid w:val="00E86F43"/>
    <w:rsid w:val="00E8787E"/>
    <w:rsid w:val="00E87F91"/>
    <w:rsid w:val="00E92AC3"/>
    <w:rsid w:val="00E954E1"/>
    <w:rsid w:val="00EA2F6A"/>
    <w:rsid w:val="00EA4077"/>
    <w:rsid w:val="00EA44EA"/>
    <w:rsid w:val="00EA7A9E"/>
    <w:rsid w:val="00EB00E0"/>
    <w:rsid w:val="00EB05C1"/>
    <w:rsid w:val="00EB05D5"/>
    <w:rsid w:val="00EB1931"/>
    <w:rsid w:val="00EC059F"/>
    <w:rsid w:val="00EC1580"/>
    <w:rsid w:val="00EC1F24"/>
    <w:rsid w:val="00EC20FF"/>
    <w:rsid w:val="00EC22F6"/>
    <w:rsid w:val="00EC519F"/>
    <w:rsid w:val="00EC7754"/>
    <w:rsid w:val="00ED195F"/>
    <w:rsid w:val="00ED4722"/>
    <w:rsid w:val="00ED5B9B"/>
    <w:rsid w:val="00ED6BAD"/>
    <w:rsid w:val="00ED7447"/>
    <w:rsid w:val="00EE00D6"/>
    <w:rsid w:val="00EE11E7"/>
    <w:rsid w:val="00EE1488"/>
    <w:rsid w:val="00EE1585"/>
    <w:rsid w:val="00EE1730"/>
    <w:rsid w:val="00EE1C5E"/>
    <w:rsid w:val="00EE29AD"/>
    <w:rsid w:val="00EE3E24"/>
    <w:rsid w:val="00EE410D"/>
    <w:rsid w:val="00EE4D5D"/>
    <w:rsid w:val="00EE5131"/>
    <w:rsid w:val="00EF109B"/>
    <w:rsid w:val="00EF1D95"/>
    <w:rsid w:val="00EF201C"/>
    <w:rsid w:val="00EF2C72"/>
    <w:rsid w:val="00EF36AF"/>
    <w:rsid w:val="00EF40B1"/>
    <w:rsid w:val="00EF43D0"/>
    <w:rsid w:val="00EF59A3"/>
    <w:rsid w:val="00EF6675"/>
    <w:rsid w:val="00F0063D"/>
    <w:rsid w:val="00F00F9C"/>
    <w:rsid w:val="00F01E5F"/>
    <w:rsid w:val="00F024F3"/>
    <w:rsid w:val="00F029DC"/>
    <w:rsid w:val="00F02ABA"/>
    <w:rsid w:val="00F02F2A"/>
    <w:rsid w:val="00F03168"/>
    <w:rsid w:val="00F03701"/>
    <w:rsid w:val="00F0437A"/>
    <w:rsid w:val="00F04940"/>
    <w:rsid w:val="00F101B8"/>
    <w:rsid w:val="00F10C7D"/>
    <w:rsid w:val="00F11037"/>
    <w:rsid w:val="00F129C6"/>
    <w:rsid w:val="00F16F1B"/>
    <w:rsid w:val="00F22167"/>
    <w:rsid w:val="00F2312F"/>
    <w:rsid w:val="00F23226"/>
    <w:rsid w:val="00F250A9"/>
    <w:rsid w:val="00F2526F"/>
    <w:rsid w:val="00F267AF"/>
    <w:rsid w:val="00F30FF4"/>
    <w:rsid w:val="00F3122E"/>
    <w:rsid w:val="00F32368"/>
    <w:rsid w:val="00F331AD"/>
    <w:rsid w:val="00F34A9F"/>
    <w:rsid w:val="00F34B2A"/>
    <w:rsid w:val="00F35287"/>
    <w:rsid w:val="00F40A70"/>
    <w:rsid w:val="00F4106C"/>
    <w:rsid w:val="00F43A37"/>
    <w:rsid w:val="00F45A47"/>
    <w:rsid w:val="00F4641B"/>
    <w:rsid w:val="00F46529"/>
    <w:rsid w:val="00F46EB8"/>
    <w:rsid w:val="00F476B8"/>
    <w:rsid w:val="00F50CD1"/>
    <w:rsid w:val="00F511E4"/>
    <w:rsid w:val="00F52D09"/>
    <w:rsid w:val="00F52E08"/>
    <w:rsid w:val="00F53A66"/>
    <w:rsid w:val="00F545E7"/>
    <w:rsid w:val="00F5462D"/>
    <w:rsid w:val="00F55B21"/>
    <w:rsid w:val="00F56EF6"/>
    <w:rsid w:val="00F60082"/>
    <w:rsid w:val="00F618E8"/>
    <w:rsid w:val="00F61A9F"/>
    <w:rsid w:val="00F61B5F"/>
    <w:rsid w:val="00F63694"/>
    <w:rsid w:val="00F64696"/>
    <w:rsid w:val="00F65AA1"/>
    <w:rsid w:val="00F65AA9"/>
    <w:rsid w:val="00F66479"/>
    <w:rsid w:val="00F6689E"/>
    <w:rsid w:val="00F6768F"/>
    <w:rsid w:val="00F705CC"/>
    <w:rsid w:val="00F72115"/>
    <w:rsid w:val="00F72C2C"/>
    <w:rsid w:val="00F73C9B"/>
    <w:rsid w:val="00F741F2"/>
    <w:rsid w:val="00F764B0"/>
    <w:rsid w:val="00F76CAB"/>
    <w:rsid w:val="00F772C6"/>
    <w:rsid w:val="00F77F59"/>
    <w:rsid w:val="00F80693"/>
    <w:rsid w:val="00F815B5"/>
    <w:rsid w:val="00F81F4C"/>
    <w:rsid w:val="00F84483"/>
    <w:rsid w:val="00F85195"/>
    <w:rsid w:val="00F865DC"/>
    <w:rsid w:val="00F868E3"/>
    <w:rsid w:val="00F8702C"/>
    <w:rsid w:val="00F938BA"/>
    <w:rsid w:val="00F95DB6"/>
    <w:rsid w:val="00F972B1"/>
    <w:rsid w:val="00F97919"/>
    <w:rsid w:val="00FA0D7D"/>
    <w:rsid w:val="00FA2957"/>
    <w:rsid w:val="00FA2C46"/>
    <w:rsid w:val="00FA3525"/>
    <w:rsid w:val="00FA40C3"/>
    <w:rsid w:val="00FA5A53"/>
    <w:rsid w:val="00FB125E"/>
    <w:rsid w:val="00FB1A78"/>
    <w:rsid w:val="00FB2C1A"/>
    <w:rsid w:val="00FB3501"/>
    <w:rsid w:val="00FB4769"/>
    <w:rsid w:val="00FB4CDA"/>
    <w:rsid w:val="00FB5B4E"/>
    <w:rsid w:val="00FB5C06"/>
    <w:rsid w:val="00FB5FA4"/>
    <w:rsid w:val="00FB6481"/>
    <w:rsid w:val="00FB6D36"/>
    <w:rsid w:val="00FB6F8F"/>
    <w:rsid w:val="00FC0965"/>
    <w:rsid w:val="00FC0F81"/>
    <w:rsid w:val="00FC252F"/>
    <w:rsid w:val="00FC395C"/>
    <w:rsid w:val="00FC5E8E"/>
    <w:rsid w:val="00FD27AC"/>
    <w:rsid w:val="00FD3766"/>
    <w:rsid w:val="00FD47C4"/>
    <w:rsid w:val="00FD50C1"/>
    <w:rsid w:val="00FD7C96"/>
    <w:rsid w:val="00FE2591"/>
    <w:rsid w:val="00FE2DCF"/>
    <w:rsid w:val="00FE3FA7"/>
    <w:rsid w:val="00FE5163"/>
    <w:rsid w:val="00FE7816"/>
    <w:rsid w:val="00FF0794"/>
    <w:rsid w:val="00FF219F"/>
    <w:rsid w:val="00FF2A4E"/>
    <w:rsid w:val="00FF2FCE"/>
    <w:rsid w:val="00FF4F7D"/>
    <w:rsid w:val="00FF5F41"/>
    <w:rsid w:val="00FF6D9D"/>
    <w:rsid w:val="00FF7DD5"/>
    <w:rsid w:val="03FBD7FE"/>
    <w:rsid w:val="0B7A554C"/>
    <w:rsid w:val="0DAAFE8C"/>
    <w:rsid w:val="10C14223"/>
    <w:rsid w:val="13EBFDF1"/>
    <w:rsid w:val="14BFF6E2"/>
    <w:rsid w:val="16DCF78B"/>
    <w:rsid w:val="17D889EF"/>
    <w:rsid w:val="17EC1E31"/>
    <w:rsid w:val="187DC50D"/>
    <w:rsid w:val="18CFF5B1"/>
    <w:rsid w:val="19F1A370"/>
    <w:rsid w:val="1A0CF217"/>
    <w:rsid w:val="1A0F15F4"/>
    <w:rsid w:val="1DB8A4BA"/>
    <w:rsid w:val="209ED40B"/>
    <w:rsid w:val="255F26DE"/>
    <w:rsid w:val="274E71A7"/>
    <w:rsid w:val="27E3ED11"/>
    <w:rsid w:val="2A5C5806"/>
    <w:rsid w:val="2AC5FE7F"/>
    <w:rsid w:val="37FE68B9"/>
    <w:rsid w:val="3D70D305"/>
    <w:rsid w:val="3F551981"/>
    <w:rsid w:val="444F5F7E"/>
    <w:rsid w:val="4A451EEA"/>
    <w:rsid w:val="4C9FDB38"/>
    <w:rsid w:val="4E354B03"/>
    <w:rsid w:val="4ECECD3C"/>
    <w:rsid w:val="4F6669EE"/>
    <w:rsid w:val="564431B2"/>
    <w:rsid w:val="56E39B59"/>
    <w:rsid w:val="574C7E04"/>
    <w:rsid w:val="5BFCDE89"/>
    <w:rsid w:val="5CE78FB5"/>
    <w:rsid w:val="5DF340A7"/>
    <w:rsid w:val="649173C3"/>
    <w:rsid w:val="65DA6D5A"/>
    <w:rsid w:val="66AF751F"/>
    <w:rsid w:val="66E96015"/>
    <w:rsid w:val="6BACA27F"/>
    <w:rsid w:val="6C535677"/>
    <w:rsid w:val="6D349AE6"/>
    <w:rsid w:val="6DA3A942"/>
    <w:rsid w:val="6E14F96A"/>
    <w:rsid w:val="6EE7A1A0"/>
    <w:rsid w:val="6FC76EC5"/>
    <w:rsid w:val="736799AF"/>
    <w:rsid w:val="7AAC625D"/>
    <w:rsid w:val="7B34D36E"/>
    <w:rsid w:val="7D06C41E"/>
    <w:rsid w:val="7D7474D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9E0462E-7F2F-4637-97D8-7F08598F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507CBD"/>
    <w:pPr>
      <w:spacing w:after="120" w:line="270" w:lineRule="atLeast"/>
    </w:pPr>
    <w:rPr>
      <w:rFonts w:ascii="Arial" w:eastAsia="Times" w:hAnsi="Arial"/>
      <w:lang w:eastAsia="en-US"/>
    </w:rPr>
  </w:style>
  <w:style w:type="character" w:customStyle="1" w:styleId="DHHSbodyChar">
    <w:name w:val="DHHS body Char"/>
    <w:link w:val="DHHSbody"/>
    <w:locked/>
    <w:rsid w:val="00507CBD"/>
    <w:rPr>
      <w:rFonts w:ascii="Arial" w:eastAsia="Times" w:hAnsi="Arial"/>
      <w:lang w:eastAsia="en-US"/>
    </w:rPr>
  </w:style>
  <w:style w:type="character" w:styleId="Mention">
    <w:name w:val="Mention"/>
    <w:basedOn w:val="DefaultParagraphFont"/>
    <w:uiPriority w:val="99"/>
    <w:unhideWhenUsed/>
    <w:rsid w:val="00E42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families-fairness-housing-health-activity-search" TargetMode="External"/><Relationship Id="rId26" Type="http://schemas.openxmlformats.org/officeDocument/2006/relationships/hyperlink" Target="https://fac.dhhs.vic.gov.au" TargetMode="External"/><Relationship Id="rId3" Type="http://schemas.openxmlformats.org/officeDocument/2006/relationships/customXml" Target="../customXml/item3.xml"/><Relationship Id="rId21" Type="http://schemas.openxmlformats.org/officeDocument/2006/relationships/hyperlink" Target="https://fac.dffh.vic.gov.au/service-delivery-track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bsl.org.au/assets/services/Young-people/BSL-Better-Futures-Advantaged-Thinking-Practice-Framework_Revised-April-2024.pdf" TargetMode="External"/><Relationship Id="rId25" Type="http://schemas.openxmlformats.org/officeDocument/2006/relationships/hyperlink" Target="https://services.dffh.vic.gov.au/leaving-care" TargetMode="External"/><Relationship Id="rId2" Type="http://schemas.openxmlformats.org/officeDocument/2006/relationships/customXml" Target="../customXml/item2.xml"/><Relationship Id="rId16" Type="http://schemas.openxmlformats.org/officeDocument/2006/relationships/hyperlink" Target="https://providers.dffh.vic.gov.au/housing-first" TargetMode="External"/><Relationship Id="rId20" Type="http://schemas.openxmlformats.org/officeDocument/2006/relationships/hyperlink" Target="https://providers.dffh.vic.gov.au/families-fairness-housing-health-activity-search" TargetMode="External"/><Relationship Id="rId29" Type="http://schemas.openxmlformats.org/officeDocument/2006/relationships/hyperlink" Target="https://dhhsvicgovau.sharepoint.com/sites/ChildProtectionCarePolicy638-GRP/Shared%20Documents/Transitions%20From%20Care/Housing%20First/a%20Workstream%202%20-%20Model%20Design/Policy%20&amp;%20Practice%20Advice/Service%20Activity%20&amp;%20Reporting/Performance%20and%20Reporting%20Practice%20Advice%20update%20October%202025/Stage%202%20Update/providers.dffh.vic.gov.au/housing-fir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leaving-care"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roviders.dffh.vic.gov.au/housing-first" TargetMode="External"/><Relationship Id="rId28" Type="http://schemas.openxmlformats.org/officeDocument/2006/relationships/hyperlink" Target="mailto:betterfuturescentral@dffh.vic.gov.au" TargetMode="External"/><Relationship Id="rId10" Type="http://schemas.openxmlformats.org/officeDocument/2006/relationships/endnotes" Target="endnotes.xml"/><Relationship Id="rId19" Type="http://schemas.openxmlformats.org/officeDocument/2006/relationships/hyperlink" Target="https://dhhsvicgovau.sharepoint.com/sites/ChildProtectionCarePolicy638-GRP/Shared%20Documents/Transitions%20From%20Care/Housing%20First/a%20Workstream%202%20-%20Model%20Design/Policy%20&amp;%20Practice%20Advice/Service%20Activity%20&amp;%20Reporting/Performance%20and%20Reporting%20Practice%20Advice%20update%20October%202025/Stage%202%20Update/fac.dffh.vic.gov.au/service-agreement-requirem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betterfuturescentral@dffh.vic.gov.au" TargetMode="External"/><Relationship Id="rId27" Type="http://schemas.openxmlformats.org/officeDocument/2006/relationships/hyperlink" Target="https://providers.dffh.vic.gov.au/families-fairness-housing-health-activity-search"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fac.dffh.vic.gov.au/service-delivery-tracking" TargetMode="External"/><Relationship Id="rId2" Type="http://schemas.openxmlformats.org/officeDocument/2006/relationships/hyperlink" Target="https://providers.dffh.vic.gov.au/families-fairness-housing-health-activity-search" TargetMode="External"/><Relationship Id="rId1" Type="http://schemas.openxmlformats.org/officeDocument/2006/relationships/hyperlink" Target="https://fac.dffh.vic.gov.au/service-agreement-requirements" TargetMode="External"/><Relationship Id="rId5" Type="http://schemas.openxmlformats.org/officeDocument/2006/relationships/hyperlink" Target="https://providers.dffh.vic.gov.au/families-fairness-housing-health-activity-search" TargetMode="External"/><Relationship Id="rId4" Type="http://schemas.openxmlformats.org/officeDocument/2006/relationships/hyperlink" Target="https://fac.dhhs.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Update_x0020_File_x0020_Name_x0020_Memoranda xmlns="f564a0ab-7d10-463c-8b8b-579d03fbf2e1">
      <Url xsi:nil="true"/>
      <Description xsi:nil="true"/>
    </Update_x0020_File_x0020_Name_x0020_Memoranda>
    <CBSFileName xmlns="59098f23-3ca6-4eec-8c4e-6f77ceae2d9e">BAC-DM-29241 - Attachment 2-  Housing First for Young People Leaving Care Performance and Reporting Practice Advice v2</CBSFileName>
    <CBSDocType xmlns="59098f23-3ca6-4eec-8c4e-6f77ceae2d9e" xsi:nil="true"/>
    <RecordStatus xmlns="4e6cfa50-9814-4036-b2f8-54bb7ef1e7f8"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Memoranda xmlns="f564a0ab-7d10-463c-8b8b-579d03fbf2e1">
      <Url>https://dhhsvicgovau.sharepoint.com/sites/ourbriefings/_layouts/15/wrkstat.aspx?List=f564a0ab-7d10-463c-8b8b-579d03fbf2e1&amp;WorkflowInstanceName=835b071d-92e0-477d-a25c-11ac6bda5bf0</Url>
      <Description>ok</Description>
    </Validate_x0020_File_x0020_Name_x0020_Memorand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5" ma:contentTypeDescription="" ma:contentTypeScope="" ma:versionID="913914a9aa4c8ff24d20a0680b988bc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3a2af5799177c2a2bda14247bb9ef7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element ref="ns4:MediaServiceSearchProperties" minOccurs="0"/>
                <xsd:element ref="ns4:Validate_x0020_File_x0020_Name_x0020_Memoranda"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dexed="true" ma:internalName="CBSDueBy">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Validate_x0020_File_x0020_Name_x0020_Memoranda" ma:index="34" nillable="true" ma:displayName="Validate File Name Memoranda" ma:internalName="Vali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f564a0ab-7d10-463c-8b8b-579d03fbf2e1"/>
    <ds:schemaRef ds:uri="59098f23-3ca6-4eec-8c4e-6f77ceae2d9e"/>
    <ds:schemaRef ds:uri="4e6cfa50-9814-4036-b2f8-54bb7ef1e7f8"/>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A08E11E8-1EFC-4FB9-8AB4-EAF20895F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2382</Words>
  <Characters>13582</Characters>
  <Application>Microsoft Office Word</Application>
  <DocSecurity>0</DocSecurity>
  <Lines>113</Lines>
  <Paragraphs>31</Paragraphs>
  <ScaleCrop>false</ScaleCrop>
  <Manager>Catherine Gibson</Manager>
  <Company>Victoria State Government, Department of Families, Fairness and Housing</Company>
  <LinksUpToDate>false</LinksUpToDate>
  <CharactersWithSpaces>15933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First for Young People Leaving Care Performance and Reporting Practice Advice- January 2025</dc:title>
  <dc:subject>Housing First for Young People Leaving Care</dc:subject>
  <dc:creator>Transitions from Care</dc:creator>
  <cp:keywords>Housing First, Leaving Care, Performance &amp; Reporting, Practice Advice</cp:keywords>
  <cp:revision>16</cp:revision>
  <cp:lastPrinted>2024-12-20T03:57:00Z</cp:lastPrinted>
  <dcterms:created xsi:type="dcterms:W3CDTF">2026-02-11T23:28:00Z</dcterms:created>
  <dcterms:modified xsi:type="dcterms:W3CDTF">2026-02-25T23:42:00Z</dcterms:modified>
  <cp:category>Performance and Reporting Practice Advice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0x010100A5FD4705EF695745935DCFF362D96FD9004BDC0A6DC64C2D459475585E949EC7C2</vt:lpwstr>
  </property>
  <property fmtid="{D5CDD505-2E9C-101B-9397-08002B2CF9AE}" pid="24" name="MediaServiceImageTags">
    <vt:lpwstr/>
  </property>
  <property fmtid="{D5CDD505-2E9C-101B-9397-08002B2CF9AE}" pid="25" name="lcf76f155ced4ddcb4097134ff3c332f">
    <vt:lpwstr/>
  </property>
</Properties>
</file>