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Housing Establishment Fund (HEF) 94113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.aihw.gov.au/about-our-data/our-data-collections/specialist-homelessness-services-collection" TargetMode="External"/>
<Relationship Id="rId12" Type="http://schemas.openxmlformats.org/officeDocument/2006/relationships/hyperlink" Target="https://fac.dffh.vic.gov.au/homelessness-services-guidelines-and-conditions-funding" TargetMode="External"/>
<Relationship Id="rId13" Type="http://schemas.openxmlformats.org/officeDocument/2006/relationships/hyperlink" Target="https://www.dffh.vic.gov.au/publications/victorias-homelessness-and-rough-sleeping-action-plan" TargetMode="External"/>
<Relationship Id="rId14" Type="http://schemas.openxmlformats.org/officeDocument/2006/relationships/hyperlink" Target="https://fac.dhhs.vic.gov.au/victorian-housing-register" TargetMode="External"/>
<Relationship Id="rId15" Type="http://schemas.openxmlformats.org/officeDocument/2006/relationships/hyperlink" Target="https://vahhf.org.au/wp-content/uploads/2023/09/victorian-aboriginal-housing-and-homelessness-framework_complete_26_02_20-2.pdf" TargetMode="External"/>
<Relationship Id="rId16" Type="http://schemas.openxmlformats.org/officeDocument/2006/relationships/hyperlink" Target="https://vahhf.org.au/wp-content/uploads/2023/09/Blueprint.pdf" TargetMode="External"/>
<Relationship Id="rId17" Type="http://schemas.openxmlformats.org/officeDocument/2006/relationships/hyperlink" Target="https://chp.org.au/wp-content/uploads/2022/04/Aboriginal-Homelessness-An-Aboriginal-Cultural-Safety-Framework-for-the-Specialist-Homelessness-Sector-4th-draft-with-hi-res-pic-attribution.pdf" TargetMode="External"/>
<Relationship Id="rId18" Type="http://schemas.openxmlformats.org/officeDocument/2006/relationships/hyperlink" Target="https://fac.dffh.vic.gov.au/sites/default/files/2020-07/11_VHR_Homeless_with_Support_operational_guideline%20June%202020.docx" TargetMode="External"/>
<Relationship Id="rId19" Type="http://schemas.openxmlformats.org/officeDocument/2006/relationships/hyperlink" Target="http://providers.dffh.vic.gov.au/families-fairness-housing-health-activity-search" TargetMode="External"/>
<Relationship Id="rId20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Housing Establishment Fund (HEF)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94113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Housing Assistance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Homelessness housing establishment fund (HEF) aims to address and prevent homelessness by providing financial assistance to people who are experiencing homeless or in housing crisis.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Homelessness housing establishment fund (HEF) provides flexible funds to assist people experiencing homelessness to access crisis, longer-term or alternative housing options, or to assist them to maintain their existing housing.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target group for the Housing Establishment Fund is people experiencing or at risk of homelessness.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Specialist Homelessness Services Collection Resources (SHSC)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&lt;https://www.aihw.gov.au/about-our-data/our-data-collections/specialist-homelessness-services-collection&gt;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Homelessness Services Guidelines and Conditions of Funding May 2014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&lt;https://fac.dffh.vic.gov.au/homelessness-services-guidelines-and-conditions-funding&gt;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Victoria’s Homelessness and Rough Sleeping Action Plan (January 2018)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&lt;https://www.dffh.vic.gov.au/publications/victorias-homelessness-and-rough-sleeping-action-plan&gt;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Further information on the Victorian Housing Register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&lt;https://fac.dhhs.vic.gov.au/victorian-housing-register&gt;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5" w:tgtFrame="_blank" w:history="1">
        <w:r>
          <w:rPr>
            <w:rFonts w:ascii="Arial" w:hAnsi="Arial" w:eastAsia="Arial" w:cs="Arial"/>
            <w:color w:val="3366FF"/>
            <w:sz w:val="20"/>
          </w:rPr>
          <w:t>Mana-na woorn-tyeen maar-takoort- Every Aboriginal Person has a home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&lt;https://vahhf.org.au/wp-content/uploads/2023/09/victorian-aboriginal-housing-and-homelessness-framework_complete_26_02_20-2.pdf&gt;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6" w:tgtFrame="_blank" w:history="1">
        <w:r>
          <w:rPr>
            <w:rFonts w:ascii="Arial" w:hAnsi="Arial" w:eastAsia="Arial" w:cs="Arial"/>
            <w:color w:val="3366FF"/>
            <w:sz w:val="20"/>
          </w:rPr>
          <w:t>Blueprint for an Aboriginal-Specific Homelessness System in Victoria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&lt;https://vahhf.org.au/wp-content/uploads/2023/09/Blueprint.pdf&gt;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7" w:tgtFrame="_blank" w:history="1">
        <w:r>
          <w:rPr>
            <w:rFonts w:ascii="Arial" w:hAnsi="Arial" w:eastAsia="Arial" w:cs="Arial"/>
            <w:color w:val="3366FF"/>
            <w:sz w:val="20"/>
          </w:rPr>
          <w:t>Aboriginal Homelessness: An Aboriginal Cultural Safety Framework for the Specialist Homelessness Sector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&lt;https://chp.org.au/wp-content/uploads/2022/04/Aboriginal-Homelessness-An-Aboriginal-Cultural-Safety-Framework-for-the-Specialist-Homelessness-Sector-4th-draft-with-hi-res-pic-attribution.pdf&gt;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8" w:tgtFrame="_blank" w:history="1">
        <w:r>
          <w:rPr>
            <w:rFonts w:ascii="Arial" w:hAnsi="Arial" w:eastAsia="Arial" w:cs="Arial"/>
            <w:color w:val="3366FF"/>
            <w:sz w:val="20"/>
          </w:rPr>
          <w:t>Homeless with Support Operational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&lt;https://fac.dffh.vic.gov.au/sites/default/files/2020-07/11_VHR_Homeless_with_Support_operational_guideline%20June%202020.docx&gt;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assists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households assisted with Homelessness housing establishment fund.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each time a household is assisted with HEF in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Housing Establishment Fund (HEF) data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 household may be an individual 16 years old and over, a couple or a family.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2: HEF expended in the reporting period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total amount of HEF that has been expended on households.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Calculate the total amount of HEF that has been expended during the reporting period. 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The amount should be exclusive of GST.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Housing Establishment Fund (HEF) data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 household may be an individual 16 years old and over, a couple or a family.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Expended funding includes all approved and committed brokerage funding, not just funding associated with finalised invoices.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SAMS2/Service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SHIP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Specialist homelessness services collection (SHSC) provided to the Department Families, Fairness and Housing and the Australian Institute of Health and Welfare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Housing Establishment Fund (HEF) data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HEF client-level payment reports provided to Department of Families, Fairness and Housing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As Required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hAnsi="Arial" w:eastAsia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July 2024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9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692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3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Housing Assistance 94113 Housing Establishment Fund (HEF)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