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FFE0" w14:textId="77777777" w:rsidR="00944E4E" w:rsidRDefault="00ED54E5">
      <w:pPr>
        <w:spacing w:before="100" w:line="288" w:lineRule="auto"/>
        <w:ind w:left="-699"/>
      </w:pPr>
      <w:r>
        <w:rPr>
          <w:noProof/>
        </w:rPr>
        <w:drawing>
          <wp:inline distT="0" distB="0" distL="0" distR="0" wp14:anchorId="127A8CB3" wp14:editId="027477B6">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944E4E" w14:paraId="0DFE6736" w14:textId="77777777">
        <w:tc>
          <w:tcPr>
            <w:tcW w:w="10206" w:type="dxa"/>
            <w:shd w:val="clear" w:color="auto" w:fill="FFFFFF"/>
            <w:vAlign w:val="bottom"/>
          </w:tcPr>
          <w:p w14:paraId="41330705" w14:textId="77777777" w:rsidR="00944E4E" w:rsidRDefault="00944E4E">
            <w:pPr>
              <w:spacing w:line="560" w:lineRule="atLeast"/>
              <w:rPr>
                <w:rFonts w:ascii="Arial" w:eastAsia="Arial" w:hAnsi="Arial" w:cs="Arial"/>
                <w:color w:val="000000"/>
                <w:sz w:val="20"/>
              </w:rPr>
            </w:pPr>
          </w:p>
          <w:p w14:paraId="5DA13211" w14:textId="77777777" w:rsidR="00944E4E" w:rsidRDefault="00ED54E5">
            <w:pPr>
              <w:spacing w:line="560" w:lineRule="atLeast"/>
              <w:rPr>
                <w:rFonts w:ascii="Arial" w:eastAsia="Arial" w:hAnsi="Arial" w:cs="Arial"/>
                <w:color w:val="201547"/>
                <w:sz w:val="44"/>
              </w:rPr>
            </w:pPr>
            <w:r>
              <w:rPr>
                <w:rFonts w:ascii="Arial" w:eastAsia="Arial" w:hAnsi="Arial" w:cs="Arial"/>
                <w:color w:val="201547"/>
                <w:sz w:val="44"/>
              </w:rPr>
              <w:t>Housing Advocacy Support - Secondary Advice</w:t>
            </w:r>
          </w:p>
          <w:p w14:paraId="0C0A9B8F" w14:textId="77777777" w:rsidR="00944E4E" w:rsidRDefault="00ED54E5">
            <w:pPr>
              <w:spacing w:line="560" w:lineRule="atLeast"/>
              <w:rPr>
                <w:rFonts w:ascii="Arial" w:eastAsia="Arial" w:hAnsi="Arial" w:cs="Arial"/>
                <w:color w:val="201547"/>
                <w:sz w:val="44"/>
              </w:rPr>
            </w:pPr>
            <w:r>
              <w:rPr>
                <w:rFonts w:ascii="Arial" w:eastAsia="Arial" w:hAnsi="Arial" w:cs="Arial"/>
                <w:color w:val="201547"/>
                <w:sz w:val="44"/>
              </w:rPr>
              <w:t>91425</w:t>
            </w:r>
          </w:p>
        </w:tc>
      </w:tr>
      <w:tr w:rsidR="00944E4E" w14:paraId="3928380B" w14:textId="77777777">
        <w:tc>
          <w:tcPr>
            <w:tcW w:w="10206" w:type="dxa"/>
            <w:shd w:val="clear" w:color="auto" w:fill="FFFFFF"/>
          </w:tcPr>
          <w:p w14:paraId="73CA472C" w14:textId="77777777" w:rsidR="00944E4E" w:rsidRDefault="00ED54E5">
            <w:pPr>
              <w:spacing w:after="120"/>
              <w:rPr>
                <w:rFonts w:ascii="Arial" w:eastAsia="Arial" w:hAnsi="Arial" w:cs="Arial"/>
                <w:color w:val="201547"/>
                <w:sz w:val="28"/>
              </w:rPr>
            </w:pPr>
            <w:r>
              <w:rPr>
                <w:rFonts w:ascii="Arial" w:eastAsia="Arial" w:hAnsi="Arial" w:cs="Arial"/>
                <w:color w:val="201547"/>
                <w:sz w:val="28"/>
              </w:rPr>
              <w:t xml:space="preserve">Outcome objective: Victorians are safe and </w:t>
            </w:r>
            <w:proofErr w:type="gramStart"/>
            <w:r>
              <w:rPr>
                <w:rFonts w:ascii="Arial" w:eastAsia="Arial" w:hAnsi="Arial" w:cs="Arial"/>
                <w:color w:val="201547"/>
                <w:sz w:val="28"/>
              </w:rPr>
              <w:t>secure</w:t>
            </w:r>
            <w:proofErr w:type="gramEnd"/>
          </w:p>
          <w:p w14:paraId="32196AE8" w14:textId="77777777" w:rsidR="00944E4E" w:rsidRDefault="00ED54E5">
            <w:pPr>
              <w:spacing w:after="120"/>
              <w:rPr>
                <w:rFonts w:ascii="Arial" w:eastAsia="Arial" w:hAnsi="Arial" w:cs="Arial"/>
                <w:color w:val="201547"/>
                <w:sz w:val="28"/>
              </w:rPr>
            </w:pPr>
            <w:r>
              <w:rPr>
                <w:rFonts w:ascii="Arial" w:eastAsia="Arial" w:hAnsi="Arial" w:cs="Arial"/>
                <w:color w:val="201547"/>
                <w:sz w:val="28"/>
              </w:rPr>
              <w:t>Output group: Housing Assistance</w:t>
            </w:r>
          </w:p>
          <w:p w14:paraId="14270CF1" w14:textId="77777777" w:rsidR="00944E4E" w:rsidRDefault="00ED54E5">
            <w:pPr>
              <w:spacing w:after="120"/>
              <w:rPr>
                <w:rFonts w:ascii="Arial" w:eastAsia="Arial" w:hAnsi="Arial" w:cs="Arial"/>
                <w:color w:val="201547"/>
                <w:sz w:val="28"/>
              </w:rPr>
            </w:pPr>
            <w:r>
              <w:rPr>
                <w:rFonts w:ascii="Arial" w:eastAsia="Arial" w:hAnsi="Arial" w:cs="Arial"/>
                <w:color w:val="201547"/>
                <w:sz w:val="28"/>
              </w:rPr>
              <w:t>Output: Housing Support and Homelessness Assistance</w:t>
            </w:r>
          </w:p>
        </w:tc>
      </w:tr>
    </w:tbl>
    <w:p w14:paraId="56FAC434" w14:textId="77777777" w:rsidR="00944E4E" w:rsidRDefault="00ED54E5">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D45E04C" w14:textId="77777777" w:rsidR="00944E4E" w:rsidRDefault="00ED54E5">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2CBAA28C" w14:textId="77777777" w:rsidR="00944E4E" w:rsidRDefault="00ED54E5">
      <w:pPr>
        <w:spacing w:line="270" w:lineRule="atLeast"/>
        <w:ind w:left="111" w:right="105"/>
        <w:rPr>
          <w:rFonts w:ascii="Arial" w:eastAsia="Arial" w:hAnsi="Arial" w:cs="Arial"/>
          <w:color w:val="000000"/>
          <w:sz w:val="20"/>
        </w:rPr>
      </w:pPr>
      <w:r>
        <w:rPr>
          <w:rFonts w:ascii="Arial" w:eastAsia="Arial" w:hAnsi="Arial" w:cs="Arial"/>
          <w:color w:val="000000"/>
          <w:sz w:val="20"/>
        </w:rPr>
        <w:t>To achieve improved housing outcomes for social housing renters, forming part of the Victorian Government’s ongoing commitment to sustainable tenancies</w:t>
      </w:r>
    </w:p>
    <w:p w14:paraId="0EFA8DBC" w14:textId="77777777" w:rsidR="00944E4E" w:rsidRDefault="00ED54E5">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3D1C139A" w14:textId="77777777" w:rsidR="00944E4E" w:rsidRDefault="00ED54E5">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Provision of secondary advice to community service organisations assisting social housing renters with complex legal tenancy issues </w:t>
      </w:r>
      <w:r>
        <w:br/>
      </w:r>
      <w:r>
        <w:rPr>
          <w:rFonts w:ascii="Arial" w:eastAsia="Arial" w:hAnsi="Arial" w:cs="Arial"/>
          <w:color w:val="000000"/>
          <w:sz w:val="20"/>
        </w:rPr>
        <w:t>Under this activity, funded community service organisations:</w:t>
      </w:r>
      <w:r>
        <w:br/>
      </w:r>
      <w:r>
        <w:rPr>
          <w:rFonts w:ascii="Arial" w:eastAsia="Arial" w:hAnsi="Arial" w:cs="Arial"/>
          <w:color w:val="000000"/>
          <w:sz w:val="20"/>
        </w:rPr>
        <w:t xml:space="preserve">• provide legal tenancy advice to service providers funded for specific housing related programs by the Department of Families Fairness and Housing </w:t>
      </w:r>
      <w:r>
        <w:br/>
      </w:r>
      <w:r>
        <w:rPr>
          <w:rFonts w:ascii="Arial" w:eastAsia="Arial" w:hAnsi="Arial" w:cs="Arial"/>
          <w:color w:val="000000"/>
          <w:sz w:val="20"/>
        </w:rPr>
        <w:t>• involve renters in the service planning and management of the service.</w:t>
      </w:r>
      <w:r>
        <w:br/>
      </w:r>
      <w:r>
        <w:rPr>
          <w:rFonts w:ascii="Arial" w:eastAsia="Arial" w:hAnsi="Arial" w:cs="Arial"/>
          <w:color w:val="000000"/>
          <w:sz w:val="20"/>
        </w:rPr>
        <w:t>In order to achieve the above objectives for social housing renters, the service provider is expected to work closely with the department.</w:t>
      </w:r>
    </w:p>
    <w:p w14:paraId="7928DE86" w14:textId="77777777" w:rsidR="00944E4E" w:rsidRDefault="00ED54E5">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2FEDA3E1" w14:textId="77777777" w:rsidR="00944E4E" w:rsidRDefault="00ED54E5">
      <w:pPr>
        <w:spacing w:line="288" w:lineRule="auto"/>
        <w:ind w:left="111" w:right="105"/>
        <w:rPr>
          <w:rFonts w:ascii="Arial" w:eastAsia="Arial" w:hAnsi="Arial" w:cs="Arial"/>
          <w:color w:val="000000"/>
          <w:sz w:val="20"/>
        </w:rPr>
      </w:pPr>
      <w:r>
        <w:rPr>
          <w:rFonts w:ascii="Arial" w:eastAsia="Arial" w:hAnsi="Arial" w:cs="Arial"/>
          <w:color w:val="000000"/>
          <w:sz w:val="20"/>
        </w:rPr>
        <w:t>The client group for this activity is targeted at Community service organisations funded by the department for specific housing related programs requiring specialist legal advice to assist social housing renters with complex tenancy issues.</w:t>
      </w:r>
    </w:p>
    <w:p w14:paraId="4AB4C97A" w14:textId="77777777" w:rsidR="00944E4E" w:rsidRDefault="00ED54E5">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14A225E3" w14:textId="77777777" w:rsidR="00944E4E" w:rsidRDefault="00ED54E5">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2B9443C4" w14:textId="77777777" w:rsidR="00944E4E" w:rsidRDefault="00ED54E5">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71F888EC" w14:textId="77777777" w:rsidR="00944E4E" w:rsidRDefault="00ED54E5">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lastRenderedPageBreak/>
        <w:t>Independent review and accreditation against the department’s Human Services Standards, unless exempted.</w:t>
      </w:r>
      <w:r>
        <w:rPr>
          <w:rFonts w:ascii="Arial" w:eastAsia="Arial" w:hAnsi="Arial" w:cs="Arial"/>
          <w:b/>
          <w:bCs/>
          <w:color w:val="000000"/>
          <w:sz w:val="20"/>
        </w:rPr>
        <w:t xml:space="preserve"> </w:t>
      </w:r>
    </w:p>
    <w:p w14:paraId="66A9B3F4" w14:textId="77777777" w:rsidR="00944E4E" w:rsidRDefault="00ED54E5">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176978FA" w14:textId="77777777" w:rsidR="00944E4E" w:rsidRDefault="00000000">
      <w:pPr>
        <w:numPr>
          <w:ilvl w:val="0"/>
          <w:numId w:val="13"/>
        </w:numPr>
        <w:spacing w:after="40" w:line="270" w:lineRule="atLeast"/>
        <w:rPr>
          <w:rFonts w:ascii="Arial" w:eastAsia="Arial" w:hAnsi="Arial" w:cs="Arial"/>
          <w:color w:val="3366FF"/>
          <w:sz w:val="20"/>
        </w:rPr>
      </w:pPr>
      <w:hyperlink r:id="rId8" w:tgtFrame="_blank" w:history="1">
        <w:r w:rsidR="00ED54E5">
          <w:rPr>
            <w:rFonts w:ascii="Arial" w:eastAsia="Arial" w:hAnsi="Arial" w:cs="Arial"/>
            <w:color w:val="3366FF"/>
            <w:sz w:val="20"/>
          </w:rPr>
          <w:t>Housing Act 1983</w:t>
        </w:r>
      </w:hyperlink>
    </w:p>
    <w:p w14:paraId="4452C06C" w14:textId="77777777" w:rsidR="00944E4E" w:rsidRDefault="00ED54E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&lt;http://www.legislation.vic.gov.au/Domino/Web_Notes/LDMS/PubLawToday.nsf/95c43dd4eac71a68ca256dde00056e7b/ff8b257bb218c57fca25736000008380!OpenDocument&gt;</w:t>
      </w:r>
    </w:p>
    <w:p w14:paraId="35ACD284" w14:textId="77777777" w:rsidR="00944E4E" w:rsidRDefault="00000000">
      <w:pPr>
        <w:numPr>
          <w:ilvl w:val="0"/>
          <w:numId w:val="13"/>
        </w:numPr>
        <w:spacing w:after="40" w:line="270" w:lineRule="atLeast"/>
        <w:rPr>
          <w:rFonts w:ascii="Arial" w:eastAsia="Arial" w:hAnsi="Arial" w:cs="Arial"/>
          <w:color w:val="3366FF"/>
          <w:sz w:val="20"/>
        </w:rPr>
      </w:pPr>
      <w:hyperlink r:id="rId9" w:tgtFrame="_blank" w:history="1">
        <w:r w:rsidR="00ED54E5">
          <w:rPr>
            <w:rFonts w:ascii="Arial" w:eastAsia="Arial" w:hAnsi="Arial" w:cs="Arial"/>
            <w:color w:val="3366FF"/>
            <w:sz w:val="20"/>
          </w:rPr>
          <w:t>Human Services Standards policy</w:t>
        </w:r>
      </w:hyperlink>
    </w:p>
    <w:p w14:paraId="4214DF48" w14:textId="77777777" w:rsidR="00944E4E" w:rsidRDefault="00ED54E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&lt;https://providers.dffh.vic.gov.au/human-services-standards-policy&gt;</w:t>
      </w:r>
    </w:p>
    <w:p w14:paraId="35C69204" w14:textId="77777777" w:rsidR="00944E4E" w:rsidRDefault="00000000">
      <w:pPr>
        <w:numPr>
          <w:ilvl w:val="0"/>
          <w:numId w:val="13"/>
        </w:numPr>
        <w:spacing w:after="40" w:line="270" w:lineRule="atLeast"/>
        <w:rPr>
          <w:rFonts w:ascii="Arial" w:eastAsia="Arial" w:hAnsi="Arial" w:cs="Arial"/>
          <w:color w:val="3366FF"/>
          <w:sz w:val="20"/>
        </w:rPr>
      </w:pPr>
      <w:hyperlink r:id="rId10" w:tgtFrame="_blank" w:history="1">
        <w:r w:rsidR="00ED54E5">
          <w:rPr>
            <w:rFonts w:ascii="Arial" w:eastAsia="Arial" w:hAnsi="Arial" w:cs="Arial"/>
            <w:color w:val="3366FF"/>
            <w:sz w:val="20"/>
          </w:rPr>
          <w:t>Public Housing Infrastructure Program (PHIP) Guidelines</w:t>
        </w:r>
      </w:hyperlink>
    </w:p>
    <w:p w14:paraId="1DDC7A86" w14:textId="77777777" w:rsidR="00944E4E" w:rsidRDefault="00ED54E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&lt;https://providers.dffh.vic.gov.au/public-housing-infrastructure-program-framework-and-funding-guidelines-word&gt;</w:t>
      </w:r>
    </w:p>
    <w:p w14:paraId="2E551CB4" w14:textId="77777777" w:rsidR="00944E4E" w:rsidRDefault="00000000">
      <w:pPr>
        <w:numPr>
          <w:ilvl w:val="0"/>
          <w:numId w:val="13"/>
        </w:numPr>
        <w:spacing w:after="40" w:line="270" w:lineRule="atLeast"/>
        <w:rPr>
          <w:rFonts w:ascii="Arial" w:eastAsia="Arial" w:hAnsi="Arial" w:cs="Arial"/>
          <w:color w:val="3366FF"/>
          <w:sz w:val="20"/>
        </w:rPr>
      </w:pPr>
      <w:hyperlink r:id="rId11" w:tgtFrame="_blank" w:history="1">
        <w:r w:rsidR="00ED54E5">
          <w:rPr>
            <w:rFonts w:ascii="Arial" w:eastAsia="Arial" w:hAnsi="Arial" w:cs="Arial"/>
            <w:color w:val="3366FF"/>
            <w:sz w:val="20"/>
          </w:rPr>
          <w:t>Public housing policy and procedures manual</w:t>
        </w:r>
      </w:hyperlink>
    </w:p>
    <w:p w14:paraId="123AFDCF" w14:textId="77777777" w:rsidR="00944E4E" w:rsidRDefault="00ED54E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&lt;http://www.dhs.vic.gov.au/for-service-providers/housing-and-homelessness/public-housing/public-housing-policy-and-procedure-manuals&gt;</w:t>
      </w:r>
    </w:p>
    <w:p w14:paraId="7C27AE8F" w14:textId="77777777" w:rsidR="00944E4E" w:rsidRDefault="00000000">
      <w:pPr>
        <w:numPr>
          <w:ilvl w:val="0"/>
          <w:numId w:val="13"/>
        </w:numPr>
        <w:spacing w:after="40" w:line="270" w:lineRule="atLeast"/>
        <w:rPr>
          <w:rFonts w:ascii="Arial" w:eastAsia="Arial" w:hAnsi="Arial" w:cs="Arial"/>
          <w:color w:val="3366FF"/>
          <w:sz w:val="20"/>
        </w:rPr>
      </w:pPr>
      <w:hyperlink r:id="rId12" w:tgtFrame="_blank" w:history="1">
        <w:r w:rsidR="00ED54E5">
          <w:rPr>
            <w:rFonts w:ascii="Arial" w:eastAsia="Arial" w:hAnsi="Arial" w:cs="Arial"/>
            <w:color w:val="3366FF"/>
            <w:sz w:val="20"/>
          </w:rPr>
          <w:t>Residential Tenancies Act 1997</w:t>
        </w:r>
      </w:hyperlink>
    </w:p>
    <w:p w14:paraId="1960A547" w14:textId="77777777" w:rsidR="00944E4E" w:rsidRDefault="00ED54E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&lt;https://www.legislation.vic.gov.au/in-force/acts/residential-tenancies-act-1997&gt;</w:t>
      </w:r>
    </w:p>
    <w:p w14:paraId="2BB15C0D" w14:textId="77777777" w:rsidR="00944E4E" w:rsidRDefault="00944E4E">
      <w:pPr>
        <w:spacing w:line="270" w:lineRule="atLeast"/>
        <w:ind w:left="111" w:right="105"/>
        <w:rPr>
          <w:rFonts w:ascii="Arial" w:eastAsia="Arial" w:hAnsi="Arial" w:cs="Arial"/>
          <w:color w:val="000000"/>
          <w:sz w:val="20"/>
        </w:rPr>
      </w:pPr>
    </w:p>
    <w:p w14:paraId="4E252E98" w14:textId="77777777" w:rsidR="00944E4E" w:rsidRDefault="00ED54E5">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03796F30" w14:textId="77777777" w:rsidR="00944E4E" w:rsidRDefault="00ED54E5">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64AB427A" w14:textId="77777777" w:rsidR="00944E4E" w:rsidRDefault="00ED54E5">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19222B73" w14:textId="77777777" w:rsidR="00944E4E" w:rsidRDefault="00ED54E5">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episodes of Secondary legal advice</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944E4E" w14:paraId="3C72B9C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E9882F" w14:textId="77777777" w:rsidR="00944E4E" w:rsidRDefault="00ED54E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1A4FC2" w14:textId="77777777" w:rsidR="00944E4E" w:rsidRDefault="00ED54E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provide legal tenancy advice to service providers, to Tenancy plus – Tenancy support program providers.</w:t>
            </w:r>
          </w:p>
        </w:tc>
      </w:tr>
      <w:tr w:rsidR="00944E4E" w14:paraId="38DF37C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4D6A73" w14:textId="77777777" w:rsidR="00944E4E" w:rsidRDefault="00ED54E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CF973E0" w14:textId="77777777" w:rsidR="00944E4E" w:rsidRDefault="00ED54E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944E4E" w14:paraId="2B6EC79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6AF028" w14:textId="77777777" w:rsidR="00944E4E" w:rsidRDefault="00ED54E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F8C10D7" w14:textId="77777777" w:rsidR="00944E4E" w:rsidRDefault="00ED54E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944E4E" w14:paraId="59646DF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3EB001C" w14:textId="77777777" w:rsidR="00944E4E" w:rsidRDefault="00ED54E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970045D" w14:textId="77777777" w:rsidR="00944E4E" w:rsidRDefault="00ED54E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episodes of secondary legal advice to program providers during the reporting period. Client data report (Microsoft compatible spreadsheet) including data on suburb, referral source, housing status, housing provider and issue.</w:t>
            </w:r>
            <w:r>
              <w:br/>
            </w:r>
            <w:r>
              <w:rPr>
                <w:rFonts w:ascii="Arial" w:eastAsia="Arial" w:hAnsi="Arial" w:cs="Arial"/>
                <w:color w:val="000000"/>
                <w:sz w:val="20"/>
              </w:rPr>
              <w:t>Service provision report including data detailing emerging trends, client numbers and support provided.</w:t>
            </w:r>
            <w:r>
              <w:br/>
            </w:r>
            <w:r>
              <w:br/>
            </w:r>
          </w:p>
        </w:tc>
      </w:tr>
      <w:tr w:rsidR="00944E4E" w14:paraId="7F6D82A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DB0161" w14:textId="77777777" w:rsidR="00944E4E" w:rsidRDefault="00ED54E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8D0DAF9" w14:textId="77777777" w:rsidR="00944E4E" w:rsidRDefault="00ED54E5">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provision reports against workplan specifications</w:t>
            </w:r>
          </w:p>
        </w:tc>
      </w:tr>
      <w:tr w:rsidR="00944E4E" w14:paraId="6CF91AA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73A5F25" w14:textId="77777777" w:rsidR="00944E4E" w:rsidRDefault="00ED54E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560C884" w14:textId="77777777" w:rsidR="00944E4E" w:rsidRDefault="00ED54E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Secondary advice: Legal advice to department-funded Tenancy plus- Tenancy support program service providers who are assisting social housing tenants.</w:t>
            </w:r>
            <w:r>
              <w:br/>
            </w:r>
            <w:r>
              <w:rPr>
                <w:rFonts w:ascii="Arial" w:eastAsia="Arial" w:hAnsi="Arial" w:cs="Arial"/>
                <w:color w:val="000000"/>
                <w:sz w:val="20"/>
              </w:rPr>
              <w:t>The service provision report collates all the information provided in the spreadsheet identifying emerging trends and issues.</w:t>
            </w:r>
            <w:r>
              <w:br/>
            </w:r>
            <w:r>
              <w:rPr>
                <w:rFonts w:ascii="Arial" w:eastAsia="Arial" w:hAnsi="Arial" w:cs="Arial"/>
                <w:color w:val="000000"/>
                <w:sz w:val="20"/>
              </w:rPr>
              <w:t xml:space="preserve">Episodes means each time a new case is presented by a Tenancy plus – Tenancy support program provider for specialist legal advice </w:t>
            </w:r>
            <w:r>
              <w:br/>
            </w:r>
            <w:r>
              <w:rPr>
                <w:rFonts w:ascii="Arial" w:eastAsia="Arial" w:hAnsi="Arial" w:cs="Arial"/>
                <w:color w:val="000000"/>
                <w:sz w:val="20"/>
              </w:rPr>
              <w:t>Service provision report including data detailing progress on outcomes against the service agreement and workplan specifications.</w:t>
            </w:r>
          </w:p>
        </w:tc>
      </w:tr>
    </w:tbl>
    <w:p w14:paraId="2B80B3C4" w14:textId="77777777" w:rsidR="00944E4E" w:rsidRDefault="00ED54E5">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6. Data collection</w:t>
      </w:r>
    </w:p>
    <w:p w14:paraId="037D2F1D" w14:textId="77777777" w:rsidR="00944E4E" w:rsidRDefault="00ED54E5">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944E4E" w14:paraId="69D1AC39"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48514E5" w14:textId="77777777" w:rsidR="00944E4E" w:rsidRDefault="00ED54E5">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07F7939" w14:textId="77777777" w:rsidR="00944E4E" w:rsidRDefault="00ED54E5">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55A4611" w14:textId="77777777" w:rsidR="00944E4E" w:rsidRDefault="00ED54E5">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33EC329" w14:textId="77777777" w:rsidR="00944E4E" w:rsidRDefault="00ED54E5">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944E4E" w14:paraId="421019E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BC8E69E" w14:textId="77777777" w:rsidR="00944E4E" w:rsidRDefault="00ED54E5">
            <w:pPr>
              <w:spacing w:before="100" w:line="288" w:lineRule="auto"/>
              <w:ind w:left="108" w:right="108"/>
              <w:rPr>
                <w:rFonts w:ascii="Arial" w:eastAsia="Arial" w:hAnsi="Arial" w:cs="Arial"/>
                <w:color w:val="000000"/>
                <w:sz w:val="20"/>
              </w:rPr>
            </w:pPr>
            <w:r>
              <w:rPr>
                <w:rFonts w:ascii="Arial" w:eastAsia="Arial" w:hAnsi="Arial" w:cs="Arial"/>
                <w:color w:val="000000"/>
                <w:sz w:val="20"/>
              </w:rPr>
              <w:t>Service provision reports against workplan specifications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544020E" w14:textId="77777777" w:rsidR="00944E4E" w:rsidRDefault="00ED54E5">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D0FB7F1" w14:textId="77777777" w:rsidR="00944E4E" w:rsidRDefault="00ED54E5">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Public Housing Infrastructure Program data collection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F105EC2" w14:textId="77777777" w:rsidR="00944E4E" w:rsidRDefault="00ED54E5">
            <w:pPr>
              <w:spacing w:before="100" w:line="288" w:lineRule="auto"/>
              <w:ind w:left="108" w:right="108"/>
              <w:rPr>
                <w:rFonts w:ascii="Arial" w:eastAsia="Arial" w:hAnsi="Arial" w:cs="Arial"/>
                <w:color w:val="000000"/>
                <w:sz w:val="20"/>
              </w:rPr>
            </w:pPr>
            <w:r>
              <w:rPr>
                <w:rFonts w:ascii="Arial" w:eastAsia="Arial" w:hAnsi="Arial" w:cs="Arial"/>
                <w:color w:val="000000"/>
                <w:sz w:val="20"/>
              </w:rPr>
              <w:t>Half-yearly</w:t>
            </w:r>
          </w:p>
        </w:tc>
      </w:tr>
    </w:tbl>
    <w:p w14:paraId="7EBDD208" w14:textId="77777777" w:rsidR="00944E4E" w:rsidRDefault="00944E4E">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944E4E" w14:paraId="25F38A8E"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2F826D" w14:textId="77777777" w:rsidR="00944E4E" w:rsidRDefault="00ED54E5">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60AB83CF" w14:textId="77777777" w:rsidR="00944E4E" w:rsidRDefault="00ED54E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Authorised and published by the Victorian Government, 1 Treasury Place, Melbourne.</w:t>
            </w:r>
          </w:p>
          <w:p w14:paraId="2EEC91D7" w14:textId="77777777" w:rsidR="00944E4E" w:rsidRDefault="00ED54E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July 2019. </w:t>
            </w:r>
          </w:p>
          <w:p w14:paraId="44A39F53" w14:textId="77777777" w:rsidR="00944E4E" w:rsidRDefault="00ED54E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In this document, ‘Aboriginal’ refers to both Aboriginal and Torres Strait Islander people. ‘Indigenous’ or ‘Koori/Koorie'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54241229" w14:textId="77777777" w:rsidR="00944E4E" w:rsidRDefault="00ED54E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06D99507" w14:textId="77777777" w:rsidR="00944E4E" w:rsidRDefault="00ED54E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6436D0C2" w14:textId="77777777" w:rsidR="00944E4E" w:rsidRDefault="00000000">
            <w:pPr>
              <w:keepLines/>
              <w:spacing w:before="100" w:line="288" w:lineRule="auto"/>
              <w:ind w:left="108" w:right="108"/>
              <w:rPr>
                <w:rFonts w:ascii="Arial" w:eastAsia="Arial" w:hAnsi="Arial" w:cs="Arial"/>
                <w:color w:val="000000"/>
                <w:sz w:val="20"/>
              </w:rPr>
            </w:pPr>
            <w:hyperlink r:id="rId13" w:tgtFrame="_blank" w:history="1">
              <w:r w:rsidR="00ED54E5">
                <w:rPr>
                  <w:rFonts w:ascii="Arial" w:eastAsia="Arial" w:hAnsi="Arial" w:cs="Arial"/>
                  <w:color w:val="3366FF"/>
                  <w:sz w:val="20"/>
                </w:rPr>
                <w:t>&lt;http://providers.dffh.vic.gov.au/families-fairness-housing-health-activity-search</w:t>
              </w:r>
            </w:hyperlink>
            <w:r w:rsidR="00ED54E5">
              <w:rPr>
                <w:rFonts w:ascii="Arial" w:eastAsia="Arial" w:hAnsi="Arial" w:cs="Arial"/>
                <w:color w:val="000000"/>
                <w:sz w:val="20"/>
              </w:rPr>
              <w:t>&gt;</w:t>
            </w:r>
          </w:p>
        </w:tc>
      </w:tr>
    </w:tbl>
    <w:p w14:paraId="0B172887" w14:textId="77777777" w:rsidR="00944E4E" w:rsidRDefault="00944E4E">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944E4E">
      <w:headerReference w:type="even" r:id="rId14"/>
      <w:headerReference w:type="default" r:id="rId15"/>
      <w:footerReference w:type="even" r:id="rId16"/>
      <w:footerReference w:type="default" r:id="rId17"/>
      <w:headerReference w:type="first" r:id="rId18"/>
      <w:footerReference w:type="first" r:id="rId19"/>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44FA" w14:textId="77777777" w:rsidR="00245F64" w:rsidRDefault="00245F64">
      <w:r>
        <w:separator/>
      </w:r>
    </w:p>
  </w:endnote>
  <w:endnote w:type="continuationSeparator" w:id="0">
    <w:p w14:paraId="6100801F" w14:textId="77777777" w:rsidR="00245F64" w:rsidRDefault="0024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9569" w14:textId="77777777" w:rsidR="00ED54E5" w:rsidRDefault="00ED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BB1A" w14:textId="77C3740C" w:rsidR="00944E4E" w:rsidRDefault="00ED54E5">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2047F390" wp14:editId="4A60D8D7">
              <wp:simplePos x="0" y="0"/>
              <wp:positionH relativeFrom="page">
                <wp:posOffset>0</wp:posOffset>
              </wp:positionH>
              <wp:positionV relativeFrom="page">
                <wp:posOffset>10177780</wp:posOffset>
              </wp:positionV>
              <wp:extent cx="7556500" cy="311785"/>
              <wp:effectExtent l="0" t="0" r="0" b="12065"/>
              <wp:wrapNone/>
              <wp:docPr id="4" name="MSIPCM0837437c83674f67a6d2f09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79B39" w14:textId="5CE60499" w:rsidR="00ED54E5" w:rsidRPr="00ED54E5" w:rsidRDefault="00ED54E5" w:rsidP="00ED54E5">
                          <w:pPr>
                            <w:jc w:val="center"/>
                            <w:rPr>
                              <w:rFonts w:ascii="Arial Black" w:hAnsi="Arial Black"/>
                              <w:color w:val="000000"/>
                              <w:sz w:val="20"/>
                            </w:rPr>
                          </w:pPr>
                          <w:r w:rsidRPr="00ED54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47F390" id="_x0000_t202" coordsize="21600,21600" o:spt="202" path="m,l,21600r21600,l21600,xe">
              <v:stroke joinstyle="miter"/>
              <v:path gradientshapeok="t" o:connecttype="rect"/>
            </v:shapetype>
            <v:shape id="MSIPCM0837437c83674f67a6d2f09b"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53479B39" w14:textId="5CE60499" w:rsidR="00ED54E5" w:rsidRPr="00ED54E5" w:rsidRDefault="00ED54E5" w:rsidP="00ED54E5">
                    <w:pPr>
                      <w:jc w:val="center"/>
                      <w:rPr>
                        <w:rFonts w:ascii="Arial Black" w:hAnsi="Arial Black"/>
                        <w:color w:val="000000"/>
                        <w:sz w:val="20"/>
                      </w:rPr>
                    </w:pPr>
                    <w:r w:rsidRPr="00ED54E5">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944E4E" w14:paraId="40067253" w14:textId="77777777">
      <w:tc>
        <w:tcPr>
          <w:tcW w:w="3473" w:type="dxa"/>
          <w:shd w:val="clear" w:color="auto" w:fill="FFFFFF"/>
        </w:tcPr>
        <w:p w14:paraId="4E9CA61E" w14:textId="77777777" w:rsidR="00944E4E" w:rsidRDefault="00944E4E">
          <w:pPr>
            <w:ind w:left="108" w:right="108"/>
          </w:pPr>
        </w:p>
      </w:tc>
      <w:tc>
        <w:tcPr>
          <w:tcW w:w="3473" w:type="dxa"/>
          <w:shd w:val="clear" w:color="auto" w:fill="FFFFFF"/>
          <w:vAlign w:val="bottom"/>
        </w:tcPr>
        <w:p w14:paraId="6A9DBD4A" w14:textId="77777777" w:rsidR="00944E4E" w:rsidRDefault="00ED54E5">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4073AB68" w14:textId="77777777" w:rsidR="00944E4E" w:rsidRDefault="00ED54E5">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3083815C" w14:textId="77777777" w:rsidR="00944E4E" w:rsidRDefault="00ED54E5">
          <w:pPr>
            <w:tabs>
              <w:tab w:val="right" w:pos="10314"/>
            </w:tabs>
            <w:spacing w:before="240"/>
            <w:ind w:left="108"/>
            <w:jc w:val="center"/>
          </w:pPr>
          <w:r>
            <w:rPr>
              <w:noProof/>
            </w:rPr>
            <w:drawing>
              <wp:inline distT="0" distB="0" distL="0" distR="0" wp14:anchorId="037545B2" wp14:editId="44FF6BBF">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25CB411" w14:textId="77777777" w:rsidR="00944E4E" w:rsidRDefault="00944E4E">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944E4E" w14:paraId="2F28E009" w14:textId="77777777">
      <w:tc>
        <w:tcPr>
          <w:tcW w:w="3473" w:type="dxa"/>
          <w:shd w:val="clear" w:color="auto" w:fill="FFFFFF"/>
        </w:tcPr>
        <w:p w14:paraId="7FCF4A6E" w14:textId="37084C90" w:rsidR="00944E4E" w:rsidRDefault="00ED54E5">
          <w:pPr>
            <w:ind w:left="108" w:right="108"/>
          </w:pPr>
          <w:r>
            <w:rPr>
              <w:noProof/>
            </w:rPr>
            <mc:AlternateContent>
              <mc:Choice Requires="wps">
                <w:drawing>
                  <wp:anchor distT="0" distB="0" distL="114300" distR="114300" simplePos="0" relativeHeight="251660288" behindDoc="0" locked="0" layoutInCell="0" allowOverlap="1" wp14:anchorId="546E0714" wp14:editId="3495D93F">
                    <wp:simplePos x="0" y="0"/>
                    <wp:positionH relativeFrom="page">
                      <wp:posOffset>0</wp:posOffset>
                    </wp:positionH>
                    <wp:positionV relativeFrom="page">
                      <wp:posOffset>10177780</wp:posOffset>
                    </wp:positionV>
                    <wp:extent cx="7556500" cy="311785"/>
                    <wp:effectExtent l="0" t="0" r="0" b="12065"/>
                    <wp:wrapNone/>
                    <wp:docPr id="5" name="MSIPCM09e04fd6ac4f8444cbd30c3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35753" w14:textId="3F2569C1" w:rsidR="00ED54E5" w:rsidRPr="00ED54E5" w:rsidRDefault="00ED54E5" w:rsidP="00ED54E5">
                                <w:pPr>
                                  <w:jc w:val="center"/>
                                  <w:rPr>
                                    <w:rFonts w:ascii="Arial Black" w:hAnsi="Arial Black"/>
                                    <w:color w:val="000000"/>
                                    <w:sz w:val="20"/>
                                  </w:rPr>
                                </w:pPr>
                                <w:r w:rsidRPr="00ED54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6E0714" id="_x0000_t202" coordsize="21600,21600" o:spt="202" path="m,l,21600r21600,l21600,xe">
                    <v:stroke joinstyle="miter"/>
                    <v:path gradientshapeok="t" o:connecttype="rect"/>
                  </v:shapetype>
                  <v:shape id="MSIPCM09e04fd6ac4f8444cbd30c38"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07435753" w14:textId="3F2569C1" w:rsidR="00ED54E5" w:rsidRPr="00ED54E5" w:rsidRDefault="00ED54E5" w:rsidP="00ED54E5">
                          <w:pPr>
                            <w:jc w:val="center"/>
                            <w:rPr>
                              <w:rFonts w:ascii="Arial Black" w:hAnsi="Arial Black"/>
                              <w:color w:val="000000"/>
                              <w:sz w:val="20"/>
                            </w:rPr>
                          </w:pPr>
                          <w:r w:rsidRPr="00ED54E5">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4E67620F" w14:textId="77777777" w:rsidR="00944E4E" w:rsidRDefault="00ED54E5">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6F29BC47" w14:textId="77777777" w:rsidR="00944E4E" w:rsidRDefault="00ED54E5">
          <w:pPr>
            <w:tabs>
              <w:tab w:val="right" w:pos="10314"/>
            </w:tabs>
            <w:spacing w:before="240"/>
            <w:ind w:left="108"/>
            <w:jc w:val="center"/>
          </w:pPr>
          <w:r>
            <w:rPr>
              <w:noProof/>
            </w:rPr>
            <w:drawing>
              <wp:inline distT="0" distB="0" distL="0" distR="0" wp14:anchorId="15D54D10" wp14:editId="32FA2E03">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4E279701" w14:textId="77777777" w:rsidR="00944E4E" w:rsidRDefault="00ED54E5">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5889" w14:textId="77777777" w:rsidR="00245F64" w:rsidRDefault="00245F64">
      <w:r>
        <w:separator/>
      </w:r>
    </w:p>
  </w:footnote>
  <w:footnote w:type="continuationSeparator" w:id="0">
    <w:p w14:paraId="0429C166" w14:textId="77777777" w:rsidR="00245F64" w:rsidRDefault="0024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49CA" w14:textId="77777777" w:rsidR="00ED54E5" w:rsidRDefault="00ED5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3F5E" w14:textId="77777777" w:rsidR="00944E4E" w:rsidRDefault="00ED54E5">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Housing Assistance 91425 Housing Advocacy Support - Secondary Advice</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4194BCA9" w14:textId="77777777" w:rsidR="00944E4E" w:rsidRDefault="00944E4E">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CF32" w14:textId="77777777" w:rsidR="00944E4E" w:rsidRDefault="00944E4E">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171"/>
    <w:multiLevelType w:val="hybridMultilevel"/>
    <w:tmpl w:val="AA1A3B56"/>
    <w:lvl w:ilvl="0" w:tplc="DDC09A9A">
      <w:start w:val="1"/>
      <w:numFmt w:val="bullet"/>
      <w:lvlText w:val=""/>
      <w:lvlJc w:val="left"/>
      <w:pPr>
        <w:ind w:left="468" w:hanging="360"/>
      </w:pPr>
      <w:rPr>
        <w:rFonts w:ascii="Symbol" w:eastAsia="Symbol" w:hAnsi="Symbol" w:cs="Symbol" w:hint="default"/>
        <w:color w:val="000000"/>
        <w:sz w:val="24"/>
      </w:rPr>
    </w:lvl>
    <w:lvl w:ilvl="1" w:tplc="73E6A150">
      <w:start w:val="1"/>
      <w:numFmt w:val="bullet"/>
      <w:lvlText w:val="o"/>
      <w:lvlJc w:val="left"/>
      <w:pPr>
        <w:ind w:left="1188" w:hanging="360"/>
      </w:pPr>
      <w:rPr>
        <w:rFonts w:ascii="Courier New" w:eastAsia="Courier New" w:hAnsi="Courier New" w:cs="Courier New" w:hint="default"/>
        <w:color w:val="000000"/>
        <w:sz w:val="24"/>
      </w:rPr>
    </w:lvl>
    <w:lvl w:ilvl="2" w:tplc="E738F574">
      <w:start w:val="1"/>
      <w:numFmt w:val="bullet"/>
      <w:lvlText w:val=""/>
      <w:lvlJc w:val="left"/>
      <w:pPr>
        <w:ind w:left="1908" w:hanging="360"/>
      </w:pPr>
      <w:rPr>
        <w:rFonts w:ascii="Wingdings" w:eastAsia="Wingdings" w:hAnsi="Wingdings" w:cs="Wingdings" w:hint="default"/>
        <w:color w:val="000000"/>
        <w:sz w:val="24"/>
      </w:rPr>
    </w:lvl>
    <w:lvl w:ilvl="3" w:tplc="E6468764">
      <w:start w:val="1"/>
      <w:numFmt w:val="bullet"/>
      <w:lvlText w:val=""/>
      <w:lvlJc w:val="left"/>
      <w:pPr>
        <w:ind w:left="2628" w:hanging="360"/>
      </w:pPr>
      <w:rPr>
        <w:rFonts w:ascii="Symbol" w:eastAsia="Symbol" w:hAnsi="Symbol" w:cs="Symbol" w:hint="default"/>
        <w:color w:val="000000"/>
        <w:sz w:val="24"/>
      </w:rPr>
    </w:lvl>
    <w:lvl w:ilvl="4" w:tplc="9B9E63EC">
      <w:start w:val="1"/>
      <w:numFmt w:val="bullet"/>
      <w:lvlText w:val="o"/>
      <w:lvlJc w:val="left"/>
      <w:pPr>
        <w:ind w:left="3348" w:hanging="360"/>
      </w:pPr>
      <w:rPr>
        <w:rFonts w:ascii="Courier New" w:eastAsia="Courier New" w:hAnsi="Courier New" w:cs="Courier New" w:hint="default"/>
        <w:color w:val="000000"/>
        <w:sz w:val="24"/>
      </w:rPr>
    </w:lvl>
    <w:lvl w:ilvl="5" w:tplc="A9A24D40">
      <w:start w:val="1"/>
      <w:numFmt w:val="bullet"/>
      <w:lvlText w:val=""/>
      <w:lvlJc w:val="left"/>
      <w:pPr>
        <w:ind w:left="4068" w:hanging="360"/>
      </w:pPr>
      <w:rPr>
        <w:rFonts w:ascii="Wingdings" w:eastAsia="Wingdings" w:hAnsi="Wingdings" w:cs="Wingdings" w:hint="default"/>
        <w:color w:val="000000"/>
        <w:sz w:val="24"/>
      </w:rPr>
    </w:lvl>
    <w:lvl w:ilvl="6" w:tplc="F280CF18">
      <w:start w:val="1"/>
      <w:numFmt w:val="bullet"/>
      <w:lvlText w:val=""/>
      <w:lvlJc w:val="left"/>
      <w:pPr>
        <w:ind w:left="4788" w:hanging="360"/>
      </w:pPr>
      <w:rPr>
        <w:rFonts w:ascii="Symbol" w:eastAsia="Symbol" w:hAnsi="Symbol" w:cs="Symbol" w:hint="default"/>
        <w:color w:val="000000"/>
        <w:sz w:val="24"/>
      </w:rPr>
    </w:lvl>
    <w:lvl w:ilvl="7" w:tplc="57F4A364">
      <w:start w:val="1"/>
      <w:numFmt w:val="bullet"/>
      <w:lvlText w:val="o"/>
      <w:lvlJc w:val="left"/>
      <w:pPr>
        <w:ind w:left="5508" w:hanging="360"/>
      </w:pPr>
      <w:rPr>
        <w:rFonts w:ascii="Courier New" w:eastAsia="Courier New" w:hAnsi="Courier New" w:cs="Courier New" w:hint="default"/>
        <w:color w:val="000000"/>
        <w:sz w:val="24"/>
      </w:rPr>
    </w:lvl>
    <w:lvl w:ilvl="8" w:tplc="DF625F48">
      <w:start w:val="1"/>
      <w:numFmt w:val="bullet"/>
      <w:lvlText w:val=""/>
      <w:lvlJc w:val="left"/>
      <w:pPr>
        <w:ind w:left="6228" w:hanging="360"/>
      </w:pPr>
      <w:rPr>
        <w:rFonts w:ascii="Wingdings" w:eastAsia="Wingdings" w:hAnsi="Wingdings" w:cs="Wingdings" w:hint="default"/>
        <w:color w:val="000000"/>
        <w:sz w:val="24"/>
      </w:rPr>
    </w:lvl>
  </w:abstractNum>
  <w:abstractNum w:abstractNumId="1" w15:restartNumberingAfterBreak="0">
    <w:nsid w:val="096103C8"/>
    <w:multiLevelType w:val="hybridMultilevel"/>
    <w:tmpl w:val="8BB05D48"/>
    <w:lvl w:ilvl="0" w:tplc="E5E2C6DC">
      <w:start w:val="1"/>
      <w:numFmt w:val="decimal"/>
      <w:lvlText w:val="%1."/>
      <w:lvlJc w:val="left"/>
      <w:pPr>
        <w:ind w:left="828" w:hanging="360"/>
      </w:pPr>
      <w:rPr>
        <w:rFonts w:ascii="Calibri" w:eastAsia="Calibri" w:hAnsi="Calibri" w:cs="Calibri" w:hint="default"/>
        <w:color w:val="000000"/>
        <w:sz w:val="24"/>
      </w:rPr>
    </w:lvl>
    <w:lvl w:ilvl="1" w:tplc="7DC8C19E">
      <w:start w:val="1"/>
      <w:numFmt w:val="lowerLetter"/>
      <w:lvlText w:val="%2."/>
      <w:lvlJc w:val="left"/>
      <w:pPr>
        <w:ind w:left="1548" w:hanging="360"/>
      </w:pPr>
      <w:rPr>
        <w:rFonts w:ascii="Calibri" w:eastAsia="Calibri" w:hAnsi="Calibri" w:cs="Calibri" w:hint="default"/>
        <w:color w:val="000000"/>
        <w:sz w:val="24"/>
      </w:rPr>
    </w:lvl>
    <w:lvl w:ilvl="2" w:tplc="76C6087A">
      <w:start w:val="1"/>
      <w:numFmt w:val="lowerRoman"/>
      <w:lvlText w:val="%3."/>
      <w:lvlJc w:val="right"/>
      <w:pPr>
        <w:ind w:left="2268" w:hanging="180"/>
      </w:pPr>
      <w:rPr>
        <w:rFonts w:ascii="Calibri" w:eastAsia="Calibri" w:hAnsi="Calibri" w:cs="Calibri" w:hint="default"/>
        <w:color w:val="000000"/>
        <w:sz w:val="24"/>
      </w:rPr>
    </w:lvl>
    <w:lvl w:ilvl="3" w:tplc="712ACEEA">
      <w:start w:val="1"/>
      <w:numFmt w:val="decimal"/>
      <w:lvlText w:val="%4."/>
      <w:lvlJc w:val="left"/>
      <w:pPr>
        <w:ind w:left="2988" w:hanging="360"/>
      </w:pPr>
      <w:rPr>
        <w:rFonts w:ascii="Calibri" w:eastAsia="Calibri" w:hAnsi="Calibri" w:cs="Calibri" w:hint="default"/>
        <w:color w:val="000000"/>
        <w:sz w:val="24"/>
      </w:rPr>
    </w:lvl>
    <w:lvl w:ilvl="4" w:tplc="9CFE4F54">
      <w:start w:val="1"/>
      <w:numFmt w:val="lowerLetter"/>
      <w:lvlText w:val="%5."/>
      <w:lvlJc w:val="left"/>
      <w:pPr>
        <w:ind w:left="3708" w:hanging="360"/>
      </w:pPr>
      <w:rPr>
        <w:rFonts w:ascii="Calibri" w:eastAsia="Calibri" w:hAnsi="Calibri" w:cs="Calibri" w:hint="default"/>
        <w:color w:val="000000"/>
        <w:sz w:val="24"/>
      </w:rPr>
    </w:lvl>
    <w:lvl w:ilvl="5" w:tplc="DC02F664">
      <w:start w:val="1"/>
      <w:numFmt w:val="lowerRoman"/>
      <w:lvlText w:val="%6."/>
      <w:lvlJc w:val="right"/>
      <w:pPr>
        <w:ind w:left="4428" w:hanging="180"/>
      </w:pPr>
      <w:rPr>
        <w:rFonts w:ascii="Calibri" w:eastAsia="Calibri" w:hAnsi="Calibri" w:cs="Calibri" w:hint="default"/>
        <w:color w:val="000000"/>
        <w:sz w:val="24"/>
      </w:rPr>
    </w:lvl>
    <w:lvl w:ilvl="6" w:tplc="EBEC3C66">
      <w:start w:val="1"/>
      <w:numFmt w:val="decimal"/>
      <w:lvlText w:val="%7."/>
      <w:lvlJc w:val="left"/>
      <w:pPr>
        <w:ind w:left="5148" w:hanging="360"/>
      </w:pPr>
      <w:rPr>
        <w:rFonts w:ascii="Calibri" w:eastAsia="Calibri" w:hAnsi="Calibri" w:cs="Calibri" w:hint="default"/>
        <w:color w:val="000000"/>
        <w:sz w:val="24"/>
      </w:rPr>
    </w:lvl>
    <w:lvl w:ilvl="7" w:tplc="8A9CEF86">
      <w:start w:val="1"/>
      <w:numFmt w:val="lowerLetter"/>
      <w:lvlText w:val="%8."/>
      <w:lvlJc w:val="left"/>
      <w:pPr>
        <w:ind w:left="5868" w:hanging="360"/>
      </w:pPr>
      <w:rPr>
        <w:rFonts w:ascii="Calibri" w:eastAsia="Calibri" w:hAnsi="Calibri" w:cs="Calibri" w:hint="default"/>
        <w:color w:val="000000"/>
        <w:sz w:val="24"/>
      </w:rPr>
    </w:lvl>
    <w:lvl w:ilvl="8" w:tplc="AB7C4BF4">
      <w:start w:val="1"/>
      <w:numFmt w:val="lowerRoman"/>
      <w:lvlText w:val="%9."/>
      <w:lvlJc w:val="right"/>
      <w:pPr>
        <w:ind w:left="6588" w:hanging="180"/>
      </w:pPr>
      <w:rPr>
        <w:rFonts w:ascii="Calibri" w:eastAsia="Calibri" w:hAnsi="Calibri" w:cs="Calibri" w:hint="default"/>
        <w:color w:val="000000"/>
        <w:sz w:val="24"/>
      </w:rPr>
    </w:lvl>
  </w:abstractNum>
  <w:abstractNum w:abstractNumId="2" w15:restartNumberingAfterBreak="0">
    <w:nsid w:val="12056AA3"/>
    <w:multiLevelType w:val="hybridMultilevel"/>
    <w:tmpl w:val="9CE8D652"/>
    <w:lvl w:ilvl="0" w:tplc="8F38E994">
      <w:start w:val="1"/>
      <w:numFmt w:val="bullet"/>
      <w:lvlText w:val="•"/>
      <w:lvlJc w:val="left"/>
      <w:pPr>
        <w:ind w:left="392" w:hanging="284"/>
      </w:pPr>
      <w:rPr>
        <w:rFonts w:ascii="Calibri" w:eastAsia="Calibri" w:hAnsi="Calibri" w:cs="Calibri" w:hint="default"/>
        <w:color w:val="000000"/>
        <w:sz w:val="20"/>
      </w:rPr>
    </w:lvl>
    <w:lvl w:ilvl="1" w:tplc="6356435A">
      <w:start w:val="1"/>
      <w:numFmt w:val="bullet"/>
      <w:lvlText w:val="•"/>
      <w:lvlJc w:val="left"/>
      <w:pPr>
        <w:ind w:left="392" w:hanging="284"/>
      </w:pPr>
      <w:rPr>
        <w:rFonts w:ascii="Calibri" w:eastAsia="Calibri" w:hAnsi="Calibri" w:cs="Calibri" w:hint="default"/>
        <w:color w:val="000000"/>
        <w:sz w:val="24"/>
      </w:rPr>
    </w:lvl>
    <w:lvl w:ilvl="2" w:tplc="484AA96C">
      <w:start w:val="1"/>
      <w:numFmt w:val="bullet"/>
      <w:lvlText w:val="–"/>
      <w:lvlJc w:val="left"/>
      <w:pPr>
        <w:ind w:left="675" w:hanging="283"/>
      </w:pPr>
      <w:rPr>
        <w:rFonts w:ascii="Arial" w:eastAsia="Arial" w:hAnsi="Arial" w:cs="Arial" w:hint="default"/>
        <w:color w:val="000000"/>
        <w:sz w:val="24"/>
      </w:rPr>
    </w:lvl>
    <w:lvl w:ilvl="3" w:tplc="2FBA5E7A">
      <w:start w:val="1"/>
      <w:numFmt w:val="bullet"/>
      <w:lvlText w:val="–"/>
      <w:lvlJc w:val="left"/>
      <w:pPr>
        <w:ind w:left="675" w:hanging="283"/>
      </w:pPr>
      <w:rPr>
        <w:rFonts w:ascii="Arial" w:eastAsia="Arial" w:hAnsi="Arial" w:cs="Arial" w:hint="default"/>
        <w:color w:val="000000"/>
        <w:sz w:val="24"/>
      </w:rPr>
    </w:lvl>
    <w:lvl w:ilvl="4" w:tplc="08F035A8">
      <w:start w:val="1"/>
      <w:numFmt w:val="bullet"/>
      <w:lvlText w:val="•"/>
      <w:lvlJc w:val="left"/>
      <w:pPr>
        <w:ind w:left="788" w:hanging="283"/>
      </w:pPr>
      <w:rPr>
        <w:rFonts w:ascii="Calibri" w:eastAsia="Calibri" w:hAnsi="Calibri" w:cs="Calibri" w:hint="default"/>
        <w:color w:val="000000"/>
        <w:sz w:val="24"/>
      </w:rPr>
    </w:lvl>
    <w:lvl w:ilvl="5" w:tplc="E5A44E58">
      <w:start w:val="1"/>
      <w:numFmt w:val="bullet"/>
      <w:lvlText w:val="•"/>
      <w:lvlJc w:val="left"/>
      <w:pPr>
        <w:ind w:left="788" w:hanging="283"/>
      </w:pPr>
      <w:rPr>
        <w:rFonts w:ascii="Calibri" w:eastAsia="Calibri" w:hAnsi="Calibri" w:cs="Calibri" w:hint="default"/>
        <w:color w:val="000000"/>
        <w:sz w:val="24"/>
      </w:rPr>
    </w:lvl>
    <w:lvl w:ilvl="6" w:tplc="ECC8510E">
      <w:start w:val="1"/>
      <w:numFmt w:val="bullet"/>
      <w:lvlText w:val="•"/>
      <w:lvlJc w:val="left"/>
      <w:pPr>
        <w:ind w:left="335" w:hanging="227"/>
      </w:pPr>
      <w:rPr>
        <w:rFonts w:ascii="Calibri" w:eastAsia="Calibri" w:hAnsi="Calibri" w:cs="Calibri" w:hint="default"/>
        <w:color w:val="000000"/>
        <w:sz w:val="24"/>
      </w:rPr>
    </w:lvl>
    <w:lvl w:ilvl="7" w:tplc="F43EAE4E">
      <w:start w:val="1"/>
      <w:numFmt w:val="none"/>
      <w:lvlText w:val=""/>
      <w:lvlJc w:val="left"/>
      <w:pPr>
        <w:ind w:left="108" w:firstLine="0"/>
      </w:pPr>
      <w:rPr>
        <w:rFonts w:ascii="Calibri" w:eastAsia="Calibri" w:hAnsi="Calibri" w:cs="Calibri" w:hint="default"/>
        <w:color w:val="000000"/>
        <w:sz w:val="24"/>
      </w:rPr>
    </w:lvl>
    <w:lvl w:ilvl="8" w:tplc="69183114">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1313021D"/>
    <w:multiLevelType w:val="hybridMultilevel"/>
    <w:tmpl w:val="622216BA"/>
    <w:lvl w:ilvl="0" w:tplc="408EED76">
      <w:start w:val="1"/>
      <w:numFmt w:val="decimal"/>
      <w:lvlText w:val="%1."/>
      <w:lvlJc w:val="left"/>
      <w:pPr>
        <w:ind w:left="505" w:hanging="397"/>
      </w:pPr>
      <w:rPr>
        <w:rFonts w:ascii="Calibri" w:eastAsia="Calibri" w:hAnsi="Calibri" w:cs="Calibri" w:hint="default"/>
        <w:color w:val="000000"/>
        <w:sz w:val="24"/>
      </w:rPr>
    </w:lvl>
    <w:lvl w:ilvl="1" w:tplc="4678BE08">
      <w:start w:val="1"/>
      <w:numFmt w:val="decimal"/>
      <w:lvlText w:val="%2."/>
      <w:lvlJc w:val="left"/>
      <w:pPr>
        <w:ind w:left="902" w:hanging="397"/>
      </w:pPr>
      <w:rPr>
        <w:rFonts w:ascii="Calibri" w:eastAsia="Calibri" w:hAnsi="Calibri" w:cs="Calibri" w:hint="default"/>
        <w:color w:val="000000"/>
        <w:sz w:val="24"/>
      </w:rPr>
    </w:lvl>
    <w:lvl w:ilvl="2" w:tplc="F0F8E85E">
      <w:start w:val="1"/>
      <w:numFmt w:val="lowerLetter"/>
      <w:lvlText w:val="(%3)"/>
      <w:lvlJc w:val="left"/>
      <w:pPr>
        <w:ind w:left="505" w:hanging="397"/>
      </w:pPr>
      <w:rPr>
        <w:rFonts w:ascii="Calibri" w:eastAsia="Calibri" w:hAnsi="Calibri" w:cs="Calibri" w:hint="default"/>
        <w:color w:val="000000"/>
        <w:sz w:val="24"/>
      </w:rPr>
    </w:lvl>
    <w:lvl w:ilvl="3" w:tplc="200CACD4">
      <w:start w:val="1"/>
      <w:numFmt w:val="lowerLetter"/>
      <w:lvlText w:val="(%4)"/>
      <w:lvlJc w:val="left"/>
      <w:pPr>
        <w:ind w:left="902" w:hanging="397"/>
      </w:pPr>
      <w:rPr>
        <w:rFonts w:ascii="Calibri" w:eastAsia="Calibri" w:hAnsi="Calibri" w:cs="Calibri" w:hint="default"/>
        <w:color w:val="000000"/>
        <w:sz w:val="24"/>
      </w:rPr>
    </w:lvl>
    <w:lvl w:ilvl="4" w:tplc="D0D893B2">
      <w:start w:val="1"/>
      <w:numFmt w:val="lowerRoman"/>
      <w:lvlText w:val="(%5)"/>
      <w:lvlJc w:val="left"/>
      <w:pPr>
        <w:ind w:left="505" w:hanging="397"/>
      </w:pPr>
      <w:rPr>
        <w:rFonts w:ascii="Calibri" w:eastAsia="Calibri" w:hAnsi="Calibri" w:cs="Calibri" w:hint="default"/>
        <w:color w:val="000000"/>
        <w:sz w:val="24"/>
      </w:rPr>
    </w:lvl>
    <w:lvl w:ilvl="5" w:tplc="913E9CAA">
      <w:start w:val="1"/>
      <w:numFmt w:val="lowerRoman"/>
      <w:lvlText w:val="(%6)"/>
      <w:lvlJc w:val="left"/>
      <w:pPr>
        <w:ind w:left="902" w:hanging="397"/>
      </w:pPr>
      <w:rPr>
        <w:rFonts w:ascii="Calibri" w:eastAsia="Calibri" w:hAnsi="Calibri" w:cs="Calibri" w:hint="default"/>
        <w:color w:val="000000"/>
        <w:sz w:val="24"/>
      </w:rPr>
    </w:lvl>
    <w:lvl w:ilvl="6" w:tplc="D7461C68">
      <w:start w:val="1"/>
      <w:numFmt w:val="none"/>
      <w:lvlText w:val=""/>
      <w:lvlJc w:val="left"/>
      <w:pPr>
        <w:ind w:left="108" w:firstLine="0"/>
      </w:pPr>
      <w:rPr>
        <w:rFonts w:ascii="Calibri" w:eastAsia="Calibri" w:hAnsi="Calibri" w:cs="Calibri" w:hint="default"/>
        <w:color w:val="000000"/>
        <w:sz w:val="24"/>
      </w:rPr>
    </w:lvl>
    <w:lvl w:ilvl="7" w:tplc="2CAABB8A">
      <w:start w:val="1"/>
      <w:numFmt w:val="none"/>
      <w:lvlText w:val=""/>
      <w:lvlJc w:val="left"/>
      <w:pPr>
        <w:ind w:left="108" w:firstLine="0"/>
      </w:pPr>
      <w:rPr>
        <w:rFonts w:ascii="Calibri" w:eastAsia="Calibri" w:hAnsi="Calibri" w:cs="Calibri" w:hint="default"/>
        <w:color w:val="000000"/>
        <w:sz w:val="24"/>
      </w:rPr>
    </w:lvl>
    <w:lvl w:ilvl="8" w:tplc="41606AB8">
      <w:start w:val="1"/>
      <w:numFmt w:val="none"/>
      <w:lvlText w:val=""/>
      <w:lvlJc w:val="right"/>
      <w:pPr>
        <w:ind w:left="108" w:firstLine="0"/>
      </w:pPr>
      <w:rPr>
        <w:rFonts w:ascii="Calibri" w:eastAsia="Calibri" w:hAnsi="Calibri" w:cs="Calibri" w:hint="default"/>
        <w:color w:val="000000"/>
        <w:sz w:val="24"/>
      </w:rPr>
    </w:lvl>
  </w:abstractNum>
  <w:abstractNum w:abstractNumId="4" w15:restartNumberingAfterBreak="0">
    <w:nsid w:val="1CAD4A14"/>
    <w:multiLevelType w:val="hybridMultilevel"/>
    <w:tmpl w:val="4B603220"/>
    <w:lvl w:ilvl="0" w:tplc="44284306">
      <w:start w:val="1"/>
      <w:numFmt w:val="decimal"/>
      <w:lvlText w:val="%1."/>
      <w:lvlJc w:val="left"/>
      <w:pPr>
        <w:ind w:left="505" w:hanging="397"/>
      </w:pPr>
      <w:rPr>
        <w:rFonts w:ascii="Calibri" w:eastAsia="Calibri" w:hAnsi="Calibri" w:cs="Calibri" w:hint="default"/>
        <w:color w:val="000000"/>
        <w:sz w:val="24"/>
      </w:rPr>
    </w:lvl>
    <w:lvl w:ilvl="1" w:tplc="B7B66520">
      <w:start w:val="1"/>
      <w:numFmt w:val="decimal"/>
      <w:lvlText w:val="%2."/>
      <w:lvlJc w:val="left"/>
      <w:pPr>
        <w:ind w:left="902" w:hanging="397"/>
      </w:pPr>
      <w:rPr>
        <w:rFonts w:ascii="Calibri" w:eastAsia="Calibri" w:hAnsi="Calibri" w:cs="Calibri" w:hint="default"/>
        <w:color w:val="000000"/>
        <w:sz w:val="24"/>
      </w:rPr>
    </w:lvl>
    <w:lvl w:ilvl="2" w:tplc="D136ADC8">
      <w:start w:val="1"/>
      <w:numFmt w:val="lowerLetter"/>
      <w:lvlText w:val="(%3)"/>
      <w:lvlJc w:val="left"/>
      <w:pPr>
        <w:ind w:left="505" w:hanging="397"/>
      </w:pPr>
      <w:rPr>
        <w:rFonts w:ascii="Calibri" w:eastAsia="Calibri" w:hAnsi="Calibri" w:cs="Calibri" w:hint="default"/>
        <w:color w:val="000000"/>
        <w:sz w:val="24"/>
      </w:rPr>
    </w:lvl>
    <w:lvl w:ilvl="3" w:tplc="631A4A16">
      <w:start w:val="1"/>
      <w:numFmt w:val="lowerLetter"/>
      <w:lvlText w:val="(%4)"/>
      <w:lvlJc w:val="left"/>
      <w:pPr>
        <w:ind w:left="902" w:hanging="397"/>
      </w:pPr>
      <w:rPr>
        <w:rFonts w:ascii="Calibri" w:eastAsia="Calibri" w:hAnsi="Calibri" w:cs="Calibri" w:hint="default"/>
        <w:color w:val="000000"/>
        <w:sz w:val="24"/>
      </w:rPr>
    </w:lvl>
    <w:lvl w:ilvl="4" w:tplc="9FA2B6AE">
      <w:start w:val="1"/>
      <w:numFmt w:val="lowerRoman"/>
      <w:lvlText w:val="(%5)"/>
      <w:lvlJc w:val="left"/>
      <w:pPr>
        <w:ind w:left="505" w:hanging="397"/>
      </w:pPr>
      <w:rPr>
        <w:rFonts w:ascii="Calibri" w:eastAsia="Calibri" w:hAnsi="Calibri" w:cs="Calibri" w:hint="default"/>
        <w:color w:val="000000"/>
        <w:sz w:val="24"/>
      </w:rPr>
    </w:lvl>
    <w:lvl w:ilvl="5" w:tplc="E47CE9A6">
      <w:start w:val="1"/>
      <w:numFmt w:val="lowerRoman"/>
      <w:lvlText w:val="(%6)"/>
      <w:lvlJc w:val="left"/>
      <w:pPr>
        <w:ind w:left="902" w:hanging="397"/>
      </w:pPr>
      <w:rPr>
        <w:rFonts w:ascii="Calibri" w:eastAsia="Calibri" w:hAnsi="Calibri" w:cs="Calibri" w:hint="default"/>
        <w:color w:val="000000"/>
        <w:sz w:val="24"/>
      </w:rPr>
    </w:lvl>
    <w:lvl w:ilvl="6" w:tplc="1E5E3F50">
      <w:start w:val="1"/>
      <w:numFmt w:val="none"/>
      <w:lvlText w:val=""/>
      <w:lvlJc w:val="left"/>
      <w:pPr>
        <w:ind w:left="108" w:firstLine="0"/>
      </w:pPr>
      <w:rPr>
        <w:rFonts w:ascii="Calibri" w:eastAsia="Calibri" w:hAnsi="Calibri" w:cs="Calibri" w:hint="default"/>
        <w:color w:val="000000"/>
        <w:sz w:val="24"/>
      </w:rPr>
    </w:lvl>
    <w:lvl w:ilvl="7" w:tplc="6D5AAE8C">
      <w:start w:val="1"/>
      <w:numFmt w:val="none"/>
      <w:lvlText w:val=""/>
      <w:lvlJc w:val="left"/>
      <w:pPr>
        <w:ind w:left="108" w:firstLine="0"/>
      </w:pPr>
      <w:rPr>
        <w:rFonts w:ascii="Calibri" w:eastAsia="Calibri" w:hAnsi="Calibri" w:cs="Calibri" w:hint="default"/>
        <w:color w:val="000000"/>
        <w:sz w:val="24"/>
      </w:rPr>
    </w:lvl>
    <w:lvl w:ilvl="8" w:tplc="D3060494">
      <w:start w:val="1"/>
      <w:numFmt w:val="none"/>
      <w:lvlText w:val=""/>
      <w:lvlJc w:val="right"/>
      <w:pPr>
        <w:ind w:left="108" w:firstLine="0"/>
      </w:pPr>
      <w:rPr>
        <w:rFonts w:ascii="Calibri" w:eastAsia="Calibri" w:hAnsi="Calibri" w:cs="Calibri" w:hint="default"/>
        <w:color w:val="000000"/>
        <w:sz w:val="24"/>
      </w:rPr>
    </w:lvl>
  </w:abstractNum>
  <w:abstractNum w:abstractNumId="5" w15:restartNumberingAfterBreak="0">
    <w:nsid w:val="226B115F"/>
    <w:multiLevelType w:val="hybridMultilevel"/>
    <w:tmpl w:val="1CE4DE6E"/>
    <w:lvl w:ilvl="0" w:tplc="DF2C39D4">
      <w:start w:val="1"/>
      <w:numFmt w:val="bullet"/>
      <w:lvlText w:val=""/>
      <w:lvlJc w:val="left"/>
      <w:pPr>
        <w:ind w:left="828" w:hanging="360"/>
      </w:pPr>
      <w:rPr>
        <w:rFonts w:ascii="Symbol" w:eastAsia="Symbol" w:hAnsi="Symbol" w:cs="Symbol" w:hint="default"/>
        <w:color w:val="000000"/>
        <w:sz w:val="24"/>
      </w:rPr>
    </w:lvl>
    <w:lvl w:ilvl="1" w:tplc="CE5416C8">
      <w:start w:val="1"/>
      <w:numFmt w:val="bullet"/>
      <w:lvlText w:val="o"/>
      <w:lvlJc w:val="left"/>
      <w:pPr>
        <w:ind w:left="1548" w:hanging="360"/>
      </w:pPr>
      <w:rPr>
        <w:rFonts w:ascii="Courier New" w:eastAsia="Courier New" w:hAnsi="Courier New" w:cs="Courier New" w:hint="default"/>
        <w:color w:val="000000"/>
        <w:sz w:val="24"/>
      </w:rPr>
    </w:lvl>
    <w:lvl w:ilvl="2" w:tplc="7F487458">
      <w:start w:val="1"/>
      <w:numFmt w:val="bullet"/>
      <w:lvlText w:val=""/>
      <w:lvlJc w:val="left"/>
      <w:pPr>
        <w:ind w:left="2268" w:hanging="360"/>
      </w:pPr>
      <w:rPr>
        <w:rFonts w:ascii="Wingdings" w:eastAsia="Wingdings" w:hAnsi="Wingdings" w:cs="Wingdings" w:hint="default"/>
        <w:color w:val="000000"/>
        <w:sz w:val="24"/>
      </w:rPr>
    </w:lvl>
    <w:lvl w:ilvl="3" w:tplc="F1A6F422">
      <w:start w:val="1"/>
      <w:numFmt w:val="bullet"/>
      <w:lvlText w:val=""/>
      <w:lvlJc w:val="left"/>
      <w:pPr>
        <w:ind w:left="2988" w:hanging="360"/>
      </w:pPr>
      <w:rPr>
        <w:rFonts w:ascii="Symbol" w:eastAsia="Symbol" w:hAnsi="Symbol" w:cs="Symbol" w:hint="default"/>
        <w:color w:val="000000"/>
        <w:sz w:val="24"/>
      </w:rPr>
    </w:lvl>
    <w:lvl w:ilvl="4" w:tplc="696E1874">
      <w:start w:val="1"/>
      <w:numFmt w:val="bullet"/>
      <w:lvlText w:val="o"/>
      <w:lvlJc w:val="left"/>
      <w:pPr>
        <w:ind w:left="3708" w:hanging="360"/>
      </w:pPr>
      <w:rPr>
        <w:rFonts w:ascii="Courier New" w:eastAsia="Courier New" w:hAnsi="Courier New" w:cs="Courier New" w:hint="default"/>
        <w:color w:val="000000"/>
        <w:sz w:val="24"/>
      </w:rPr>
    </w:lvl>
    <w:lvl w:ilvl="5" w:tplc="737CF136">
      <w:start w:val="1"/>
      <w:numFmt w:val="bullet"/>
      <w:lvlText w:val=""/>
      <w:lvlJc w:val="left"/>
      <w:pPr>
        <w:ind w:left="4428" w:hanging="360"/>
      </w:pPr>
      <w:rPr>
        <w:rFonts w:ascii="Wingdings" w:eastAsia="Wingdings" w:hAnsi="Wingdings" w:cs="Wingdings" w:hint="default"/>
        <w:color w:val="000000"/>
        <w:sz w:val="24"/>
      </w:rPr>
    </w:lvl>
    <w:lvl w:ilvl="6" w:tplc="31C0EEBE">
      <w:start w:val="1"/>
      <w:numFmt w:val="bullet"/>
      <w:lvlText w:val=""/>
      <w:lvlJc w:val="left"/>
      <w:pPr>
        <w:ind w:left="5148" w:hanging="360"/>
      </w:pPr>
      <w:rPr>
        <w:rFonts w:ascii="Symbol" w:eastAsia="Symbol" w:hAnsi="Symbol" w:cs="Symbol" w:hint="default"/>
        <w:color w:val="000000"/>
        <w:sz w:val="24"/>
      </w:rPr>
    </w:lvl>
    <w:lvl w:ilvl="7" w:tplc="9BD84C46">
      <w:start w:val="1"/>
      <w:numFmt w:val="bullet"/>
      <w:lvlText w:val="o"/>
      <w:lvlJc w:val="left"/>
      <w:pPr>
        <w:ind w:left="5868" w:hanging="360"/>
      </w:pPr>
      <w:rPr>
        <w:rFonts w:ascii="Courier New" w:eastAsia="Courier New" w:hAnsi="Courier New" w:cs="Courier New" w:hint="default"/>
        <w:color w:val="000000"/>
        <w:sz w:val="24"/>
      </w:rPr>
    </w:lvl>
    <w:lvl w:ilvl="8" w:tplc="A8622CFA">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2B976B34"/>
    <w:multiLevelType w:val="hybridMultilevel"/>
    <w:tmpl w:val="D7D80FF8"/>
    <w:lvl w:ilvl="0" w:tplc="0226C850">
      <w:start w:val="1"/>
      <w:numFmt w:val="decimal"/>
      <w:lvlText w:val="%1."/>
      <w:lvlJc w:val="left"/>
      <w:pPr>
        <w:ind w:left="828" w:hanging="360"/>
      </w:pPr>
      <w:rPr>
        <w:rFonts w:ascii="Calibri" w:eastAsia="Calibri" w:hAnsi="Calibri" w:cs="Calibri" w:hint="default"/>
        <w:color w:val="000000"/>
        <w:sz w:val="24"/>
      </w:rPr>
    </w:lvl>
    <w:lvl w:ilvl="1" w:tplc="292E4BC0">
      <w:start w:val="1"/>
      <w:numFmt w:val="lowerLetter"/>
      <w:lvlText w:val="%2."/>
      <w:lvlJc w:val="left"/>
      <w:pPr>
        <w:ind w:left="1548" w:hanging="360"/>
      </w:pPr>
      <w:rPr>
        <w:rFonts w:ascii="Calibri" w:eastAsia="Calibri" w:hAnsi="Calibri" w:cs="Calibri" w:hint="default"/>
        <w:color w:val="000000"/>
        <w:sz w:val="24"/>
      </w:rPr>
    </w:lvl>
    <w:lvl w:ilvl="2" w:tplc="5A503064">
      <w:start w:val="1"/>
      <w:numFmt w:val="lowerRoman"/>
      <w:lvlText w:val="%3."/>
      <w:lvlJc w:val="right"/>
      <w:pPr>
        <w:ind w:left="2268" w:hanging="180"/>
      </w:pPr>
      <w:rPr>
        <w:rFonts w:ascii="Calibri" w:eastAsia="Calibri" w:hAnsi="Calibri" w:cs="Calibri" w:hint="default"/>
        <w:color w:val="000000"/>
        <w:sz w:val="24"/>
      </w:rPr>
    </w:lvl>
    <w:lvl w:ilvl="3" w:tplc="D9146C24">
      <w:start w:val="1"/>
      <w:numFmt w:val="decimal"/>
      <w:lvlText w:val="%4."/>
      <w:lvlJc w:val="left"/>
      <w:pPr>
        <w:ind w:left="2988" w:hanging="360"/>
      </w:pPr>
      <w:rPr>
        <w:rFonts w:ascii="Calibri" w:eastAsia="Calibri" w:hAnsi="Calibri" w:cs="Calibri" w:hint="default"/>
        <w:color w:val="000000"/>
        <w:sz w:val="24"/>
      </w:rPr>
    </w:lvl>
    <w:lvl w:ilvl="4" w:tplc="33525076">
      <w:start w:val="1"/>
      <w:numFmt w:val="lowerLetter"/>
      <w:lvlText w:val="%5."/>
      <w:lvlJc w:val="left"/>
      <w:pPr>
        <w:ind w:left="3708" w:hanging="360"/>
      </w:pPr>
      <w:rPr>
        <w:rFonts w:ascii="Calibri" w:eastAsia="Calibri" w:hAnsi="Calibri" w:cs="Calibri" w:hint="default"/>
        <w:color w:val="000000"/>
        <w:sz w:val="24"/>
      </w:rPr>
    </w:lvl>
    <w:lvl w:ilvl="5" w:tplc="0D723D3C">
      <w:start w:val="1"/>
      <w:numFmt w:val="lowerRoman"/>
      <w:lvlText w:val="%6."/>
      <w:lvlJc w:val="right"/>
      <w:pPr>
        <w:ind w:left="4428" w:hanging="180"/>
      </w:pPr>
      <w:rPr>
        <w:rFonts w:ascii="Calibri" w:eastAsia="Calibri" w:hAnsi="Calibri" w:cs="Calibri" w:hint="default"/>
        <w:color w:val="000000"/>
        <w:sz w:val="24"/>
      </w:rPr>
    </w:lvl>
    <w:lvl w:ilvl="6" w:tplc="736C5316">
      <w:start w:val="1"/>
      <w:numFmt w:val="decimal"/>
      <w:lvlText w:val="%7."/>
      <w:lvlJc w:val="left"/>
      <w:pPr>
        <w:ind w:left="5148" w:hanging="360"/>
      </w:pPr>
      <w:rPr>
        <w:rFonts w:ascii="Calibri" w:eastAsia="Calibri" w:hAnsi="Calibri" w:cs="Calibri" w:hint="default"/>
        <w:color w:val="000000"/>
        <w:sz w:val="24"/>
      </w:rPr>
    </w:lvl>
    <w:lvl w:ilvl="7" w:tplc="F1B44F9A">
      <w:start w:val="1"/>
      <w:numFmt w:val="lowerLetter"/>
      <w:lvlText w:val="%8."/>
      <w:lvlJc w:val="left"/>
      <w:pPr>
        <w:ind w:left="5868" w:hanging="360"/>
      </w:pPr>
      <w:rPr>
        <w:rFonts w:ascii="Calibri" w:eastAsia="Calibri" w:hAnsi="Calibri" w:cs="Calibri" w:hint="default"/>
        <w:color w:val="000000"/>
        <w:sz w:val="24"/>
      </w:rPr>
    </w:lvl>
    <w:lvl w:ilvl="8" w:tplc="4252D50A">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2BC15404"/>
    <w:multiLevelType w:val="hybridMultilevel"/>
    <w:tmpl w:val="B6DC93A2"/>
    <w:lvl w:ilvl="0" w:tplc="141E1A16">
      <w:start w:val="1"/>
      <w:numFmt w:val="decimal"/>
      <w:lvlText w:val="%1."/>
      <w:lvlJc w:val="left"/>
      <w:pPr>
        <w:ind w:left="828" w:hanging="360"/>
      </w:pPr>
      <w:rPr>
        <w:rFonts w:ascii="Calibri" w:eastAsia="Calibri" w:hAnsi="Calibri" w:cs="Calibri" w:hint="default"/>
        <w:color w:val="000000"/>
        <w:sz w:val="24"/>
      </w:rPr>
    </w:lvl>
    <w:lvl w:ilvl="1" w:tplc="22B04462">
      <w:start w:val="1"/>
      <w:numFmt w:val="lowerLetter"/>
      <w:lvlText w:val="%2."/>
      <w:lvlJc w:val="left"/>
      <w:pPr>
        <w:ind w:left="1548" w:hanging="360"/>
      </w:pPr>
      <w:rPr>
        <w:rFonts w:ascii="Calibri" w:eastAsia="Calibri" w:hAnsi="Calibri" w:cs="Calibri" w:hint="default"/>
        <w:color w:val="000000"/>
        <w:sz w:val="24"/>
      </w:rPr>
    </w:lvl>
    <w:lvl w:ilvl="2" w:tplc="F056CB42">
      <w:start w:val="1"/>
      <w:numFmt w:val="lowerRoman"/>
      <w:lvlText w:val="%3."/>
      <w:lvlJc w:val="right"/>
      <w:pPr>
        <w:ind w:left="2268" w:hanging="180"/>
      </w:pPr>
      <w:rPr>
        <w:rFonts w:ascii="Calibri" w:eastAsia="Calibri" w:hAnsi="Calibri" w:cs="Calibri" w:hint="default"/>
        <w:color w:val="000000"/>
        <w:sz w:val="24"/>
      </w:rPr>
    </w:lvl>
    <w:lvl w:ilvl="3" w:tplc="2FA2C6D0">
      <w:start w:val="1"/>
      <w:numFmt w:val="decimal"/>
      <w:lvlText w:val="%4."/>
      <w:lvlJc w:val="left"/>
      <w:pPr>
        <w:ind w:left="2988" w:hanging="360"/>
      </w:pPr>
      <w:rPr>
        <w:rFonts w:ascii="Calibri" w:eastAsia="Calibri" w:hAnsi="Calibri" w:cs="Calibri" w:hint="default"/>
        <w:color w:val="000000"/>
        <w:sz w:val="24"/>
      </w:rPr>
    </w:lvl>
    <w:lvl w:ilvl="4" w:tplc="C89C9178">
      <w:start w:val="1"/>
      <w:numFmt w:val="lowerLetter"/>
      <w:lvlText w:val="%5."/>
      <w:lvlJc w:val="left"/>
      <w:pPr>
        <w:ind w:left="3708" w:hanging="360"/>
      </w:pPr>
      <w:rPr>
        <w:rFonts w:ascii="Calibri" w:eastAsia="Calibri" w:hAnsi="Calibri" w:cs="Calibri" w:hint="default"/>
        <w:color w:val="000000"/>
        <w:sz w:val="24"/>
      </w:rPr>
    </w:lvl>
    <w:lvl w:ilvl="5" w:tplc="215E6262">
      <w:start w:val="1"/>
      <w:numFmt w:val="lowerRoman"/>
      <w:lvlText w:val="%6."/>
      <w:lvlJc w:val="right"/>
      <w:pPr>
        <w:ind w:left="4428" w:hanging="180"/>
      </w:pPr>
      <w:rPr>
        <w:rFonts w:ascii="Calibri" w:eastAsia="Calibri" w:hAnsi="Calibri" w:cs="Calibri" w:hint="default"/>
        <w:color w:val="000000"/>
        <w:sz w:val="24"/>
      </w:rPr>
    </w:lvl>
    <w:lvl w:ilvl="6" w:tplc="9EA6CA40">
      <w:start w:val="1"/>
      <w:numFmt w:val="decimal"/>
      <w:lvlText w:val="%7."/>
      <w:lvlJc w:val="left"/>
      <w:pPr>
        <w:ind w:left="5148" w:hanging="360"/>
      </w:pPr>
      <w:rPr>
        <w:rFonts w:ascii="Calibri" w:eastAsia="Calibri" w:hAnsi="Calibri" w:cs="Calibri" w:hint="default"/>
        <w:color w:val="000000"/>
        <w:sz w:val="24"/>
      </w:rPr>
    </w:lvl>
    <w:lvl w:ilvl="7" w:tplc="77CADFFA">
      <w:start w:val="1"/>
      <w:numFmt w:val="lowerLetter"/>
      <w:lvlText w:val="%8."/>
      <w:lvlJc w:val="left"/>
      <w:pPr>
        <w:ind w:left="5868" w:hanging="360"/>
      </w:pPr>
      <w:rPr>
        <w:rFonts w:ascii="Calibri" w:eastAsia="Calibri" w:hAnsi="Calibri" w:cs="Calibri" w:hint="default"/>
        <w:color w:val="000000"/>
        <w:sz w:val="24"/>
      </w:rPr>
    </w:lvl>
    <w:lvl w:ilvl="8" w:tplc="363C1B2E">
      <w:start w:val="1"/>
      <w:numFmt w:val="lowerRoman"/>
      <w:lvlText w:val="%9."/>
      <w:lvlJc w:val="right"/>
      <w:pPr>
        <w:ind w:left="6588" w:hanging="180"/>
      </w:pPr>
      <w:rPr>
        <w:rFonts w:ascii="Calibri" w:eastAsia="Calibri" w:hAnsi="Calibri" w:cs="Calibri" w:hint="default"/>
        <w:color w:val="000000"/>
        <w:sz w:val="24"/>
      </w:rPr>
    </w:lvl>
  </w:abstractNum>
  <w:abstractNum w:abstractNumId="8" w15:restartNumberingAfterBreak="0">
    <w:nsid w:val="33A20BAE"/>
    <w:multiLevelType w:val="hybridMultilevel"/>
    <w:tmpl w:val="7BB41E2C"/>
    <w:lvl w:ilvl="0" w:tplc="010C892C">
      <w:start w:val="1"/>
      <w:numFmt w:val="bullet"/>
      <w:lvlText w:val=""/>
      <w:lvlJc w:val="left"/>
      <w:pPr>
        <w:ind w:left="828" w:hanging="360"/>
      </w:pPr>
      <w:rPr>
        <w:rFonts w:ascii="Symbol" w:eastAsia="Symbol" w:hAnsi="Symbol" w:cs="Symbol" w:hint="default"/>
        <w:color w:val="000000"/>
        <w:sz w:val="24"/>
      </w:rPr>
    </w:lvl>
    <w:lvl w:ilvl="1" w:tplc="CE203374">
      <w:start w:val="1"/>
      <w:numFmt w:val="bullet"/>
      <w:lvlText w:val="o"/>
      <w:lvlJc w:val="left"/>
      <w:pPr>
        <w:ind w:left="1548" w:hanging="360"/>
      </w:pPr>
      <w:rPr>
        <w:rFonts w:ascii="Courier New" w:eastAsia="Courier New" w:hAnsi="Courier New" w:cs="Courier New" w:hint="default"/>
        <w:color w:val="000000"/>
        <w:sz w:val="24"/>
      </w:rPr>
    </w:lvl>
    <w:lvl w:ilvl="2" w:tplc="622EF3CA">
      <w:start w:val="1"/>
      <w:numFmt w:val="bullet"/>
      <w:lvlText w:val=""/>
      <w:lvlJc w:val="left"/>
      <w:pPr>
        <w:ind w:left="2268" w:hanging="360"/>
      </w:pPr>
      <w:rPr>
        <w:rFonts w:ascii="Wingdings" w:eastAsia="Wingdings" w:hAnsi="Wingdings" w:cs="Wingdings" w:hint="default"/>
        <w:color w:val="000000"/>
        <w:sz w:val="24"/>
      </w:rPr>
    </w:lvl>
    <w:lvl w:ilvl="3" w:tplc="3EA0FEDE">
      <w:start w:val="1"/>
      <w:numFmt w:val="bullet"/>
      <w:lvlText w:val=""/>
      <w:lvlJc w:val="left"/>
      <w:pPr>
        <w:ind w:left="2988" w:hanging="360"/>
      </w:pPr>
      <w:rPr>
        <w:rFonts w:ascii="Symbol" w:eastAsia="Symbol" w:hAnsi="Symbol" w:cs="Symbol" w:hint="default"/>
        <w:color w:val="000000"/>
        <w:sz w:val="24"/>
      </w:rPr>
    </w:lvl>
    <w:lvl w:ilvl="4" w:tplc="2D2EB67C">
      <w:start w:val="1"/>
      <w:numFmt w:val="bullet"/>
      <w:lvlText w:val="o"/>
      <w:lvlJc w:val="left"/>
      <w:pPr>
        <w:ind w:left="3708" w:hanging="360"/>
      </w:pPr>
      <w:rPr>
        <w:rFonts w:ascii="Courier New" w:eastAsia="Courier New" w:hAnsi="Courier New" w:cs="Courier New" w:hint="default"/>
        <w:color w:val="000000"/>
        <w:sz w:val="24"/>
      </w:rPr>
    </w:lvl>
    <w:lvl w:ilvl="5" w:tplc="67B27D7C">
      <w:start w:val="1"/>
      <w:numFmt w:val="bullet"/>
      <w:lvlText w:val=""/>
      <w:lvlJc w:val="left"/>
      <w:pPr>
        <w:ind w:left="4428" w:hanging="360"/>
      </w:pPr>
      <w:rPr>
        <w:rFonts w:ascii="Wingdings" w:eastAsia="Wingdings" w:hAnsi="Wingdings" w:cs="Wingdings" w:hint="default"/>
        <w:color w:val="000000"/>
        <w:sz w:val="24"/>
      </w:rPr>
    </w:lvl>
    <w:lvl w:ilvl="6" w:tplc="804421F6">
      <w:start w:val="1"/>
      <w:numFmt w:val="bullet"/>
      <w:lvlText w:val=""/>
      <w:lvlJc w:val="left"/>
      <w:pPr>
        <w:ind w:left="5148" w:hanging="360"/>
      </w:pPr>
      <w:rPr>
        <w:rFonts w:ascii="Symbol" w:eastAsia="Symbol" w:hAnsi="Symbol" w:cs="Symbol" w:hint="default"/>
        <w:color w:val="000000"/>
        <w:sz w:val="24"/>
      </w:rPr>
    </w:lvl>
    <w:lvl w:ilvl="7" w:tplc="4CAA9A46">
      <w:start w:val="1"/>
      <w:numFmt w:val="bullet"/>
      <w:lvlText w:val="o"/>
      <w:lvlJc w:val="left"/>
      <w:pPr>
        <w:ind w:left="5868" w:hanging="360"/>
      </w:pPr>
      <w:rPr>
        <w:rFonts w:ascii="Courier New" w:eastAsia="Courier New" w:hAnsi="Courier New" w:cs="Courier New" w:hint="default"/>
        <w:color w:val="000000"/>
        <w:sz w:val="24"/>
      </w:rPr>
    </w:lvl>
    <w:lvl w:ilvl="8" w:tplc="D9B0D47C">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37562395"/>
    <w:multiLevelType w:val="hybridMultilevel"/>
    <w:tmpl w:val="9E025DE0"/>
    <w:lvl w:ilvl="0" w:tplc="E5126448">
      <w:start w:val="1"/>
      <w:numFmt w:val="bullet"/>
      <w:lvlText w:val=""/>
      <w:lvlJc w:val="left"/>
      <w:pPr>
        <w:ind w:left="392" w:hanging="284"/>
      </w:pPr>
      <w:rPr>
        <w:rFonts w:ascii="Symbol" w:eastAsia="Symbol" w:hAnsi="Symbol" w:cs="Symbol" w:hint="default"/>
        <w:color w:val="000000"/>
        <w:sz w:val="24"/>
      </w:rPr>
    </w:lvl>
    <w:lvl w:ilvl="1" w:tplc="A9222054">
      <w:start w:val="1"/>
      <w:numFmt w:val="bullet"/>
      <w:lvlText w:val=""/>
      <w:lvlJc w:val="left"/>
      <w:pPr>
        <w:ind w:left="392" w:hanging="284"/>
      </w:pPr>
      <w:rPr>
        <w:rFonts w:ascii="Symbol" w:eastAsia="Symbol" w:hAnsi="Symbol" w:cs="Symbol" w:hint="default"/>
        <w:color w:val="000000"/>
        <w:sz w:val="24"/>
      </w:rPr>
    </w:lvl>
    <w:lvl w:ilvl="2" w:tplc="B588AEF4">
      <w:start w:val="1"/>
      <w:numFmt w:val="bullet"/>
      <w:lvlText w:val="–"/>
      <w:lvlJc w:val="left"/>
      <w:pPr>
        <w:ind w:left="675" w:hanging="283"/>
      </w:pPr>
      <w:rPr>
        <w:rFonts w:ascii="Calibri" w:eastAsia="Calibri" w:hAnsi="Calibri" w:cs="Calibri" w:hint="default"/>
        <w:color w:val="000000"/>
        <w:sz w:val="24"/>
      </w:rPr>
    </w:lvl>
    <w:lvl w:ilvl="3" w:tplc="32BE09D4">
      <w:start w:val="1"/>
      <w:numFmt w:val="bullet"/>
      <w:lvlText w:val="–"/>
      <w:lvlJc w:val="left"/>
      <w:pPr>
        <w:ind w:left="675" w:hanging="283"/>
      </w:pPr>
      <w:rPr>
        <w:rFonts w:ascii="Calibri" w:eastAsia="Calibri" w:hAnsi="Calibri" w:cs="Calibri" w:hint="default"/>
        <w:color w:val="000000"/>
        <w:sz w:val="24"/>
      </w:rPr>
    </w:lvl>
    <w:lvl w:ilvl="4" w:tplc="880A7EC8">
      <w:start w:val="1"/>
      <w:numFmt w:val="bullet"/>
      <w:lvlText w:val=""/>
      <w:lvlJc w:val="left"/>
      <w:pPr>
        <w:ind w:left="788" w:hanging="283"/>
      </w:pPr>
      <w:rPr>
        <w:rFonts w:ascii="Symbol" w:eastAsia="Symbol" w:hAnsi="Symbol" w:cs="Symbol" w:hint="default"/>
        <w:color w:val="000000"/>
        <w:sz w:val="24"/>
      </w:rPr>
    </w:lvl>
    <w:lvl w:ilvl="5" w:tplc="4E4415D4">
      <w:start w:val="1"/>
      <w:numFmt w:val="bullet"/>
      <w:lvlText w:val=""/>
      <w:lvlJc w:val="left"/>
      <w:pPr>
        <w:ind w:left="788" w:hanging="283"/>
      </w:pPr>
      <w:rPr>
        <w:rFonts w:ascii="Symbol" w:eastAsia="Symbol" w:hAnsi="Symbol" w:cs="Symbol" w:hint="default"/>
        <w:color w:val="000000"/>
        <w:sz w:val="24"/>
      </w:rPr>
    </w:lvl>
    <w:lvl w:ilvl="6" w:tplc="DFC4E4F8">
      <w:start w:val="1"/>
      <w:numFmt w:val="bullet"/>
      <w:lvlText w:val=""/>
      <w:lvlJc w:val="left"/>
      <w:pPr>
        <w:ind w:left="335" w:hanging="227"/>
      </w:pPr>
      <w:rPr>
        <w:rFonts w:ascii="Symbol" w:eastAsia="Symbol" w:hAnsi="Symbol" w:cs="Symbol" w:hint="default"/>
        <w:color w:val="000000"/>
        <w:sz w:val="24"/>
      </w:rPr>
    </w:lvl>
    <w:lvl w:ilvl="7" w:tplc="93B02EB8">
      <w:start w:val="1"/>
      <w:numFmt w:val="none"/>
      <w:lvlText w:val=""/>
      <w:lvlJc w:val="left"/>
      <w:pPr>
        <w:ind w:left="108" w:firstLine="0"/>
      </w:pPr>
      <w:rPr>
        <w:rFonts w:ascii="Calibri" w:eastAsia="Calibri" w:hAnsi="Calibri" w:cs="Calibri" w:hint="default"/>
        <w:color w:val="000000"/>
        <w:sz w:val="24"/>
      </w:rPr>
    </w:lvl>
    <w:lvl w:ilvl="8" w:tplc="D7880070">
      <w:start w:val="1"/>
      <w:numFmt w:val="none"/>
      <w:lvlText w:val=""/>
      <w:lvlJc w:val="left"/>
      <w:pPr>
        <w:ind w:left="108" w:firstLine="0"/>
      </w:pPr>
      <w:rPr>
        <w:rFonts w:ascii="Calibri" w:eastAsia="Calibri" w:hAnsi="Calibri" w:cs="Calibri" w:hint="default"/>
        <w:color w:val="000000"/>
        <w:sz w:val="24"/>
      </w:rPr>
    </w:lvl>
  </w:abstractNum>
  <w:abstractNum w:abstractNumId="10" w15:restartNumberingAfterBreak="0">
    <w:nsid w:val="42090BC9"/>
    <w:multiLevelType w:val="hybridMultilevel"/>
    <w:tmpl w:val="973C7990"/>
    <w:lvl w:ilvl="0" w:tplc="2DB287F0">
      <w:start w:val="1"/>
      <w:numFmt w:val="bullet"/>
      <w:lvlText w:val=""/>
      <w:lvlJc w:val="left"/>
      <w:pPr>
        <w:ind w:left="468" w:hanging="360"/>
      </w:pPr>
      <w:rPr>
        <w:rFonts w:ascii="Symbol" w:eastAsia="Symbol" w:hAnsi="Symbol" w:cs="Symbol" w:hint="default"/>
        <w:color w:val="000000"/>
        <w:sz w:val="24"/>
      </w:rPr>
    </w:lvl>
    <w:lvl w:ilvl="1" w:tplc="71C8615C">
      <w:start w:val="1"/>
      <w:numFmt w:val="bullet"/>
      <w:lvlText w:val="o"/>
      <w:lvlJc w:val="left"/>
      <w:pPr>
        <w:ind w:left="1188" w:hanging="360"/>
      </w:pPr>
      <w:rPr>
        <w:rFonts w:ascii="Courier New" w:eastAsia="Courier New" w:hAnsi="Courier New" w:cs="Courier New" w:hint="default"/>
        <w:color w:val="000000"/>
        <w:sz w:val="24"/>
      </w:rPr>
    </w:lvl>
    <w:lvl w:ilvl="2" w:tplc="82E642E4">
      <w:start w:val="1"/>
      <w:numFmt w:val="bullet"/>
      <w:lvlText w:val=""/>
      <w:lvlJc w:val="left"/>
      <w:pPr>
        <w:ind w:left="1908" w:hanging="360"/>
      </w:pPr>
      <w:rPr>
        <w:rFonts w:ascii="Wingdings" w:eastAsia="Wingdings" w:hAnsi="Wingdings" w:cs="Wingdings" w:hint="default"/>
        <w:color w:val="000000"/>
        <w:sz w:val="24"/>
      </w:rPr>
    </w:lvl>
    <w:lvl w:ilvl="3" w:tplc="7188F584">
      <w:start w:val="1"/>
      <w:numFmt w:val="bullet"/>
      <w:lvlText w:val=""/>
      <w:lvlJc w:val="left"/>
      <w:pPr>
        <w:ind w:left="2628" w:hanging="360"/>
      </w:pPr>
      <w:rPr>
        <w:rFonts w:ascii="Symbol" w:eastAsia="Symbol" w:hAnsi="Symbol" w:cs="Symbol" w:hint="default"/>
        <w:color w:val="000000"/>
        <w:sz w:val="24"/>
      </w:rPr>
    </w:lvl>
    <w:lvl w:ilvl="4" w:tplc="843C597E">
      <w:start w:val="1"/>
      <w:numFmt w:val="bullet"/>
      <w:lvlText w:val="o"/>
      <w:lvlJc w:val="left"/>
      <w:pPr>
        <w:ind w:left="3348" w:hanging="360"/>
      </w:pPr>
      <w:rPr>
        <w:rFonts w:ascii="Courier New" w:eastAsia="Courier New" w:hAnsi="Courier New" w:cs="Courier New" w:hint="default"/>
        <w:color w:val="000000"/>
        <w:sz w:val="24"/>
      </w:rPr>
    </w:lvl>
    <w:lvl w:ilvl="5" w:tplc="8FCE3E50">
      <w:start w:val="1"/>
      <w:numFmt w:val="bullet"/>
      <w:lvlText w:val=""/>
      <w:lvlJc w:val="left"/>
      <w:pPr>
        <w:ind w:left="4068" w:hanging="360"/>
      </w:pPr>
      <w:rPr>
        <w:rFonts w:ascii="Wingdings" w:eastAsia="Wingdings" w:hAnsi="Wingdings" w:cs="Wingdings" w:hint="default"/>
        <w:color w:val="000000"/>
        <w:sz w:val="24"/>
      </w:rPr>
    </w:lvl>
    <w:lvl w:ilvl="6" w:tplc="E66406DC">
      <w:start w:val="1"/>
      <w:numFmt w:val="bullet"/>
      <w:lvlText w:val=""/>
      <w:lvlJc w:val="left"/>
      <w:pPr>
        <w:ind w:left="4788" w:hanging="360"/>
      </w:pPr>
      <w:rPr>
        <w:rFonts w:ascii="Symbol" w:eastAsia="Symbol" w:hAnsi="Symbol" w:cs="Symbol" w:hint="default"/>
        <w:color w:val="000000"/>
        <w:sz w:val="24"/>
      </w:rPr>
    </w:lvl>
    <w:lvl w:ilvl="7" w:tplc="64F8DF78">
      <w:start w:val="1"/>
      <w:numFmt w:val="bullet"/>
      <w:lvlText w:val="o"/>
      <w:lvlJc w:val="left"/>
      <w:pPr>
        <w:ind w:left="5508" w:hanging="360"/>
      </w:pPr>
      <w:rPr>
        <w:rFonts w:ascii="Courier New" w:eastAsia="Courier New" w:hAnsi="Courier New" w:cs="Courier New" w:hint="default"/>
        <w:color w:val="000000"/>
        <w:sz w:val="24"/>
      </w:rPr>
    </w:lvl>
    <w:lvl w:ilvl="8" w:tplc="77CC4B58">
      <w:start w:val="1"/>
      <w:numFmt w:val="bullet"/>
      <w:lvlText w:val=""/>
      <w:lvlJc w:val="left"/>
      <w:pPr>
        <w:ind w:left="6228" w:hanging="360"/>
      </w:pPr>
      <w:rPr>
        <w:rFonts w:ascii="Wingdings" w:eastAsia="Wingdings" w:hAnsi="Wingdings" w:cs="Wingdings" w:hint="default"/>
        <w:color w:val="000000"/>
        <w:sz w:val="24"/>
      </w:rPr>
    </w:lvl>
  </w:abstractNum>
  <w:abstractNum w:abstractNumId="11" w15:restartNumberingAfterBreak="0">
    <w:nsid w:val="45646338"/>
    <w:multiLevelType w:val="hybridMultilevel"/>
    <w:tmpl w:val="721AC490"/>
    <w:lvl w:ilvl="0" w:tplc="3CA4DF4E">
      <w:start w:val="1"/>
      <w:numFmt w:val="bullet"/>
      <w:lvlText w:val=""/>
      <w:lvlJc w:val="left"/>
      <w:pPr>
        <w:ind w:left="828" w:hanging="360"/>
      </w:pPr>
      <w:rPr>
        <w:rFonts w:ascii="Symbol" w:eastAsia="Symbol" w:hAnsi="Symbol" w:cs="Symbol" w:hint="default"/>
        <w:color w:val="000000"/>
        <w:sz w:val="24"/>
      </w:rPr>
    </w:lvl>
    <w:lvl w:ilvl="1" w:tplc="41F4C114">
      <w:start w:val="1"/>
      <w:numFmt w:val="bullet"/>
      <w:lvlText w:val="o"/>
      <w:lvlJc w:val="left"/>
      <w:pPr>
        <w:ind w:left="1548" w:hanging="360"/>
      </w:pPr>
      <w:rPr>
        <w:rFonts w:ascii="Courier New" w:eastAsia="Courier New" w:hAnsi="Courier New" w:cs="Courier New" w:hint="default"/>
        <w:color w:val="000000"/>
        <w:sz w:val="24"/>
      </w:rPr>
    </w:lvl>
    <w:lvl w:ilvl="2" w:tplc="C4662C7C">
      <w:start w:val="1"/>
      <w:numFmt w:val="bullet"/>
      <w:lvlText w:val=""/>
      <w:lvlJc w:val="left"/>
      <w:pPr>
        <w:ind w:left="2268" w:hanging="360"/>
      </w:pPr>
      <w:rPr>
        <w:rFonts w:ascii="Wingdings" w:eastAsia="Wingdings" w:hAnsi="Wingdings" w:cs="Wingdings" w:hint="default"/>
        <w:color w:val="000000"/>
        <w:sz w:val="24"/>
      </w:rPr>
    </w:lvl>
    <w:lvl w:ilvl="3" w:tplc="0ABAC20E">
      <w:start w:val="1"/>
      <w:numFmt w:val="bullet"/>
      <w:lvlText w:val=""/>
      <w:lvlJc w:val="left"/>
      <w:pPr>
        <w:ind w:left="2988" w:hanging="360"/>
      </w:pPr>
      <w:rPr>
        <w:rFonts w:ascii="Symbol" w:eastAsia="Symbol" w:hAnsi="Symbol" w:cs="Symbol" w:hint="default"/>
        <w:color w:val="000000"/>
        <w:sz w:val="24"/>
      </w:rPr>
    </w:lvl>
    <w:lvl w:ilvl="4" w:tplc="0DD4EB6A">
      <w:start w:val="1"/>
      <w:numFmt w:val="bullet"/>
      <w:lvlText w:val="o"/>
      <w:lvlJc w:val="left"/>
      <w:pPr>
        <w:ind w:left="3708" w:hanging="360"/>
      </w:pPr>
      <w:rPr>
        <w:rFonts w:ascii="Courier New" w:eastAsia="Courier New" w:hAnsi="Courier New" w:cs="Courier New" w:hint="default"/>
        <w:color w:val="000000"/>
        <w:sz w:val="24"/>
      </w:rPr>
    </w:lvl>
    <w:lvl w:ilvl="5" w:tplc="094ADDFE">
      <w:start w:val="1"/>
      <w:numFmt w:val="bullet"/>
      <w:lvlText w:val=""/>
      <w:lvlJc w:val="left"/>
      <w:pPr>
        <w:ind w:left="4428" w:hanging="360"/>
      </w:pPr>
      <w:rPr>
        <w:rFonts w:ascii="Wingdings" w:eastAsia="Wingdings" w:hAnsi="Wingdings" w:cs="Wingdings" w:hint="default"/>
        <w:color w:val="000000"/>
        <w:sz w:val="24"/>
      </w:rPr>
    </w:lvl>
    <w:lvl w:ilvl="6" w:tplc="E7148E2E">
      <w:start w:val="1"/>
      <w:numFmt w:val="bullet"/>
      <w:lvlText w:val=""/>
      <w:lvlJc w:val="left"/>
      <w:pPr>
        <w:ind w:left="5148" w:hanging="360"/>
      </w:pPr>
      <w:rPr>
        <w:rFonts w:ascii="Symbol" w:eastAsia="Symbol" w:hAnsi="Symbol" w:cs="Symbol" w:hint="default"/>
        <w:color w:val="000000"/>
        <w:sz w:val="24"/>
      </w:rPr>
    </w:lvl>
    <w:lvl w:ilvl="7" w:tplc="E9F03140">
      <w:start w:val="1"/>
      <w:numFmt w:val="bullet"/>
      <w:lvlText w:val="o"/>
      <w:lvlJc w:val="left"/>
      <w:pPr>
        <w:ind w:left="5868" w:hanging="360"/>
      </w:pPr>
      <w:rPr>
        <w:rFonts w:ascii="Courier New" w:eastAsia="Courier New" w:hAnsi="Courier New" w:cs="Courier New" w:hint="default"/>
        <w:color w:val="000000"/>
        <w:sz w:val="24"/>
      </w:rPr>
    </w:lvl>
    <w:lvl w:ilvl="8" w:tplc="E6FA8AD4">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48CF6E35"/>
    <w:multiLevelType w:val="hybridMultilevel"/>
    <w:tmpl w:val="70666DCC"/>
    <w:lvl w:ilvl="0" w:tplc="A5FE739A">
      <w:start w:val="1"/>
      <w:numFmt w:val="bullet"/>
      <w:lvlText w:val=""/>
      <w:lvlJc w:val="left"/>
      <w:pPr>
        <w:ind w:left="828" w:hanging="360"/>
      </w:pPr>
      <w:rPr>
        <w:rFonts w:ascii="Symbol" w:eastAsia="Symbol" w:hAnsi="Symbol" w:cs="Symbol" w:hint="default"/>
        <w:color w:val="000000"/>
        <w:sz w:val="24"/>
      </w:rPr>
    </w:lvl>
    <w:lvl w:ilvl="1" w:tplc="5B7AC63C">
      <w:start w:val="1"/>
      <w:numFmt w:val="bullet"/>
      <w:lvlText w:val="o"/>
      <w:lvlJc w:val="left"/>
      <w:pPr>
        <w:ind w:left="1548" w:hanging="360"/>
      </w:pPr>
      <w:rPr>
        <w:rFonts w:ascii="Courier New" w:eastAsia="Courier New" w:hAnsi="Courier New" w:cs="Courier New" w:hint="default"/>
        <w:color w:val="000000"/>
        <w:sz w:val="24"/>
      </w:rPr>
    </w:lvl>
    <w:lvl w:ilvl="2" w:tplc="6720AF48">
      <w:start w:val="1"/>
      <w:numFmt w:val="bullet"/>
      <w:lvlText w:val=""/>
      <w:lvlJc w:val="left"/>
      <w:pPr>
        <w:ind w:left="2268" w:hanging="360"/>
      </w:pPr>
      <w:rPr>
        <w:rFonts w:ascii="Wingdings" w:eastAsia="Wingdings" w:hAnsi="Wingdings" w:cs="Wingdings" w:hint="default"/>
        <w:color w:val="000000"/>
        <w:sz w:val="24"/>
      </w:rPr>
    </w:lvl>
    <w:lvl w:ilvl="3" w:tplc="DBD634E6">
      <w:start w:val="1"/>
      <w:numFmt w:val="bullet"/>
      <w:lvlText w:val=""/>
      <w:lvlJc w:val="left"/>
      <w:pPr>
        <w:ind w:left="2988" w:hanging="360"/>
      </w:pPr>
      <w:rPr>
        <w:rFonts w:ascii="Symbol" w:eastAsia="Symbol" w:hAnsi="Symbol" w:cs="Symbol" w:hint="default"/>
        <w:color w:val="000000"/>
        <w:sz w:val="24"/>
      </w:rPr>
    </w:lvl>
    <w:lvl w:ilvl="4" w:tplc="C1A43564">
      <w:start w:val="1"/>
      <w:numFmt w:val="bullet"/>
      <w:lvlText w:val="o"/>
      <w:lvlJc w:val="left"/>
      <w:pPr>
        <w:ind w:left="3708" w:hanging="360"/>
      </w:pPr>
      <w:rPr>
        <w:rFonts w:ascii="Courier New" w:eastAsia="Courier New" w:hAnsi="Courier New" w:cs="Courier New" w:hint="default"/>
        <w:color w:val="000000"/>
        <w:sz w:val="24"/>
      </w:rPr>
    </w:lvl>
    <w:lvl w:ilvl="5" w:tplc="C25CDDF8">
      <w:start w:val="1"/>
      <w:numFmt w:val="bullet"/>
      <w:lvlText w:val=""/>
      <w:lvlJc w:val="left"/>
      <w:pPr>
        <w:ind w:left="4428" w:hanging="360"/>
      </w:pPr>
      <w:rPr>
        <w:rFonts w:ascii="Wingdings" w:eastAsia="Wingdings" w:hAnsi="Wingdings" w:cs="Wingdings" w:hint="default"/>
        <w:color w:val="000000"/>
        <w:sz w:val="24"/>
      </w:rPr>
    </w:lvl>
    <w:lvl w:ilvl="6" w:tplc="25AC85D2">
      <w:start w:val="1"/>
      <w:numFmt w:val="bullet"/>
      <w:lvlText w:val=""/>
      <w:lvlJc w:val="left"/>
      <w:pPr>
        <w:ind w:left="5148" w:hanging="360"/>
      </w:pPr>
      <w:rPr>
        <w:rFonts w:ascii="Symbol" w:eastAsia="Symbol" w:hAnsi="Symbol" w:cs="Symbol" w:hint="default"/>
        <w:color w:val="000000"/>
        <w:sz w:val="24"/>
      </w:rPr>
    </w:lvl>
    <w:lvl w:ilvl="7" w:tplc="28664C6A">
      <w:start w:val="1"/>
      <w:numFmt w:val="bullet"/>
      <w:lvlText w:val="o"/>
      <w:lvlJc w:val="left"/>
      <w:pPr>
        <w:ind w:left="5868" w:hanging="360"/>
      </w:pPr>
      <w:rPr>
        <w:rFonts w:ascii="Courier New" w:eastAsia="Courier New" w:hAnsi="Courier New" w:cs="Courier New" w:hint="default"/>
        <w:color w:val="000000"/>
        <w:sz w:val="24"/>
      </w:rPr>
    </w:lvl>
    <w:lvl w:ilvl="8" w:tplc="0F2A247C">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67586855"/>
    <w:multiLevelType w:val="hybridMultilevel"/>
    <w:tmpl w:val="917CDE52"/>
    <w:lvl w:ilvl="0" w:tplc="A1CEFC12">
      <w:start w:val="1"/>
      <w:numFmt w:val="decimal"/>
      <w:lvlText w:val="%1."/>
      <w:lvlJc w:val="left"/>
      <w:pPr>
        <w:ind w:left="468" w:hanging="360"/>
      </w:pPr>
      <w:rPr>
        <w:rFonts w:ascii="Calibri" w:eastAsia="Calibri" w:hAnsi="Calibri" w:cs="Calibri" w:hint="default"/>
        <w:color w:val="000000"/>
        <w:sz w:val="24"/>
      </w:rPr>
    </w:lvl>
    <w:lvl w:ilvl="1" w:tplc="E4F05C9A">
      <w:start w:val="1"/>
      <w:numFmt w:val="lowerLetter"/>
      <w:lvlText w:val="%2."/>
      <w:lvlJc w:val="left"/>
      <w:pPr>
        <w:ind w:left="1188" w:hanging="360"/>
      </w:pPr>
      <w:rPr>
        <w:rFonts w:ascii="Calibri" w:eastAsia="Calibri" w:hAnsi="Calibri" w:cs="Calibri" w:hint="default"/>
        <w:color w:val="000000"/>
        <w:sz w:val="24"/>
      </w:rPr>
    </w:lvl>
    <w:lvl w:ilvl="2" w:tplc="DAA43D66">
      <w:start w:val="1"/>
      <w:numFmt w:val="lowerRoman"/>
      <w:lvlText w:val="%3."/>
      <w:lvlJc w:val="right"/>
      <w:pPr>
        <w:ind w:left="1908" w:hanging="180"/>
      </w:pPr>
      <w:rPr>
        <w:rFonts w:ascii="Calibri" w:eastAsia="Calibri" w:hAnsi="Calibri" w:cs="Calibri" w:hint="default"/>
        <w:color w:val="000000"/>
        <w:sz w:val="24"/>
      </w:rPr>
    </w:lvl>
    <w:lvl w:ilvl="3" w:tplc="D410FA4A">
      <w:start w:val="1"/>
      <w:numFmt w:val="decimal"/>
      <w:lvlText w:val="%4."/>
      <w:lvlJc w:val="left"/>
      <w:pPr>
        <w:ind w:left="2628" w:hanging="360"/>
      </w:pPr>
      <w:rPr>
        <w:rFonts w:ascii="Calibri" w:eastAsia="Calibri" w:hAnsi="Calibri" w:cs="Calibri" w:hint="default"/>
        <w:color w:val="000000"/>
        <w:sz w:val="24"/>
      </w:rPr>
    </w:lvl>
    <w:lvl w:ilvl="4" w:tplc="6AA2365C">
      <w:start w:val="1"/>
      <w:numFmt w:val="lowerLetter"/>
      <w:lvlText w:val="%5."/>
      <w:lvlJc w:val="left"/>
      <w:pPr>
        <w:ind w:left="3348" w:hanging="360"/>
      </w:pPr>
      <w:rPr>
        <w:rFonts w:ascii="Calibri" w:eastAsia="Calibri" w:hAnsi="Calibri" w:cs="Calibri" w:hint="default"/>
        <w:color w:val="000000"/>
        <w:sz w:val="24"/>
      </w:rPr>
    </w:lvl>
    <w:lvl w:ilvl="5" w:tplc="DB34ED50">
      <w:start w:val="1"/>
      <w:numFmt w:val="lowerRoman"/>
      <w:lvlText w:val="%6."/>
      <w:lvlJc w:val="right"/>
      <w:pPr>
        <w:ind w:left="4068" w:hanging="180"/>
      </w:pPr>
      <w:rPr>
        <w:rFonts w:ascii="Calibri" w:eastAsia="Calibri" w:hAnsi="Calibri" w:cs="Calibri" w:hint="default"/>
        <w:color w:val="000000"/>
        <w:sz w:val="24"/>
      </w:rPr>
    </w:lvl>
    <w:lvl w:ilvl="6" w:tplc="A4CEFDB4">
      <w:start w:val="1"/>
      <w:numFmt w:val="decimal"/>
      <w:lvlText w:val="%7."/>
      <w:lvlJc w:val="left"/>
      <w:pPr>
        <w:ind w:left="4788" w:hanging="360"/>
      </w:pPr>
      <w:rPr>
        <w:rFonts w:ascii="Calibri" w:eastAsia="Calibri" w:hAnsi="Calibri" w:cs="Calibri" w:hint="default"/>
        <w:color w:val="000000"/>
        <w:sz w:val="24"/>
      </w:rPr>
    </w:lvl>
    <w:lvl w:ilvl="7" w:tplc="906C1E1C">
      <w:start w:val="1"/>
      <w:numFmt w:val="lowerLetter"/>
      <w:lvlText w:val="%8."/>
      <w:lvlJc w:val="left"/>
      <w:pPr>
        <w:ind w:left="5508" w:hanging="360"/>
      </w:pPr>
      <w:rPr>
        <w:rFonts w:ascii="Calibri" w:eastAsia="Calibri" w:hAnsi="Calibri" w:cs="Calibri" w:hint="default"/>
        <w:color w:val="000000"/>
        <w:sz w:val="24"/>
      </w:rPr>
    </w:lvl>
    <w:lvl w:ilvl="8" w:tplc="7E66A1C0">
      <w:start w:val="1"/>
      <w:numFmt w:val="lowerRoman"/>
      <w:lvlText w:val="%9."/>
      <w:lvlJc w:val="right"/>
      <w:pPr>
        <w:ind w:left="6228" w:hanging="180"/>
      </w:pPr>
      <w:rPr>
        <w:rFonts w:ascii="Calibri" w:eastAsia="Calibri" w:hAnsi="Calibri" w:cs="Calibri" w:hint="default"/>
        <w:color w:val="000000"/>
        <w:sz w:val="24"/>
      </w:rPr>
    </w:lvl>
  </w:abstractNum>
  <w:abstractNum w:abstractNumId="14" w15:restartNumberingAfterBreak="0">
    <w:nsid w:val="705A7120"/>
    <w:multiLevelType w:val="hybridMultilevel"/>
    <w:tmpl w:val="403CAF02"/>
    <w:lvl w:ilvl="0" w:tplc="6CE03EDC">
      <w:start w:val="1"/>
      <w:numFmt w:val="decimal"/>
      <w:lvlText w:val="%1."/>
      <w:lvlJc w:val="left"/>
      <w:pPr>
        <w:ind w:left="505" w:hanging="397"/>
      </w:pPr>
      <w:rPr>
        <w:rFonts w:ascii="Calibri" w:eastAsia="Calibri" w:hAnsi="Calibri" w:cs="Calibri" w:hint="default"/>
        <w:color w:val="000000"/>
        <w:sz w:val="24"/>
      </w:rPr>
    </w:lvl>
    <w:lvl w:ilvl="1" w:tplc="F6280C34">
      <w:start w:val="1"/>
      <w:numFmt w:val="decimal"/>
      <w:lvlText w:val="%2."/>
      <w:lvlJc w:val="left"/>
      <w:pPr>
        <w:ind w:left="902" w:hanging="397"/>
      </w:pPr>
      <w:rPr>
        <w:rFonts w:ascii="Calibri" w:eastAsia="Calibri" w:hAnsi="Calibri" w:cs="Calibri" w:hint="default"/>
        <w:color w:val="000000"/>
        <w:sz w:val="24"/>
      </w:rPr>
    </w:lvl>
    <w:lvl w:ilvl="2" w:tplc="92E6EC62">
      <w:start w:val="1"/>
      <w:numFmt w:val="lowerLetter"/>
      <w:lvlText w:val="(%3)"/>
      <w:lvlJc w:val="left"/>
      <w:pPr>
        <w:ind w:left="505" w:hanging="397"/>
      </w:pPr>
      <w:rPr>
        <w:rFonts w:ascii="Calibri" w:eastAsia="Calibri" w:hAnsi="Calibri" w:cs="Calibri" w:hint="default"/>
        <w:color w:val="000000"/>
        <w:sz w:val="24"/>
      </w:rPr>
    </w:lvl>
    <w:lvl w:ilvl="3" w:tplc="F2F0973E">
      <w:start w:val="1"/>
      <w:numFmt w:val="lowerLetter"/>
      <w:lvlText w:val="(%4)"/>
      <w:lvlJc w:val="left"/>
      <w:pPr>
        <w:ind w:left="902" w:hanging="397"/>
      </w:pPr>
      <w:rPr>
        <w:rFonts w:ascii="Calibri" w:eastAsia="Calibri" w:hAnsi="Calibri" w:cs="Calibri" w:hint="default"/>
        <w:color w:val="000000"/>
        <w:sz w:val="24"/>
      </w:rPr>
    </w:lvl>
    <w:lvl w:ilvl="4" w:tplc="D53E69DE">
      <w:start w:val="1"/>
      <w:numFmt w:val="lowerRoman"/>
      <w:lvlText w:val="(%5)"/>
      <w:lvlJc w:val="left"/>
      <w:pPr>
        <w:ind w:left="505" w:hanging="397"/>
      </w:pPr>
      <w:rPr>
        <w:rFonts w:ascii="Calibri" w:eastAsia="Calibri" w:hAnsi="Calibri" w:cs="Calibri" w:hint="default"/>
        <w:color w:val="000000"/>
        <w:sz w:val="24"/>
      </w:rPr>
    </w:lvl>
    <w:lvl w:ilvl="5" w:tplc="D7AA1F12">
      <w:start w:val="1"/>
      <w:numFmt w:val="lowerRoman"/>
      <w:lvlText w:val="(%6)"/>
      <w:lvlJc w:val="left"/>
      <w:pPr>
        <w:ind w:left="902" w:hanging="397"/>
      </w:pPr>
      <w:rPr>
        <w:rFonts w:ascii="Calibri" w:eastAsia="Calibri" w:hAnsi="Calibri" w:cs="Calibri" w:hint="default"/>
        <w:color w:val="000000"/>
        <w:sz w:val="24"/>
      </w:rPr>
    </w:lvl>
    <w:lvl w:ilvl="6" w:tplc="405A2DCA">
      <w:start w:val="1"/>
      <w:numFmt w:val="none"/>
      <w:lvlText w:val=""/>
      <w:lvlJc w:val="left"/>
      <w:pPr>
        <w:ind w:left="108" w:firstLine="0"/>
      </w:pPr>
      <w:rPr>
        <w:rFonts w:ascii="Calibri" w:eastAsia="Calibri" w:hAnsi="Calibri" w:cs="Calibri" w:hint="default"/>
        <w:color w:val="000000"/>
        <w:sz w:val="24"/>
      </w:rPr>
    </w:lvl>
    <w:lvl w:ilvl="7" w:tplc="080E3DDE">
      <w:start w:val="1"/>
      <w:numFmt w:val="none"/>
      <w:lvlText w:val=""/>
      <w:lvlJc w:val="left"/>
      <w:pPr>
        <w:ind w:left="108" w:firstLine="0"/>
      </w:pPr>
      <w:rPr>
        <w:rFonts w:ascii="Calibri" w:eastAsia="Calibri" w:hAnsi="Calibri" w:cs="Calibri" w:hint="default"/>
        <w:color w:val="000000"/>
        <w:sz w:val="24"/>
      </w:rPr>
    </w:lvl>
    <w:lvl w:ilvl="8" w:tplc="EA208480">
      <w:start w:val="1"/>
      <w:numFmt w:val="none"/>
      <w:lvlText w:val=""/>
      <w:lvlJc w:val="right"/>
      <w:pPr>
        <w:ind w:left="108" w:firstLine="0"/>
      </w:pPr>
      <w:rPr>
        <w:rFonts w:ascii="Calibri" w:eastAsia="Calibri" w:hAnsi="Calibri" w:cs="Calibri" w:hint="default"/>
        <w:color w:val="000000"/>
        <w:sz w:val="24"/>
      </w:rPr>
    </w:lvl>
  </w:abstractNum>
  <w:num w:numId="1" w16cid:durableId="1786074206">
    <w:abstractNumId w:val="8"/>
  </w:num>
  <w:num w:numId="2" w16cid:durableId="479931170">
    <w:abstractNumId w:val="2"/>
  </w:num>
  <w:num w:numId="3" w16cid:durableId="1645307621">
    <w:abstractNumId w:val="1"/>
  </w:num>
  <w:num w:numId="4" w16cid:durableId="1419130998">
    <w:abstractNumId w:val="7"/>
  </w:num>
  <w:num w:numId="5" w16cid:durableId="1050765506">
    <w:abstractNumId w:val="0"/>
  </w:num>
  <w:num w:numId="6" w16cid:durableId="1183129016">
    <w:abstractNumId w:val="10"/>
  </w:num>
  <w:num w:numId="7" w16cid:durableId="934358815">
    <w:abstractNumId w:val="11"/>
  </w:num>
  <w:num w:numId="8" w16cid:durableId="1765374428">
    <w:abstractNumId w:val="5"/>
  </w:num>
  <w:num w:numId="9" w16cid:durableId="1916283448">
    <w:abstractNumId w:val="12"/>
  </w:num>
  <w:num w:numId="10" w16cid:durableId="1192917123">
    <w:abstractNumId w:val="13"/>
  </w:num>
  <w:num w:numId="11" w16cid:durableId="464275529">
    <w:abstractNumId w:val="6"/>
  </w:num>
  <w:num w:numId="12" w16cid:durableId="816728802">
    <w:abstractNumId w:val="3"/>
  </w:num>
  <w:num w:numId="13" w16cid:durableId="830367900">
    <w:abstractNumId w:val="2"/>
  </w:num>
  <w:num w:numId="14" w16cid:durableId="1509177571">
    <w:abstractNumId w:val="14"/>
  </w:num>
  <w:num w:numId="15" w16cid:durableId="1231040963">
    <w:abstractNumId w:val="14"/>
  </w:num>
  <w:num w:numId="16" w16cid:durableId="1839614721">
    <w:abstractNumId w:val="14"/>
  </w:num>
  <w:num w:numId="17" w16cid:durableId="2124225786">
    <w:abstractNumId w:val="4"/>
  </w:num>
  <w:num w:numId="18" w16cid:durableId="33895366">
    <w:abstractNumId w:val="14"/>
  </w:num>
  <w:num w:numId="19" w16cid:durableId="840046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E4E"/>
    <w:rsid w:val="00245F64"/>
    <w:rsid w:val="002B062D"/>
    <w:rsid w:val="00504CB3"/>
    <w:rsid w:val="00944E4E"/>
    <w:rsid w:val="00ED5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D54E5"/>
    <w:pPr>
      <w:tabs>
        <w:tab w:val="center" w:pos="4513"/>
        <w:tab w:val="right" w:pos="9026"/>
      </w:tabs>
    </w:pPr>
  </w:style>
  <w:style w:type="character" w:customStyle="1" w:styleId="HeaderChar">
    <w:name w:val="Header Char"/>
    <w:basedOn w:val="DefaultParagraphFont"/>
    <w:link w:val="Header"/>
    <w:uiPriority w:val="99"/>
    <w:rsid w:val="00ED54E5"/>
  </w:style>
  <w:style w:type="paragraph" w:styleId="Footer">
    <w:name w:val="footer"/>
    <w:basedOn w:val="Normal"/>
    <w:link w:val="FooterChar"/>
    <w:uiPriority w:val="99"/>
    <w:unhideWhenUsed/>
    <w:rsid w:val="00ED54E5"/>
    <w:pPr>
      <w:tabs>
        <w:tab w:val="center" w:pos="4513"/>
        <w:tab w:val="right" w:pos="9026"/>
      </w:tabs>
    </w:pPr>
  </w:style>
  <w:style w:type="character" w:customStyle="1" w:styleId="FooterChar">
    <w:name w:val="Footer Char"/>
    <w:basedOn w:val="DefaultParagraphFont"/>
    <w:link w:val="Footer"/>
    <w:uiPriority w:val="99"/>
    <w:rsid w:val="00ED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Domino/Web_Notes/LDMS/PubLawToday.nsf/95c43dd4eac71a68ca256dde00056e7b/ff8b257bb218c57fca25736000008380!OpenDocument" TargetMode="External"/><Relationship Id="rId13" Type="http://schemas.openxmlformats.org/officeDocument/2006/relationships/hyperlink" Target="http://providers.dffh.vic.gov.au/families-fairness-housing-health-activity-sear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legislation.vic.gov.au/in-force/acts/residential-tenancies-act-199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vic.gov.au/for-service-providers/housing-and-homelessness/public-housing/public-housing-policy-and-procedure-manual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providers.dffh.vic.gov.au/public-housing-infrastructure-program-framework-and-funding-guidelines-wor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oviders.dffh.vic.gov.au/human-services-standards-policy"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5830876-AE1D-479D-AF5C-C733EFB02FAA}"/>
</file>

<file path=customXml/itemProps2.xml><?xml version="1.0" encoding="utf-8"?>
<ds:datastoreItem xmlns:ds="http://schemas.openxmlformats.org/officeDocument/2006/customXml" ds:itemID="{947B0700-42BB-4793-AFEF-6B64FE06497F}"/>
</file>

<file path=customXml/itemProps3.xml><?xml version="1.0" encoding="utf-8"?>
<ds:datastoreItem xmlns:ds="http://schemas.openxmlformats.org/officeDocument/2006/customXml" ds:itemID="{449DD902-7725-4AFE-9AC3-2A3E8DEAE673}"/>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4791</Characters>
  <Application>Microsoft Office Word</Application>
  <DocSecurity>0</DocSecurity>
  <Lines>114</Lines>
  <Paragraphs>67</Paragraphs>
  <ScaleCrop>false</ScaleCrop>
  <Manager/>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Housing Advocacy Support - Secondary Advice 91425</dc:title>
  <dc:subject/>
  <dc:creator/>
  <cp:keywords/>
  <dc:description>Generated by Oracle BI Publisher 12.2.1.3.0</dc:description>
  <cp:lastModifiedBy/>
  <cp:revision>2</cp:revision>
  <dcterms:created xsi:type="dcterms:W3CDTF">2023-08-09T00:54:00Z</dcterms:created>
  <dcterms:modified xsi:type="dcterms:W3CDTF">2023-08-17T06:07:00Z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2023-08-09T00:53:48Z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582964ce-5afd-4a20-9b5a-059230525099</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