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7135" w14:textId="77777777" w:rsidR="00146689" w:rsidRDefault="00371353">
      <w:pPr>
        <w:spacing w:before="100" w:line="288" w:lineRule="auto"/>
        <w:ind w:left="-699"/>
      </w:pPr>
      <w:r>
        <w:rPr>
          <w:noProof/>
        </w:rPr>
        <w:drawing>
          <wp:inline distT="0" distB="0" distL="0" distR="0" wp14:anchorId="3F3535B0" wp14:editId="77596A84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146689" w14:paraId="1A15194A" w14:textId="77777777">
        <w:tc>
          <w:tcPr>
            <w:tcW w:w="10206" w:type="dxa"/>
            <w:shd w:val="clear" w:color="auto" w:fill="FFFFFF"/>
            <w:vAlign w:val="bottom"/>
          </w:tcPr>
          <w:p w14:paraId="0CA3C849" w14:textId="77777777" w:rsidR="00146689" w:rsidRDefault="00146689">
            <w:pPr>
              <w:spacing w:line="560" w:lineRule="atLeast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02475DAF" w14:textId="77777777" w:rsidR="00146689" w:rsidRDefault="00371353">
            <w:pPr>
              <w:spacing w:line="560" w:lineRule="atLeast"/>
              <w:rPr>
                <w:rFonts w:ascii="Arial" w:eastAsia="Arial" w:hAnsi="Arial" w:cs="Arial"/>
                <w:color w:val="201547"/>
                <w:sz w:val="44"/>
              </w:rPr>
            </w:pPr>
            <w:r>
              <w:rPr>
                <w:rFonts w:ascii="Arial" w:eastAsia="Arial" w:hAnsi="Arial" w:cs="Arial"/>
                <w:color w:val="201547"/>
                <w:sz w:val="44"/>
              </w:rPr>
              <w:t>Housing Advocacy Support - Legal Tenancy Advice</w:t>
            </w:r>
          </w:p>
          <w:p w14:paraId="06E1A8CB" w14:textId="77777777" w:rsidR="00146689" w:rsidRDefault="00371353">
            <w:pPr>
              <w:spacing w:line="560" w:lineRule="atLeast"/>
              <w:rPr>
                <w:rFonts w:ascii="Arial" w:eastAsia="Arial" w:hAnsi="Arial" w:cs="Arial"/>
                <w:color w:val="201547"/>
                <w:sz w:val="44"/>
              </w:rPr>
            </w:pPr>
            <w:r>
              <w:rPr>
                <w:rFonts w:ascii="Arial" w:eastAsia="Arial" w:hAnsi="Arial" w:cs="Arial"/>
                <w:color w:val="201547"/>
                <w:sz w:val="44"/>
              </w:rPr>
              <w:t>91426</w:t>
            </w:r>
          </w:p>
        </w:tc>
      </w:tr>
      <w:tr w:rsidR="00146689" w14:paraId="2B09A9FF" w14:textId="77777777">
        <w:tc>
          <w:tcPr>
            <w:tcW w:w="10206" w:type="dxa"/>
            <w:shd w:val="clear" w:color="auto" w:fill="FFFFFF"/>
          </w:tcPr>
          <w:p w14:paraId="3677F66E" w14:textId="77777777" w:rsidR="00146689" w:rsidRDefault="00371353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 xml:space="preserve">Outcome objective: Victorians are safe and </w:t>
            </w:r>
            <w:proofErr w:type="gramStart"/>
            <w:r>
              <w:rPr>
                <w:rFonts w:ascii="Arial" w:eastAsia="Arial" w:hAnsi="Arial" w:cs="Arial"/>
                <w:color w:val="201547"/>
                <w:sz w:val="28"/>
              </w:rPr>
              <w:t>secure</w:t>
            </w:r>
            <w:proofErr w:type="gramEnd"/>
          </w:p>
          <w:p w14:paraId="33359A4A" w14:textId="77777777" w:rsidR="00146689" w:rsidRDefault="00371353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 group: Housing Assistance</w:t>
            </w:r>
          </w:p>
          <w:p w14:paraId="2A6CCD38" w14:textId="77777777" w:rsidR="00146689" w:rsidRDefault="00371353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Output: Housing Support and Homelessness Assistance</w:t>
            </w:r>
          </w:p>
        </w:tc>
      </w:tr>
    </w:tbl>
    <w:p w14:paraId="2CCB6E82" w14:textId="77777777" w:rsidR="00146689" w:rsidRDefault="00371353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135B4706" w14:textId="77777777" w:rsidR="00146689" w:rsidRDefault="00371353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1. Service objective</w:t>
      </w:r>
    </w:p>
    <w:p w14:paraId="2FC063D5" w14:textId="77777777" w:rsidR="00146689" w:rsidRDefault="00371353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To provide advocacy and support services to social housing renters and prospective public housing renters </w:t>
      </w:r>
      <w:proofErr w:type="gramStart"/>
      <w:r>
        <w:rPr>
          <w:rFonts w:ascii="Arial" w:eastAsia="Arial" w:hAnsi="Arial" w:cs="Arial"/>
          <w:color w:val="000000"/>
          <w:sz w:val="20"/>
        </w:rPr>
        <w:t>in order to</w:t>
      </w:r>
      <w:proofErr w:type="gramEnd"/>
      <w:r>
        <w:rPr>
          <w:rFonts w:ascii="Arial" w:eastAsia="Arial" w:hAnsi="Arial" w:cs="Arial"/>
          <w:color w:val="000000"/>
          <w:sz w:val="20"/>
        </w:rPr>
        <w:t xml:space="preserve"> assist them in accessing and sustaining their housing.</w:t>
      </w:r>
    </w:p>
    <w:p w14:paraId="02C2B421" w14:textId="77777777" w:rsidR="00146689" w:rsidRDefault="00371353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2. Description of the service</w:t>
      </w:r>
    </w:p>
    <w:p w14:paraId="02850FFD" w14:textId="77777777" w:rsidR="00146689" w:rsidRDefault="00371353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To achieve improved housing outcomes for social housing renters, forming part of the Government’s ongoing commitment to sustainable tenancies.</w:t>
      </w:r>
      <w:r>
        <w:br/>
      </w:r>
      <w:r>
        <w:rPr>
          <w:rFonts w:ascii="Arial" w:eastAsia="Arial" w:hAnsi="Arial" w:cs="Arial"/>
          <w:color w:val="000000"/>
          <w:sz w:val="20"/>
        </w:rPr>
        <w:t xml:space="preserve">Under this activity funded community service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>:</w:t>
      </w:r>
      <w:r>
        <w:br/>
      </w:r>
      <w:r>
        <w:rPr>
          <w:rFonts w:ascii="Arial" w:eastAsia="Arial" w:hAnsi="Arial" w:cs="Arial"/>
          <w:color w:val="000000"/>
          <w:sz w:val="20"/>
        </w:rPr>
        <w:t xml:space="preserve">• provide tenancy legal assistance to social housing renters with complex tenancy law matters </w:t>
      </w:r>
      <w:r>
        <w:br/>
      </w:r>
      <w:r>
        <w:rPr>
          <w:rFonts w:ascii="Arial" w:eastAsia="Arial" w:hAnsi="Arial" w:cs="Arial"/>
          <w:color w:val="000000"/>
          <w:sz w:val="20"/>
        </w:rPr>
        <w:t>• involve renters in the service planning and management of public housing infrastructure program services.</w:t>
      </w:r>
      <w:r>
        <w:br/>
      </w:r>
      <w:r>
        <w:rPr>
          <w:rFonts w:ascii="Arial" w:eastAsia="Arial" w:hAnsi="Arial" w:cs="Arial"/>
          <w:color w:val="000000"/>
          <w:sz w:val="20"/>
        </w:rPr>
        <w:t>In order to achieve the above objectives for social housing renters, the service provider is expected to work closely with the local housing offices and registered housing providers</w:t>
      </w:r>
    </w:p>
    <w:p w14:paraId="45C300A7" w14:textId="77777777" w:rsidR="00146689" w:rsidRDefault="00371353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3. Client group</w:t>
      </w:r>
    </w:p>
    <w:p w14:paraId="64FCE9CB" w14:textId="77777777" w:rsidR="00146689" w:rsidRDefault="00371353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client group for this activity is targeted at existing social housing renters requiring legal assistance to sustain their tenancies.</w:t>
      </w:r>
    </w:p>
    <w:p w14:paraId="55A1EEDB" w14:textId="77777777" w:rsidR="00146689" w:rsidRDefault="00371353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4. Obligations specific to this activity</w:t>
      </w:r>
    </w:p>
    <w:p w14:paraId="405526CB" w14:textId="77777777" w:rsidR="00146689" w:rsidRDefault="00371353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In addition to the obligations listed in the Service Agreement,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funded to deliver this activity must comply with the following:</w:t>
      </w:r>
    </w:p>
    <w:p w14:paraId="1DBE0E6B" w14:textId="77777777" w:rsidR="00146689" w:rsidRDefault="00371353">
      <w:pPr>
        <w:spacing w:before="240" w:after="90" w:line="320" w:lineRule="atLeast"/>
        <w:ind w:left="111" w:right="105"/>
        <w:rPr>
          <w:rFonts w:ascii="Arial" w:eastAsia="Arial" w:hAnsi="Arial" w:cs="Arial"/>
          <w:b/>
          <w:bCs/>
          <w:color w:val="201547"/>
        </w:rPr>
      </w:pPr>
      <w:r>
        <w:rPr>
          <w:rFonts w:ascii="Arial" w:eastAsia="Arial" w:hAnsi="Arial" w:cs="Arial"/>
          <w:b/>
          <w:bCs/>
          <w:color w:val="201547"/>
        </w:rPr>
        <w:t>4a. Registration and Accreditation</w:t>
      </w:r>
    </w:p>
    <w:p w14:paraId="1F3BDC17" w14:textId="77777777" w:rsidR="00146689" w:rsidRDefault="00371353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Independent review and accreditation against the department’s Human Services Standards, unless exempted.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56772131" w14:textId="77777777" w:rsidR="00146689" w:rsidRDefault="00371353">
      <w:pPr>
        <w:spacing w:before="240" w:after="90" w:line="320" w:lineRule="atLeast"/>
        <w:ind w:left="111" w:right="1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201547"/>
        </w:rPr>
        <w:lastRenderedPageBreak/>
        <w:t>4b. Program requirements and other policy guidelines</w:t>
      </w:r>
    </w:p>
    <w:p w14:paraId="33412F8A" w14:textId="77777777" w:rsidR="00146689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 w:rsidR="00371353">
          <w:rPr>
            <w:rFonts w:ascii="Arial" w:eastAsia="Arial" w:hAnsi="Arial" w:cs="Arial"/>
            <w:color w:val="3366FF"/>
            <w:sz w:val="20"/>
          </w:rPr>
          <w:t>Housing Act 1983</w:t>
        </w:r>
      </w:hyperlink>
    </w:p>
    <w:p w14:paraId="66C999B2" w14:textId="77777777" w:rsidR="00146689" w:rsidRDefault="00371353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&lt;http://www.legislation.vic.gov.au/Domino/Web_Notes/LDMS/PubLawToday.nsf/95c43dd4eac71a68ca256dde00056e7b/ff8b257bb218c57fca25736000008380!OpenDocument&gt;</w:t>
      </w:r>
    </w:p>
    <w:p w14:paraId="5F1A3653" w14:textId="77777777" w:rsidR="00146689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9" w:tgtFrame="_blank" w:history="1">
        <w:r w:rsidR="00371353">
          <w:rPr>
            <w:rFonts w:ascii="Arial" w:eastAsia="Arial" w:hAnsi="Arial" w:cs="Arial"/>
            <w:color w:val="3366FF"/>
            <w:sz w:val="20"/>
          </w:rPr>
          <w:t>Human Services Standards policy</w:t>
        </w:r>
      </w:hyperlink>
    </w:p>
    <w:p w14:paraId="0BA3073D" w14:textId="77777777" w:rsidR="00146689" w:rsidRDefault="00371353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&lt;https://providers.dffh.vic.gov.au/human-services-standards-policy&gt;</w:t>
      </w:r>
    </w:p>
    <w:p w14:paraId="08597705" w14:textId="77777777" w:rsidR="00146689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0" w:tgtFrame="_blank" w:history="1">
        <w:r w:rsidR="00371353">
          <w:rPr>
            <w:rFonts w:ascii="Arial" w:eastAsia="Arial" w:hAnsi="Arial" w:cs="Arial"/>
            <w:color w:val="3366FF"/>
            <w:sz w:val="20"/>
          </w:rPr>
          <w:t>Public Housing Infrastructure Program (PHIP) Guidelines</w:t>
        </w:r>
      </w:hyperlink>
    </w:p>
    <w:p w14:paraId="6B37B5B5" w14:textId="77777777" w:rsidR="00146689" w:rsidRDefault="00371353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&lt;https://providers.dffh.vic.gov.au/public-housing-infrastructure-program-framework-and-funding-guidelines-word&gt;</w:t>
      </w:r>
    </w:p>
    <w:p w14:paraId="5342D81D" w14:textId="77777777" w:rsidR="00146689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1" w:tgtFrame="_blank" w:history="1">
        <w:r w:rsidR="00371353">
          <w:rPr>
            <w:rFonts w:ascii="Arial" w:eastAsia="Arial" w:hAnsi="Arial" w:cs="Arial"/>
            <w:color w:val="3366FF"/>
            <w:sz w:val="20"/>
          </w:rPr>
          <w:t>Residential Tenancies Act 1997</w:t>
        </w:r>
      </w:hyperlink>
    </w:p>
    <w:p w14:paraId="4669B803" w14:textId="77777777" w:rsidR="00146689" w:rsidRDefault="00371353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&lt;https://www.legislation.vic.gov.au/in-force/acts/residential-tenancies-act-1997&gt;</w:t>
      </w:r>
    </w:p>
    <w:p w14:paraId="60C51F02" w14:textId="77777777" w:rsidR="00146689" w:rsidRDefault="00146689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05437A5A" w14:textId="77777777" w:rsidR="00146689" w:rsidRDefault="00371353">
      <w:pPr>
        <w:spacing w:before="320" w:after="200" w:line="44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5. Performance</w:t>
      </w:r>
    </w:p>
    <w:p w14:paraId="08B99462" w14:textId="77777777" w:rsidR="00146689" w:rsidRDefault="00371353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14:paraId="527E243B" w14:textId="77777777" w:rsidR="00146689" w:rsidRDefault="00371353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4C40C0DA" w14:textId="77777777" w:rsidR="00146689" w:rsidRDefault="00371353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201547"/>
          <w:sz w:val="20"/>
        </w:rPr>
      </w:pPr>
      <w:r>
        <w:rPr>
          <w:rFonts w:ascii="Arial" w:eastAsia="Arial" w:hAnsi="Arial" w:cs="Arial"/>
          <w:b/>
          <w:bCs/>
          <w:color w:val="201547"/>
          <w:sz w:val="20"/>
        </w:rPr>
        <w:t>Key performance measure 1: Number of new cases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146689" w14:paraId="0BAB4A28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347BB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3B74A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Support social housing tenants with complex tenancy matters to retain their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tenancy  by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providing legal tenancy advice</w:t>
            </w:r>
          </w:p>
        </w:tc>
      </w:tr>
      <w:tr w:rsidR="00146689" w14:paraId="2C9D8360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8A3D1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1671D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 w:rsidR="00146689" w14:paraId="15E3981E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5CA6D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37531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146689" w14:paraId="04D4F107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F7D08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C7659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Count number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of  new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cases during the reporting period. A client may have multiple cases in a reporting period</w:t>
            </w:r>
          </w:p>
        </w:tc>
      </w:tr>
      <w:tr w:rsidR="00146689" w14:paraId="34115215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F51F6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841F4" w14:textId="77777777" w:rsidR="00146689" w:rsidRDefault="00371353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Public Housing Infrastructure Program Data Collection</w:t>
            </w:r>
          </w:p>
          <w:p w14:paraId="1CB70396" w14:textId="77777777" w:rsidR="00146689" w:rsidRDefault="00371353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Service provision reports against workplan specifications</w:t>
            </w:r>
          </w:p>
        </w:tc>
      </w:tr>
      <w:tr w:rsidR="00146689" w14:paraId="11F827EE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6B923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92E76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Data report – Microsoft compatible spreadsheet Client data report including data on suburb, referral source, housing status, housing provider and issue.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Service provision report including data detailing emerging trends, client numbers and support provided.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Public Housing Infrastructure Program Service provision report including data detailing progress on outcomes against the service agreement workplan specifications 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Public Housing Infrastructure Program service provision reports due on 28 February and an annual report within 90 days after the end of the financial year.</w:t>
            </w:r>
          </w:p>
        </w:tc>
      </w:tr>
    </w:tbl>
    <w:p w14:paraId="78209EBD" w14:textId="77777777" w:rsidR="00146689" w:rsidRDefault="00371353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6. Data collection</w:t>
      </w:r>
    </w:p>
    <w:p w14:paraId="1676AB3A" w14:textId="77777777" w:rsidR="00146689" w:rsidRDefault="00371353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146689" w14:paraId="2A2D8BDF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9F91" w14:textId="77777777" w:rsidR="00146689" w:rsidRDefault="0037135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D7329" w14:textId="77777777" w:rsidR="00146689" w:rsidRDefault="0037135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7E4E7" w14:textId="77777777" w:rsidR="00146689" w:rsidRDefault="0037135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5593E" w14:textId="77777777" w:rsidR="00146689" w:rsidRDefault="0037135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146689" w14:paraId="437629FE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BB684" w14:textId="77777777" w:rsidR="00146689" w:rsidRDefault="0037135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Public Housing Infrastructure Program Data Collection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5AAE3" w14:textId="77777777" w:rsidR="00146689" w:rsidRDefault="0037135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9A480" w14:textId="77777777" w:rsidR="00146689" w:rsidRDefault="0037135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- 28 February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9AC4" w14:textId="77777777" w:rsidR="00146689" w:rsidRDefault="0037135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Annual</w:t>
            </w:r>
          </w:p>
        </w:tc>
      </w:tr>
      <w:tr w:rsidR="00146689" w14:paraId="30403980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5D87B" w14:textId="77777777" w:rsidR="00146689" w:rsidRDefault="0037135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Service provision reports against workplan specifications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EAD0A" w14:textId="77777777" w:rsidR="00146689" w:rsidRDefault="0037135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47FA" w14:textId="77777777" w:rsidR="00146689" w:rsidRDefault="0037135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Public Housing Infrastructure Program data collection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31883" w14:textId="77777777" w:rsidR="00146689" w:rsidRDefault="00371353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Half-yearly</w:t>
            </w:r>
          </w:p>
        </w:tc>
      </w:tr>
    </w:tbl>
    <w:p w14:paraId="2AEAAA29" w14:textId="77777777" w:rsidR="00146689" w:rsidRDefault="00146689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146689" w14:paraId="575347AD" w14:textId="77777777">
        <w:trPr>
          <w:cantSplit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8EA563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To receive this publication in an accessible format, email </w:t>
            </w:r>
            <w:r>
              <w:rPr>
                <w:rFonts w:ascii="Arial" w:eastAsia="Arial" w:hAnsi="Arial" w:cs="Arial"/>
                <w:color w:val="3366FF"/>
                <w:sz w:val="24"/>
              </w:rPr>
              <w:t>Monitoring Framework Helpdesk &lt;monitoringframework.helpdesk@dffh.vic.gov.au&gt;</w:t>
            </w:r>
          </w:p>
          <w:p w14:paraId="066B8D2D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Authorised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and published by the Victorian Government, 1 Treasury Place, Melbourne.</w:t>
            </w:r>
          </w:p>
          <w:p w14:paraId="6713B264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© State of Victoria, Australia, Department of Families, Fairness and Housing, July 2019. </w:t>
            </w:r>
          </w:p>
          <w:p w14:paraId="79AF8542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Koorie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' is retained when part of the title of a report,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program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or quotation.</w:t>
            </w:r>
          </w:p>
          <w:p w14:paraId="5D983A7F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2653-0929 – Online (PDF/Word)</w:t>
            </w:r>
          </w:p>
          <w:p w14:paraId="34090E5A" w14:textId="77777777" w:rsidR="00146689" w:rsidRDefault="00371353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5A7861F8" w14:textId="77777777" w:rsidR="00146689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12" w:tgtFrame="_blank" w:history="1">
              <w:r w:rsidR="00371353"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 w:rsidR="00371353"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30F196DC" w14:textId="77777777" w:rsidR="00146689" w:rsidRDefault="00146689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1466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3E3E" w14:textId="77777777" w:rsidR="005C0DE5" w:rsidRDefault="005C0DE5">
      <w:r>
        <w:separator/>
      </w:r>
    </w:p>
  </w:endnote>
  <w:endnote w:type="continuationSeparator" w:id="0">
    <w:p w14:paraId="0E1F4749" w14:textId="77777777" w:rsidR="005C0DE5" w:rsidRDefault="005C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6061" w14:textId="77777777" w:rsidR="00371353" w:rsidRDefault="00371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93FB" w14:textId="272F30A7" w:rsidR="00146689" w:rsidRDefault="00371353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6A3635" wp14:editId="5D335BB5">
              <wp:simplePos x="0" y="0"/>
              <wp:positionH relativeFrom="page">
                <wp:posOffset>0</wp:posOffset>
              </wp:positionH>
              <wp:positionV relativeFrom="page">
                <wp:posOffset>10177780</wp:posOffset>
              </wp:positionV>
              <wp:extent cx="7556500" cy="311785"/>
              <wp:effectExtent l="0" t="0" r="0" b="12065"/>
              <wp:wrapNone/>
              <wp:docPr id="4" name="MSIPCM18e748599597ac49e63a36c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42CC0F" w14:textId="21BF1039" w:rsidR="00371353" w:rsidRPr="00371353" w:rsidRDefault="00371353" w:rsidP="00371353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7135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A3635" id="_x0000_t202" coordsize="21600,21600" o:spt="202" path="m,l,21600r21600,l21600,xe">
              <v:stroke joinstyle="miter"/>
              <v:path gradientshapeok="t" o:connecttype="rect"/>
            </v:shapetype>
            <v:shape id="MSIPCM18e748599597ac49e63a36c4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1.4pt;width:595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0042CC0F" w14:textId="21BF1039" w:rsidR="00371353" w:rsidRPr="00371353" w:rsidRDefault="00371353" w:rsidP="00371353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7135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692"/>
    </w:tblGrid>
    <w:tr w:rsidR="00146689" w14:paraId="31A68C83" w14:textId="77777777">
      <w:tc>
        <w:tcPr>
          <w:tcW w:w="3473" w:type="dxa"/>
          <w:shd w:val="clear" w:color="auto" w:fill="FFFFFF"/>
        </w:tcPr>
        <w:p w14:paraId="422FC260" w14:textId="77777777" w:rsidR="00146689" w:rsidRDefault="00146689">
          <w:pPr>
            <w:ind w:left="108" w:right="108"/>
          </w:pPr>
        </w:p>
      </w:tc>
      <w:tc>
        <w:tcPr>
          <w:tcW w:w="3473" w:type="dxa"/>
          <w:shd w:val="clear" w:color="auto" w:fill="FFFFFF"/>
          <w:vAlign w:val="bottom"/>
        </w:tcPr>
        <w:p w14:paraId="3D40AD93" w14:textId="77777777" w:rsidR="00146689" w:rsidRDefault="00371353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692" w:type="dxa"/>
          <w:shd w:val="clear" w:color="auto" w:fill="FFFFFF"/>
        </w:tcPr>
        <w:p w14:paraId="754FABED" w14:textId="77777777" w:rsidR="00146689" w:rsidRDefault="00371353"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  <w:p w14:paraId="0C83A6E6" w14:textId="77777777" w:rsidR="00146689" w:rsidRDefault="00371353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</w:rPr>
            <w:drawing>
              <wp:inline distT="0" distB="0" distL="0" distR="0" wp14:anchorId="64489957" wp14:editId="502F8089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6957F4" w14:textId="77777777" w:rsidR="00146689" w:rsidRDefault="00146689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3"/>
    </w:tblGrid>
    <w:tr w:rsidR="00146689" w14:paraId="67FD05E4" w14:textId="77777777">
      <w:tc>
        <w:tcPr>
          <w:tcW w:w="3473" w:type="dxa"/>
          <w:shd w:val="clear" w:color="auto" w:fill="FFFFFF"/>
        </w:tcPr>
        <w:p w14:paraId="68A7D515" w14:textId="678779B4" w:rsidR="00146689" w:rsidRDefault="00371353">
          <w:pPr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354D916" wp14:editId="3DB9B92D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10177780</wp:posOffset>
                    </wp:positionV>
                    <wp:extent cx="7556500" cy="311785"/>
                    <wp:effectExtent l="0" t="0" r="0" b="12065"/>
                    <wp:wrapNone/>
                    <wp:docPr id="5" name="MSIPCM227e47f5a0eff31fb9df5ac6" descr="{&quot;HashCode&quot;:904758361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F6BA86" w14:textId="0D0B4A07" w:rsidR="00371353" w:rsidRPr="00371353" w:rsidRDefault="00371353" w:rsidP="00371353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371353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354D916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227e47f5a0eff31fb9df5ac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1.4pt;width:595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" o:allowincell="f" filled="f" stroked="f" strokeweight=".5pt">
                    <v:fill o:detectmouseclick="t"/>
                    <v:textbox inset=",0,,0">
                      <w:txbxContent>
                        <w:p w14:paraId="65F6BA86" w14:textId="0D0B4A07" w:rsidR="00371353" w:rsidRPr="00371353" w:rsidRDefault="00371353" w:rsidP="00371353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7135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73" w:type="dxa"/>
          <w:shd w:val="clear" w:color="auto" w:fill="FFFFFF"/>
          <w:vAlign w:val="bottom"/>
        </w:tcPr>
        <w:p w14:paraId="09A68230" w14:textId="77777777" w:rsidR="00146689" w:rsidRDefault="00371353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                                     </w:t>
          </w:r>
        </w:p>
      </w:tc>
      <w:tc>
        <w:tcPr>
          <w:tcW w:w="3473" w:type="dxa"/>
          <w:shd w:val="clear" w:color="auto" w:fill="FFFFFF"/>
        </w:tcPr>
        <w:p w14:paraId="53DD3311" w14:textId="77777777" w:rsidR="00146689" w:rsidRDefault="00371353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</w:rPr>
            <w:drawing>
              <wp:inline distT="0" distB="0" distL="0" distR="0" wp14:anchorId="4962F11E" wp14:editId="73C8F492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D7D930" w14:textId="77777777" w:rsidR="00146689" w:rsidRDefault="00371353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1B22" w14:textId="77777777" w:rsidR="005C0DE5" w:rsidRDefault="005C0DE5">
      <w:r>
        <w:separator/>
      </w:r>
    </w:p>
  </w:footnote>
  <w:footnote w:type="continuationSeparator" w:id="0">
    <w:p w14:paraId="7B312225" w14:textId="77777777" w:rsidR="005C0DE5" w:rsidRDefault="005C0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5C01" w14:textId="77777777" w:rsidR="00371353" w:rsidRDefault="00371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C99B" w14:textId="77777777" w:rsidR="00146689" w:rsidRDefault="00371353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>Housing Assistance 91426 Housing Advocacy Support - Legal Tenancy Advice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44DFFEEC" w14:textId="77777777" w:rsidR="00146689" w:rsidRDefault="00146689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4D79" w14:textId="77777777" w:rsidR="00146689" w:rsidRDefault="00146689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947"/>
    <w:multiLevelType w:val="hybridMultilevel"/>
    <w:tmpl w:val="8F82EA1C"/>
    <w:lvl w:ilvl="0" w:tplc="BB6E1012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D396BE54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1CF2E766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D55EEE2A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662ACEA8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879ABB58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CB2E284E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C4BAC42A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F7A4D0B8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" w15:restartNumberingAfterBreak="0">
    <w:nsid w:val="15411FEB"/>
    <w:multiLevelType w:val="hybridMultilevel"/>
    <w:tmpl w:val="7B32C3C8"/>
    <w:lvl w:ilvl="0" w:tplc="456A7EBC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8B36F872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AF7EEE9A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22A20FDA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84227176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5E36C92E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64E039E4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4FDACE9A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78085010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2" w15:restartNumberingAfterBreak="0">
    <w:nsid w:val="19BF5F12"/>
    <w:multiLevelType w:val="hybridMultilevel"/>
    <w:tmpl w:val="19A8B8E8"/>
    <w:lvl w:ilvl="0" w:tplc="25628812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8C54D52A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2F926D50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0C9C13CA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932EAEC8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9C2CE66A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2858215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7C809D5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7154287C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3" w15:restartNumberingAfterBreak="0">
    <w:nsid w:val="27E95B2A"/>
    <w:multiLevelType w:val="hybridMultilevel"/>
    <w:tmpl w:val="2D7C3E0A"/>
    <w:lvl w:ilvl="0" w:tplc="91001C5A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0054F41C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62C49006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C284CC82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1E02A550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990A9D6C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CD4A15F4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7674D5A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2744CF5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4" w15:restartNumberingAfterBreak="0">
    <w:nsid w:val="44B10341"/>
    <w:multiLevelType w:val="hybridMultilevel"/>
    <w:tmpl w:val="046C07F0"/>
    <w:lvl w:ilvl="0" w:tplc="C4D843F0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CFBAC64E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1D62A790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B5E25160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41E8AE04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81B80E60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CD48C9EE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6EAAFE2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C816AA5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5" w15:restartNumberingAfterBreak="0">
    <w:nsid w:val="50087DCA"/>
    <w:multiLevelType w:val="hybridMultilevel"/>
    <w:tmpl w:val="19E83AAA"/>
    <w:lvl w:ilvl="0" w:tplc="13365C82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8152C5EE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D9F40F64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AFEC977A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D1A433F4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6EA2DF58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EE1A1A92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D8581F3E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FDA2D3A6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6" w15:restartNumberingAfterBreak="0">
    <w:nsid w:val="52DC132C"/>
    <w:multiLevelType w:val="hybridMultilevel"/>
    <w:tmpl w:val="60700958"/>
    <w:lvl w:ilvl="0" w:tplc="F61ADD8A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729E8066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6AD62FF4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03BCABFA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4898827E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B57CDAEC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3146AF56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197ADDD2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61B0FEA0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7" w15:restartNumberingAfterBreak="0">
    <w:nsid w:val="5BC30334"/>
    <w:multiLevelType w:val="hybridMultilevel"/>
    <w:tmpl w:val="1A9C478E"/>
    <w:lvl w:ilvl="0" w:tplc="6F8492B4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A91AF3AC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CFE2C8D4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0E680718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7160EC56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4AA65168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7F3249C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039E2F1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CF40698C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8" w15:restartNumberingAfterBreak="0">
    <w:nsid w:val="5F836A2B"/>
    <w:multiLevelType w:val="hybridMultilevel"/>
    <w:tmpl w:val="7CC62234"/>
    <w:lvl w:ilvl="0" w:tplc="8D58F7EE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1450C7C4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58762EC2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3F04E9A8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53FECA4C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6D7A42CA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B4443A1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8B5CB6A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98347706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9" w15:restartNumberingAfterBreak="0">
    <w:nsid w:val="61A372A8"/>
    <w:multiLevelType w:val="hybridMultilevel"/>
    <w:tmpl w:val="C1F2187A"/>
    <w:lvl w:ilvl="0" w:tplc="6E400784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C1F8B886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5E6A69CA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FFEEDAFC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7B282B82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A0426C8C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8F0E754A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FB9AE0B4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F4B42662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0" w15:restartNumberingAfterBreak="0">
    <w:nsid w:val="6B475421"/>
    <w:multiLevelType w:val="hybridMultilevel"/>
    <w:tmpl w:val="915CF59E"/>
    <w:lvl w:ilvl="0" w:tplc="4F3AE11C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9426EBAA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6D108CD2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C0CE4732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D46CF0C8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D8E0C866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A3DA6618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16787AD8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375879C2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1" w15:restartNumberingAfterBreak="0">
    <w:nsid w:val="6EB61E56"/>
    <w:multiLevelType w:val="hybridMultilevel"/>
    <w:tmpl w:val="EFF08BD8"/>
    <w:lvl w:ilvl="0" w:tplc="6AA4B15A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54C81094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77020A86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FAE0FF18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0226B2C8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3482DA4A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D69CC0A0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709A4F32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855CABA6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2" w15:restartNumberingAfterBreak="0">
    <w:nsid w:val="70A65ED5"/>
    <w:multiLevelType w:val="hybridMultilevel"/>
    <w:tmpl w:val="BC0CBEE2"/>
    <w:lvl w:ilvl="0" w:tplc="94BC7F4C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EAEC1064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43265940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657A62F2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36B2955E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B69898FE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E92277D4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7BD8AF5E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39C0D0F6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3" w15:restartNumberingAfterBreak="0">
    <w:nsid w:val="711222D5"/>
    <w:multiLevelType w:val="hybridMultilevel"/>
    <w:tmpl w:val="FFA29E0A"/>
    <w:lvl w:ilvl="0" w:tplc="611625E2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B64E617C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26003ABA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69544620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A5344D8C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7F848A78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83026BD0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71D457AC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B518DD94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4" w15:restartNumberingAfterBreak="0">
    <w:nsid w:val="7D561B85"/>
    <w:multiLevelType w:val="hybridMultilevel"/>
    <w:tmpl w:val="C1DCAE6C"/>
    <w:lvl w:ilvl="0" w:tplc="0E089780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8A5EAC6E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9C702252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1830615E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B314B410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5B4E188E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3FA292FA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05668976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0616D5AE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num w:numId="1" w16cid:durableId="1080172394">
    <w:abstractNumId w:val="13"/>
  </w:num>
  <w:num w:numId="2" w16cid:durableId="1765030032">
    <w:abstractNumId w:val="4"/>
  </w:num>
  <w:num w:numId="3" w16cid:durableId="357124431">
    <w:abstractNumId w:val="14"/>
  </w:num>
  <w:num w:numId="4" w16cid:durableId="1872720152">
    <w:abstractNumId w:val="5"/>
  </w:num>
  <w:num w:numId="5" w16cid:durableId="166946090">
    <w:abstractNumId w:val="11"/>
  </w:num>
  <w:num w:numId="6" w16cid:durableId="1159927797">
    <w:abstractNumId w:val="0"/>
  </w:num>
  <w:num w:numId="7" w16cid:durableId="405300008">
    <w:abstractNumId w:val="12"/>
  </w:num>
  <w:num w:numId="8" w16cid:durableId="476804820">
    <w:abstractNumId w:val="10"/>
  </w:num>
  <w:num w:numId="9" w16cid:durableId="1449080226">
    <w:abstractNumId w:val="1"/>
  </w:num>
  <w:num w:numId="10" w16cid:durableId="2095087428">
    <w:abstractNumId w:val="9"/>
  </w:num>
  <w:num w:numId="11" w16cid:durableId="1152716024">
    <w:abstractNumId w:val="6"/>
  </w:num>
  <w:num w:numId="12" w16cid:durableId="1919365076">
    <w:abstractNumId w:val="7"/>
  </w:num>
  <w:num w:numId="13" w16cid:durableId="892153219">
    <w:abstractNumId w:val="4"/>
  </w:num>
  <w:num w:numId="14" w16cid:durableId="1408964161">
    <w:abstractNumId w:val="2"/>
  </w:num>
  <w:num w:numId="15" w16cid:durableId="1592082594">
    <w:abstractNumId w:val="2"/>
  </w:num>
  <w:num w:numId="16" w16cid:durableId="658115074">
    <w:abstractNumId w:val="2"/>
  </w:num>
  <w:num w:numId="17" w16cid:durableId="636836558">
    <w:abstractNumId w:val="8"/>
  </w:num>
  <w:num w:numId="18" w16cid:durableId="1821800355">
    <w:abstractNumId w:val="2"/>
  </w:num>
  <w:num w:numId="19" w16cid:durableId="607087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689"/>
    <w:rsid w:val="00146689"/>
    <w:rsid w:val="00371353"/>
    <w:rsid w:val="005C0DE5"/>
    <w:rsid w:val="00762997"/>
    <w:rsid w:val="00A0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65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3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353"/>
  </w:style>
  <w:style w:type="paragraph" w:styleId="Footer">
    <w:name w:val="footer"/>
    <w:basedOn w:val="Normal"/>
    <w:link w:val="FooterChar"/>
    <w:uiPriority w:val="99"/>
    <w:unhideWhenUsed/>
    <w:rsid w:val="003713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vic.gov.au/Domino/Web_Notes/LDMS/PubLawToday.nsf/95c43dd4eac71a68ca256dde00056e7b/ff8b257bb218c57fca25736000008380!OpenDocumen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hyperlink" Target="http://providers.dffh.vic.gov.au/families-fairness-housing-health-activity-search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lation.vic.gov.au/in-force/acts/residential-tenancies-act-199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s://providers.dffh.vic.gov.au/public-housing-infrastructure-program-framework-and-funding-guidelines-wor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viders.dffh.vic.gov.au/human-services-standards-policy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64FD65F1-E5D0-430D-98F4-1DD12BCEA2E6}"/>
</file>

<file path=customXml/itemProps2.xml><?xml version="1.0" encoding="utf-8"?>
<ds:datastoreItem xmlns:ds="http://schemas.openxmlformats.org/officeDocument/2006/customXml" ds:itemID="{472DA27E-8F55-40A2-91AE-D020B837C445}"/>
</file>

<file path=customXml/itemProps3.xml><?xml version="1.0" encoding="utf-8"?>
<ds:datastoreItem xmlns:ds="http://schemas.openxmlformats.org/officeDocument/2006/customXml" ds:itemID="{BDB0D788-8463-4FCF-85C6-19AA849EBF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4428</Characters>
  <Application>Microsoft Office Word</Application>
  <DocSecurity>0</DocSecurity>
  <Lines>105</Lines>
  <Paragraphs>62</Paragraphs>
  <ScaleCrop>false</ScaleCrop>
  <Manager/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Housing Advocacy Support - Legal Tenancy Advice 91426</dc:title>
  <dc:subject/>
  <dc:creator/>
  <cp:keywords/>
  <dc:description>Generated by Oracle BI Publisher 12.2.1.3.0</dc:description>
  <cp:lastModifiedBy/>
  <cp:revision>2</cp:revision>
  <dcterms:created xsi:type="dcterms:W3CDTF">2023-08-09T01:08:00Z</dcterms:created>
  <dcterms:modified xsi:type="dcterms:W3CDTF">2023-08-17T06:08:00Z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2023-08-09T01:08:29Z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19828ad7-d426-403f-9f39-8c0bc3215bbb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