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9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498"/>
      </w:tblGrid>
      <w:tr w:rsidR="008A09F8" w14:paraId="789B2F71" w14:textId="77777777" w:rsidTr="00A42F56">
        <w:trPr>
          <w:cantSplit/>
          <w:trHeight w:val="1122"/>
        </w:trPr>
        <w:tc>
          <w:tcPr>
            <w:tcW w:w="9498" w:type="dxa"/>
            <w:tcMar>
              <w:top w:w="0" w:type="dxa"/>
              <w:left w:w="0" w:type="dxa"/>
              <w:right w:w="0" w:type="dxa"/>
            </w:tcMar>
          </w:tcPr>
          <w:p w14:paraId="348BF74E" w14:textId="77777777" w:rsidR="008A09F8" w:rsidRPr="00431F42" w:rsidRDefault="00441DFE" w:rsidP="00A42F56">
            <w:pPr>
              <w:pStyle w:val="Documenttitle"/>
            </w:pPr>
            <w:r>
              <w:t>From Homelessness to a Home (H2H)</w:t>
            </w:r>
          </w:p>
        </w:tc>
      </w:tr>
      <w:tr w:rsidR="008A09F8" w14:paraId="3B9F21EA" w14:textId="77777777" w:rsidTr="00A42F56">
        <w:trPr>
          <w:cantSplit/>
          <w:trHeight w:val="693"/>
        </w:trPr>
        <w:tc>
          <w:tcPr>
            <w:tcW w:w="9498" w:type="dxa"/>
          </w:tcPr>
          <w:p w14:paraId="74780685" w14:textId="77777777" w:rsidR="008A09F8" w:rsidRPr="00A1389F" w:rsidRDefault="00441DFE" w:rsidP="00A42F56">
            <w:pPr>
              <w:pStyle w:val="Documentsubtitle"/>
            </w:pPr>
            <w:r>
              <w:t>Program Guidelines – V3.3</w:t>
            </w:r>
          </w:p>
        </w:tc>
      </w:tr>
      <w:tr w:rsidR="008A09F8" w14:paraId="01DBCA4D" w14:textId="77777777" w:rsidTr="00A42F56">
        <w:trPr>
          <w:cantSplit/>
          <w:trHeight w:val="376"/>
        </w:trPr>
        <w:tc>
          <w:tcPr>
            <w:tcW w:w="9498" w:type="dxa"/>
          </w:tcPr>
          <w:p w14:paraId="62E4E2C0" w14:textId="0D4F4C57" w:rsidR="008A09F8" w:rsidRDefault="005D1692" w:rsidP="00A42F56">
            <w:pPr>
              <w:pStyle w:val="Bannermarking"/>
            </w:pPr>
            <w:fldSimple w:instr="FILLIN  &quot;Type the protective marking&quot; \d OFFICIAL \o  \* MERGEFORMAT">
              <w:r w:rsidR="00314E7F">
                <w:t>OFFICIAL</w:t>
              </w:r>
            </w:fldSimple>
          </w:p>
        </w:tc>
      </w:tr>
    </w:tbl>
    <w:p w14:paraId="67ECAAAF" w14:textId="7DD2713E" w:rsidR="00056EC4" w:rsidRDefault="00DF40A5" w:rsidP="00056EC4">
      <w:pPr>
        <w:pStyle w:val="Body"/>
      </w:pPr>
      <w:r>
        <w:rPr>
          <w:noProof/>
        </w:rPr>
        <w:drawing>
          <wp:anchor distT="0" distB="0" distL="114300" distR="114300" simplePos="0" relativeHeight="251658240" behindDoc="1" locked="0" layoutInCell="1" allowOverlap="1" wp14:anchorId="0BD90DFB" wp14:editId="6CBDEAA5">
            <wp:simplePos x="0" y="0"/>
            <wp:positionH relativeFrom="page">
              <wp:align>right</wp:align>
            </wp:positionH>
            <wp:positionV relativeFrom="page">
              <wp:posOffset>9525</wp:posOffset>
            </wp:positionV>
            <wp:extent cx="7543800" cy="10683875"/>
            <wp:effectExtent l="0" t="0" r="0" b="3175"/>
            <wp:wrapNone/>
            <wp:docPr id="12" name="Picture 12" descr="Homes Victoria, 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Homes Victoria, Victoria State Government"/>
                    <pic:cNvPicPr/>
                  </pic:nvPicPr>
                  <pic:blipFill>
                    <a:blip r:embed="rId11"/>
                    <a:stretch>
                      <a:fillRect/>
                    </a:stretch>
                  </pic:blipFill>
                  <pic:spPr>
                    <a:xfrm>
                      <a:off x="0" y="0"/>
                      <a:ext cx="7543800" cy="10683875"/>
                    </a:xfrm>
                    <a:prstGeom prst="rect">
                      <a:avLst/>
                    </a:prstGeom>
                  </pic:spPr>
                </pic:pic>
              </a:graphicData>
            </a:graphic>
            <wp14:sizeRelH relativeFrom="page">
              <wp14:pctWidth>0</wp14:pctWidth>
            </wp14:sizeRelH>
            <wp14:sizeRelV relativeFrom="page">
              <wp14:pctHeight>0</wp14:pctHeight>
            </wp14:sizeRelV>
          </wp:anchor>
        </w:drawing>
      </w:r>
      <w:r w:rsidR="008A09F8">
        <w:rPr>
          <w:noProof/>
        </w:rPr>
        <w:t xml:space="preserve"> </w:t>
      </w:r>
    </w:p>
    <w:p w14:paraId="7D5CFD0D" w14:textId="77777777" w:rsidR="00FE4081" w:rsidRDefault="00FE4081" w:rsidP="00FE4081">
      <w:pPr>
        <w:pStyle w:val="Body"/>
      </w:pPr>
    </w:p>
    <w:p w14:paraId="7364C7C4" w14:textId="77777777" w:rsidR="00FE4081" w:rsidRPr="00FE4081" w:rsidRDefault="00FE4081" w:rsidP="00FE4081">
      <w:pPr>
        <w:pStyle w:val="Body"/>
        <w:sectPr w:rsidR="00FE4081" w:rsidRPr="00FE4081" w:rsidSect="00C82506">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7C50A7B4" w14:textId="77777777" w:rsidR="00CF230C" w:rsidRDefault="00EF187B">
      <w:pPr>
        <w:spacing w:after="0" w:line="240" w:lineRule="auto"/>
        <w:rPr>
          <w:rFonts w:eastAsia="Times"/>
        </w:rPr>
      </w:pPr>
      <w:r>
        <w:rPr>
          <w:noProof/>
        </w:rPr>
        <w:lastRenderedPageBreak/>
        <w:drawing>
          <wp:anchor distT="0" distB="0" distL="114300" distR="114300" simplePos="0" relativeHeight="251658241" behindDoc="1" locked="0" layoutInCell="1" allowOverlap="1" wp14:anchorId="33236C23" wp14:editId="7EB076AC">
            <wp:simplePos x="0" y="0"/>
            <wp:positionH relativeFrom="page">
              <wp:align>right</wp:align>
            </wp:positionH>
            <wp:positionV relativeFrom="page">
              <wp:posOffset>9525</wp:posOffset>
            </wp:positionV>
            <wp:extent cx="7858125" cy="10706100"/>
            <wp:effectExtent l="0" t="0" r="9525" b="0"/>
            <wp:wrapNone/>
            <wp:docPr id="14" name="Picture 14" descr="More homes for more Victorians. For general enquiries - If you would like to receive this publication in an accessible or interpreted format, phone 1300 650 172, using the National Relay &#10;Service 13 36 77 if required, or email enquiries@homes.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ore homes for more Victorians. For general enquiries - If you would like to receive this publication in an accessible or interpreted format, phone 1300 650 172, using the National Relay &#10;Service 13 36 77 if required, or email enquiries@homes.vic.gov.au"/>
                    <pic:cNvPicPr/>
                  </pic:nvPicPr>
                  <pic:blipFill>
                    <a:blip r:embed="rId15"/>
                    <a:stretch>
                      <a:fillRect/>
                    </a:stretch>
                  </pic:blipFill>
                  <pic:spPr>
                    <a:xfrm>
                      <a:off x="0" y="0"/>
                      <a:ext cx="7858125" cy="10706100"/>
                    </a:xfrm>
                    <a:prstGeom prst="rect">
                      <a:avLst/>
                    </a:prstGeom>
                  </pic:spPr>
                </pic:pic>
              </a:graphicData>
            </a:graphic>
            <wp14:sizeRelH relativeFrom="page">
              <wp14:pctWidth>0</wp14:pctWidth>
            </wp14:sizeRelH>
            <wp14:sizeRelV relativeFrom="page">
              <wp14:pctHeight>0</wp14:pctHeight>
            </wp14:sizeRelV>
          </wp:anchor>
        </w:drawing>
      </w:r>
      <w:r w:rsidR="00CF230C">
        <w:br w:type="page"/>
      </w: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1427D219" w14:textId="77777777" w:rsidTr="00431F42">
        <w:trPr>
          <w:trHeight w:val="7371"/>
        </w:trPr>
        <w:tc>
          <w:tcPr>
            <w:tcW w:w="7598" w:type="dxa"/>
            <w:vAlign w:val="center"/>
          </w:tcPr>
          <w:p w14:paraId="3D3EAE2F" w14:textId="77777777" w:rsidR="00431F42" w:rsidRDefault="00441DFE" w:rsidP="00431F42">
            <w:pPr>
              <w:pStyle w:val="Documenttitle"/>
            </w:pPr>
            <w:r>
              <w:lastRenderedPageBreak/>
              <w:t>From Homelessness to a Home (H2H)</w:t>
            </w:r>
          </w:p>
          <w:p w14:paraId="28AD1C6A" w14:textId="77777777" w:rsidR="00431F42" w:rsidRDefault="00441DFE" w:rsidP="00431F42">
            <w:pPr>
              <w:pStyle w:val="Documentsubtitle"/>
            </w:pPr>
            <w:r>
              <w:t>Program Guidelines – V3.3</w:t>
            </w:r>
          </w:p>
        </w:tc>
      </w:tr>
      <w:tr w:rsidR="00431F42" w14:paraId="4769D63A" w14:textId="77777777" w:rsidTr="00431F42">
        <w:tc>
          <w:tcPr>
            <w:tcW w:w="7598" w:type="dxa"/>
          </w:tcPr>
          <w:p w14:paraId="56B3B66A" w14:textId="77777777" w:rsidR="00431F42" w:rsidRDefault="00431F42" w:rsidP="00431F42">
            <w:pPr>
              <w:pStyle w:val="Body"/>
            </w:pPr>
          </w:p>
        </w:tc>
      </w:tr>
    </w:tbl>
    <w:p w14:paraId="424C411E" w14:textId="77777777" w:rsidR="000D2ABA" w:rsidRDefault="000D2ABA" w:rsidP="00431F42">
      <w:pPr>
        <w:pStyle w:val="Body"/>
      </w:pPr>
      <w:r>
        <w:br w:type="page"/>
      </w:r>
    </w:p>
    <w:p w14:paraId="694D2535" w14:textId="77777777" w:rsidR="00AD784C" w:rsidRPr="00B57329" w:rsidRDefault="00AD784C" w:rsidP="002365B4">
      <w:pPr>
        <w:pStyle w:val="TOCheadingreport"/>
      </w:pPr>
      <w:r w:rsidRPr="00B57329">
        <w:lastRenderedPageBreak/>
        <w:t>Contents</w:t>
      </w:r>
    </w:p>
    <w:p w14:paraId="58879C63" w14:textId="39617C87" w:rsidR="006A3D27"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21134061" w:history="1">
        <w:r w:rsidR="006A3D27" w:rsidRPr="00977DF3">
          <w:rPr>
            <w:rStyle w:val="Hyperlink"/>
          </w:rPr>
          <w:t>Glossary</w:t>
        </w:r>
        <w:r w:rsidR="006A3D27">
          <w:rPr>
            <w:webHidden/>
          </w:rPr>
          <w:tab/>
        </w:r>
        <w:r w:rsidR="006A3D27">
          <w:rPr>
            <w:webHidden/>
          </w:rPr>
          <w:fldChar w:fldCharType="begin"/>
        </w:r>
        <w:r w:rsidR="006A3D27">
          <w:rPr>
            <w:webHidden/>
          </w:rPr>
          <w:instrText xml:space="preserve"> PAGEREF _Toc121134061 \h </w:instrText>
        </w:r>
        <w:r w:rsidR="006A3D27">
          <w:rPr>
            <w:webHidden/>
          </w:rPr>
        </w:r>
        <w:r w:rsidR="006A3D27">
          <w:rPr>
            <w:webHidden/>
          </w:rPr>
          <w:fldChar w:fldCharType="separate"/>
        </w:r>
        <w:r w:rsidR="006A3D27">
          <w:rPr>
            <w:webHidden/>
          </w:rPr>
          <w:t>7</w:t>
        </w:r>
        <w:r w:rsidR="006A3D27">
          <w:rPr>
            <w:webHidden/>
          </w:rPr>
          <w:fldChar w:fldCharType="end"/>
        </w:r>
      </w:hyperlink>
    </w:p>
    <w:p w14:paraId="658772A8" w14:textId="3BC04D80" w:rsidR="006A3D27" w:rsidRDefault="00000000">
      <w:pPr>
        <w:pStyle w:val="TOC1"/>
        <w:rPr>
          <w:rFonts w:asciiTheme="minorHAnsi" w:eastAsiaTheme="minorEastAsia" w:hAnsiTheme="minorHAnsi" w:cstheme="minorBidi"/>
          <w:b w:val="0"/>
          <w:sz w:val="22"/>
          <w:szCs w:val="22"/>
          <w:lang w:eastAsia="en-AU"/>
        </w:rPr>
      </w:pPr>
      <w:hyperlink w:anchor="_Toc121134062" w:history="1">
        <w:r w:rsidR="006A3D27" w:rsidRPr="00977DF3">
          <w:rPr>
            <w:rStyle w:val="Hyperlink"/>
          </w:rPr>
          <w:t>Overview</w:t>
        </w:r>
        <w:r w:rsidR="006A3D27">
          <w:rPr>
            <w:webHidden/>
          </w:rPr>
          <w:tab/>
        </w:r>
        <w:r w:rsidR="006A3D27">
          <w:rPr>
            <w:webHidden/>
          </w:rPr>
          <w:fldChar w:fldCharType="begin"/>
        </w:r>
        <w:r w:rsidR="006A3D27">
          <w:rPr>
            <w:webHidden/>
          </w:rPr>
          <w:instrText xml:space="preserve"> PAGEREF _Toc121134062 \h </w:instrText>
        </w:r>
        <w:r w:rsidR="006A3D27">
          <w:rPr>
            <w:webHidden/>
          </w:rPr>
        </w:r>
        <w:r w:rsidR="006A3D27">
          <w:rPr>
            <w:webHidden/>
          </w:rPr>
          <w:fldChar w:fldCharType="separate"/>
        </w:r>
        <w:r w:rsidR="006A3D27">
          <w:rPr>
            <w:webHidden/>
          </w:rPr>
          <w:t>14</w:t>
        </w:r>
        <w:r w:rsidR="006A3D27">
          <w:rPr>
            <w:webHidden/>
          </w:rPr>
          <w:fldChar w:fldCharType="end"/>
        </w:r>
      </w:hyperlink>
    </w:p>
    <w:p w14:paraId="18467811" w14:textId="19C01EB1" w:rsidR="006A3D27" w:rsidRDefault="00000000">
      <w:pPr>
        <w:pStyle w:val="TOC2"/>
        <w:rPr>
          <w:rFonts w:asciiTheme="minorHAnsi" w:eastAsiaTheme="minorEastAsia" w:hAnsiTheme="minorHAnsi" w:cstheme="minorBidi"/>
          <w:sz w:val="22"/>
          <w:szCs w:val="22"/>
          <w:lang w:eastAsia="en-AU"/>
        </w:rPr>
      </w:pPr>
      <w:hyperlink w:anchor="_Toc121134063" w:history="1">
        <w:r w:rsidR="006A3D27" w:rsidRPr="00977DF3">
          <w:rPr>
            <w:rStyle w:val="Hyperlink"/>
          </w:rPr>
          <w:t>Housing</w:t>
        </w:r>
        <w:r w:rsidR="006A3D27">
          <w:rPr>
            <w:webHidden/>
          </w:rPr>
          <w:tab/>
        </w:r>
        <w:r w:rsidR="006A3D27">
          <w:rPr>
            <w:webHidden/>
          </w:rPr>
          <w:fldChar w:fldCharType="begin"/>
        </w:r>
        <w:r w:rsidR="006A3D27">
          <w:rPr>
            <w:webHidden/>
          </w:rPr>
          <w:instrText xml:space="preserve"> PAGEREF _Toc121134063 \h </w:instrText>
        </w:r>
        <w:r w:rsidR="006A3D27">
          <w:rPr>
            <w:webHidden/>
          </w:rPr>
        </w:r>
        <w:r w:rsidR="006A3D27">
          <w:rPr>
            <w:webHidden/>
          </w:rPr>
          <w:fldChar w:fldCharType="separate"/>
        </w:r>
        <w:r w:rsidR="006A3D27">
          <w:rPr>
            <w:webHidden/>
          </w:rPr>
          <w:t>14</w:t>
        </w:r>
        <w:r w:rsidR="006A3D27">
          <w:rPr>
            <w:webHidden/>
          </w:rPr>
          <w:fldChar w:fldCharType="end"/>
        </w:r>
      </w:hyperlink>
    </w:p>
    <w:p w14:paraId="6278E044" w14:textId="62A6B7A9" w:rsidR="006A3D27" w:rsidRDefault="00000000">
      <w:pPr>
        <w:pStyle w:val="TOC2"/>
        <w:rPr>
          <w:rFonts w:asciiTheme="minorHAnsi" w:eastAsiaTheme="minorEastAsia" w:hAnsiTheme="minorHAnsi" w:cstheme="minorBidi"/>
          <w:sz w:val="22"/>
          <w:szCs w:val="22"/>
          <w:lang w:eastAsia="en-AU"/>
        </w:rPr>
      </w:pPr>
      <w:hyperlink w:anchor="_Toc121134064" w:history="1">
        <w:r w:rsidR="006A3D27" w:rsidRPr="00977DF3">
          <w:rPr>
            <w:rStyle w:val="Hyperlink"/>
            <w:rFonts w:eastAsia="Times"/>
            <w:lang w:val="en-US"/>
          </w:rPr>
          <w:t>Additional Funding in Financial Year 2022-23</w:t>
        </w:r>
        <w:r w:rsidR="006A3D27">
          <w:rPr>
            <w:webHidden/>
          </w:rPr>
          <w:tab/>
        </w:r>
        <w:r w:rsidR="006A3D27">
          <w:rPr>
            <w:webHidden/>
          </w:rPr>
          <w:fldChar w:fldCharType="begin"/>
        </w:r>
        <w:r w:rsidR="006A3D27">
          <w:rPr>
            <w:webHidden/>
          </w:rPr>
          <w:instrText xml:space="preserve"> PAGEREF _Toc121134064 \h </w:instrText>
        </w:r>
        <w:r w:rsidR="006A3D27">
          <w:rPr>
            <w:webHidden/>
          </w:rPr>
        </w:r>
        <w:r w:rsidR="006A3D27">
          <w:rPr>
            <w:webHidden/>
          </w:rPr>
          <w:fldChar w:fldCharType="separate"/>
        </w:r>
        <w:r w:rsidR="006A3D27">
          <w:rPr>
            <w:webHidden/>
          </w:rPr>
          <w:t>15</w:t>
        </w:r>
        <w:r w:rsidR="006A3D27">
          <w:rPr>
            <w:webHidden/>
          </w:rPr>
          <w:fldChar w:fldCharType="end"/>
        </w:r>
      </w:hyperlink>
    </w:p>
    <w:p w14:paraId="52408477" w14:textId="5A053A1A" w:rsidR="006A3D27" w:rsidRDefault="00000000">
      <w:pPr>
        <w:pStyle w:val="TOC2"/>
        <w:rPr>
          <w:rFonts w:asciiTheme="minorHAnsi" w:eastAsiaTheme="minorEastAsia" w:hAnsiTheme="minorHAnsi" w:cstheme="minorBidi"/>
          <w:sz w:val="22"/>
          <w:szCs w:val="22"/>
          <w:lang w:eastAsia="en-AU"/>
        </w:rPr>
      </w:pPr>
      <w:hyperlink w:anchor="_Toc121134065" w:history="1">
        <w:r w:rsidR="006A3D27" w:rsidRPr="00977DF3">
          <w:rPr>
            <w:rStyle w:val="Hyperlink"/>
            <w:rFonts w:eastAsia="Times"/>
            <w:lang w:val="en-US"/>
          </w:rPr>
          <w:t>Monitoring and reporting</w:t>
        </w:r>
        <w:r w:rsidR="006A3D27">
          <w:rPr>
            <w:webHidden/>
          </w:rPr>
          <w:tab/>
        </w:r>
        <w:r w:rsidR="006A3D27">
          <w:rPr>
            <w:webHidden/>
          </w:rPr>
          <w:fldChar w:fldCharType="begin"/>
        </w:r>
        <w:r w:rsidR="006A3D27">
          <w:rPr>
            <w:webHidden/>
          </w:rPr>
          <w:instrText xml:space="preserve"> PAGEREF _Toc121134065 \h </w:instrText>
        </w:r>
        <w:r w:rsidR="006A3D27">
          <w:rPr>
            <w:webHidden/>
          </w:rPr>
        </w:r>
        <w:r w:rsidR="006A3D27">
          <w:rPr>
            <w:webHidden/>
          </w:rPr>
          <w:fldChar w:fldCharType="separate"/>
        </w:r>
        <w:r w:rsidR="006A3D27">
          <w:rPr>
            <w:webHidden/>
          </w:rPr>
          <w:t>15</w:t>
        </w:r>
        <w:r w:rsidR="006A3D27">
          <w:rPr>
            <w:webHidden/>
          </w:rPr>
          <w:fldChar w:fldCharType="end"/>
        </w:r>
      </w:hyperlink>
    </w:p>
    <w:p w14:paraId="1026BB6D" w14:textId="69D3DF8B" w:rsidR="006A3D27" w:rsidRDefault="00000000">
      <w:pPr>
        <w:pStyle w:val="TOC1"/>
        <w:rPr>
          <w:rFonts w:asciiTheme="minorHAnsi" w:eastAsiaTheme="minorEastAsia" w:hAnsiTheme="minorHAnsi" w:cstheme="minorBidi"/>
          <w:b w:val="0"/>
          <w:sz w:val="22"/>
          <w:szCs w:val="22"/>
          <w:lang w:eastAsia="en-AU"/>
        </w:rPr>
      </w:pPr>
      <w:hyperlink w:anchor="_Toc121134066" w:history="1">
        <w:r w:rsidR="006A3D27" w:rsidRPr="00977DF3">
          <w:rPr>
            <w:rStyle w:val="Hyperlink"/>
          </w:rPr>
          <w:t>H2H Objectives and Program Logic</w:t>
        </w:r>
        <w:r w:rsidR="006A3D27">
          <w:rPr>
            <w:webHidden/>
          </w:rPr>
          <w:tab/>
        </w:r>
        <w:r w:rsidR="006A3D27">
          <w:rPr>
            <w:webHidden/>
          </w:rPr>
          <w:fldChar w:fldCharType="begin"/>
        </w:r>
        <w:r w:rsidR="006A3D27">
          <w:rPr>
            <w:webHidden/>
          </w:rPr>
          <w:instrText xml:space="preserve"> PAGEREF _Toc121134066 \h </w:instrText>
        </w:r>
        <w:r w:rsidR="006A3D27">
          <w:rPr>
            <w:webHidden/>
          </w:rPr>
        </w:r>
        <w:r w:rsidR="006A3D27">
          <w:rPr>
            <w:webHidden/>
          </w:rPr>
          <w:fldChar w:fldCharType="separate"/>
        </w:r>
        <w:r w:rsidR="006A3D27">
          <w:rPr>
            <w:webHidden/>
          </w:rPr>
          <w:t>17</w:t>
        </w:r>
        <w:r w:rsidR="006A3D27">
          <w:rPr>
            <w:webHidden/>
          </w:rPr>
          <w:fldChar w:fldCharType="end"/>
        </w:r>
      </w:hyperlink>
    </w:p>
    <w:p w14:paraId="38F0F12E" w14:textId="2A14FE82" w:rsidR="006A3D27" w:rsidRDefault="00000000">
      <w:pPr>
        <w:pStyle w:val="TOC2"/>
        <w:rPr>
          <w:rFonts w:asciiTheme="minorHAnsi" w:eastAsiaTheme="minorEastAsia" w:hAnsiTheme="minorHAnsi" w:cstheme="minorBidi"/>
          <w:sz w:val="22"/>
          <w:szCs w:val="22"/>
          <w:lang w:eastAsia="en-AU"/>
        </w:rPr>
      </w:pPr>
      <w:hyperlink w:anchor="_Toc121134067" w:history="1">
        <w:r w:rsidR="006A3D27" w:rsidRPr="00977DF3">
          <w:rPr>
            <w:rStyle w:val="Hyperlink"/>
          </w:rPr>
          <w:t>H2H Objectives</w:t>
        </w:r>
        <w:r w:rsidR="006A3D27">
          <w:rPr>
            <w:webHidden/>
          </w:rPr>
          <w:tab/>
        </w:r>
        <w:r w:rsidR="006A3D27">
          <w:rPr>
            <w:webHidden/>
          </w:rPr>
          <w:fldChar w:fldCharType="begin"/>
        </w:r>
        <w:r w:rsidR="006A3D27">
          <w:rPr>
            <w:webHidden/>
          </w:rPr>
          <w:instrText xml:space="preserve"> PAGEREF _Toc121134067 \h </w:instrText>
        </w:r>
        <w:r w:rsidR="006A3D27">
          <w:rPr>
            <w:webHidden/>
          </w:rPr>
        </w:r>
        <w:r w:rsidR="006A3D27">
          <w:rPr>
            <w:webHidden/>
          </w:rPr>
          <w:fldChar w:fldCharType="separate"/>
        </w:r>
        <w:r w:rsidR="006A3D27">
          <w:rPr>
            <w:webHidden/>
          </w:rPr>
          <w:t>17</w:t>
        </w:r>
        <w:r w:rsidR="006A3D27">
          <w:rPr>
            <w:webHidden/>
          </w:rPr>
          <w:fldChar w:fldCharType="end"/>
        </w:r>
      </w:hyperlink>
    </w:p>
    <w:p w14:paraId="0E614E7A" w14:textId="6D05D081" w:rsidR="006A3D27" w:rsidRDefault="00000000">
      <w:pPr>
        <w:pStyle w:val="TOC2"/>
        <w:rPr>
          <w:rFonts w:asciiTheme="minorHAnsi" w:eastAsiaTheme="minorEastAsia" w:hAnsiTheme="minorHAnsi" w:cstheme="minorBidi"/>
          <w:sz w:val="22"/>
          <w:szCs w:val="22"/>
          <w:lang w:eastAsia="en-AU"/>
        </w:rPr>
      </w:pPr>
      <w:hyperlink w:anchor="_Toc121134068" w:history="1">
        <w:r w:rsidR="006A3D27" w:rsidRPr="00977DF3">
          <w:rPr>
            <w:rStyle w:val="Hyperlink"/>
          </w:rPr>
          <w:t>H2H Program Logic</w:t>
        </w:r>
        <w:r w:rsidR="006A3D27">
          <w:rPr>
            <w:webHidden/>
          </w:rPr>
          <w:tab/>
        </w:r>
        <w:r w:rsidR="006A3D27">
          <w:rPr>
            <w:webHidden/>
          </w:rPr>
          <w:fldChar w:fldCharType="begin"/>
        </w:r>
        <w:r w:rsidR="006A3D27">
          <w:rPr>
            <w:webHidden/>
          </w:rPr>
          <w:instrText xml:space="preserve"> PAGEREF _Toc121134068 \h </w:instrText>
        </w:r>
        <w:r w:rsidR="006A3D27">
          <w:rPr>
            <w:webHidden/>
          </w:rPr>
        </w:r>
        <w:r w:rsidR="006A3D27">
          <w:rPr>
            <w:webHidden/>
          </w:rPr>
          <w:fldChar w:fldCharType="separate"/>
        </w:r>
        <w:r w:rsidR="006A3D27">
          <w:rPr>
            <w:webHidden/>
          </w:rPr>
          <w:t>17</w:t>
        </w:r>
        <w:r w:rsidR="006A3D27">
          <w:rPr>
            <w:webHidden/>
          </w:rPr>
          <w:fldChar w:fldCharType="end"/>
        </w:r>
      </w:hyperlink>
    </w:p>
    <w:p w14:paraId="460C4CDA" w14:textId="35B7B6AA" w:rsidR="006A3D27" w:rsidRDefault="00000000">
      <w:pPr>
        <w:pStyle w:val="TOC2"/>
        <w:rPr>
          <w:rFonts w:asciiTheme="minorHAnsi" w:eastAsiaTheme="minorEastAsia" w:hAnsiTheme="minorHAnsi" w:cstheme="minorBidi"/>
          <w:sz w:val="22"/>
          <w:szCs w:val="22"/>
          <w:lang w:eastAsia="en-AU"/>
        </w:rPr>
      </w:pPr>
      <w:hyperlink w:anchor="_Toc121134069" w:history="1">
        <w:r w:rsidR="006A3D27" w:rsidRPr="00977DF3">
          <w:rPr>
            <w:rStyle w:val="Hyperlink"/>
          </w:rPr>
          <w:t>Diagram 1: From Homelessness to a Home program logic</w:t>
        </w:r>
        <w:r w:rsidR="006A3D27">
          <w:rPr>
            <w:webHidden/>
          </w:rPr>
          <w:tab/>
        </w:r>
        <w:r w:rsidR="006A3D27">
          <w:rPr>
            <w:webHidden/>
          </w:rPr>
          <w:fldChar w:fldCharType="begin"/>
        </w:r>
        <w:r w:rsidR="006A3D27">
          <w:rPr>
            <w:webHidden/>
          </w:rPr>
          <w:instrText xml:space="preserve"> PAGEREF _Toc121134069 \h </w:instrText>
        </w:r>
        <w:r w:rsidR="006A3D27">
          <w:rPr>
            <w:webHidden/>
          </w:rPr>
        </w:r>
        <w:r w:rsidR="006A3D27">
          <w:rPr>
            <w:webHidden/>
          </w:rPr>
          <w:fldChar w:fldCharType="separate"/>
        </w:r>
        <w:r w:rsidR="006A3D27">
          <w:rPr>
            <w:webHidden/>
          </w:rPr>
          <w:t>17</w:t>
        </w:r>
        <w:r w:rsidR="006A3D27">
          <w:rPr>
            <w:webHidden/>
          </w:rPr>
          <w:fldChar w:fldCharType="end"/>
        </w:r>
      </w:hyperlink>
    </w:p>
    <w:p w14:paraId="60ED1951" w14:textId="31AA5157" w:rsidR="006A3D27" w:rsidRDefault="00000000">
      <w:pPr>
        <w:pStyle w:val="TOC2"/>
        <w:rPr>
          <w:rFonts w:asciiTheme="minorHAnsi" w:eastAsiaTheme="minorEastAsia" w:hAnsiTheme="minorHAnsi" w:cstheme="minorBidi"/>
          <w:sz w:val="22"/>
          <w:szCs w:val="22"/>
          <w:lang w:eastAsia="en-AU"/>
        </w:rPr>
      </w:pPr>
      <w:hyperlink w:anchor="_Toc121134070" w:history="1">
        <w:r w:rsidR="006A3D27" w:rsidRPr="00977DF3">
          <w:rPr>
            <w:rStyle w:val="Hyperlink"/>
          </w:rPr>
          <w:t>H2H Implementation objectives</w:t>
        </w:r>
        <w:r w:rsidR="006A3D27">
          <w:rPr>
            <w:webHidden/>
          </w:rPr>
          <w:tab/>
        </w:r>
        <w:r w:rsidR="006A3D27">
          <w:rPr>
            <w:webHidden/>
          </w:rPr>
          <w:fldChar w:fldCharType="begin"/>
        </w:r>
        <w:r w:rsidR="006A3D27">
          <w:rPr>
            <w:webHidden/>
          </w:rPr>
          <w:instrText xml:space="preserve"> PAGEREF _Toc121134070 \h </w:instrText>
        </w:r>
        <w:r w:rsidR="006A3D27">
          <w:rPr>
            <w:webHidden/>
          </w:rPr>
        </w:r>
        <w:r w:rsidR="006A3D27">
          <w:rPr>
            <w:webHidden/>
          </w:rPr>
          <w:fldChar w:fldCharType="separate"/>
        </w:r>
        <w:r w:rsidR="006A3D27">
          <w:rPr>
            <w:webHidden/>
          </w:rPr>
          <w:t>18</w:t>
        </w:r>
        <w:r w:rsidR="006A3D27">
          <w:rPr>
            <w:webHidden/>
          </w:rPr>
          <w:fldChar w:fldCharType="end"/>
        </w:r>
      </w:hyperlink>
    </w:p>
    <w:p w14:paraId="02F11544" w14:textId="1DE9E53A" w:rsidR="006A3D27" w:rsidRDefault="00000000">
      <w:pPr>
        <w:pStyle w:val="TOC1"/>
        <w:rPr>
          <w:rFonts w:asciiTheme="minorHAnsi" w:eastAsiaTheme="minorEastAsia" w:hAnsiTheme="minorHAnsi" w:cstheme="minorBidi"/>
          <w:b w:val="0"/>
          <w:sz w:val="22"/>
          <w:szCs w:val="22"/>
          <w:lang w:eastAsia="en-AU"/>
        </w:rPr>
      </w:pPr>
      <w:hyperlink w:anchor="_Toc121134071" w:history="1">
        <w:r w:rsidR="006A3D27" w:rsidRPr="00977DF3">
          <w:rPr>
            <w:rStyle w:val="Hyperlink"/>
          </w:rPr>
          <w:t>Target Group, Entry Point and Eligibility</w:t>
        </w:r>
        <w:r w:rsidR="006A3D27">
          <w:rPr>
            <w:webHidden/>
          </w:rPr>
          <w:tab/>
        </w:r>
        <w:r w:rsidR="006A3D27">
          <w:rPr>
            <w:webHidden/>
          </w:rPr>
          <w:fldChar w:fldCharType="begin"/>
        </w:r>
        <w:r w:rsidR="006A3D27">
          <w:rPr>
            <w:webHidden/>
          </w:rPr>
          <w:instrText xml:space="preserve"> PAGEREF _Toc121134071 \h </w:instrText>
        </w:r>
        <w:r w:rsidR="006A3D27">
          <w:rPr>
            <w:webHidden/>
          </w:rPr>
        </w:r>
        <w:r w:rsidR="006A3D27">
          <w:rPr>
            <w:webHidden/>
          </w:rPr>
          <w:fldChar w:fldCharType="separate"/>
        </w:r>
        <w:r w:rsidR="006A3D27">
          <w:rPr>
            <w:webHidden/>
          </w:rPr>
          <w:t>19</w:t>
        </w:r>
        <w:r w:rsidR="006A3D27">
          <w:rPr>
            <w:webHidden/>
          </w:rPr>
          <w:fldChar w:fldCharType="end"/>
        </w:r>
      </w:hyperlink>
    </w:p>
    <w:p w14:paraId="75C98733" w14:textId="1AE02967" w:rsidR="006A3D27" w:rsidRDefault="00000000">
      <w:pPr>
        <w:pStyle w:val="TOC2"/>
        <w:rPr>
          <w:rFonts w:asciiTheme="minorHAnsi" w:eastAsiaTheme="minorEastAsia" w:hAnsiTheme="minorHAnsi" w:cstheme="minorBidi"/>
          <w:sz w:val="22"/>
          <w:szCs w:val="22"/>
          <w:lang w:eastAsia="en-AU"/>
        </w:rPr>
      </w:pPr>
      <w:hyperlink w:anchor="_Toc121134072" w:history="1">
        <w:r w:rsidR="006A3D27" w:rsidRPr="00977DF3">
          <w:rPr>
            <w:rStyle w:val="Hyperlink"/>
          </w:rPr>
          <w:t>Target Group</w:t>
        </w:r>
        <w:r w:rsidR="006A3D27">
          <w:rPr>
            <w:webHidden/>
          </w:rPr>
          <w:tab/>
        </w:r>
        <w:r w:rsidR="006A3D27">
          <w:rPr>
            <w:webHidden/>
          </w:rPr>
          <w:fldChar w:fldCharType="begin"/>
        </w:r>
        <w:r w:rsidR="006A3D27">
          <w:rPr>
            <w:webHidden/>
          </w:rPr>
          <w:instrText xml:space="preserve"> PAGEREF _Toc121134072 \h </w:instrText>
        </w:r>
        <w:r w:rsidR="006A3D27">
          <w:rPr>
            <w:webHidden/>
          </w:rPr>
        </w:r>
        <w:r w:rsidR="006A3D27">
          <w:rPr>
            <w:webHidden/>
          </w:rPr>
          <w:fldChar w:fldCharType="separate"/>
        </w:r>
        <w:r w:rsidR="006A3D27">
          <w:rPr>
            <w:webHidden/>
          </w:rPr>
          <w:t>19</w:t>
        </w:r>
        <w:r w:rsidR="006A3D27">
          <w:rPr>
            <w:webHidden/>
          </w:rPr>
          <w:fldChar w:fldCharType="end"/>
        </w:r>
      </w:hyperlink>
    </w:p>
    <w:p w14:paraId="4F54A3E5" w14:textId="467E876A" w:rsidR="006A3D27" w:rsidRDefault="00000000">
      <w:pPr>
        <w:pStyle w:val="TOC2"/>
        <w:rPr>
          <w:rFonts w:asciiTheme="minorHAnsi" w:eastAsiaTheme="minorEastAsia" w:hAnsiTheme="minorHAnsi" w:cstheme="minorBidi"/>
          <w:sz w:val="22"/>
          <w:szCs w:val="22"/>
          <w:lang w:eastAsia="en-AU"/>
        </w:rPr>
      </w:pPr>
      <w:hyperlink w:anchor="_Toc121134073" w:history="1">
        <w:r w:rsidR="006A3D27" w:rsidRPr="00977DF3">
          <w:rPr>
            <w:rStyle w:val="Hyperlink"/>
          </w:rPr>
          <w:t>Entry points and processes</w:t>
        </w:r>
        <w:r w:rsidR="006A3D27">
          <w:rPr>
            <w:webHidden/>
          </w:rPr>
          <w:tab/>
        </w:r>
        <w:r w:rsidR="006A3D27">
          <w:rPr>
            <w:webHidden/>
          </w:rPr>
          <w:fldChar w:fldCharType="begin"/>
        </w:r>
        <w:r w:rsidR="006A3D27">
          <w:rPr>
            <w:webHidden/>
          </w:rPr>
          <w:instrText xml:space="preserve"> PAGEREF _Toc121134073 \h </w:instrText>
        </w:r>
        <w:r w:rsidR="006A3D27">
          <w:rPr>
            <w:webHidden/>
          </w:rPr>
        </w:r>
        <w:r w:rsidR="006A3D27">
          <w:rPr>
            <w:webHidden/>
          </w:rPr>
          <w:fldChar w:fldCharType="separate"/>
        </w:r>
        <w:r w:rsidR="006A3D27">
          <w:rPr>
            <w:webHidden/>
          </w:rPr>
          <w:t>19</w:t>
        </w:r>
        <w:r w:rsidR="006A3D27">
          <w:rPr>
            <w:webHidden/>
          </w:rPr>
          <w:fldChar w:fldCharType="end"/>
        </w:r>
      </w:hyperlink>
    </w:p>
    <w:p w14:paraId="7D20560A" w14:textId="7D0B8F57" w:rsidR="006A3D27" w:rsidRDefault="00000000">
      <w:pPr>
        <w:pStyle w:val="TOC2"/>
        <w:rPr>
          <w:rFonts w:asciiTheme="minorHAnsi" w:eastAsiaTheme="minorEastAsia" w:hAnsiTheme="minorHAnsi" w:cstheme="minorBidi"/>
          <w:sz w:val="22"/>
          <w:szCs w:val="22"/>
          <w:lang w:eastAsia="en-AU"/>
        </w:rPr>
      </w:pPr>
      <w:hyperlink w:anchor="_Toc121134074" w:history="1">
        <w:r w:rsidR="006A3D27" w:rsidRPr="00977DF3">
          <w:rPr>
            <w:rStyle w:val="Hyperlink"/>
          </w:rPr>
          <w:t>Eligibility</w:t>
        </w:r>
        <w:r w:rsidR="006A3D27">
          <w:rPr>
            <w:webHidden/>
          </w:rPr>
          <w:tab/>
        </w:r>
        <w:r w:rsidR="006A3D27">
          <w:rPr>
            <w:webHidden/>
          </w:rPr>
          <w:fldChar w:fldCharType="begin"/>
        </w:r>
        <w:r w:rsidR="006A3D27">
          <w:rPr>
            <w:webHidden/>
          </w:rPr>
          <w:instrText xml:space="preserve"> PAGEREF _Toc121134074 \h </w:instrText>
        </w:r>
        <w:r w:rsidR="006A3D27">
          <w:rPr>
            <w:webHidden/>
          </w:rPr>
        </w:r>
        <w:r w:rsidR="006A3D27">
          <w:rPr>
            <w:webHidden/>
          </w:rPr>
          <w:fldChar w:fldCharType="separate"/>
        </w:r>
        <w:r w:rsidR="006A3D27">
          <w:rPr>
            <w:webHidden/>
          </w:rPr>
          <w:t>19</w:t>
        </w:r>
        <w:r w:rsidR="006A3D27">
          <w:rPr>
            <w:webHidden/>
          </w:rPr>
          <w:fldChar w:fldCharType="end"/>
        </w:r>
      </w:hyperlink>
    </w:p>
    <w:p w14:paraId="5C91B345" w14:textId="77B9F945" w:rsidR="006A3D27" w:rsidRDefault="00000000">
      <w:pPr>
        <w:pStyle w:val="TOC2"/>
        <w:rPr>
          <w:rFonts w:asciiTheme="minorHAnsi" w:eastAsiaTheme="minorEastAsia" w:hAnsiTheme="minorHAnsi" w:cstheme="minorBidi"/>
          <w:sz w:val="22"/>
          <w:szCs w:val="22"/>
          <w:lang w:eastAsia="en-AU"/>
        </w:rPr>
      </w:pPr>
      <w:hyperlink w:anchor="_Toc121134075" w:history="1">
        <w:r w:rsidR="006A3D27" w:rsidRPr="00977DF3">
          <w:rPr>
            <w:rStyle w:val="Hyperlink"/>
          </w:rPr>
          <w:t>Victorian Housing Register (VHR)</w:t>
        </w:r>
        <w:r w:rsidR="006A3D27">
          <w:rPr>
            <w:webHidden/>
          </w:rPr>
          <w:tab/>
        </w:r>
        <w:r w:rsidR="006A3D27">
          <w:rPr>
            <w:webHidden/>
          </w:rPr>
          <w:fldChar w:fldCharType="begin"/>
        </w:r>
        <w:r w:rsidR="006A3D27">
          <w:rPr>
            <w:webHidden/>
          </w:rPr>
          <w:instrText xml:space="preserve"> PAGEREF _Toc121134075 \h </w:instrText>
        </w:r>
        <w:r w:rsidR="006A3D27">
          <w:rPr>
            <w:webHidden/>
          </w:rPr>
        </w:r>
        <w:r w:rsidR="006A3D27">
          <w:rPr>
            <w:webHidden/>
          </w:rPr>
          <w:fldChar w:fldCharType="separate"/>
        </w:r>
        <w:r w:rsidR="006A3D27">
          <w:rPr>
            <w:webHidden/>
          </w:rPr>
          <w:t>20</w:t>
        </w:r>
        <w:r w:rsidR="006A3D27">
          <w:rPr>
            <w:webHidden/>
          </w:rPr>
          <w:fldChar w:fldCharType="end"/>
        </w:r>
      </w:hyperlink>
    </w:p>
    <w:p w14:paraId="5C973ECC" w14:textId="0A19E92B" w:rsidR="006A3D27" w:rsidRDefault="00000000">
      <w:pPr>
        <w:pStyle w:val="TOC1"/>
        <w:rPr>
          <w:rFonts w:asciiTheme="minorHAnsi" w:eastAsiaTheme="minorEastAsia" w:hAnsiTheme="minorHAnsi" w:cstheme="minorBidi"/>
          <w:b w:val="0"/>
          <w:sz w:val="22"/>
          <w:szCs w:val="22"/>
          <w:lang w:eastAsia="en-AU"/>
        </w:rPr>
      </w:pPr>
      <w:hyperlink w:anchor="_Toc121134076" w:history="1">
        <w:r w:rsidR="006A3D27" w:rsidRPr="00977DF3">
          <w:rPr>
            <w:rStyle w:val="Hyperlink"/>
          </w:rPr>
          <w:t>Key Activities</w:t>
        </w:r>
        <w:r w:rsidR="006A3D27">
          <w:rPr>
            <w:webHidden/>
          </w:rPr>
          <w:tab/>
        </w:r>
        <w:r w:rsidR="006A3D27">
          <w:rPr>
            <w:webHidden/>
          </w:rPr>
          <w:fldChar w:fldCharType="begin"/>
        </w:r>
        <w:r w:rsidR="006A3D27">
          <w:rPr>
            <w:webHidden/>
          </w:rPr>
          <w:instrText xml:space="preserve"> PAGEREF _Toc121134076 \h </w:instrText>
        </w:r>
        <w:r w:rsidR="006A3D27">
          <w:rPr>
            <w:webHidden/>
          </w:rPr>
        </w:r>
        <w:r w:rsidR="006A3D27">
          <w:rPr>
            <w:webHidden/>
          </w:rPr>
          <w:fldChar w:fldCharType="separate"/>
        </w:r>
        <w:r w:rsidR="006A3D27">
          <w:rPr>
            <w:webHidden/>
          </w:rPr>
          <w:t>21</w:t>
        </w:r>
        <w:r w:rsidR="006A3D27">
          <w:rPr>
            <w:webHidden/>
          </w:rPr>
          <w:fldChar w:fldCharType="end"/>
        </w:r>
      </w:hyperlink>
    </w:p>
    <w:p w14:paraId="3151050E" w14:textId="6E8B1110" w:rsidR="006A3D27" w:rsidRDefault="00000000">
      <w:pPr>
        <w:pStyle w:val="TOC2"/>
        <w:rPr>
          <w:rFonts w:asciiTheme="minorHAnsi" w:eastAsiaTheme="minorEastAsia" w:hAnsiTheme="minorHAnsi" w:cstheme="minorBidi"/>
          <w:sz w:val="22"/>
          <w:szCs w:val="22"/>
          <w:lang w:eastAsia="en-AU"/>
        </w:rPr>
      </w:pPr>
      <w:hyperlink w:anchor="_Toc121134077" w:history="1">
        <w:r w:rsidR="006A3D27" w:rsidRPr="00977DF3">
          <w:rPr>
            <w:rStyle w:val="Hyperlink"/>
          </w:rPr>
          <w:t>Support services</w:t>
        </w:r>
        <w:r w:rsidR="006A3D27">
          <w:rPr>
            <w:webHidden/>
          </w:rPr>
          <w:tab/>
        </w:r>
        <w:r w:rsidR="006A3D27">
          <w:rPr>
            <w:webHidden/>
          </w:rPr>
          <w:fldChar w:fldCharType="begin"/>
        </w:r>
        <w:r w:rsidR="006A3D27">
          <w:rPr>
            <w:webHidden/>
          </w:rPr>
          <w:instrText xml:space="preserve"> PAGEREF _Toc121134077 \h </w:instrText>
        </w:r>
        <w:r w:rsidR="006A3D27">
          <w:rPr>
            <w:webHidden/>
          </w:rPr>
        </w:r>
        <w:r w:rsidR="006A3D27">
          <w:rPr>
            <w:webHidden/>
          </w:rPr>
          <w:fldChar w:fldCharType="separate"/>
        </w:r>
        <w:r w:rsidR="006A3D27">
          <w:rPr>
            <w:webHidden/>
          </w:rPr>
          <w:t>21</w:t>
        </w:r>
        <w:r w:rsidR="006A3D27">
          <w:rPr>
            <w:webHidden/>
          </w:rPr>
          <w:fldChar w:fldCharType="end"/>
        </w:r>
      </w:hyperlink>
    </w:p>
    <w:p w14:paraId="0C3BC7F9" w14:textId="359ECB95" w:rsidR="006A3D27" w:rsidRDefault="00000000">
      <w:pPr>
        <w:pStyle w:val="TOC2"/>
        <w:rPr>
          <w:rFonts w:asciiTheme="minorHAnsi" w:eastAsiaTheme="minorEastAsia" w:hAnsiTheme="minorHAnsi" w:cstheme="minorBidi"/>
          <w:sz w:val="22"/>
          <w:szCs w:val="22"/>
          <w:lang w:eastAsia="en-AU"/>
        </w:rPr>
      </w:pPr>
      <w:hyperlink w:anchor="_Toc121134078" w:history="1">
        <w:r w:rsidR="006A3D27" w:rsidRPr="00977DF3">
          <w:rPr>
            <w:rStyle w:val="Hyperlink"/>
          </w:rPr>
          <w:t>Flexible Brokerage</w:t>
        </w:r>
        <w:r w:rsidR="006A3D27">
          <w:rPr>
            <w:webHidden/>
          </w:rPr>
          <w:tab/>
        </w:r>
        <w:r w:rsidR="006A3D27">
          <w:rPr>
            <w:webHidden/>
          </w:rPr>
          <w:fldChar w:fldCharType="begin"/>
        </w:r>
        <w:r w:rsidR="006A3D27">
          <w:rPr>
            <w:webHidden/>
          </w:rPr>
          <w:instrText xml:space="preserve"> PAGEREF _Toc121134078 \h </w:instrText>
        </w:r>
        <w:r w:rsidR="006A3D27">
          <w:rPr>
            <w:webHidden/>
          </w:rPr>
        </w:r>
        <w:r w:rsidR="006A3D27">
          <w:rPr>
            <w:webHidden/>
          </w:rPr>
          <w:fldChar w:fldCharType="separate"/>
        </w:r>
        <w:r w:rsidR="006A3D27">
          <w:rPr>
            <w:webHidden/>
          </w:rPr>
          <w:t>25</w:t>
        </w:r>
        <w:r w:rsidR="006A3D27">
          <w:rPr>
            <w:webHidden/>
          </w:rPr>
          <w:fldChar w:fldCharType="end"/>
        </w:r>
      </w:hyperlink>
    </w:p>
    <w:p w14:paraId="6C7365C9" w14:textId="43D70717" w:rsidR="006A3D27" w:rsidRDefault="00000000">
      <w:pPr>
        <w:pStyle w:val="TOC2"/>
        <w:rPr>
          <w:rFonts w:asciiTheme="minorHAnsi" w:eastAsiaTheme="minorEastAsia" w:hAnsiTheme="minorHAnsi" w:cstheme="minorBidi"/>
          <w:sz w:val="22"/>
          <w:szCs w:val="22"/>
          <w:lang w:eastAsia="en-AU"/>
        </w:rPr>
      </w:pPr>
      <w:hyperlink w:anchor="_Toc121134079" w:history="1">
        <w:r w:rsidR="006A3D27" w:rsidRPr="00977DF3">
          <w:rPr>
            <w:rStyle w:val="Hyperlink"/>
          </w:rPr>
          <w:t>Property Services</w:t>
        </w:r>
        <w:r w:rsidR="006A3D27">
          <w:rPr>
            <w:webHidden/>
          </w:rPr>
          <w:tab/>
        </w:r>
        <w:r w:rsidR="006A3D27">
          <w:rPr>
            <w:webHidden/>
          </w:rPr>
          <w:fldChar w:fldCharType="begin"/>
        </w:r>
        <w:r w:rsidR="006A3D27">
          <w:rPr>
            <w:webHidden/>
          </w:rPr>
          <w:instrText xml:space="preserve"> PAGEREF _Toc121134079 \h </w:instrText>
        </w:r>
        <w:r w:rsidR="006A3D27">
          <w:rPr>
            <w:webHidden/>
          </w:rPr>
        </w:r>
        <w:r w:rsidR="006A3D27">
          <w:rPr>
            <w:webHidden/>
          </w:rPr>
          <w:fldChar w:fldCharType="separate"/>
        </w:r>
        <w:r w:rsidR="006A3D27">
          <w:rPr>
            <w:webHidden/>
          </w:rPr>
          <w:t>26</w:t>
        </w:r>
        <w:r w:rsidR="006A3D27">
          <w:rPr>
            <w:webHidden/>
          </w:rPr>
          <w:fldChar w:fldCharType="end"/>
        </w:r>
      </w:hyperlink>
    </w:p>
    <w:p w14:paraId="2214B10E" w14:textId="56288E2F" w:rsidR="006A3D27" w:rsidRDefault="00000000">
      <w:pPr>
        <w:pStyle w:val="TOC2"/>
        <w:rPr>
          <w:rFonts w:asciiTheme="minorHAnsi" w:eastAsiaTheme="minorEastAsia" w:hAnsiTheme="minorHAnsi" w:cstheme="minorBidi"/>
          <w:sz w:val="22"/>
          <w:szCs w:val="22"/>
          <w:lang w:eastAsia="en-AU"/>
        </w:rPr>
      </w:pPr>
      <w:hyperlink w:anchor="_Toc121134080" w:history="1">
        <w:r w:rsidR="006A3D27" w:rsidRPr="00977DF3">
          <w:rPr>
            <w:rStyle w:val="Hyperlink"/>
            <w:rFonts w:eastAsia="Arial"/>
          </w:rPr>
          <w:t>Tenancy Sustainment</w:t>
        </w:r>
        <w:r w:rsidR="006A3D27">
          <w:rPr>
            <w:webHidden/>
          </w:rPr>
          <w:tab/>
        </w:r>
        <w:r w:rsidR="006A3D27">
          <w:rPr>
            <w:webHidden/>
          </w:rPr>
          <w:fldChar w:fldCharType="begin"/>
        </w:r>
        <w:r w:rsidR="006A3D27">
          <w:rPr>
            <w:webHidden/>
          </w:rPr>
          <w:instrText xml:space="preserve"> PAGEREF _Toc121134080 \h </w:instrText>
        </w:r>
        <w:r w:rsidR="006A3D27">
          <w:rPr>
            <w:webHidden/>
          </w:rPr>
        </w:r>
        <w:r w:rsidR="006A3D27">
          <w:rPr>
            <w:webHidden/>
          </w:rPr>
          <w:fldChar w:fldCharType="separate"/>
        </w:r>
        <w:r w:rsidR="006A3D27">
          <w:rPr>
            <w:webHidden/>
          </w:rPr>
          <w:t>28</w:t>
        </w:r>
        <w:r w:rsidR="006A3D27">
          <w:rPr>
            <w:webHidden/>
          </w:rPr>
          <w:fldChar w:fldCharType="end"/>
        </w:r>
      </w:hyperlink>
    </w:p>
    <w:p w14:paraId="0ED92242" w14:textId="390D048A" w:rsidR="006A3D27" w:rsidRDefault="00000000">
      <w:pPr>
        <w:pStyle w:val="TOC1"/>
        <w:rPr>
          <w:rFonts w:asciiTheme="minorHAnsi" w:eastAsiaTheme="minorEastAsia" w:hAnsiTheme="minorHAnsi" w:cstheme="minorBidi"/>
          <w:b w:val="0"/>
          <w:sz w:val="22"/>
          <w:szCs w:val="22"/>
          <w:lang w:eastAsia="en-AU"/>
        </w:rPr>
      </w:pPr>
      <w:hyperlink w:anchor="_Toc121134081" w:history="1">
        <w:r w:rsidR="006A3D27" w:rsidRPr="00977DF3">
          <w:rPr>
            <w:rStyle w:val="Hyperlink"/>
          </w:rPr>
          <w:t>Properties</w:t>
        </w:r>
        <w:r w:rsidR="006A3D27">
          <w:rPr>
            <w:webHidden/>
          </w:rPr>
          <w:tab/>
        </w:r>
        <w:r w:rsidR="006A3D27">
          <w:rPr>
            <w:webHidden/>
          </w:rPr>
          <w:fldChar w:fldCharType="begin"/>
        </w:r>
        <w:r w:rsidR="006A3D27">
          <w:rPr>
            <w:webHidden/>
          </w:rPr>
          <w:instrText xml:space="preserve"> PAGEREF _Toc121134081 \h </w:instrText>
        </w:r>
        <w:r w:rsidR="006A3D27">
          <w:rPr>
            <w:webHidden/>
          </w:rPr>
        </w:r>
        <w:r w:rsidR="006A3D27">
          <w:rPr>
            <w:webHidden/>
          </w:rPr>
          <w:fldChar w:fldCharType="separate"/>
        </w:r>
        <w:r w:rsidR="006A3D27">
          <w:rPr>
            <w:webHidden/>
          </w:rPr>
          <w:t>31</w:t>
        </w:r>
        <w:r w:rsidR="006A3D27">
          <w:rPr>
            <w:webHidden/>
          </w:rPr>
          <w:fldChar w:fldCharType="end"/>
        </w:r>
      </w:hyperlink>
    </w:p>
    <w:p w14:paraId="3B03EBFC" w14:textId="5CCCDEFA" w:rsidR="006A3D27" w:rsidRDefault="00000000">
      <w:pPr>
        <w:pStyle w:val="TOC2"/>
        <w:rPr>
          <w:rFonts w:asciiTheme="minorHAnsi" w:eastAsiaTheme="minorEastAsia" w:hAnsiTheme="minorHAnsi" w:cstheme="minorBidi"/>
          <w:sz w:val="22"/>
          <w:szCs w:val="22"/>
          <w:lang w:eastAsia="en-AU"/>
        </w:rPr>
      </w:pPr>
      <w:hyperlink w:anchor="_Toc121134082" w:history="1">
        <w:r w:rsidR="006A3D27" w:rsidRPr="00977DF3">
          <w:rPr>
            <w:rStyle w:val="Hyperlink"/>
          </w:rPr>
          <w:t>Public Housing Properties</w:t>
        </w:r>
        <w:r w:rsidR="006A3D27">
          <w:rPr>
            <w:webHidden/>
          </w:rPr>
          <w:tab/>
        </w:r>
        <w:r w:rsidR="006A3D27">
          <w:rPr>
            <w:webHidden/>
          </w:rPr>
          <w:fldChar w:fldCharType="begin"/>
        </w:r>
        <w:r w:rsidR="006A3D27">
          <w:rPr>
            <w:webHidden/>
          </w:rPr>
          <w:instrText xml:space="preserve"> PAGEREF _Toc121134082 \h </w:instrText>
        </w:r>
        <w:r w:rsidR="006A3D27">
          <w:rPr>
            <w:webHidden/>
          </w:rPr>
        </w:r>
        <w:r w:rsidR="006A3D27">
          <w:rPr>
            <w:webHidden/>
          </w:rPr>
          <w:fldChar w:fldCharType="separate"/>
        </w:r>
        <w:r w:rsidR="006A3D27">
          <w:rPr>
            <w:webHidden/>
          </w:rPr>
          <w:t>31</w:t>
        </w:r>
        <w:r w:rsidR="006A3D27">
          <w:rPr>
            <w:webHidden/>
          </w:rPr>
          <w:fldChar w:fldCharType="end"/>
        </w:r>
      </w:hyperlink>
    </w:p>
    <w:p w14:paraId="2080EA41" w14:textId="7EEE4D30" w:rsidR="006A3D27" w:rsidRDefault="00000000">
      <w:pPr>
        <w:pStyle w:val="TOC2"/>
        <w:rPr>
          <w:rFonts w:asciiTheme="minorHAnsi" w:eastAsiaTheme="minorEastAsia" w:hAnsiTheme="minorHAnsi" w:cstheme="minorBidi"/>
          <w:sz w:val="22"/>
          <w:szCs w:val="22"/>
          <w:lang w:eastAsia="en-AU"/>
        </w:rPr>
      </w:pPr>
      <w:hyperlink w:anchor="_Toc121134083" w:history="1">
        <w:r w:rsidR="006A3D27" w:rsidRPr="00977DF3">
          <w:rPr>
            <w:rStyle w:val="Hyperlink"/>
          </w:rPr>
          <w:t>General Lease Properties</w:t>
        </w:r>
        <w:r w:rsidR="006A3D27">
          <w:rPr>
            <w:webHidden/>
          </w:rPr>
          <w:tab/>
        </w:r>
        <w:r w:rsidR="006A3D27">
          <w:rPr>
            <w:webHidden/>
          </w:rPr>
          <w:fldChar w:fldCharType="begin"/>
        </w:r>
        <w:r w:rsidR="006A3D27">
          <w:rPr>
            <w:webHidden/>
          </w:rPr>
          <w:instrText xml:space="preserve"> PAGEREF _Toc121134083 \h </w:instrText>
        </w:r>
        <w:r w:rsidR="006A3D27">
          <w:rPr>
            <w:webHidden/>
          </w:rPr>
        </w:r>
        <w:r w:rsidR="006A3D27">
          <w:rPr>
            <w:webHidden/>
          </w:rPr>
          <w:fldChar w:fldCharType="separate"/>
        </w:r>
        <w:r w:rsidR="006A3D27">
          <w:rPr>
            <w:webHidden/>
          </w:rPr>
          <w:t>31</w:t>
        </w:r>
        <w:r w:rsidR="006A3D27">
          <w:rPr>
            <w:webHidden/>
          </w:rPr>
          <w:fldChar w:fldCharType="end"/>
        </w:r>
      </w:hyperlink>
    </w:p>
    <w:p w14:paraId="0CA792F0" w14:textId="3A2A1ED0" w:rsidR="006A3D27" w:rsidRDefault="00000000">
      <w:pPr>
        <w:pStyle w:val="TOC2"/>
        <w:rPr>
          <w:rFonts w:asciiTheme="minorHAnsi" w:eastAsiaTheme="minorEastAsia" w:hAnsiTheme="minorHAnsi" w:cstheme="minorBidi"/>
          <w:sz w:val="22"/>
          <w:szCs w:val="22"/>
          <w:lang w:eastAsia="en-AU"/>
        </w:rPr>
      </w:pPr>
      <w:hyperlink w:anchor="_Toc121134084" w:history="1">
        <w:r w:rsidR="006A3D27" w:rsidRPr="00977DF3">
          <w:rPr>
            <w:rStyle w:val="Hyperlink"/>
          </w:rPr>
          <w:t>Head-Leased/Owned Properties</w:t>
        </w:r>
        <w:r w:rsidR="006A3D27">
          <w:rPr>
            <w:webHidden/>
          </w:rPr>
          <w:tab/>
        </w:r>
        <w:r w:rsidR="006A3D27">
          <w:rPr>
            <w:webHidden/>
          </w:rPr>
          <w:fldChar w:fldCharType="begin"/>
        </w:r>
        <w:r w:rsidR="006A3D27">
          <w:rPr>
            <w:webHidden/>
          </w:rPr>
          <w:instrText xml:space="preserve"> PAGEREF _Toc121134084 \h </w:instrText>
        </w:r>
        <w:r w:rsidR="006A3D27">
          <w:rPr>
            <w:webHidden/>
          </w:rPr>
        </w:r>
        <w:r w:rsidR="006A3D27">
          <w:rPr>
            <w:webHidden/>
          </w:rPr>
          <w:fldChar w:fldCharType="separate"/>
        </w:r>
        <w:r w:rsidR="006A3D27">
          <w:rPr>
            <w:webHidden/>
          </w:rPr>
          <w:t>32</w:t>
        </w:r>
        <w:r w:rsidR="006A3D27">
          <w:rPr>
            <w:webHidden/>
          </w:rPr>
          <w:fldChar w:fldCharType="end"/>
        </w:r>
      </w:hyperlink>
    </w:p>
    <w:p w14:paraId="13BCB411" w14:textId="1DE2C5EA" w:rsidR="006A3D27" w:rsidRDefault="00000000">
      <w:pPr>
        <w:pStyle w:val="TOC2"/>
        <w:rPr>
          <w:rFonts w:asciiTheme="minorHAnsi" w:eastAsiaTheme="minorEastAsia" w:hAnsiTheme="minorHAnsi" w:cstheme="minorBidi"/>
          <w:sz w:val="22"/>
          <w:szCs w:val="22"/>
          <w:lang w:eastAsia="en-AU"/>
        </w:rPr>
      </w:pPr>
      <w:hyperlink w:anchor="_Toc121134085" w:history="1">
        <w:r w:rsidR="006A3D27" w:rsidRPr="00977DF3">
          <w:rPr>
            <w:rStyle w:val="Hyperlink"/>
          </w:rPr>
          <w:t>Head Lease Extensions</w:t>
        </w:r>
        <w:r w:rsidR="006A3D27">
          <w:rPr>
            <w:webHidden/>
          </w:rPr>
          <w:tab/>
        </w:r>
        <w:r w:rsidR="006A3D27">
          <w:rPr>
            <w:webHidden/>
          </w:rPr>
          <w:fldChar w:fldCharType="begin"/>
        </w:r>
        <w:r w:rsidR="006A3D27">
          <w:rPr>
            <w:webHidden/>
          </w:rPr>
          <w:instrText xml:space="preserve"> PAGEREF _Toc121134085 \h </w:instrText>
        </w:r>
        <w:r w:rsidR="006A3D27">
          <w:rPr>
            <w:webHidden/>
          </w:rPr>
        </w:r>
        <w:r w:rsidR="006A3D27">
          <w:rPr>
            <w:webHidden/>
          </w:rPr>
          <w:fldChar w:fldCharType="separate"/>
        </w:r>
        <w:r w:rsidR="006A3D27">
          <w:rPr>
            <w:webHidden/>
          </w:rPr>
          <w:t>32</w:t>
        </w:r>
        <w:r w:rsidR="006A3D27">
          <w:rPr>
            <w:webHidden/>
          </w:rPr>
          <w:fldChar w:fldCharType="end"/>
        </w:r>
      </w:hyperlink>
    </w:p>
    <w:p w14:paraId="4954B077" w14:textId="4AA79FBC" w:rsidR="006A3D27" w:rsidRDefault="00000000">
      <w:pPr>
        <w:pStyle w:val="TOC2"/>
        <w:rPr>
          <w:rFonts w:asciiTheme="minorHAnsi" w:eastAsiaTheme="minorEastAsia" w:hAnsiTheme="minorHAnsi" w:cstheme="minorBidi"/>
          <w:sz w:val="22"/>
          <w:szCs w:val="22"/>
          <w:lang w:eastAsia="en-AU"/>
        </w:rPr>
      </w:pPr>
      <w:hyperlink w:anchor="_Toc121134086" w:history="1">
        <w:r w:rsidR="006A3D27" w:rsidRPr="00977DF3">
          <w:rPr>
            <w:rStyle w:val="Hyperlink"/>
          </w:rPr>
          <w:t>Allocations</w:t>
        </w:r>
        <w:r w:rsidR="006A3D27">
          <w:rPr>
            <w:webHidden/>
          </w:rPr>
          <w:tab/>
        </w:r>
        <w:r w:rsidR="006A3D27">
          <w:rPr>
            <w:webHidden/>
          </w:rPr>
          <w:fldChar w:fldCharType="begin"/>
        </w:r>
        <w:r w:rsidR="006A3D27">
          <w:rPr>
            <w:webHidden/>
          </w:rPr>
          <w:instrText xml:space="preserve"> PAGEREF _Toc121134086 \h </w:instrText>
        </w:r>
        <w:r w:rsidR="006A3D27">
          <w:rPr>
            <w:webHidden/>
          </w:rPr>
        </w:r>
        <w:r w:rsidR="006A3D27">
          <w:rPr>
            <w:webHidden/>
          </w:rPr>
          <w:fldChar w:fldCharType="separate"/>
        </w:r>
        <w:r w:rsidR="006A3D27">
          <w:rPr>
            <w:webHidden/>
          </w:rPr>
          <w:t>33</w:t>
        </w:r>
        <w:r w:rsidR="006A3D27">
          <w:rPr>
            <w:webHidden/>
          </w:rPr>
          <w:fldChar w:fldCharType="end"/>
        </w:r>
      </w:hyperlink>
    </w:p>
    <w:p w14:paraId="51029939" w14:textId="7DC37C1D" w:rsidR="006A3D27" w:rsidRDefault="00000000">
      <w:pPr>
        <w:pStyle w:val="TOC1"/>
        <w:rPr>
          <w:rFonts w:asciiTheme="minorHAnsi" w:eastAsiaTheme="minorEastAsia" w:hAnsiTheme="minorHAnsi" w:cstheme="minorBidi"/>
          <w:b w:val="0"/>
          <w:sz w:val="22"/>
          <w:szCs w:val="22"/>
          <w:lang w:eastAsia="en-AU"/>
        </w:rPr>
      </w:pPr>
      <w:hyperlink w:anchor="_Toc121134087" w:history="1">
        <w:r w:rsidR="006A3D27" w:rsidRPr="00977DF3">
          <w:rPr>
            <w:rStyle w:val="Hyperlink"/>
          </w:rPr>
          <w:t>Housing Allocations</w:t>
        </w:r>
        <w:r w:rsidR="006A3D27">
          <w:rPr>
            <w:webHidden/>
          </w:rPr>
          <w:tab/>
        </w:r>
        <w:r w:rsidR="006A3D27">
          <w:rPr>
            <w:webHidden/>
          </w:rPr>
          <w:fldChar w:fldCharType="begin"/>
        </w:r>
        <w:r w:rsidR="006A3D27">
          <w:rPr>
            <w:webHidden/>
          </w:rPr>
          <w:instrText xml:space="preserve"> PAGEREF _Toc121134087 \h </w:instrText>
        </w:r>
        <w:r w:rsidR="006A3D27">
          <w:rPr>
            <w:webHidden/>
          </w:rPr>
        </w:r>
        <w:r w:rsidR="006A3D27">
          <w:rPr>
            <w:webHidden/>
          </w:rPr>
          <w:fldChar w:fldCharType="separate"/>
        </w:r>
        <w:r w:rsidR="006A3D27">
          <w:rPr>
            <w:webHidden/>
          </w:rPr>
          <w:t>34</w:t>
        </w:r>
        <w:r w:rsidR="006A3D27">
          <w:rPr>
            <w:webHidden/>
          </w:rPr>
          <w:fldChar w:fldCharType="end"/>
        </w:r>
      </w:hyperlink>
    </w:p>
    <w:p w14:paraId="6BBD114C" w14:textId="19F5F43E" w:rsidR="006A3D27" w:rsidRDefault="00000000">
      <w:pPr>
        <w:pStyle w:val="TOC2"/>
        <w:rPr>
          <w:rFonts w:asciiTheme="minorHAnsi" w:eastAsiaTheme="minorEastAsia" w:hAnsiTheme="minorHAnsi" w:cstheme="minorBidi"/>
          <w:sz w:val="22"/>
          <w:szCs w:val="22"/>
          <w:lang w:eastAsia="en-AU"/>
        </w:rPr>
      </w:pPr>
      <w:hyperlink w:anchor="_Toc121134088" w:history="1">
        <w:r w:rsidR="006A3D27" w:rsidRPr="00977DF3">
          <w:rPr>
            <w:rStyle w:val="Hyperlink"/>
          </w:rPr>
          <w:t>Identification and securing of properties</w:t>
        </w:r>
        <w:r w:rsidR="006A3D27">
          <w:rPr>
            <w:webHidden/>
          </w:rPr>
          <w:tab/>
        </w:r>
        <w:r w:rsidR="006A3D27">
          <w:rPr>
            <w:webHidden/>
          </w:rPr>
          <w:fldChar w:fldCharType="begin"/>
        </w:r>
        <w:r w:rsidR="006A3D27">
          <w:rPr>
            <w:webHidden/>
          </w:rPr>
          <w:instrText xml:space="preserve"> PAGEREF _Toc121134088 \h </w:instrText>
        </w:r>
        <w:r w:rsidR="006A3D27">
          <w:rPr>
            <w:webHidden/>
          </w:rPr>
        </w:r>
        <w:r w:rsidR="006A3D27">
          <w:rPr>
            <w:webHidden/>
          </w:rPr>
          <w:fldChar w:fldCharType="separate"/>
        </w:r>
        <w:r w:rsidR="006A3D27">
          <w:rPr>
            <w:webHidden/>
          </w:rPr>
          <w:t>34</w:t>
        </w:r>
        <w:r w:rsidR="006A3D27">
          <w:rPr>
            <w:webHidden/>
          </w:rPr>
          <w:fldChar w:fldCharType="end"/>
        </w:r>
      </w:hyperlink>
    </w:p>
    <w:p w14:paraId="4F4D7889" w14:textId="5902551B" w:rsidR="006A3D27" w:rsidRDefault="00000000">
      <w:pPr>
        <w:pStyle w:val="TOC2"/>
        <w:rPr>
          <w:rFonts w:asciiTheme="minorHAnsi" w:eastAsiaTheme="minorEastAsia" w:hAnsiTheme="minorHAnsi" w:cstheme="minorBidi"/>
          <w:sz w:val="22"/>
          <w:szCs w:val="22"/>
          <w:lang w:eastAsia="en-AU"/>
        </w:rPr>
      </w:pPr>
      <w:hyperlink w:anchor="_Toc121134090" w:history="1">
        <w:r w:rsidR="006A3D27" w:rsidRPr="00977DF3">
          <w:rPr>
            <w:rStyle w:val="Hyperlink"/>
            <w:rFonts w:eastAsia="Arial"/>
          </w:rPr>
          <w:t>Financial assistance in establishing a H2H tenancy</w:t>
        </w:r>
        <w:r w:rsidR="006A3D27">
          <w:rPr>
            <w:webHidden/>
          </w:rPr>
          <w:tab/>
        </w:r>
        <w:r w:rsidR="006A3D27">
          <w:rPr>
            <w:webHidden/>
          </w:rPr>
          <w:fldChar w:fldCharType="begin"/>
        </w:r>
        <w:r w:rsidR="006A3D27">
          <w:rPr>
            <w:webHidden/>
          </w:rPr>
          <w:instrText xml:space="preserve"> PAGEREF _Toc121134090 \h </w:instrText>
        </w:r>
        <w:r w:rsidR="006A3D27">
          <w:rPr>
            <w:webHidden/>
          </w:rPr>
        </w:r>
        <w:r w:rsidR="006A3D27">
          <w:rPr>
            <w:webHidden/>
          </w:rPr>
          <w:fldChar w:fldCharType="separate"/>
        </w:r>
        <w:r w:rsidR="006A3D27">
          <w:rPr>
            <w:webHidden/>
          </w:rPr>
          <w:t>36</w:t>
        </w:r>
        <w:r w:rsidR="006A3D27">
          <w:rPr>
            <w:webHidden/>
          </w:rPr>
          <w:fldChar w:fldCharType="end"/>
        </w:r>
      </w:hyperlink>
    </w:p>
    <w:p w14:paraId="6A15F735" w14:textId="1BF2641F" w:rsidR="006A3D27" w:rsidRDefault="00000000">
      <w:pPr>
        <w:pStyle w:val="TOC2"/>
        <w:rPr>
          <w:rFonts w:asciiTheme="minorHAnsi" w:eastAsiaTheme="minorEastAsia" w:hAnsiTheme="minorHAnsi" w:cstheme="minorBidi"/>
          <w:sz w:val="22"/>
          <w:szCs w:val="22"/>
          <w:lang w:eastAsia="en-AU"/>
        </w:rPr>
      </w:pPr>
      <w:hyperlink w:anchor="_Toc121134091" w:history="1">
        <w:r w:rsidR="006A3D27" w:rsidRPr="00977DF3">
          <w:rPr>
            <w:rStyle w:val="Hyperlink"/>
            <w:lang w:val="en-US"/>
          </w:rPr>
          <w:t>Vacancy Management - Head Leased Properties</w:t>
        </w:r>
        <w:r w:rsidR="006A3D27">
          <w:rPr>
            <w:webHidden/>
          </w:rPr>
          <w:tab/>
        </w:r>
        <w:r w:rsidR="006A3D27">
          <w:rPr>
            <w:webHidden/>
          </w:rPr>
          <w:fldChar w:fldCharType="begin"/>
        </w:r>
        <w:r w:rsidR="006A3D27">
          <w:rPr>
            <w:webHidden/>
          </w:rPr>
          <w:instrText xml:space="preserve"> PAGEREF _Toc121134091 \h </w:instrText>
        </w:r>
        <w:r w:rsidR="006A3D27">
          <w:rPr>
            <w:webHidden/>
          </w:rPr>
        </w:r>
        <w:r w:rsidR="006A3D27">
          <w:rPr>
            <w:webHidden/>
          </w:rPr>
          <w:fldChar w:fldCharType="separate"/>
        </w:r>
        <w:r w:rsidR="006A3D27">
          <w:rPr>
            <w:webHidden/>
          </w:rPr>
          <w:t>37</w:t>
        </w:r>
        <w:r w:rsidR="006A3D27">
          <w:rPr>
            <w:webHidden/>
          </w:rPr>
          <w:fldChar w:fldCharType="end"/>
        </w:r>
      </w:hyperlink>
    </w:p>
    <w:p w14:paraId="67B9AB7B" w14:textId="26883842" w:rsidR="006A3D27" w:rsidRDefault="00000000">
      <w:pPr>
        <w:pStyle w:val="TOC1"/>
        <w:rPr>
          <w:rFonts w:asciiTheme="minorHAnsi" w:eastAsiaTheme="minorEastAsia" w:hAnsiTheme="minorHAnsi" w:cstheme="minorBidi"/>
          <w:b w:val="0"/>
          <w:sz w:val="22"/>
          <w:szCs w:val="22"/>
          <w:lang w:eastAsia="en-AU"/>
        </w:rPr>
      </w:pPr>
      <w:hyperlink w:anchor="_Toc121134092" w:history="1">
        <w:r w:rsidR="006A3D27" w:rsidRPr="00977DF3">
          <w:rPr>
            <w:rStyle w:val="Hyperlink"/>
          </w:rPr>
          <w:t>Public Housing Allocations</w:t>
        </w:r>
        <w:r w:rsidR="006A3D27">
          <w:rPr>
            <w:webHidden/>
          </w:rPr>
          <w:tab/>
        </w:r>
        <w:r w:rsidR="006A3D27">
          <w:rPr>
            <w:webHidden/>
          </w:rPr>
          <w:fldChar w:fldCharType="begin"/>
        </w:r>
        <w:r w:rsidR="006A3D27">
          <w:rPr>
            <w:webHidden/>
          </w:rPr>
          <w:instrText xml:space="preserve"> PAGEREF _Toc121134092 \h </w:instrText>
        </w:r>
        <w:r w:rsidR="006A3D27">
          <w:rPr>
            <w:webHidden/>
          </w:rPr>
        </w:r>
        <w:r w:rsidR="006A3D27">
          <w:rPr>
            <w:webHidden/>
          </w:rPr>
          <w:fldChar w:fldCharType="separate"/>
        </w:r>
        <w:r w:rsidR="006A3D27">
          <w:rPr>
            <w:webHidden/>
          </w:rPr>
          <w:t>38</w:t>
        </w:r>
        <w:r w:rsidR="006A3D27">
          <w:rPr>
            <w:webHidden/>
          </w:rPr>
          <w:fldChar w:fldCharType="end"/>
        </w:r>
      </w:hyperlink>
    </w:p>
    <w:p w14:paraId="58F477DB" w14:textId="3E6B2D1A" w:rsidR="006A3D27" w:rsidRDefault="00000000">
      <w:pPr>
        <w:pStyle w:val="TOC2"/>
        <w:rPr>
          <w:rFonts w:asciiTheme="minorHAnsi" w:eastAsiaTheme="minorEastAsia" w:hAnsiTheme="minorHAnsi" w:cstheme="minorBidi"/>
          <w:sz w:val="22"/>
          <w:szCs w:val="22"/>
          <w:lang w:eastAsia="en-AU"/>
        </w:rPr>
      </w:pPr>
      <w:hyperlink w:anchor="_Toc121134093" w:history="1">
        <w:r w:rsidR="006A3D27" w:rsidRPr="00977DF3">
          <w:rPr>
            <w:rStyle w:val="Hyperlink"/>
          </w:rPr>
          <w:t>Agreed Policy Setting</w:t>
        </w:r>
        <w:r w:rsidR="006A3D27">
          <w:rPr>
            <w:webHidden/>
          </w:rPr>
          <w:tab/>
        </w:r>
        <w:r w:rsidR="006A3D27">
          <w:rPr>
            <w:webHidden/>
          </w:rPr>
          <w:fldChar w:fldCharType="begin"/>
        </w:r>
        <w:r w:rsidR="006A3D27">
          <w:rPr>
            <w:webHidden/>
          </w:rPr>
          <w:instrText xml:space="preserve"> PAGEREF _Toc121134093 \h </w:instrText>
        </w:r>
        <w:r w:rsidR="006A3D27">
          <w:rPr>
            <w:webHidden/>
          </w:rPr>
        </w:r>
        <w:r w:rsidR="006A3D27">
          <w:rPr>
            <w:webHidden/>
          </w:rPr>
          <w:fldChar w:fldCharType="separate"/>
        </w:r>
        <w:r w:rsidR="006A3D27">
          <w:rPr>
            <w:webHidden/>
          </w:rPr>
          <w:t>38</w:t>
        </w:r>
        <w:r w:rsidR="006A3D27">
          <w:rPr>
            <w:webHidden/>
          </w:rPr>
          <w:fldChar w:fldCharType="end"/>
        </w:r>
      </w:hyperlink>
    </w:p>
    <w:p w14:paraId="35A6F529" w14:textId="51381BD7" w:rsidR="006A3D27" w:rsidRDefault="00000000">
      <w:pPr>
        <w:pStyle w:val="TOC2"/>
        <w:rPr>
          <w:rFonts w:asciiTheme="minorHAnsi" w:eastAsiaTheme="minorEastAsia" w:hAnsiTheme="minorHAnsi" w:cstheme="minorBidi"/>
          <w:sz w:val="22"/>
          <w:szCs w:val="22"/>
          <w:lang w:eastAsia="en-AU"/>
        </w:rPr>
      </w:pPr>
      <w:hyperlink w:anchor="_Toc121134094" w:history="1">
        <w:r w:rsidR="006A3D27" w:rsidRPr="00977DF3">
          <w:rPr>
            <w:rStyle w:val="Hyperlink"/>
          </w:rPr>
          <w:t>Criteria for Public Housing Allocations</w:t>
        </w:r>
        <w:r w:rsidR="006A3D27">
          <w:rPr>
            <w:webHidden/>
          </w:rPr>
          <w:tab/>
        </w:r>
        <w:r w:rsidR="006A3D27">
          <w:rPr>
            <w:webHidden/>
          </w:rPr>
          <w:fldChar w:fldCharType="begin"/>
        </w:r>
        <w:r w:rsidR="006A3D27">
          <w:rPr>
            <w:webHidden/>
          </w:rPr>
          <w:instrText xml:space="preserve"> PAGEREF _Toc121134094 \h </w:instrText>
        </w:r>
        <w:r w:rsidR="006A3D27">
          <w:rPr>
            <w:webHidden/>
          </w:rPr>
        </w:r>
        <w:r w:rsidR="006A3D27">
          <w:rPr>
            <w:webHidden/>
          </w:rPr>
          <w:fldChar w:fldCharType="separate"/>
        </w:r>
        <w:r w:rsidR="006A3D27">
          <w:rPr>
            <w:webHidden/>
          </w:rPr>
          <w:t>40</w:t>
        </w:r>
        <w:r w:rsidR="006A3D27">
          <w:rPr>
            <w:webHidden/>
          </w:rPr>
          <w:fldChar w:fldCharType="end"/>
        </w:r>
      </w:hyperlink>
    </w:p>
    <w:p w14:paraId="6117EF3F" w14:textId="05E63162" w:rsidR="006A3D27" w:rsidRDefault="00000000">
      <w:pPr>
        <w:pStyle w:val="TOC2"/>
        <w:rPr>
          <w:rFonts w:asciiTheme="minorHAnsi" w:eastAsiaTheme="minorEastAsia" w:hAnsiTheme="minorHAnsi" w:cstheme="minorBidi"/>
          <w:sz w:val="22"/>
          <w:szCs w:val="22"/>
          <w:lang w:eastAsia="en-AU"/>
        </w:rPr>
      </w:pPr>
      <w:hyperlink w:anchor="_Toc121134095" w:history="1">
        <w:r w:rsidR="006A3D27" w:rsidRPr="00977DF3">
          <w:rPr>
            <w:rStyle w:val="Hyperlink"/>
          </w:rPr>
          <w:t>Operationalising the Agreed Policy</w:t>
        </w:r>
        <w:r w:rsidR="006A3D27">
          <w:rPr>
            <w:webHidden/>
          </w:rPr>
          <w:tab/>
        </w:r>
        <w:r w:rsidR="006A3D27">
          <w:rPr>
            <w:webHidden/>
          </w:rPr>
          <w:fldChar w:fldCharType="begin"/>
        </w:r>
        <w:r w:rsidR="006A3D27">
          <w:rPr>
            <w:webHidden/>
          </w:rPr>
          <w:instrText xml:space="preserve"> PAGEREF _Toc121134095 \h </w:instrText>
        </w:r>
        <w:r w:rsidR="006A3D27">
          <w:rPr>
            <w:webHidden/>
          </w:rPr>
        </w:r>
        <w:r w:rsidR="006A3D27">
          <w:rPr>
            <w:webHidden/>
          </w:rPr>
          <w:fldChar w:fldCharType="separate"/>
        </w:r>
        <w:r w:rsidR="006A3D27">
          <w:rPr>
            <w:webHidden/>
          </w:rPr>
          <w:t>40</w:t>
        </w:r>
        <w:r w:rsidR="006A3D27">
          <w:rPr>
            <w:webHidden/>
          </w:rPr>
          <w:fldChar w:fldCharType="end"/>
        </w:r>
      </w:hyperlink>
    </w:p>
    <w:p w14:paraId="6E423D6B" w14:textId="6F45BF93" w:rsidR="006A3D27" w:rsidRDefault="00000000">
      <w:pPr>
        <w:pStyle w:val="TOC2"/>
        <w:rPr>
          <w:rFonts w:asciiTheme="minorHAnsi" w:eastAsiaTheme="minorEastAsia" w:hAnsiTheme="minorHAnsi" w:cstheme="minorBidi"/>
          <w:sz w:val="22"/>
          <w:szCs w:val="22"/>
          <w:lang w:eastAsia="en-AU"/>
        </w:rPr>
      </w:pPr>
      <w:hyperlink w:anchor="_Toc121134096" w:history="1">
        <w:r w:rsidR="006A3D27" w:rsidRPr="00977DF3">
          <w:rPr>
            <w:rStyle w:val="Hyperlink"/>
          </w:rPr>
          <w:t>Financial implications</w:t>
        </w:r>
        <w:r w:rsidR="006A3D27">
          <w:rPr>
            <w:webHidden/>
          </w:rPr>
          <w:tab/>
        </w:r>
        <w:r w:rsidR="006A3D27">
          <w:rPr>
            <w:webHidden/>
          </w:rPr>
          <w:fldChar w:fldCharType="begin"/>
        </w:r>
        <w:r w:rsidR="006A3D27">
          <w:rPr>
            <w:webHidden/>
          </w:rPr>
          <w:instrText xml:space="preserve"> PAGEREF _Toc121134096 \h </w:instrText>
        </w:r>
        <w:r w:rsidR="006A3D27">
          <w:rPr>
            <w:webHidden/>
          </w:rPr>
        </w:r>
        <w:r w:rsidR="006A3D27">
          <w:rPr>
            <w:webHidden/>
          </w:rPr>
          <w:fldChar w:fldCharType="separate"/>
        </w:r>
        <w:r w:rsidR="006A3D27">
          <w:rPr>
            <w:webHidden/>
          </w:rPr>
          <w:t>42</w:t>
        </w:r>
        <w:r w:rsidR="006A3D27">
          <w:rPr>
            <w:webHidden/>
          </w:rPr>
          <w:fldChar w:fldCharType="end"/>
        </w:r>
      </w:hyperlink>
    </w:p>
    <w:p w14:paraId="7E3B2389" w14:textId="5E53E270" w:rsidR="006A3D27" w:rsidRDefault="00000000">
      <w:pPr>
        <w:pStyle w:val="TOC1"/>
        <w:rPr>
          <w:rFonts w:asciiTheme="minorHAnsi" w:eastAsiaTheme="minorEastAsia" w:hAnsiTheme="minorHAnsi" w:cstheme="minorBidi"/>
          <w:b w:val="0"/>
          <w:sz w:val="22"/>
          <w:szCs w:val="22"/>
          <w:lang w:eastAsia="en-AU"/>
        </w:rPr>
      </w:pPr>
      <w:hyperlink w:anchor="_Toc121134097" w:history="1">
        <w:r w:rsidR="006A3D27" w:rsidRPr="00977DF3">
          <w:rPr>
            <w:rStyle w:val="Hyperlink"/>
          </w:rPr>
          <w:t>Movement between Level of Support and between Geographical Areas</w:t>
        </w:r>
        <w:r w:rsidR="006A3D27">
          <w:rPr>
            <w:webHidden/>
          </w:rPr>
          <w:tab/>
        </w:r>
        <w:r w:rsidR="006A3D27">
          <w:rPr>
            <w:webHidden/>
          </w:rPr>
          <w:fldChar w:fldCharType="begin"/>
        </w:r>
        <w:r w:rsidR="006A3D27">
          <w:rPr>
            <w:webHidden/>
          </w:rPr>
          <w:instrText xml:space="preserve"> PAGEREF _Toc121134097 \h </w:instrText>
        </w:r>
        <w:r w:rsidR="006A3D27">
          <w:rPr>
            <w:webHidden/>
          </w:rPr>
        </w:r>
        <w:r w:rsidR="006A3D27">
          <w:rPr>
            <w:webHidden/>
          </w:rPr>
          <w:fldChar w:fldCharType="separate"/>
        </w:r>
        <w:r w:rsidR="006A3D27">
          <w:rPr>
            <w:webHidden/>
          </w:rPr>
          <w:t>43</w:t>
        </w:r>
        <w:r w:rsidR="006A3D27">
          <w:rPr>
            <w:webHidden/>
          </w:rPr>
          <w:fldChar w:fldCharType="end"/>
        </w:r>
      </w:hyperlink>
    </w:p>
    <w:p w14:paraId="3DCF2DBD" w14:textId="6709A296" w:rsidR="006A3D27" w:rsidRDefault="00000000">
      <w:pPr>
        <w:pStyle w:val="TOC2"/>
        <w:rPr>
          <w:rFonts w:asciiTheme="minorHAnsi" w:eastAsiaTheme="minorEastAsia" w:hAnsiTheme="minorHAnsi" w:cstheme="minorBidi"/>
          <w:sz w:val="22"/>
          <w:szCs w:val="22"/>
          <w:lang w:eastAsia="en-AU"/>
        </w:rPr>
      </w:pPr>
      <w:hyperlink w:anchor="_Toc121134098" w:history="1">
        <w:r w:rsidR="006A3D27" w:rsidRPr="00977DF3">
          <w:rPr>
            <w:rStyle w:val="Hyperlink"/>
          </w:rPr>
          <w:t>Client Movement between Levels of Support</w:t>
        </w:r>
        <w:r w:rsidR="006A3D27">
          <w:rPr>
            <w:webHidden/>
          </w:rPr>
          <w:tab/>
        </w:r>
        <w:r w:rsidR="006A3D27">
          <w:rPr>
            <w:webHidden/>
          </w:rPr>
          <w:fldChar w:fldCharType="begin"/>
        </w:r>
        <w:r w:rsidR="006A3D27">
          <w:rPr>
            <w:webHidden/>
          </w:rPr>
          <w:instrText xml:space="preserve"> PAGEREF _Toc121134098 \h </w:instrText>
        </w:r>
        <w:r w:rsidR="006A3D27">
          <w:rPr>
            <w:webHidden/>
          </w:rPr>
        </w:r>
        <w:r w:rsidR="006A3D27">
          <w:rPr>
            <w:webHidden/>
          </w:rPr>
          <w:fldChar w:fldCharType="separate"/>
        </w:r>
        <w:r w:rsidR="006A3D27">
          <w:rPr>
            <w:webHidden/>
          </w:rPr>
          <w:t>43</w:t>
        </w:r>
        <w:r w:rsidR="006A3D27">
          <w:rPr>
            <w:webHidden/>
          </w:rPr>
          <w:fldChar w:fldCharType="end"/>
        </w:r>
      </w:hyperlink>
    </w:p>
    <w:p w14:paraId="501A85F3" w14:textId="7576723F" w:rsidR="006A3D27" w:rsidRDefault="00000000">
      <w:pPr>
        <w:pStyle w:val="TOC2"/>
        <w:rPr>
          <w:rFonts w:asciiTheme="minorHAnsi" w:eastAsiaTheme="minorEastAsia" w:hAnsiTheme="minorHAnsi" w:cstheme="minorBidi"/>
          <w:sz w:val="22"/>
          <w:szCs w:val="22"/>
          <w:lang w:eastAsia="en-AU"/>
        </w:rPr>
      </w:pPr>
      <w:hyperlink w:anchor="_Toc121134099" w:history="1">
        <w:r w:rsidR="006A3D27" w:rsidRPr="00977DF3">
          <w:rPr>
            <w:rStyle w:val="Hyperlink"/>
          </w:rPr>
          <w:t>Movement between Geographical Areas</w:t>
        </w:r>
        <w:r w:rsidR="006A3D27">
          <w:rPr>
            <w:webHidden/>
          </w:rPr>
          <w:tab/>
        </w:r>
        <w:r w:rsidR="006A3D27">
          <w:rPr>
            <w:webHidden/>
          </w:rPr>
          <w:fldChar w:fldCharType="begin"/>
        </w:r>
        <w:r w:rsidR="006A3D27">
          <w:rPr>
            <w:webHidden/>
          </w:rPr>
          <w:instrText xml:space="preserve"> PAGEREF _Toc121134099 \h </w:instrText>
        </w:r>
        <w:r w:rsidR="006A3D27">
          <w:rPr>
            <w:webHidden/>
          </w:rPr>
        </w:r>
        <w:r w:rsidR="006A3D27">
          <w:rPr>
            <w:webHidden/>
          </w:rPr>
          <w:fldChar w:fldCharType="separate"/>
        </w:r>
        <w:r w:rsidR="006A3D27">
          <w:rPr>
            <w:webHidden/>
          </w:rPr>
          <w:t>43</w:t>
        </w:r>
        <w:r w:rsidR="006A3D27">
          <w:rPr>
            <w:webHidden/>
          </w:rPr>
          <w:fldChar w:fldCharType="end"/>
        </w:r>
      </w:hyperlink>
    </w:p>
    <w:p w14:paraId="24919066" w14:textId="4AD4D62B" w:rsidR="006A3D27" w:rsidRDefault="00000000">
      <w:pPr>
        <w:pStyle w:val="TOC1"/>
        <w:rPr>
          <w:rFonts w:asciiTheme="minorHAnsi" w:eastAsiaTheme="minorEastAsia" w:hAnsiTheme="minorHAnsi" w:cstheme="minorBidi"/>
          <w:b w:val="0"/>
          <w:sz w:val="22"/>
          <w:szCs w:val="22"/>
          <w:lang w:eastAsia="en-AU"/>
        </w:rPr>
      </w:pPr>
      <w:hyperlink w:anchor="_Toc121134100" w:history="1">
        <w:r w:rsidR="006A3D27" w:rsidRPr="00977DF3">
          <w:rPr>
            <w:rStyle w:val="Hyperlink"/>
          </w:rPr>
          <w:t>Client Engagement and Disengagement</w:t>
        </w:r>
        <w:r w:rsidR="006A3D27">
          <w:rPr>
            <w:webHidden/>
          </w:rPr>
          <w:tab/>
        </w:r>
        <w:r w:rsidR="006A3D27">
          <w:rPr>
            <w:webHidden/>
          </w:rPr>
          <w:fldChar w:fldCharType="begin"/>
        </w:r>
        <w:r w:rsidR="006A3D27">
          <w:rPr>
            <w:webHidden/>
          </w:rPr>
          <w:instrText xml:space="preserve"> PAGEREF _Toc121134100 \h </w:instrText>
        </w:r>
        <w:r w:rsidR="006A3D27">
          <w:rPr>
            <w:webHidden/>
          </w:rPr>
        </w:r>
        <w:r w:rsidR="006A3D27">
          <w:rPr>
            <w:webHidden/>
          </w:rPr>
          <w:fldChar w:fldCharType="separate"/>
        </w:r>
        <w:r w:rsidR="006A3D27">
          <w:rPr>
            <w:webHidden/>
          </w:rPr>
          <w:t>44</w:t>
        </w:r>
        <w:r w:rsidR="006A3D27">
          <w:rPr>
            <w:webHidden/>
          </w:rPr>
          <w:fldChar w:fldCharType="end"/>
        </w:r>
      </w:hyperlink>
    </w:p>
    <w:p w14:paraId="7F5D59B7" w14:textId="54B6D38B" w:rsidR="006A3D27" w:rsidRDefault="00000000">
      <w:pPr>
        <w:pStyle w:val="TOC2"/>
        <w:rPr>
          <w:rFonts w:asciiTheme="minorHAnsi" w:eastAsiaTheme="minorEastAsia" w:hAnsiTheme="minorHAnsi" w:cstheme="minorBidi"/>
          <w:sz w:val="22"/>
          <w:szCs w:val="22"/>
          <w:lang w:eastAsia="en-AU"/>
        </w:rPr>
      </w:pPr>
      <w:hyperlink w:anchor="_Toc121134101" w:history="1">
        <w:r w:rsidR="006A3D27" w:rsidRPr="00977DF3">
          <w:rPr>
            <w:rStyle w:val="Hyperlink"/>
          </w:rPr>
          <w:t>Client Engagement</w:t>
        </w:r>
        <w:r w:rsidR="006A3D27">
          <w:rPr>
            <w:webHidden/>
          </w:rPr>
          <w:tab/>
        </w:r>
        <w:r w:rsidR="006A3D27">
          <w:rPr>
            <w:webHidden/>
          </w:rPr>
          <w:fldChar w:fldCharType="begin"/>
        </w:r>
        <w:r w:rsidR="006A3D27">
          <w:rPr>
            <w:webHidden/>
          </w:rPr>
          <w:instrText xml:space="preserve"> PAGEREF _Toc121134101 \h </w:instrText>
        </w:r>
        <w:r w:rsidR="006A3D27">
          <w:rPr>
            <w:webHidden/>
          </w:rPr>
        </w:r>
        <w:r w:rsidR="006A3D27">
          <w:rPr>
            <w:webHidden/>
          </w:rPr>
          <w:fldChar w:fldCharType="separate"/>
        </w:r>
        <w:r w:rsidR="006A3D27">
          <w:rPr>
            <w:webHidden/>
          </w:rPr>
          <w:t>44</w:t>
        </w:r>
        <w:r w:rsidR="006A3D27">
          <w:rPr>
            <w:webHidden/>
          </w:rPr>
          <w:fldChar w:fldCharType="end"/>
        </w:r>
      </w:hyperlink>
    </w:p>
    <w:p w14:paraId="3B47B851" w14:textId="4BB7BC4B" w:rsidR="006A3D27" w:rsidRDefault="00000000">
      <w:pPr>
        <w:pStyle w:val="TOC2"/>
        <w:rPr>
          <w:rFonts w:asciiTheme="minorHAnsi" w:eastAsiaTheme="minorEastAsia" w:hAnsiTheme="minorHAnsi" w:cstheme="minorBidi"/>
          <w:sz w:val="22"/>
          <w:szCs w:val="22"/>
          <w:lang w:eastAsia="en-AU"/>
        </w:rPr>
      </w:pPr>
      <w:hyperlink w:anchor="_Toc121134102" w:history="1">
        <w:r w:rsidR="006A3D27" w:rsidRPr="00977DF3">
          <w:rPr>
            <w:rStyle w:val="Hyperlink"/>
          </w:rPr>
          <w:t>Expectations on initial engagement</w:t>
        </w:r>
        <w:r w:rsidR="006A3D27">
          <w:rPr>
            <w:webHidden/>
          </w:rPr>
          <w:tab/>
        </w:r>
        <w:r w:rsidR="006A3D27">
          <w:rPr>
            <w:webHidden/>
          </w:rPr>
          <w:fldChar w:fldCharType="begin"/>
        </w:r>
        <w:r w:rsidR="006A3D27">
          <w:rPr>
            <w:webHidden/>
          </w:rPr>
          <w:instrText xml:space="preserve"> PAGEREF _Toc121134102 \h </w:instrText>
        </w:r>
        <w:r w:rsidR="006A3D27">
          <w:rPr>
            <w:webHidden/>
          </w:rPr>
        </w:r>
        <w:r w:rsidR="006A3D27">
          <w:rPr>
            <w:webHidden/>
          </w:rPr>
          <w:fldChar w:fldCharType="separate"/>
        </w:r>
        <w:r w:rsidR="006A3D27">
          <w:rPr>
            <w:webHidden/>
          </w:rPr>
          <w:t>44</w:t>
        </w:r>
        <w:r w:rsidR="006A3D27">
          <w:rPr>
            <w:webHidden/>
          </w:rPr>
          <w:fldChar w:fldCharType="end"/>
        </w:r>
      </w:hyperlink>
    </w:p>
    <w:p w14:paraId="4976D890" w14:textId="6B97F13D" w:rsidR="006A3D27" w:rsidRDefault="00000000">
      <w:pPr>
        <w:pStyle w:val="TOC2"/>
        <w:rPr>
          <w:rFonts w:asciiTheme="minorHAnsi" w:eastAsiaTheme="minorEastAsia" w:hAnsiTheme="minorHAnsi" w:cstheme="minorBidi"/>
          <w:sz w:val="22"/>
          <w:szCs w:val="22"/>
          <w:lang w:eastAsia="en-AU"/>
        </w:rPr>
      </w:pPr>
      <w:hyperlink w:anchor="_Toc121134103" w:history="1">
        <w:r w:rsidR="006A3D27" w:rsidRPr="00977DF3">
          <w:rPr>
            <w:rStyle w:val="Hyperlink"/>
          </w:rPr>
          <w:t>Client Disengagement</w:t>
        </w:r>
        <w:r w:rsidR="006A3D27">
          <w:rPr>
            <w:webHidden/>
          </w:rPr>
          <w:tab/>
        </w:r>
        <w:r w:rsidR="006A3D27">
          <w:rPr>
            <w:webHidden/>
          </w:rPr>
          <w:fldChar w:fldCharType="begin"/>
        </w:r>
        <w:r w:rsidR="006A3D27">
          <w:rPr>
            <w:webHidden/>
          </w:rPr>
          <w:instrText xml:space="preserve"> PAGEREF _Toc121134103 \h </w:instrText>
        </w:r>
        <w:r w:rsidR="006A3D27">
          <w:rPr>
            <w:webHidden/>
          </w:rPr>
        </w:r>
        <w:r w:rsidR="006A3D27">
          <w:rPr>
            <w:webHidden/>
          </w:rPr>
          <w:fldChar w:fldCharType="separate"/>
        </w:r>
        <w:r w:rsidR="006A3D27">
          <w:rPr>
            <w:webHidden/>
          </w:rPr>
          <w:t>44</w:t>
        </w:r>
        <w:r w:rsidR="006A3D27">
          <w:rPr>
            <w:webHidden/>
          </w:rPr>
          <w:fldChar w:fldCharType="end"/>
        </w:r>
      </w:hyperlink>
    </w:p>
    <w:p w14:paraId="6F5EDDAF" w14:textId="7F27ADF2" w:rsidR="006A3D27" w:rsidRDefault="00000000">
      <w:pPr>
        <w:pStyle w:val="TOC2"/>
        <w:rPr>
          <w:rFonts w:asciiTheme="minorHAnsi" w:eastAsiaTheme="minorEastAsia" w:hAnsiTheme="minorHAnsi" w:cstheme="minorBidi"/>
          <w:sz w:val="22"/>
          <w:szCs w:val="22"/>
          <w:lang w:eastAsia="en-AU"/>
        </w:rPr>
      </w:pPr>
      <w:hyperlink w:anchor="_Toc121134104" w:history="1">
        <w:r w:rsidR="006A3D27" w:rsidRPr="00977DF3">
          <w:rPr>
            <w:rStyle w:val="Hyperlink"/>
          </w:rPr>
          <w:t>Expectations after 8-weeks of initial engagement</w:t>
        </w:r>
        <w:r w:rsidR="006A3D27">
          <w:rPr>
            <w:webHidden/>
          </w:rPr>
          <w:tab/>
        </w:r>
        <w:r w:rsidR="006A3D27">
          <w:rPr>
            <w:webHidden/>
          </w:rPr>
          <w:fldChar w:fldCharType="begin"/>
        </w:r>
        <w:r w:rsidR="006A3D27">
          <w:rPr>
            <w:webHidden/>
          </w:rPr>
          <w:instrText xml:space="preserve"> PAGEREF _Toc121134104 \h </w:instrText>
        </w:r>
        <w:r w:rsidR="006A3D27">
          <w:rPr>
            <w:webHidden/>
          </w:rPr>
        </w:r>
        <w:r w:rsidR="006A3D27">
          <w:rPr>
            <w:webHidden/>
          </w:rPr>
          <w:fldChar w:fldCharType="separate"/>
        </w:r>
        <w:r w:rsidR="006A3D27">
          <w:rPr>
            <w:webHidden/>
          </w:rPr>
          <w:t>45</w:t>
        </w:r>
        <w:r w:rsidR="006A3D27">
          <w:rPr>
            <w:webHidden/>
          </w:rPr>
          <w:fldChar w:fldCharType="end"/>
        </w:r>
      </w:hyperlink>
    </w:p>
    <w:p w14:paraId="256B6675" w14:textId="77C6D7AF" w:rsidR="006A3D27" w:rsidRDefault="00000000">
      <w:pPr>
        <w:pStyle w:val="TOC1"/>
        <w:rPr>
          <w:rFonts w:asciiTheme="minorHAnsi" w:eastAsiaTheme="minorEastAsia" w:hAnsiTheme="minorHAnsi" w:cstheme="minorBidi"/>
          <w:b w:val="0"/>
          <w:sz w:val="22"/>
          <w:szCs w:val="22"/>
          <w:lang w:eastAsia="en-AU"/>
        </w:rPr>
      </w:pPr>
      <w:hyperlink w:anchor="_Toc121134105" w:history="1">
        <w:r w:rsidR="006A3D27" w:rsidRPr="00977DF3">
          <w:rPr>
            <w:rStyle w:val="Hyperlink"/>
          </w:rPr>
          <w:t>Temporary Absence, Incident Reporting, and Financial Implications</w:t>
        </w:r>
        <w:r w:rsidR="006A3D27">
          <w:rPr>
            <w:webHidden/>
          </w:rPr>
          <w:tab/>
        </w:r>
        <w:r w:rsidR="006A3D27">
          <w:rPr>
            <w:webHidden/>
          </w:rPr>
          <w:fldChar w:fldCharType="begin"/>
        </w:r>
        <w:r w:rsidR="006A3D27">
          <w:rPr>
            <w:webHidden/>
          </w:rPr>
          <w:instrText xml:space="preserve"> PAGEREF _Toc121134105 \h </w:instrText>
        </w:r>
        <w:r w:rsidR="006A3D27">
          <w:rPr>
            <w:webHidden/>
          </w:rPr>
        </w:r>
        <w:r w:rsidR="006A3D27">
          <w:rPr>
            <w:webHidden/>
          </w:rPr>
          <w:fldChar w:fldCharType="separate"/>
        </w:r>
        <w:r w:rsidR="006A3D27">
          <w:rPr>
            <w:webHidden/>
          </w:rPr>
          <w:t>46</w:t>
        </w:r>
        <w:r w:rsidR="006A3D27">
          <w:rPr>
            <w:webHidden/>
          </w:rPr>
          <w:fldChar w:fldCharType="end"/>
        </w:r>
      </w:hyperlink>
    </w:p>
    <w:p w14:paraId="24464EED" w14:textId="6A48D85A" w:rsidR="006A3D27" w:rsidRDefault="00000000">
      <w:pPr>
        <w:pStyle w:val="TOC2"/>
        <w:rPr>
          <w:rFonts w:asciiTheme="minorHAnsi" w:eastAsiaTheme="minorEastAsia" w:hAnsiTheme="minorHAnsi" w:cstheme="minorBidi"/>
          <w:sz w:val="22"/>
          <w:szCs w:val="22"/>
          <w:lang w:eastAsia="en-AU"/>
        </w:rPr>
      </w:pPr>
      <w:hyperlink w:anchor="_Toc121134106" w:history="1">
        <w:r w:rsidR="006A3D27" w:rsidRPr="00977DF3">
          <w:rPr>
            <w:rStyle w:val="Hyperlink"/>
          </w:rPr>
          <w:t>Temporary Absence</w:t>
        </w:r>
        <w:r w:rsidR="006A3D27">
          <w:rPr>
            <w:webHidden/>
          </w:rPr>
          <w:tab/>
        </w:r>
        <w:r w:rsidR="006A3D27">
          <w:rPr>
            <w:webHidden/>
          </w:rPr>
          <w:fldChar w:fldCharType="begin"/>
        </w:r>
        <w:r w:rsidR="006A3D27">
          <w:rPr>
            <w:webHidden/>
          </w:rPr>
          <w:instrText xml:space="preserve"> PAGEREF _Toc121134106 \h </w:instrText>
        </w:r>
        <w:r w:rsidR="006A3D27">
          <w:rPr>
            <w:webHidden/>
          </w:rPr>
        </w:r>
        <w:r w:rsidR="006A3D27">
          <w:rPr>
            <w:webHidden/>
          </w:rPr>
          <w:fldChar w:fldCharType="separate"/>
        </w:r>
        <w:r w:rsidR="006A3D27">
          <w:rPr>
            <w:webHidden/>
          </w:rPr>
          <w:t>46</w:t>
        </w:r>
        <w:r w:rsidR="006A3D27">
          <w:rPr>
            <w:webHidden/>
          </w:rPr>
          <w:fldChar w:fldCharType="end"/>
        </w:r>
      </w:hyperlink>
    </w:p>
    <w:p w14:paraId="384EAB52" w14:textId="090885B0" w:rsidR="006A3D27" w:rsidRDefault="00000000">
      <w:pPr>
        <w:pStyle w:val="TOC2"/>
        <w:rPr>
          <w:rFonts w:asciiTheme="minorHAnsi" w:eastAsiaTheme="minorEastAsia" w:hAnsiTheme="minorHAnsi" w:cstheme="minorBidi"/>
          <w:sz w:val="22"/>
          <w:szCs w:val="22"/>
          <w:lang w:eastAsia="en-AU"/>
        </w:rPr>
      </w:pPr>
      <w:hyperlink w:anchor="_Toc121134107" w:history="1">
        <w:r w:rsidR="006A3D27" w:rsidRPr="00977DF3">
          <w:rPr>
            <w:rStyle w:val="Hyperlink"/>
            <w:lang w:val="en-US"/>
          </w:rPr>
          <w:t xml:space="preserve">Temporary Absence for </w:t>
        </w:r>
        <w:r w:rsidR="006A3D27" w:rsidRPr="00977DF3">
          <w:rPr>
            <w:rStyle w:val="Hyperlink"/>
          </w:rPr>
          <w:t>Public Housing Properties</w:t>
        </w:r>
        <w:r w:rsidR="006A3D27">
          <w:rPr>
            <w:webHidden/>
          </w:rPr>
          <w:tab/>
        </w:r>
        <w:r w:rsidR="006A3D27">
          <w:rPr>
            <w:webHidden/>
          </w:rPr>
          <w:fldChar w:fldCharType="begin"/>
        </w:r>
        <w:r w:rsidR="006A3D27">
          <w:rPr>
            <w:webHidden/>
          </w:rPr>
          <w:instrText xml:space="preserve"> PAGEREF _Toc121134107 \h </w:instrText>
        </w:r>
        <w:r w:rsidR="006A3D27">
          <w:rPr>
            <w:webHidden/>
          </w:rPr>
        </w:r>
        <w:r w:rsidR="006A3D27">
          <w:rPr>
            <w:webHidden/>
          </w:rPr>
          <w:fldChar w:fldCharType="separate"/>
        </w:r>
        <w:r w:rsidR="006A3D27">
          <w:rPr>
            <w:webHidden/>
          </w:rPr>
          <w:t>46</w:t>
        </w:r>
        <w:r w:rsidR="006A3D27">
          <w:rPr>
            <w:webHidden/>
          </w:rPr>
          <w:fldChar w:fldCharType="end"/>
        </w:r>
      </w:hyperlink>
    </w:p>
    <w:p w14:paraId="3D0F3EBB" w14:textId="116B7219" w:rsidR="006A3D27" w:rsidRDefault="00000000">
      <w:pPr>
        <w:pStyle w:val="TOC2"/>
        <w:rPr>
          <w:rFonts w:asciiTheme="minorHAnsi" w:eastAsiaTheme="minorEastAsia" w:hAnsiTheme="minorHAnsi" w:cstheme="minorBidi"/>
          <w:sz w:val="22"/>
          <w:szCs w:val="22"/>
          <w:lang w:eastAsia="en-AU"/>
        </w:rPr>
      </w:pPr>
      <w:hyperlink w:anchor="_Toc121134108" w:history="1">
        <w:r w:rsidR="006A3D27" w:rsidRPr="00977DF3">
          <w:rPr>
            <w:rStyle w:val="Hyperlink"/>
            <w:lang w:val="en-US"/>
          </w:rPr>
          <w:t>Temporary Absence for General Lease or Head Leased Properties</w:t>
        </w:r>
        <w:r w:rsidR="006A3D27">
          <w:rPr>
            <w:webHidden/>
          </w:rPr>
          <w:tab/>
        </w:r>
        <w:r w:rsidR="006A3D27">
          <w:rPr>
            <w:webHidden/>
          </w:rPr>
          <w:fldChar w:fldCharType="begin"/>
        </w:r>
        <w:r w:rsidR="006A3D27">
          <w:rPr>
            <w:webHidden/>
          </w:rPr>
          <w:instrText xml:space="preserve"> PAGEREF _Toc121134108 \h </w:instrText>
        </w:r>
        <w:r w:rsidR="006A3D27">
          <w:rPr>
            <w:webHidden/>
          </w:rPr>
        </w:r>
        <w:r w:rsidR="006A3D27">
          <w:rPr>
            <w:webHidden/>
          </w:rPr>
          <w:fldChar w:fldCharType="separate"/>
        </w:r>
        <w:r w:rsidR="006A3D27">
          <w:rPr>
            <w:webHidden/>
          </w:rPr>
          <w:t>47</w:t>
        </w:r>
        <w:r w:rsidR="006A3D27">
          <w:rPr>
            <w:webHidden/>
          </w:rPr>
          <w:fldChar w:fldCharType="end"/>
        </w:r>
      </w:hyperlink>
    </w:p>
    <w:p w14:paraId="0CE672E3" w14:textId="6838C2BC" w:rsidR="006A3D27" w:rsidRDefault="00000000">
      <w:pPr>
        <w:pStyle w:val="TOC2"/>
        <w:rPr>
          <w:rFonts w:asciiTheme="minorHAnsi" w:eastAsiaTheme="minorEastAsia" w:hAnsiTheme="minorHAnsi" w:cstheme="minorBidi"/>
          <w:sz w:val="22"/>
          <w:szCs w:val="22"/>
          <w:lang w:eastAsia="en-AU"/>
        </w:rPr>
      </w:pPr>
      <w:hyperlink w:anchor="_Toc121134109" w:history="1">
        <w:r w:rsidR="006A3D27" w:rsidRPr="00977DF3">
          <w:rPr>
            <w:rStyle w:val="Hyperlink"/>
          </w:rPr>
          <w:t>Incident Reporting</w:t>
        </w:r>
        <w:r w:rsidR="006A3D27">
          <w:rPr>
            <w:webHidden/>
          </w:rPr>
          <w:tab/>
        </w:r>
        <w:r w:rsidR="006A3D27">
          <w:rPr>
            <w:webHidden/>
          </w:rPr>
          <w:fldChar w:fldCharType="begin"/>
        </w:r>
        <w:r w:rsidR="006A3D27">
          <w:rPr>
            <w:webHidden/>
          </w:rPr>
          <w:instrText xml:space="preserve"> PAGEREF _Toc121134109 \h </w:instrText>
        </w:r>
        <w:r w:rsidR="006A3D27">
          <w:rPr>
            <w:webHidden/>
          </w:rPr>
        </w:r>
        <w:r w:rsidR="006A3D27">
          <w:rPr>
            <w:webHidden/>
          </w:rPr>
          <w:fldChar w:fldCharType="separate"/>
        </w:r>
        <w:r w:rsidR="006A3D27">
          <w:rPr>
            <w:webHidden/>
          </w:rPr>
          <w:t>47</w:t>
        </w:r>
        <w:r w:rsidR="006A3D27">
          <w:rPr>
            <w:webHidden/>
          </w:rPr>
          <w:fldChar w:fldCharType="end"/>
        </w:r>
      </w:hyperlink>
    </w:p>
    <w:p w14:paraId="7FD237F7" w14:textId="791135DB" w:rsidR="006A3D27" w:rsidRDefault="00000000">
      <w:pPr>
        <w:pStyle w:val="TOC1"/>
        <w:rPr>
          <w:rFonts w:asciiTheme="minorHAnsi" w:eastAsiaTheme="minorEastAsia" w:hAnsiTheme="minorHAnsi" w:cstheme="minorBidi"/>
          <w:b w:val="0"/>
          <w:sz w:val="22"/>
          <w:szCs w:val="22"/>
          <w:lang w:eastAsia="en-AU"/>
        </w:rPr>
      </w:pPr>
      <w:hyperlink w:anchor="_Toc121134110" w:history="1">
        <w:r w:rsidR="006A3D27" w:rsidRPr="00977DF3">
          <w:rPr>
            <w:rStyle w:val="Hyperlink"/>
          </w:rPr>
          <w:t>Governance</w:t>
        </w:r>
        <w:r w:rsidR="006A3D27">
          <w:rPr>
            <w:webHidden/>
          </w:rPr>
          <w:tab/>
        </w:r>
        <w:r w:rsidR="006A3D27">
          <w:rPr>
            <w:webHidden/>
          </w:rPr>
          <w:fldChar w:fldCharType="begin"/>
        </w:r>
        <w:r w:rsidR="006A3D27">
          <w:rPr>
            <w:webHidden/>
          </w:rPr>
          <w:instrText xml:space="preserve"> PAGEREF _Toc121134110 \h </w:instrText>
        </w:r>
        <w:r w:rsidR="006A3D27">
          <w:rPr>
            <w:webHidden/>
          </w:rPr>
        </w:r>
        <w:r w:rsidR="006A3D27">
          <w:rPr>
            <w:webHidden/>
          </w:rPr>
          <w:fldChar w:fldCharType="separate"/>
        </w:r>
        <w:r w:rsidR="006A3D27">
          <w:rPr>
            <w:webHidden/>
          </w:rPr>
          <w:t>48</w:t>
        </w:r>
        <w:r w:rsidR="006A3D27">
          <w:rPr>
            <w:webHidden/>
          </w:rPr>
          <w:fldChar w:fldCharType="end"/>
        </w:r>
      </w:hyperlink>
    </w:p>
    <w:p w14:paraId="3EBA0634" w14:textId="718AA1FE" w:rsidR="006A3D27" w:rsidRDefault="00000000">
      <w:pPr>
        <w:pStyle w:val="TOC2"/>
        <w:rPr>
          <w:rFonts w:asciiTheme="minorHAnsi" w:eastAsiaTheme="minorEastAsia" w:hAnsiTheme="minorHAnsi" w:cstheme="minorBidi"/>
          <w:sz w:val="22"/>
          <w:szCs w:val="22"/>
          <w:lang w:eastAsia="en-AU"/>
        </w:rPr>
      </w:pPr>
      <w:hyperlink w:anchor="_Toc121134111" w:history="1">
        <w:r w:rsidR="006A3D27" w:rsidRPr="00977DF3">
          <w:rPr>
            <w:rStyle w:val="Hyperlink"/>
          </w:rPr>
          <w:t>IHR Steering Committee</w:t>
        </w:r>
        <w:r w:rsidR="006A3D27">
          <w:rPr>
            <w:webHidden/>
          </w:rPr>
          <w:tab/>
        </w:r>
        <w:r w:rsidR="006A3D27">
          <w:rPr>
            <w:webHidden/>
          </w:rPr>
          <w:fldChar w:fldCharType="begin"/>
        </w:r>
        <w:r w:rsidR="006A3D27">
          <w:rPr>
            <w:webHidden/>
          </w:rPr>
          <w:instrText xml:space="preserve"> PAGEREF _Toc121134111 \h </w:instrText>
        </w:r>
        <w:r w:rsidR="006A3D27">
          <w:rPr>
            <w:webHidden/>
          </w:rPr>
        </w:r>
        <w:r w:rsidR="006A3D27">
          <w:rPr>
            <w:webHidden/>
          </w:rPr>
          <w:fldChar w:fldCharType="separate"/>
        </w:r>
        <w:r w:rsidR="006A3D27">
          <w:rPr>
            <w:webHidden/>
          </w:rPr>
          <w:t>48</w:t>
        </w:r>
        <w:r w:rsidR="006A3D27">
          <w:rPr>
            <w:webHidden/>
          </w:rPr>
          <w:fldChar w:fldCharType="end"/>
        </w:r>
      </w:hyperlink>
    </w:p>
    <w:p w14:paraId="018CBBF5" w14:textId="1C30C38B" w:rsidR="006A3D27" w:rsidRDefault="00000000">
      <w:pPr>
        <w:pStyle w:val="TOC2"/>
        <w:rPr>
          <w:rFonts w:asciiTheme="minorHAnsi" w:eastAsiaTheme="minorEastAsia" w:hAnsiTheme="minorHAnsi" w:cstheme="minorBidi"/>
          <w:sz w:val="22"/>
          <w:szCs w:val="22"/>
          <w:lang w:eastAsia="en-AU"/>
        </w:rPr>
      </w:pPr>
      <w:hyperlink w:anchor="_Toc121134112" w:history="1">
        <w:r w:rsidR="006A3D27" w:rsidRPr="00977DF3">
          <w:rPr>
            <w:rStyle w:val="Hyperlink"/>
          </w:rPr>
          <w:t>Housing Interdepartmental Committee</w:t>
        </w:r>
        <w:r w:rsidR="006A3D27">
          <w:rPr>
            <w:webHidden/>
          </w:rPr>
          <w:tab/>
        </w:r>
        <w:r w:rsidR="006A3D27">
          <w:rPr>
            <w:webHidden/>
          </w:rPr>
          <w:fldChar w:fldCharType="begin"/>
        </w:r>
        <w:r w:rsidR="006A3D27">
          <w:rPr>
            <w:webHidden/>
          </w:rPr>
          <w:instrText xml:space="preserve"> PAGEREF _Toc121134112 \h </w:instrText>
        </w:r>
        <w:r w:rsidR="006A3D27">
          <w:rPr>
            <w:webHidden/>
          </w:rPr>
        </w:r>
        <w:r w:rsidR="006A3D27">
          <w:rPr>
            <w:webHidden/>
          </w:rPr>
          <w:fldChar w:fldCharType="separate"/>
        </w:r>
        <w:r w:rsidR="006A3D27">
          <w:rPr>
            <w:webHidden/>
          </w:rPr>
          <w:t>48</w:t>
        </w:r>
        <w:r w:rsidR="006A3D27">
          <w:rPr>
            <w:webHidden/>
          </w:rPr>
          <w:fldChar w:fldCharType="end"/>
        </w:r>
      </w:hyperlink>
    </w:p>
    <w:p w14:paraId="0F1348EC" w14:textId="05F528A0" w:rsidR="006A3D27" w:rsidRDefault="00000000">
      <w:pPr>
        <w:pStyle w:val="TOC2"/>
        <w:rPr>
          <w:rFonts w:asciiTheme="minorHAnsi" w:eastAsiaTheme="minorEastAsia" w:hAnsiTheme="minorHAnsi" w:cstheme="minorBidi"/>
          <w:sz w:val="22"/>
          <w:szCs w:val="22"/>
          <w:lang w:eastAsia="en-AU"/>
        </w:rPr>
      </w:pPr>
      <w:hyperlink w:anchor="_Toc121134113" w:history="1">
        <w:r w:rsidR="006A3D27" w:rsidRPr="00977DF3">
          <w:rPr>
            <w:rStyle w:val="Hyperlink"/>
          </w:rPr>
          <w:t>IHR CEO Forum</w:t>
        </w:r>
        <w:r w:rsidR="006A3D27">
          <w:rPr>
            <w:webHidden/>
          </w:rPr>
          <w:tab/>
        </w:r>
        <w:r w:rsidR="006A3D27">
          <w:rPr>
            <w:webHidden/>
          </w:rPr>
          <w:fldChar w:fldCharType="begin"/>
        </w:r>
        <w:r w:rsidR="006A3D27">
          <w:rPr>
            <w:webHidden/>
          </w:rPr>
          <w:instrText xml:space="preserve"> PAGEREF _Toc121134113 \h </w:instrText>
        </w:r>
        <w:r w:rsidR="006A3D27">
          <w:rPr>
            <w:webHidden/>
          </w:rPr>
        </w:r>
        <w:r w:rsidR="006A3D27">
          <w:rPr>
            <w:webHidden/>
          </w:rPr>
          <w:fldChar w:fldCharType="separate"/>
        </w:r>
        <w:r w:rsidR="006A3D27">
          <w:rPr>
            <w:webHidden/>
          </w:rPr>
          <w:t>49</w:t>
        </w:r>
        <w:r w:rsidR="006A3D27">
          <w:rPr>
            <w:webHidden/>
          </w:rPr>
          <w:fldChar w:fldCharType="end"/>
        </w:r>
      </w:hyperlink>
    </w:p>
    <w:p w14:paraId="71E151EF" w14:textId="35EA4186" w:rsidR="006A3D27" w:rsidRDefault="00000000">
      <w:pPr>
        <w:pStyle w:val="TOC2"/>
        <w:rPr>
          <w:rFonts w:asciiTheme="minorHAnsi" w:eastAsiaTheme="minorEastAsia" w:hAnsiTheme="minorHAnsi" w:cstheme="minorBidi"/>
          <w:sz w:val="22"/>
          <w:szCs w:val="22"/>
          <w:lang w:eastAsia="en-AU"/>
        </w:rPr>
      </w:pPr>
      <w:hyperlink w:anchor="_Toc121134114" w:history="1">
        <w:r w:rsidR="006A3D27" w:rsidRPr="00977DF3">
          <w:rPr>
            <w:rStyle w:val="Hyperlink"/>
          </w:rPr>
          <w:t>IHR Senior Leadership Forum</w:t>
        </w:r>
        <w:r w:rsidR="006A3D27">
          <w:rPr>
            <w:webHidden/>
          </w:rPr>
          <w:tab/>
        </w:r>
        <w:r w:rsidR="006A3D27">
          <w:rPr>
            <w:webHidden/>
          </w:rPr>
          <w:fldChar w:fldCharType="begin"/>
        </w:r>
        <w:r w:rsidR="006A3D27">
          <w:rPr>
            <w:webHidden/>
          </w:rPr>
          <w:instrText xml:space="preserve"> PAGEREF _Toc121134114 \h </w:instrText>
        </w:r>
        <w:r w:rsidR="006A3D27">
          <w:rPr>
            <w:webHidden/>
          </w:rPr>
        </w:r>
        <w:r w:rsidR="006A3D27">
          <w:rPr>
            <w:webHidden/>
          </w:rPr>
          <w:fldChar w:fldCharType="separate"/>
        </w:r>
        <w:r w:rsidR="006A3D27">
          <w:rPr>
            <w:webHidden/>
          </w:rPr>
          <w:t>49</w:t>
        </w:r>
        <w:r w:rsidR="006A3D27">
          <w:rPr>
            <w:webHidden/>
          </w:rPr>
          <w:fldChar w:fldCharType="end"/>
        </w:r>
      </w:hyperlink>
    </w:p>
    <w:p w14:paraId="6C113F1C" w14:textId="1964D999" w:rsidR="006A3D27" w:rsidRDefault="00000000">
      <w:pPr>
        <w:pStyle w:val="TOC2"/>
        <w:rPr>
          <w:rFonts w:asciiTheme="minorHAnsi" w:eastAsiaTheme="minorEastAsia" w:hAnsiTheme="minorHAnsi" w:cstheme="minorBidi"/>
          <w:sz w:val="22"/>
          <w:szCs w:val="22"/>
          <w:lang w:eastAsia="en-AU"/>
        </w:rPr>
      </w:pPr>
      <w:hyperlink w:anchor="_Toc121134115" w:history="1">
        <w:r w:rsidR="006A3D27" w:rsidRPr="00977DF3">
          <w:rPr>
            <w:rStyle w:val="Hyperlink"/>
          </w:rPr>
          <w:t>IHR – COPL Project Control Group</w:t>
        </w:r>
        <w:r w:rsidR="006A3D27">
          <w:rPr>
            <w:webHidden/>
          </w:rPr>
          <w:tab/>
        </w:r>
        <w:r w:rsidR="006A3D27">
          <w:rPr>
            <w:webHidden/>
          </w:rPr>
          <w:fldChar w:fldCharType="begin"/>
        </w:r>
        <w:r w:rsidR="006A3D27">
          <w:rPr>
            <w:webHidden/>
          </w:rPr>
          <w:instrText xml:space="preserve"> PAGEREF _Toc121134115 \h </w:instrText>
        </w:r>
        <w:r w:rsidR="006A3D27">
          <w:rPr>
            <w:webHidden/>
          </w:rPr>
        </w:r>
        <w:r w:rsidR="006A3D27">
          <w:rPr>
            <w:webHidden/>
          </w:rPr>
          <w:fldChar w:fldCharType="separate"/>
        </w:r>
        <w:r w:rsidR="006A3D27">
          <w:rPr>
            <w:webHidden/>
          </w:rPr>
          <w:t>49</w:t>
        </w:r>
        <w:r w:rsidR="006A3D27">
          <w:rPr>
            <w:webHidden/>
          </w:rPr>
          <w:fldChar w:fldCharType="end"/>
        </w:r>
      </w:hyperlink>
    </w:p>
    <w:p w14:paraId="6CAF1260" w14:textId="4A8264B1" w:rsidR="006A3D27" w:rsidRDefault="00000000">
      <w:pPr>
        <w:pStyle w:val="TOC1"/>
        <w:rPr>
          <w:rFonts w:asciiTheme="minorHAnsi" w:eastAsiaTheme="minorEastAsia" w:hAnsiTheme="minorHAnsi" w:cstheme="minorBidi"/>
          <w:b w:val="0"/>
          <w:sz w:val="22"/>
          <w:szCs w:val="22"/>
          <w:lang w:eastAsia="en-AU"/>
        </w:rPr>
      </w:pPr>
      <w:hyperlink w:anchor="_Toc121134116" w:history="1">
        <w:r w:rsidR="006A3D27" w:rsidRPr="00977DF3">
          <w:rPr>
            <w:rStyle w:val="Hyperlink"/>
          </w:rPr>
          <w:t>Performance Monitoring and Reporting</w:t>
        </w:r>
        <w:r w:rsidR="006A3D27">
          <w:rPr>
            <w:webHidden/>
          </w:rPr>
          <w:tab/>
        </w:r>
        <w:r w:rsidR="006A3D27">
          <w:rPr>
            <w:webHidden/>
          </w:rPr>
          <w:fldChar w:fldCharType="begin"/>
        </w:r>
        <w:r w:rsidR="006A3D27">
          <w:rPr>
            <w:webHidden/>
          </w:rPr>
          <w:instrText xml:space="preserve"> PAGEREF _Toc121134116 \h </w:instrText>
        </w:r>
        <w:r w:rsidR="006A3D27">
          <w:rPr>
            <w:webHidden/>
          </w:rPr>
        </w:r>
        <w:r w:rsidR="006A3D27">
          <w:rPr>
            <w:webHidden/>
          </w:rPr>
          <w:fldChar w:fldCharType="separate"/>
        </w:r>
        <w:r w:rsidR="006A3D27">
          <w:rPr>
            <w:webHidden/>
          </w:rPr>
          <w:t>50</w:t>
        </w:r>
        <w:r w:rsidR="006A3D27">
          <w:rPr>
            <w:webHidden/>
          </w:rPr>
          <w:fldChar w:fldCharType="end"/>
        </w:r>
      </w:hyperlink>
    </w:p>
    <w:p w14:paraId="1360DACC" w14:textId="1169A7FD" w:rsidR="006A3D27" w:rsidRDefault="00000000">
      <w:pPr>
        <w:pStyle w:val="TOC2"/>
        <w:rPr>
          <w:rFonts w:asciiTheme="minorHAnsi" w:eastAsiaTheme="minorEastAsia" w:hAnsiTheme="minorHAnsi" w:cstheme="minorBidi"/>
          <w:sz w:val="22"/>
          <w:szCs w:val="22"/>
          <w:lang w:eastAsia="en-AU"/>
        </w:rPr>
      </w:pPr>
      <w:hyperlink w:anchor="_Toc121134117" w:history="1">
        <w:r w:rsidR="006A3D27" w:rsidRPr="00977DF3">
          <w:rPr>
            <w:rStyle w:val="Hyperlink"/>
          </w:rPr>
          <w:t>Overview</w:t>
        </w:r>
        <w:r w:rsidR="006A3D27">
          <w:rPr>
            <w:webHidden/>
          </w:rPr>
          <w:tab/>
        </w:r>
        <w:r w:rsidR="006A3D27">
          <w:rPr>
            <w:webHidden/>
          </w:rPr>
          <w:fldChar w:fldCharType="begin"/>
        </w:r>
        <w:r w:rsidR="006A3D27">
          <w:rPr>
            <w:webHidden/>
          </w:rPr>
          <w:instrText xml:space="preserve"> PAGEREF _Toc121134117 \h </w:instrText>
        </w:r>
        <w:r w:rsidR="006A3D27">
          <w:rPr>
            <w:webHidden/>
          </w:rPr>
        </w:r>
        <w:r w:rsidR="006A3D27">
          <w:rPr>
            <w:webHidden/>
          </w:rPr>
          <w:fldChar w:fldCharType="separate"/>
        </w:r>
        <w:r w:rsidR="006A3D27">
          <w:rPr>
            <w:webHidden/>
          </w:rPr>
          <w:t>50</w:t>
        </w:r>
        <w:r w:rsidR="006A3D27">
          <w:rPr>
            <w:webHidden/>
          </w:rPr>
          <w:fldChar w:fldCharType="end"/>
        </w:r>
      </w:hyperlink>
    </w:p>
    <w:p w14:paraId="05B68992" w14:textId="0C5BA1BC" w:rsidR="006A3D27" w:rsidRDefault="00000000">
      <w:pPr>
        <w:pStyle w:val="TOC2"/>
        <w:rPr>
          <w:rFonts w:asciiTheme="minorHAnsi" w:eastAsiaTheme="minorEastAsia" w:hAnsiTheme="minorHAnsi" w:cstheme="minorBidi"/>
          <w:sz w:val="22"/>
          <w:szCs w:val="22"/>
          <w:lang w:eastAsia="en-AU"/>
        </w:rPr>
      </w:pPr>
      <w:hyperlink w:anchor="_Toc121134118" w:history="1">
        <w:r w:rsidR="006A3D27" w:rsidRPr="00977DF3">
          <w:rPr>
            <w:rStyle w:val="Hyperlink"/>
          </w:rPr>
          <w:t>Guiding Principles</w:t>
        </w:r>
        <w:r w:rsidR="006A3D27">
          <w:rPr>
            <w:webHidden/>
          </w:rPr>
          <w:tab/>
        </w:r>
        <w:r w:rsidR="006A3D27">
          <w:rPr>
            <w:webHidden/>
          </w:rPr>
          <w:fldChar w:fldCharType="begin"/>
        </w:r>
        <w:r w:rsidR="006A3D27">
          <w:rPr>
            <w:webHidden/>
          </w:rPr>
          <w:instrText xml:space="preserve"> PAGEREF _Toc121134118 \h </w:instrText>
        </w:r>
        <w:r w:rsidR="006A3D27">
          <w:rPr>
            <w:webHidden/>
          </w:rPr>
        </w:r>
        <w:r w:rsidR="006A3D27">
          <w:rPr>
            <w:webHidden/>
          </w:rPr>
          <w:fldChar w:fldCharType="separate"/>
        </w:r>
        <w:r w:rsidR="006A3D27">
          <w:rPr>
            <w:webHidden/>
          </w:rPr>
          <w:t>50</w:t>
        </w:r>
        <w:r w:rsidR="006A3D27">
          <w:rPr>
            <w:webHidden/>
          </w:rPr>
          <w:fldChar w:fldCharType="end"/>
        </w:r>
      </w:hyperlink>
    </w:p>
    <w:p w14:paraId="46C86820" w14:textId="5B5B0670" w:rsidR="006A3D27" w:rsidRDefault="00000000">
      <w:pPr>
        <w:pStyle w:val="TOC2"/>
        <w:rPr>
          <w:rFonts w:asciiTheme="minorHAnsi" w:eastAsiaTheme="minorEastAsia" w:hAnsiTheme="minorHAnsi" w:cstheme="minorBidi"/>
          <w:sz w:val="22"/>
          <w:szCs w:val="22"/>
          <w:lang w:eastAsia="en-AU"/>
        </w:rPr>
      </w:pPr>
      <w:hyperlink w:anchor="_Toc121134119" w:history="1">
        <w:r w:rsidR="006A3D27" w:rsidRPr="00977DF3">
          <w:rPr>
            <w:rStyle w:val="Hyperlink"/>
          </w:rPr>
          <w:t>Key Features</w:t>
        </w:r>
        <w:r w:rsidR="006A3D27">
          <w:rPr>
            <w:webHidden/>
          </w:rPr>
          <w:tab/>
        </w:r>
        <w:r w:rsidR="006A3D27">
          <w:rPr>
            <w:webHidden/>
          </w:rPr>
          <w:fldChar w:fldCharType="begin"/>
        </w:r>
        <w:r w:rsidR="006A3D27">
          <w:rPr>
            <w:webHidden/>
          </w:rPr>
          <w:instrText xml:space="preserve"> PAGEREF _Toc121134119 \h </w:instrText>
        </w:r>
        <w:r w:rsidR="006A3D27">
          <w:rPr>
            <w:webHidden/>
          </w:rPr>
        </w:r>
        <w:r w:rsidR="006A3D27">
          <w:rPr>
            <w:webHidden/>
          </w:rPr>
          <w:fldChar w:fldCharType="separate"/>
        </w:r>
        <w:r w:rsidR="006A3D27">
          <w:rPr>
            <w:webHidden/>
          </w:rPr>
          <w:t>51</w:t>
        </w:r>
        <w:r w:rsidR="006A3D27">
          <w:rPr>
            <w:webHidden/>
          </w:rPr>
          <w:fldChar w:fldCharType="end"/>
        </w:r>
      </w:hyperlink>
    </w:p>
    <w:p w14:paraId="114F7569" w14:textId="29D2693E" w:rsidR="006A3D27" w:rsidRDefault="00000000">
      <w:pPr>
        <w:pStyle w:val="TOC2"/>
        <w:rPr>
          <w:rFonts w:asciiTheme="minorHAnsi" w:eastAsiaTheme="minorEastAsia" w:hAnsiTheme="minorHAnsi" w:cstheme="minorBidi"/>
          <w:sz w:val="22"/>
          <w:szCs w:val="22"/>
          <w:lang w:eastAsia="en-AU"/>
        </w:rPr>
      </w:pPr>
      <w:hyperlink w:anchor="_Toc121134120" w:history="1">
        <w:r w:rsidR="006A3D27" w:rsidRPr="00977DF3">
          <w:rPr>
            <w:rStyle w:val="Hyperlink"/>
          </w:rPr>
          <w:t>Client Data Reporting Additional reporting requirements for Emergency Management</w:t>
        </w:r>
        <w:r w:rsidR="006A3D27">
          <w:rPr>
            <w:webHidden/>
          </w:rPr>
          <w:tab/>
        </w:r>
        <w:r w:rsidR="006A3D27">
          <w:rPr>
            <w:webHidden/>
          </w:rPr>
          <w:fldChar w:fldCharType="begin"/>
        </w:r>
        <w:r w:rsidR="006A3D27">
          <w:rPr>
            <w:webHidden/>
          </w:rPr>
          <w:instrText xml:space="preserve"> PAGEREF _Toc121134120 \h </w:instrText>
        </w:r>
        <w:r w:rsidR="006A3D27">
          <w:rPr>
            <w:webHidden/>
          </w:rPr>
        </w:r>
        <w:r w:rsidR="006A3D27">
          <w:rPr>
            <w:webHidden/>
          </w:rPr>
          <w:fldChar w:fldCharType="separate"/>
        </w:r>
        <w:r w:rsidR="006A3D27">
          <w:rPr>
            <w:webHidden/>
          </w:rPr>
          <w:t>51</w:t>
        </w:r>
        <w:r w:rsidR="006A3D27">
          <w:rPr>
            <w:webHidden/>
          </w:rPr>
          <w:fldChar w:fldCharType="end"/>
        </w:r>
      </w:hyperlink>
    </w:p>
    <w:p w14:paraId="3057F232" w14:textId="44E320BE" w:rsidR="006A3D27" w:rsidRDefault="00000000">
      <w:pPr>
        <w:pStyle w:val="TOC2"/>
        <w:rPr>
          <w:rFonts w:asciiTheme="minorHAnsi" w:eastAsiaTheme="minorEastAsia" w:hAnsiTheme="minorHAnsi" w:cstheme="minorBidi"/>
          <w:sz w:val="22"/>
          <w:szCs w:val="22"/>
          <w:lang w:eastAsia="en-AU"/>
        </w:rPr>
      </w:pPr>
      <w:hyperlink w:anchor="_Toc121134121" w:history="1">
        <w:r w:rsidR="006A3D27" w:rsidRPr="00977DF3">
          <w:rPr>
            <w:rStyle w:val="Hyperlink"/>
          </w:rPr>
          <w:t>Data Collection and Program Monitoring Process</w:t>
        </w:r>
        <w:r w:rsidR="006A3D27">
          <w:rPr>
            <w:webHidden/>
          </w:rPr>
          <w:tab/>
        </w:r>
        <w:r w:rsidR="006A3D27">
          <w:rPr>
            <w:webHidden/>
          </w:rPr>
          <w:fldChar w:fldCharType="begin"/>
        </w:r>
        <w:r w:rsidR="006A3D27">
          <w:rPr>
            <w:webHidden/>
          </w:rPr>
          <w:instrText xml:space="preserve"> PAGEREF _Toc121134121 \h </w:instrText>
        </w:r>
        <w:r w:rsidR="006A3D27">
          <w:rPr>
            <w:webHidden/>
          </w:rPr>
        </w:r>
        <w:r w:rsidR="006A3D27">
          <w:rPr>
            <w:webHidden/>
          </w:rPr>
          <w:fldChar w:fldCharType="separate"/>
        </w:r>
        <w:r w:rsidR="006A3D27">
          <w:rPr>
            <w:webHidden/>
          </w:rPr>
          <w:t>56</w:t>
        </w:r>
        <w:r w:rsidR="006A3D27">
          <w:rPr>
            <w:webHidden/>
          </w:rPr>
          <w:fldChar w:fldCharType="end"/>
        </w:r>
      </w:hyperlink>
    </w:p>
    <w:p w14:paraId="38F332B8" w14:textId="661FF18B" w:rsidR="006A3D27" w:rsidRDefault="00000000">
      <w:pPr>
        <w:pStyle w:val="TOC2"/>
        <w:rPr>
          <w:rFonts w:asciiTheme="minorHAnsi" w:eastAsiaTheme="minorEastAsia" w:hAnsiTheme="minorHAnsi" w:cstheme="minorBidi"/>
          <w:sz w:val="22"/>
          <w:szCs w:val="22"/>
          <w:lang w:eastAsia="en-AU"/>
        </w:rPr>
      </w:pPr>
      <w:hyperlink w:anchor="_Toc121134122" w:history="1">
        <w:r w:rsidR="006A3D27" w:rsidRPr="00977DF3">
          <w:rPr>
            <w:rStyle w:val="Hyperlink"/>
            <w:rFonts w:eastAsia="MS Gothic"/>
            <w:bCs/>
          </w:rPr>
          <w:t>Activity-based targets</w:t>
        </w:r>
        <w:r w:rsidR="006A3D27">
          <w:rPr>
            <w:webHidden/>
          </w:rPr>
          <w:tab/>
        </w:r>
        <w:r w:rsidR="006A3D27">
          <w:rPr>
            <w:webHidden/>
          </w:rPr>
          <w:fldChar w:fldCharType="begin"/>
        </w:r>
        <w:r w:rsidR="006A3D27">
          <w:rPr>
            <w:webHidden/>
          </w:rPr>
          <w:instrText xml:space="preserve"> PAGEREF _Toc121134122 \h </w:instrText>
        </w:r>
        <w:r w:rsidR="006A3D27">
          <w:rPr>
            <w:webHidden/>
          </w:rPr>
        </w:r>
        <w:r w:rsidR="006A3D27">
          <w:rPr>
            <w:webHidden/>
          </w:rPr>
          <w:fldChar w:fldCharType="separate"/>
        </w:r>
        <w:r w:rsidR="006A3D27">
          <w:rPr>
            <w:webHidden/>
          </w:rPr>
          <w:t>56</w:t>
        </w:r>
        <w:r w:rsidR="006A3D27">
          <w:rPr>
            <w:webHidden/>
          </w:rPr>
          <w:fldChar w:fldCharType="end"/>
        </w:r>
      </w:hyperlink>
    </w:p>
    <w:p w14:paraId="64ED8C6A" w14:textId="5AB1471B" w:rsidR="006A3D27" w:rsidRDefault="00000000">
      <w:pPr>
        <w:pStyle w:val="TOC1"/>
        <w:rPr>
          <w:rFonts w:asciiTheme="minorHAnsi" w:eastAsiaTheme="minorEastAsia" w:hAnsiTheme="minorHAnsi" w:cstheme="minorBidi"/>
          <w:b w:val="0"/>
          <w:sz w:val="22"/>
          <w:szCs w:val="22"/>
          <w:lang w:eastAsia="en-AU"/>
        </w:rPr>
      </w:pPr>
      <w:hyperlink w:anchor="_Toc121134123" w:history="1">
        <w:r w:rsidR="006A3D27" w:rsidRPr="00977DF3">
          <w:rPr>
            <w:rStyle w:val="Hyperlink"/>
          </w:rPr>
          <w:t>Evaluation</w:t>
        </w:r>
        <w:r w:rsidR="006A3D27">
          <w:rPr>
            <w:webHidden/>
          </w:rPr>
          <w:tab/>
        </w:r>
        <w:r w:rsidR="006A3D27">
          <w:rPr>
            <w:webHidden/>
          </w:rPr>
          <w:fldChar w:fldCharType="begin"/>
        </w:r>
        <w:r w:rsidR="006A3D27">
          <w:rPr>
            <w:webHidden/>
          </w:rPr>
          <w:instrText xml:space="preserve"> PAGEREF _Toc121134123 \h </w:instrText>
        </w:r>
        <w:r w:rsidR="006A3D27">
          <w:rPr>
            <w:webHidden/>
          </w:rPr>
        </w:r>
        <w:r w:rsidR="006A3D27">
          <w:rPr>
            <w:webHidden/>
          </w:rPr>
          <w:fldChar w:fldCharType="separate"/>
        </w:r>
        <w:r w:rsidR="006A3D27">
          <w:rPr>
            <w:webHidden/>
          </w:rPr>
          <w:t>60</w:t>
        </w:r>
        <w:r w:rsidR="006A3D27">
          <w:rPr>
            <w:webHidden/>
          </w:rPr>
          <w:fldChar w:fldCharType="end"/>
        </w:r>
      </w:hyperlink>
    </w:p>
    <w:p w14:paraId="0830BAF8" w14:textId="2EECA07D" w:rsidR="006A3D27" w:rsidRDefault="00000000">
      <w:pPr>
        <w:pStyle w:val="TOC2"/>
        <w:rPr>
          <w:rFonts w:asciiTheme="minorHAnsi" w:eastAsiaTheme="minorEastAsia" w:hAnsiTheme="minorHAnsi" w:cstheme="minorBidi"/>
          <w:sz w:val="22"/>
          <w:szCs w:val="22"/>
          <w:lang w:eastAsia="en-AU"/>
        </w:rPr>
      </w:pPr>
      <w:hyperlink w:anchor="_Toc121134124" w:history="1">
        <w:r w:rsidR="006A3D27" w:rsidRPr="00977DF3">
          <w:rPr>
            <w:rStyle w:val="Hyperlink"/>
          </w:rPr>
          <w:t>Purpose</w:t>
        </w:r>
        <w:r w:rsidR="006A3D27">
          <w:rPr>
            <w:webHidden/>
          </w:rPr>
          <w:tab/>
        </w:r>
        <w:r w:rsidR="006A3D27">
          <w:rPr>
            <w:webHidden/>
          </w:rPr>
          <w:fldChar w:fldCharType="begin"/>
        </w:r>
        <w:r w:rsidR="006A3D27">
          <w:rPr>
            <w:webHidden/>
          </w:rPr>
          <w:instrText xml:space="preserve"> PAGEREF _Toc121134124 \h </w:instrText>
        </w:r>
        <w:r w:rsidR="006A3D27">
          <w:rPr>
            <w:webHidden/>
          </w:rPr>
        </w:r>
        <w:r w:rsidR="006A3D27">
          <w:rPr>
            <w:webHidden/>
          </w:rPr>
          <w:fldChar w:fldCharType="separate"/>
        </w:r>
        <w:r w:rsidR="006A3D27">
          <w:rPr>
            <w:webHidden/>
          </w:rPr>
          <w:t>60</w:t>
        </w:r>
        <w:r w:rsidR="006A3D27">
          <w:rPr>
            <w:webHidden/>
          </w:rPr>
          <w:fldChar w:fldCharType="end"/>
        </w:r>
      </w:hyperlink>
    </w:p>
    <w:p w14:paraId="50816441" w14:textId="793F4407" w:rsidR="006A3D27" w:rsidRDefault="00000000">
      <w:pPr>
        <w:pStyle w:val="TOC2"/>
        <w:rPr>
          <w:rFonts w:asciiTheme="minorHAnsi" w:eastAsiaTheme="minorEastAsia" w:hAnsiTheme="minorHAnsi" w:cstheme="minorBidi"/>
          <w:sz w:val="22"/>
          <w:szCs w:val="22"/>
          <w:lang w:eastAsia="en-AU"/>
        </w:rPr>
      </w:pPr>
      <w:hyperlink w:anchor="_Toc121134125" w:history="1">
        <w:r w:rsidR="006A3D27" w:rsidRPr="00977DF3">
          <w:rPr>
            <w:rStyle w:val="Hyperlink"/>
          </w:rPr>
          <w:t>Definition of terminology used in H2H Evaluation</w:t>
        </w:r>
        <w:r w:rsidR="006A3D27">
          <w:rPr>
            <w:webHidden/>
          </w:rPr>
          <w:tab/>
        </w:r>
        <w:r w:rsidR="006A3D27">
          <w:rPr>
            <w:webHidden/>
          </w:rPr>
          <w:fldChar w:fldCharType="begin"/>
        </w:r>
        <w:r w:rsidR="006A3D27">
          <w:rPr>
            <w:webHidden/>
          </w:rPr>
          <w:instrText xml:space="preserve"> PAGEREF _Toc121134125 \h </w:instrText>
        </w:r>
        <w:r w:rsidR="006A3D27">
          <w:rPr>
            <w:webHidden/>
          </w:rPr>
        </w:r>
        <w:r w:rsidR="006A3D27">
          <w:rPr>
            <w:webHidden/>
          </w:rPr>
          <w:fldChar w:fldCharType="separate"/>
        </w:r>
        <w:r w:rsidR="006A3D27">
          <w:rPr>
            <w:webHidden/>
          </w:rPr>
          <w:t>61</w:t>
        </w:r>
        <w:r w:rsidR="006A3D27">
          <w:rPr>
            <w:webHidden/>
          </w:rPr>
          <w:fldChar w:fldCharType="end"/>
        </w:r>
      </w:hyperlink>
    </w:p>
    <w:p w14:paraId="0EEFF93E" w14:textId="093A8363" w:rsidR="006A3D27" w:rsidRDefault="00000000">
      <w:pPr>
        <w:pStyle w:val="TOC2"/>
        <w:rPr>
          <w:rFonts w:asciiTheme="minorHAnsi" w:eastAsiaTheme="minorEastAsia" w:hAnsiTheme="minorHAnsi" w:cstheme="minorBidi"/>
          <w:sz w:val="22"/>
          <w:szCs w:val="22"/>
          <w:lang w:eastAsia="en-AU"/>
        </w:rPr>
      </w:pPr>
      <w:hyperlink w:anchor="_Toc121134126" w:history="1">
        <w:r w:rsidR="006A3D27" w:rsidRPr="00977DF3">
          <w:rPr>
            <w:rStyle w:val="Hyperlink"/>
          </w:rPr>
          <w:t>Key principles</w:t>
        </w:r>
        <w:r w:rsidR="006A3D27">
          <w:rPr>
            <w:webHidden/>
          </w:rPr>
          <w:tab/>
        </w:r>
        <w:r w:rsidR="006A3D27">
          <w:rPr>
            <w:webHidden/>
          </w:rPr>
          <w:fldChar w:fldCharType="begin"/>
        </w:r>
        <w:r w:rsidR="006A3D27">
          <w:rPr>
            <w:webHidden/>
          </w:rPr>
          <w:instrText xml:space="preserve"> PAGEREF _Toc121134126 \h </w:instrText>
        </w:r>
        <w:r w:rsidR="006A3D27">
          <w:rPr>
            <w:webHidden/>
          </w:rPr>
        </w:r>
        <w:r w:rsidR="006A3D27">
          <w:rPr>
            <w:webHidden/>
          </w:rPr>
          <w:fldChar w:fldCharType="separate"/>
        </w:r>
        <w:r w:rsidR="006A3D27">
          <w:rPr>
            <w:webHidden/>
          </w:rPr>
          <w:t>61</w:t>
        </w:r>
        <w:r w:rsidR="006A3D27">
          <w:rPr>
            <w:webHidden/>
          </w:rPr>
          <w:fldChar w:fldCharType="end"/>
        </w:r>
      </w:hyperlink>
    </w:p>
    <w:p w14:paraId="27397B05" w14:textId="336887FD" w:rsidR="006A3D27" w:rsidRDefault="00000000">
      <w:pPr>
        <w:pStyle w:val="TOC2"/>
        <w:rPr>
          <w:rFonts w:asciiTheme="minorHAnsi" w:eastAsiaTheme="minorEastAsia" w:hAnsiTheme="minorHAnsi" w:cstheme="minorBidi"/>
          <w:sz w:val="22"/>
          <w:szCs w:val="22"/>
          <w:lang w:eastAsia="en-AU"/>
        </w:rPr>
      </w:pPr>
      <w:hyperlink w:anchor="_Toc121134127" w:history="1">
        <w:r w:rsidR="006A3D27" w:rsidRPr="00977DF3">
          <w:rPr>
            <w:rStyle w:val="Hyperlink"/>
          </w:rPr>
          <w:t>Stages</w:t>
        </w:r>
        <w:r w:rsidR="006A3D27">
          <w:rPr>
            <w:webHidden/>
          </w:rPr>
          <w:tab/>
        </w:r>
        <w:r w:rsidR="006A3D27">
          <w:rPr>
            <w:webHidden/>
          </w:rPr>
          <w:fldChar w:fldCharType="begin"/>
        </w:r>
        <w:r w:rsidR="006A3D27">
          <w:rPr>
            <w:webHidden/>
          </w:rPr>
          <w:instrText xml:space="preserve"> PAGEREF _Toc121134127 \h </w:instrText>
        </w:r>
        <w:r w:rsidR="006A3D27">
          <w:rPr>
            <w:webHidden/>
          </w:rPr>
        </w:r>
        <w:r w:rsidR="006A3D27">
          <w:rPr>
            <w:webHidden/>
          </w:rPr>
          <w:fldChar w:fldCharType="separate"/>
        </w:r>
        <w:r w:rsidR="006A3D27">
          <w:rPr>
            <w:webHidden/>
          </w:rPr>
          <w:t>62</w:t>
        </w:r>
        <w:r w:rsidR="006A3D27">
          <w:rPr>
            <w:webHidden/>
          </w:rPr>
          <w:fldChar w:fldCharType="end"/>
        </w:r>
      </w:hyperlink>
    </w:p>
    <w:p w14:paraId="63312AD5" w14:textId="329E27DA" w:rsidR="006A3D27" w:rsidRDefault="00000000">
      <w:pPr>
        <w:pStyle w:val="TOC2"/>
        <w:rPr>
          <w:rFonts w:asciiTheme="minorHAnsi" w:eastAsiaTheme="minorEastAsia" w:hAnsiTheme="minorHAnsi" w:cstheme="minorBidi"/>
          <w:sz w:val="22"/>
          <w:szCs w:val="22"/>
          <w:lang w:eastAsia="en-AU"/>
        </w:rPr>
      </w:pPr>
      <w:hyperlink w:anchor="_Toc121134128" w:history="1">
        <w:r w:rsidR="006A3D27" w:rsidRPr="00977DF3">
          <w:rPr>
            <w:rStyle w:val="Hyperlink"/>
          </w:rPr>
          <w:t>Potential data sources</w:t>
        </w:r>
        <w:r w:rsidR="006A3D27">
          <w:rPr>
            <w:webHidden/>
          </w:rPr>
          <w:tab/>
        </w:r>
        <w:r w:rsidR="006A3D27">
          <w:rPr>
            <w:webHidden/>
          </w:rPr>
          <w:fldChar w:fldCharType="begin"/>
        </w:r>
        <w:r w:rsidR="006A3D27">
          <w:rPr>
            <w:webHidden/>
          </w:rPr>
          <w:instrText xml:space="preserve"> PAGEREF _Toc121134128 \h </w:instrText>
        </w:r>
        <w:r w:rsidR="006A3D27">
          <w:rPr>
            <w:webHidden/>
          </w:rPr>
        </w:r>
        <w:r w:rsidR="006A3D27">
          <w:rPr>
            <w:webHidden/>
          </w:rPr>
          <w:fldChar w:fldCharType="separate"/>
        </w:r>
        <w:r w:rsidR="006A3D27">
          <w:rPr>
            <w:webHidden/>
          </w:rPr>
          <w:t>62</w:t>
        </w:r>
        <w:r w:rsidR="006A3D27">
          <w:rPr>
            <w:webHidden/>
          </w:rPr>
          <w:fldChar w:fldCharType="end"/>
        </w:r>
      </w:hyperlink>
    </w:p>
    <w:p w14:paraId="70451A2C" w14:textId="3385272A" w:rsidR="006A3D27" w:rsidRDefault="00000000">
      <w:pPr>
        <w:pStyle w:val="TOC2"/>
        <w:rPr>
          <w:rFonts w:asciiTheme="minorHAnsi" w:eastAsiaTheme="minorEastAsia" w:hAnsiTheme="minorHAnsi" w:cstheme="minorBidi"/>
          <w:sz w:val="22"/>
          <w:szCs w:val="22"/>
          <w:lang w:eastAsia="en-AU"/>
        </w:rPr>
      </w:pPr>
      <w:hyperlink w:anchor="_Toc121134129" w:history="1">
        <w:r w:rsidR="006A3D27" w:rsidRPr="00977DF3">
          <w:rPr>
            <w:rStyle w:val="Hyperlink"/>
          </w:rPr>
          <w:t>Procurement</w:t>
        </w:r>
        <w:r w:rsidR="006A3D27">
          <w:rPr>
            <w:webHidden/>
          </w:rPr>
          <w:tab/>
        </w:r>
        <w:r w:rsidR="006A3D27">
          <w:rPr>
            <w:webHidden/>
          </w:rPr>
          <w:fldChar w:fldCharType="begin"/>
        </w:r>
        <w:r w:rsidR="006A3D27">
          <w:rPr>
            <w:webHidden/>
          </w:rPr>
          <w:instrText xml:space="preserve"> PAGEREF _Toc121134129 \h </w:instrText>
        </w:r>
        <w:r w:rsidR="006A3D27">
          <w:rPr>
            <w:webHidden/>
          </w:rPr>
        </w:r>
        <w:r w:rsidR="006A3D27">
          <w:rPr>
            <w:webHidden/>
          </w:rPr>
          <w:fldChar w:fldCharType="separate"/>
        </w:r>
        <w:r w:rsidR="006A3D27">
          <w:rPr>
            <w:webHidden/>
          </w:rPr>
          <w:t>63</w:t>
        </w:r>
        <w:r w:rsidR="006A3D27">
          <w:rPr>
            <w:webHidden/>
          </w:rPr>
          <w:fldChar w:fldCharType="end"/>
        </w:r>
      </w:hyperlink>
    </w:p>
    <w:p w14:paraId="260A004C" w14:textId="183F3388" w:rsidR="006A3D27" w:rsidRDefault="00000000">
      <w:pPr>
        <w:pStyle w:val="TOC1"/>
        <w:rPr>
          <w:rFonts w:asciiTheme="minorHAnsi" w:eastAsiaTheme="minorEastAsia" w:hAnsiTheme="minorHAnsi" w:cstheme="minorBidi"/>
          <w:b w:val="0"/>
          <w:sz w:val="22"/>
          <w:szCs w:val="22"/>
          <w:lang w:eastAsia="en-AU"/>
        </w:rPr>
      </w:pPr>
      <w:hyperlink w:anchor="_Toc121134130" w:history="1">
        <w:r w:rsidR="006A3D27" w:rsidRPr="00977DF3">
          <w:rPr>
            <w:rStyle w:val="Hyperlink"/>
          </w:rPr>
          <w:t>Project Governance</w:t>
        </w:r>
        <w:r w:rsidR="006A3D27">
          <w:rPr>
            <w:webHidden/>
          </w:rPr>
          <w:tab/>
        </w:r>
        <w:r w:rsidR="006A3D27">
          <w:rPr>
            <w:webHidden/>
          </w:rPr>
          <w:fldChar w:fldCharType="begin"/>
        </w:r>
        <w:r w:rsidR="006A3D27">
          <w:rPr>
            <w:webHidden/>
          </w:rPr>
          <w:instrText xml:space="preserve"> PAGEREF _Toc121134130 \h </w:instrText>
        </w:r>
        <w:r w:rsidR="006A3D27">
          <w:rPr>
            <w:webHidden/>
          </w:rPr>
        </w:r>
        <w:r w:rsidR="006A3D27">
          <w:rPr>
            <w:webHidden/>
          </w:rPr>
          <w:fldChar w:fldCharType="separate"/>
        </w:r>
        <w:r w:rsidR="006A3D27">
          <w:rPr>
            <w:webHidden/>
          </w:rPr>
          <w:t>64</w:t>
        </w:r>
        <w:r w:rsidR="006A3D27">
          <w:rPr>
            <w:webHidden/>
          </w:rPr>
          <w:fldChar w:fldCharType="end"/>
        </w:r>
      </w:hyperlink>
    </w:p>
    <w:p w14:paraId="68BA3641" w14:textId="2ED1999F" w:rsidR="006A3D27" w:rsidRDefault="00000000">
      <w:pPr>
        <w:pStyle w:val="TOC2"/>
        <w:rPr>
          <w:rFonts w:asciiTheme="minorHAnsi" w:eastAsiaTheme="minorEastAsia" w:hAnsiTheme="minorHAnsi" w:cstheme="minorBidi"/>
          <w:sz w:val="22"/>
          <w:szCs w:val="22"/>
          <w:lang w:eastAsia="en-AU"/>
        </w:rPr>
      </w:pPr>
      <w:hyperlink w:anchor="_Toc121134131" w:history="1">
        <w:r w:rsidR="006A3D27" w:rsidRPr="00977DF3">
          <w:rPr>
            <w:rStyle w:val="Hyperlink"/>
          </w:rPr>
          <w:t>Audit on Care Plans and Exit Plans</w:t>
        </w:r>
        <w:r w:rsidR="006A3D27">
          <w:rPr>
            <w:webHidden/>
          </w:rPr>
          <w:tab/>
        </w:r>
        <w:r w:rsidR="006A3D27">
          <w:rPr>
            <w:webHidden/>
          </w:rPr>
          <w:fldChar w:fldCharType="begin"/>
        </w:r>
        <w:r w:rsidR="006A3D27">
          <w:rPr>
            <w:webHidden/>
          </w:rPr>
          <w:instrText xml:space="preserve"> PAGEREF _Toc121134131 \h </w:instrText>
        </w:r>
        <w:r w:rsidR="006A3D27">
          <w:rPr>
            <w:webHidden/>
          </w:rPr>
        </w:r>
        <w:r w:rsidR="006A3D27">
          <w:rPr>
            <w:webHidden/>
          </w:rPr>
          <w:fldChar w:fldCharType="separate"/>
        </w:r>
        <w:r w:rsidR="006A3D27">
          <w:rPr>
            <w:webHidden/>
          </w:rPr>
          <w:t>64</w:t>
        </w:r>
        <w:r w:rsidR="006A3D27">
          <w:rPr>
            <w:webHidden/>
          </w:rPr>
          <w:fldChar w:fldCharType="end"/>
        </w:r>
      </w:hyperlink>
    </w:p>
    <w:p w14:paraId="4AC042DD" w14:textId="24E17F8A" w:rsidR="006A3D27" w:rsidRDefault="00000000">
      <w:pPr>
        <w:pStyle w:val="TOC1"/>
        <w:rPr>
          <w:rFonts w:asciiTheme="minorHAnsi" w:eastAsiaTheme="minorEastAsia" w:hAnsiTheme="minorHAnsi" w:cstheme="minorBidi"/>
          <w:b w:val="0"/>
          <w:sz w:val="22"/>
          <w:szCs w:val="22"/>
          <w:lang w:eastAsia="en-AU"/>
        </w:rPr>
      </w:pPr>
      <w:hyperlink w:anchor="_Toc121134132" w:history="1">
        <w:r w:rsidR="006A3D27" w:rsidRPr="00977DF3">
          <w:rPr>
            <w:rStyle w:val="Hyperlink"/>
          </w:rPr>
          <w:t>Appendix 1 - H2H Payment Mechanism and Six-Monthly Reconciliation Reporting</w:t>
        </w:r>
        <w:r w:rsidR="006A3D27">
          <w:rPr>
            <w:webHidden/>
          </w:rPr>
          <w:tab/>
        </w:r>
        <w:r w:rsidR="006A3D27">
          <w:rPr>
            <w:webHidden/>
          </w:rPr>
          <w:fldChar w:fldCharType="begin"/>
        </w:r>
        <w:r w:rsidR="006A3D27">
          <w:rPr>
            <w:webHidden/>
          </w:rPr>
          <w:instrText xml:space="preserve"> PAGEREF _Toc121134132 \h </w:instrText>
        </w:r>
        <w:r w:rsidR="006A3D27">
          <w:rPr>
            <w:webHidden/>
          </w:rPr>
        </w:r>
        <w:r w:rsidR="006A3D27">
          <w:rPr>
            <w:webHidden/>
          </w:rPr>
          <w:fldChar w:fldCharType="separate"/>
        </w:r>
        <w:r w:rsidR="006A3D27">
          <w:rPr>
            <w:webHidden/>
          </w:rPr>
          <w:t>66</w:t>
        </w:r>
        <w:r w:rsidR="006A3D27">
          <w:rPr>
            <w:webHidden/>
          </w:rPr>
          <w:fldChar w:fldCharType="end"/>
        </w:r>
      </w:hyperlink>
    </w:p>
    <w:p w14:paraId="4CD1FDAA" w14:textId="3AAE1A08" w:rsidR="006A3D27" w:rsidRDefault="00000000">
      <w:pPr>
        <w:pStyle w:val="TOC2"/>
        <w:rPr>
          <w:rFonts w:asciiTheme="minorHAnsi" w:eastAsiaTheme="minorEastAsia" w:hAnsiTheme="minorHAnsi" w:cstheme="minorBidi"/>
          <w:sz w:val="22"/>
          <w:szCs w:val="22"/>
          <w:lang w:eastAsia="en-AU"/>
        </w:rPr>
      </w:pPr>
      <w:hyperlink w:anchor="_Toc121134133" w:history="1">
        <w:r w:rsidR="006A3D27" w:rsidRPr="00977DF3">
          <w:rPr>
            <w:rStyle w:val="Hyperlink"/>
            <w:rFonts w:eastAsia="Segoe UI"/>
          </w:rPr>
          <w:t>Standard DFFH Payment schedule</w:t>
        </w:r>
        <w:r w:rsidR="006A3D27">
          <w:rPr>
            <w:webHidden/>
          </w:rPr>
          <w:tab/>
        </w:r>
        <w:r w:rsidR="006A3D27">
          <w:rPr>
            <w:webHidden/>
          </w:rPr>
          <w:fldChar w:fldCharType="begin"/>
        </w:r>
        <w:r w:rsidR="006A3D27">
          <w:rPr>
            <w:webHidden/>
          </w:rPr>
          <w:instrText xml:space="preserve"> PAGEREF _Toc121134133 \h </w:instrText>
        </w:r>
        <w:r w:rsidR="006A3D27">
          <w:rPr>
            <w:webHidden/>
          </w:rPr>
        </w:r>
        <w:r w:rsidR="006A3D27">
          <w:rPr>
            <w:webHidden/>
          </w:rPr>
          <w:fldChar w:fldCharType="separate"/>
        </w:r>
        <w:r w:rsidR="006A3D27">
          <w:rPr>
            <w:webHidden/>
          </w:rPr>
          <w:t>66</w:t>
        </w:r>
        <w:r w:rsidR="006A3D27">
          <w:rPr>
            <w:webHidden/>
          </w:rPr>
          <w:fldChar w:fldCharType="end"/>
        </w:r>
      </w:hyperlink>
    </w:p>
    <w:p w14:paraId="2EFD3362" w14:textId="424A48A3" w:rsidR="006A3D27" w:rsidRDefault="00000000">
      <w:pPr>
        <w:pStyle w:val="TOC2"/>
        <w:rPr>
          <w:rFonts w:asciiTheme="minorHAnsi" w:eastAsiaTheme="minorEastAsia" w:hAnsiTheme="minorHAnsi" w:cstheme="minorBidi"/>
          <w:sz w:val="22"/>
          <w:szCs w:val="22"/>
          <w:lang w:eastAsia="en-AU"/>
        </w:rPr>
      </w:pPr>
      <w:hyperlink w:anchor="_Toc121134134" w:history="1">
        <w:r w:rsidR="006A3D27" w:rsidRPr="00977DF3">
          <w:rPr>
            <w:rStyle w:val="Hyperlink"/>
          </w:rPr>
          <w:t>Funding Table 1 – Original Funding Model</w:t>
        </w:r>
        <w:r w:rsidR="006A3D27">
          <w:rPr>
            <w:webHidden/>
          </w:rPr>
          <w:tab/>
        </w:r>
        <w:r w:rsidR="006A3D27">
          <w:rPr>
            <w:webHidden/>
          </w:rPr>
          <w:fldChar w:fldCharType="begin"/>
        </w:r>
        <w:r w:rsidR="006A3D27">
          <w:rPr>
            <w:webHidden/>
          </w:rPr>
          <w:instrText xml:space="preserve"> PAGEREF _Toc121134134 \h </w:instrText>
        </w:r>
        <w:r w:rsidR="006A3D27">
          <w:rPr>
            <w:webHidden/>
          </w:rPr>
        </w:r>
        <w:r w:rsidR="006A3D27">
          <w:rPr>
            <w:webHidden/>
          </w:rPr>
          <w:fldChar w:fldCharType="separate"/>
        </w:r>
        <w:r w:rsidR="006A3D27">
          <w:rPr>
            <w:webHidden/>
          </w:rPr>
          <w:t>68</w:t>
        </w:r>
        <w:r w:rsidR="006A3D27">
          <w:rPr>
            <w:webHidden/>
          </w:rPr>
          <w:fldChar w:fldCharType="end"/>
        </w:r>
      </w:hyperlink>
    </w:p>
    <w:p w14:paraId="42A8FB29" w14:textId="0F86E4E8" w:rsidR="006A3D27" w:rsidRDefault="00000000">
      <w:pPr>
        <w:pStyle w:val="TOC2"/>
        <w:rPr>
          <w:rFonts w:asciiTheme="minorHAnsi" w:eastAsiaTheme="minorEastAsia" w:hAnsiTheme="minorHAnsi" w:cstheme="minorBidi"/>
          <w:sz w:val="22"/>
          <w:szCs w:val="22"/>
          <w:lang w:eastAsia="en-AU"/>
        </w:rPr>
      </w:pPr>
      <w:hyperlink w:anchor="_Toc121134135" w:history="1">
        <w:r w:rsidR="006A3D27" w:rsidRPr="00977DF3">
          <w:rPr>
            <w:rStyle w:val="Hyperlink"/>
          </w:rPr>
          <w:t>Funding Table 2 – Additional FY2022-23 Funding Model</w:t>
        </w:r>
        <w:r w:rsidR="006A3D27">
          <w:rPr>
            <w:webHidden/>
          </w:rPr>
          <w:tab/>
        </w:r>
        <w:r w:rsidR="006A3D27">
          <w:rPr>
            <w:webHidden/>
          </w:rPr>
          <w:fldChar w:fldCharType="begin"/>
        </w:r>
        <w:r w:rsidR="006A3D27">
          <w:rPr>
            <w:webHidden/>
          </w:rPr>
          <w:instrText xml:space="preserve"> PAGEREF _Toc121134135 \h </w:instrText>
        </w:r>
        <w:r w:rsidR="006A3D27">
          <w:rPr>
            <w:webHidden/>
          </w:rPr>
        </w:r>
        <w:r w:rsidR="006A3D27">
          <w:rPr>
            <w:webHidden/>
          </w:rPr>
          <w:fldChar w:fldCharType="separate"/>
        </w:r>
        <w:r w:rsidR="006A3D27">
          <w:rPr>
            <w:webHidden/>
          </w:rPr>
          <w:t>69</w:t>
        </w:r>
        <w:r w:rsidR="006A3D27">
          <w:rPr>
            <w:webHidden/>
          </w:rPr>
          <w:fldChar w:fldCharType="end"/>
        </w:r>
      </w:hyperlink>
    </w:p>
    <w:p w14:paraId="67B83573" w14:textId="2B890345" w:rsidR="006A3D27" w:rsidRDefault="00000000">
      <w:pPr>
        <w:pStyle w:val="TOC2"/>
        <w:rPr>
          <w:rFonts w:asciiTheme="minorHAnsi" w:eastAsiaTheme="minorEastAsia" w:hAnsiTheme="minorHAnsi" w:cstheme="minorBidi"/>
          <w:sz w:val="22"/>
          <w:szCs w:val="22"/>
          <w:lang w:eastAsia="en-AU"/>
        </w:rPr>
      </w:pPr>
      <w:hyperlink w:anchor="_Toc121134136" w:history="1">
        <w:r w:rsidR="006A3D27" w:rsidRPr="00977DF3">
          <w:rPr>
            <w:rStyle w:val="Hyperlink"/>
            <w:rFonts w:eastAsia="Times"/>
          </w:rPr>
          <w:t>Six-Monthly Reconciliation Reporting requirements</w:t>
        </w:r>
        <w:r w:rsidR="006A3D27">
          <w:rPr>
            <w:webHidden/>
          </w:rPr>
          <w:tab/>
        </w:r>
        <w:r w:rsidR="006A3D27">
          <w:rPr>
            <w:webHidden/>
          </w:rPr>
          <w:fldChar w:fldCharType="begin"/>
        </w:r>
        <w:r w:rsidR="006A3D27">
          <w:rPr>
            <w:webHidden/>
          </w:rPr>
          <w:instrText xml:space="preserve"> PAGEREF _Toc121134136 \h </w:instrText>
        </w:r>
        <w:r w:rsidR="006A3D27">
          <w:rPr>
            <w:webHidden/>
          </w:rPr>
        </w:r>
        <w:r w:rsidR="006A3D27">
          <w:rPr>
            <w:webHidden/>
          </w:rPr>
          <w:fldChar w:fldCharType="separate"/>
        </w:r>
        <w:r w:rsidR="006A3D27">
          <w:rPr>
            <w:webHidden/>
          </w:rPr>
          <w:t>71</w:t>
        </w:r>
        <w:r w:rsidR="006A3D27">
          <w:rPr>
            <w:webHidden/>
          </w:rPr>
          <w:fldChar w:fldCharType="end"/>
        </w:r>
      </w:hyperlink>
    </w:p>
    <w:p w14:paraId="20E769A6" w14:textId="01C44731" w:rsidR="006A3D27" w:rsidRDefault="00000000">
      <w:pPr>
        <w:pStyle w:val="TOC1"/>
        <w:rPr>
          <w:rFonts w:asciiTheme="minorHAnsi" w:eastAsiaTheme="minorEastAsia" w:hAnsiTheme="minorHAnsi" w:cstheme="minorBidi"/>
          <w:b w:val="0"/>
          <w:sz w:val="22"/>
          <w:szCs w:val="22"/>
          <w:lang w:eastAsia="en-AU"/>
        </w:rPr>
      </w:pPr>
      <w:hyperlink w:anchor="_Toc121134137" w:history="1">
        <w:r w:rsidR="006A3D27" w:rsidRPr="00977DF3">
          <w:rPr>
            <w:rStyle w:val="Hyperlink"/>
          </w:rPr>
          <w:t>Appendix 2 - Measuring program performance through activity-based targets</w:t>
        </w:r>
        <w:r w:rsidR="006A3D27">
          <w:rPr>
            <w:webHidden/>
          </w:rPr>
          <w:tab/>
        </w:r>
        <w:r w:rsidR="006A3D27">
          <w:rPr>
            <w:webHidden/>
          </w:rPr>
          <w:fldChar w:fldCharType="begin"/>
        </w:r>
        <w:r w:rsidR="006A3D27">
          <w:rPr>
            <w:webHidden/>
          </w:rPr>
          <w:instrText xml:space="preserve"> PAGEREF _Toc121134137 \h </w:instrText>
        </w:r>
        <w:r w:rsidR="006A3D27">
          <w:rPr>
            <w:webHidden/>
          </w:rPr>
        </w:r>
        <w:r w:rsidR="006A3D27">
          <w:rPr>
            <w:webHidden/>
          </w:rPr>
          <w:fldChar w:fldCharType="separate"/>
        </w:r>
        <w:r w:rsidR="006A3D27">
          <w:rPr>
            <w:webHidden/>
          </w:rPr>
          <w:t>72</w:t>
        </w:r>
        <w:r w:rsidR="006A3D27">
          <w:rPr>
            <w:webHidden/>
          </w:rPr>
          <w:fldChar w:fldCharType="end"/>
        </w:r>
      </w:hyperlink>
    </w:p>
    <w:p w14:paraId="68CCDC38" w14:textId="5F2AB865" w:rsidR="006A3D27" w:rsidRDefault="00000000">
      <w:pPr>
        <w:pStyle w:val="TOC2"/>
        <w:rPr>
          <w:rFonts w:asciiTheme="minorHAnsi" w:eastAsiaTheme="minorEastAsia" w:hAnsiTheme="minorHAnsi" w:cstheme="minorBidi"/>
          <w:sz w:val="22"/>
          <w:szCs w:val="22"/>
          <w:lang w:eastAsia="en-AU"/>
        </w:rPr>
      </w:pPr>
      <w:hyperlink w:anchor="_Toc121134138" w:history="1">
        <w:r w:rsidR="006A3D27" w:rsidRPr="00977DF3">
          <w:rPr>
            <w:rStyle w:val="Hyperlink"/>
          </w:rPr>
          <w:t>How is the H2H program performance measured?</w:t>
        </w:r>
        <w:r w:rsidR="006A3D27">
          <w:rPr>
            <w:webHidden/>
          </w:rPr>
          <w:tab/>
        </w:r>
        <w:r w:rsidR="006A3D27">
          <w:rPr>
            <w:webHidden/>
          </w:rPr>
          <w:fldChar w:fldCharType="begin"/>
        </w:r>
        <w:r w:rsidR="006A3D27">
          <w:rPr>
            <w:webHidden/>
          </w:rPr>
          <w:instrText xml:space="preserve"> PAGEREF _Toc121134138 \h </w:instrText>
        </w:r>
        <w:r w:rsidR="006A3D27">
          <w:rPr>
            <w:webHidden/>
          </w:rPr>
        </w:r>
        <w:r w:rsidR="006A3D27">
          <w:rPr>
            <w:webHidden/>
          </w:rPr>
          <w:fldChar w:fldCharType="separate"/>
        </w:r>
        <w:r w:rsidR="006A3D27">
          <w:rPr>
            <w:webHidden/>
          </w:rPr>
          <w:t>72</w:t>
        </w:r>
        <w:r w:rsidR="006A3D27">
          <w:rPr>
            <w:webHidden/>
          </w:rPr>
          <w:fldChar w:fldCharType="end"/>
        </w:r>
      </w:hyperlink>
    </w:p>
    <w:p w14:paraId="16294529" w14:textId="6441AFD9" w:rsidR="006A3D27" w:rsidRDefault="00000000">
      <w:pPr>
        <w:pStyle w:val="TOC2"/>
        <w:rPr>
          <w:rFonts w:asciiTheme="minorHAnsi" w:eastAsiaTheme="minorEastAsia" w:hAnsiTheme="minorHAnsi" w:cstheme="minorBidi"/>
          <w:sz w:val="22"/>
          <w:szCs w:val="22"/>
          <w:lang w:eastAsia="en-AU"/>
        </w:rPr>
      </w:pPr>
      <w:hyperlink w:anchor="_Toc121134139" w:history="1">
        <w:r w:rsidR="006A3D27" w:rsidRPr="00977DF3">
          <w:rPr>
            <w:rStyle w:val="Hyperlink"/>
          </w:rPr>
          <w:t>What are delivered targets?</w:t>
        </w:r>
        <w:r w:rsidR="006A3D27">
          <w:rPr>
            <w:webHidden/>
          </w:rPr>
          <w:tab/>
        </w:r>
        <w:r w:rsidR="006A3D27">
          <w:rPr>
            <w:webHidden/>
          </w:rPr>
          <w:fldChar w:fldCharType="begin"/>
        </w:r>
        <w:r w:rsidR="006A3D27">
          <w:rPr>
            <w:webHidden/>
          </w:rPr>
          <w:instrText xml:space="preserve"> PAGEREF _Toc121134139 \h </w:instrText>
        </w:r>
        <w:r w:rsidR="006A3D27">
          <w:rPr>
            <w:webHidden/>
          </w:rPr>
        </w:r>
        <w:r w:rsidR="006A3D27">
          <w:rPr>
            <w:webHidden/>
          </w:rPr>
          <w:fldChar w:fldCharType="separate"/>
        </w:r>
        <w:r w:rsidR="006A3D27">
          <w:rPr>
            <w:webHidden/>
          </w:rPr>
          <w:t>73</w:t>
        </w:r>
        <w:r w:rsidR="006A3D27">
          <w:rPr>
            <w:webHidden/>
          </w:rPr>
          <w:fldChar w:fldCharType="end"/>
        </w:r>
      </w:hyperlink>
    </w:p>
    <w:p w14:paraId="484EF030" w14:textId="5DBF3E59" w:rsidR="006A3D27" w:rsidRDefault="00000000">
      <w:pPr>
        <w:pStyle w:val="TOC2"/>
        <w:rPr>
          <w:rFonts w:asciiTheme="minorHAnsi" w:eastAsiaTheme="minorEastAsia" w:hAnsiTheme="minorHAnsi" w:cstheme="minorBidi"/>
          <w:sz w:val="22"/>
          <w:szCs w:val="22"/>
          <w:lang w:eastAsia="en-AU"/>
        </w:rPr>
      </w:pPr>
      <w:hyperlink w:anchor="_Toc121134140" w:history="1">
        <w:r w:rsidR="006A3D27" w:rsidRPr="00977DF3">
          <w:rPr>
            <w:rStyle w:val="Hyperlink"/>
          </w:rPr>
          <w:t>How are funded targets and delivered targets measured?</w:t>
        </w:r>
        <w:r w:rsidR="006A3D27">
          <w:rPr>
            <w:webHidden/>
          </w:rPr>
          <w:tab/>
        </w:r>
        <w:r w:rsidR="006A3D27">
          <w:rPr>
            <w:webHidden/>
          </w:rPr>
          <w:fldChar w:fldCharType="begin"/>
        </w:r>
        <w:r w:rsidR="006A3D27">
          <w:rPr>
            <w:webHidden/>
          </w:rPr>
          <w:instrText xml:space="preserve"> PAGEREF _Toc121134140 \h </w:instrText>
        </w:r>
        <w:r w:rsidR="006A3D27">
          <w:rPr>
            <w:webHidden/>
          </w:rPr>
        </w:r>
        <w:r w:rsidR="006A3D27">
          <w:rPr>
            <w:webHidden/>
          </w:rPr>
          <w:fldChar w:fldCharType="separate"/>
        </w:r>
        <w:r w:rsidR="006A3D27">
          <w:rPr>
            <w:webHidden/>
          </w:rPr>
          <w:t>73</w:t>
        </w:r>
        <w:r w:rsidR="006A3D27">
          <w:rPr>
            <w:webHidden/>
          </w:rPr>
          <w:fldChar w:fldCharType="end"/>
        </w:r>
      </w:hyperlink>
    </w:p>
    <w:p w14:paraId="1761476B" w14:textId="1C427B90" w:rsidR="006A3D27" w:rsidRDefault="00000000">
      <w:pPr>
        <w:pStyle w:val="TOC2"/>
        <w:rPr>
          <w:rFonts w:asciiTheme="minorHAnsi" w:eastAsiaTheme="minorEastAsia" w:hAnsiTheme="minorHAnsi" w:cstheme="minorBidi"/>
          <w:sz w:val="22"/>
          <w:szCs w:val="22"/>
          <w:lang w:eastAsia="en-AU"/>
        </w:rPr>
      </w:pPr>
      <w:hyperlink w:anchor="_Toc121134141" w:history="1">
        <w:r w:rsidR="006A3D27" w:rsidRPr="00977DF3">
          <w:rPr>
            <w:rStyle w:val="Hyperlink"/>
          </w:rPr>
          <w:t>Formula</w:t>
        </w:r>
        <w:r w:rsidR="006A3D27">
          <w:rPr>
            <w:webHidden/>
          </w:rPr>
          <w:tab/>
        </w:r>
        <w:r w:rsidR="006A3D27">
          <w:rPr>
            <w:webHidden/>
          </w:rPr>
          <w:fldChar w:fldCharType="begin"/>
        </w:r>
        <w:r w:rsidR="006A3D27">
          <w:rPr>
            <w:webHidden/>
          </w:rPr>
          <w:instrText xml:space="preserve"> PAGEREF _Toc121134141 \h </w:instrText>
        </w:r>
        <w:r w:rsidR="006A3D27">
          <w:rPr>
            <w:webHidden/>
          </w:rPr>
        </w:r>
        <w:r w:rsidR="006A3D27">
          <w:rPr>
            <w:webHidden/>
          </w:rPr>
          <w:fldChar w:fldCharType="separate"/>
        </w:r>
        <w:r w:rsidR="006A3D27">
          <w:rPr>
            <w:webHidden/>
          </w:rPr>
          <w:t>73</w:t>
        </w:r>
        <w:r w:rsidR="006A3D27">
          <w:rPr>
            <w:webHidden/>
          </w:rPr>
          <w:fldChar w:fldCharType="end"/>
        </w:r>
      </w:hyperlink>
    </w:p>
    <w:p w14:paraId="09FD8F85" w14:textId="363E9EEE" w:rsidR="006A3D27" w:rsidRDefault="00000000">
      <w:pPr>
        <w:pStyle w:val="TOC2"/>
        <w:rPr>
          <w:rFonts w:asciiTheme="minorHAnsi" w:eastAsiaTheme="minorEastAsia" w:hAnsiTheme="minorHAnsi" w:cstheme="minorBidi"/>
          <w:sz w:val="22"/>
          <w:szCs w:val="22"/>
          <w:lang w:eastAsia="en-AU"/>
        </w:rPr>
      </w:pPr>
      <w:hyperlink w:anchor="_Toc121134142" w:history="1">
        <w:r w:rsidR="006A3D27" w:rsidRPr="00977DF3">
          <w:rPr>
            <w:rStyle w:val="Hyperlink"/>
          </w:rPr>
          <w:t>How is performance assessed?</w:t>
        </w:r>
        <w:r w:rsidR="006A3D27">
          <w:rPr>
            <w:webHidden/>
          </w:rPr>
          <w:tab/>
        </w:r>
        <w:r w:rsidR="006A3D27">
          <w:rPr>
            <w:webHidden/>
          </w:rPr>
          <w:fldChar w:fldCharType="begin"/>
        </w:r>
        <w:r w:rsidR="006A3D27">
          <w:rPr>
            <w:webHidden/>
          </w:rPr>
          <w:instrText xml:space="preserve"> PAGEREF _Toc121134142 \h </w:instrText>
        </w:r>
        <w:r w:rsidR="006A3D27">
          <w:rPr>
            <w:webHidden/>
          </w:rPr>
        </w:r>
        <w:r w:rsidR="006A3D27">
          <w:rPr>
            <w:webHidden/>
          </w:rPr>
          <w:fldChar w:fldCharType="separate"/>
        </w:r>
        <w:r w:rsidR="006A3D27">
          <w:rPr>
            <w:webHidden/>
          </w:rPr>
          <w:t>73</w:t>
        </w:r>
        <w:r w:rsidR="006A3D27">
          <w:rPr>
            <w:webHidden/>
          </w:rPr>
          <w:fldChar w:fldCharType="end"/>
        </w:r>
      </w:hyperlink>
    </w:p>
    <w:p w14:paraId="5F7784E8" w14:textId="22166A6D" w:rsidR="006A3D27" w:rsidRDefault="00000000">
      <w:pPr>
        <w:pStyle w:val="TOC2"/>
        <w:rPr>
          <w:rFonts w:asciiTheme="minorHAnsi" w:eastAsiaTheme="minorEastAsia" w:hAnsiTheme="minorHAnsi" w:cstheme="minorBidi"/>
          <w:sz w:val="22"/>
          <w:szCs w:val="22"/>
          <w:lang w:eastAsia="en-AU"/>
        </w:rPr>
      </w:pPr>
      <w:hyperlink w:anchor="_Toc121134143" w:history="1">
        <w:r w:rsidR="006A3D27" w:rsidRPr="00977DF3">
          <w:rPr>
            <w:rStyle w:val="Hyperlink"/>
          </w:rPr>
          <w:t>When is performance measured?</w:t>
        </w:r>
        <w:r w:rsidR="006A3D27">
          <w:rPr>
            <w:webHidden/>
          </w:rPr>
          <w:tab/>
        </w:r>
        <w:r w:rsidR="006A3D27">
          <w:rPr>
            <w:webHidden/>
          </w:rPr>
          <w:fldChar w:fldCharType="begin"/>
        </w:r>
        <w:r w:rsidR="006A3D27">
          <w:rPr>
            <w:webHidden/>
          </w:rPr>
          <w:instrText xml:space="preserve"> PAGEREF _Toc121134143 \h </w:instrText>
        </w:r>
        <w:r w:rsidR="006A3D27">
          <w:rPr>
            <w:webHidden/>
          </w:rPr>
        </w:r>
        <w:r w:rsidR="006A3D27">
          <w:rPr>
            <w:webHidden/>
          </w:rPr>
          <w:fldChar w:fldCharType="separate"/>
        </w:r>
        <w:r w:rsidR="006A3D27">
          <w:rPr>
            <w:webHidden/>
          </w:rPr>
          <w:t>73</w:t>
        </w:r>
        <w:r w:rsidR="006A3D27">
          <w:rPr>
            <w:webHidden/>
          </w:rPr>
          <w:fldChar w:fldCharType="end"/>
        </w:r>
      </w:hyperlink>
    </w:p>
    <w:p w14:paraId="07329CD7" w14:textId="1B1EE4A7" w:rsidR="006A3D27" w:rsidRDefault="00000000">
      <w:pPr>
        <w:pStyle w:val="TOC2"/>
        <w:rPr>
          <w:rFonts w:asciiTheme="minorHAnsi" w:eastAsiaTheme="minorEastAsia" w:hAnsiTheme="minorHAnsi" w:cstheme="minorBidi"/>
          <w:sz w:val="22"/>
          <w:szCs w:val="22"/>
          <w:lang w:eastAsia="en-AU"/>
        </w:rPr>
      </w:pPr>
      <w:hyperlink w:anchor="_Toc121134144" w:history="1">
        <w:r w:rsidR="006A3D27" w:rsidRPr="00977DF3">
          <w:rPr>
            <w:rStyle w:val="Hyperlink"/>
          </w:rPr>
          <w:t>How are quarters defined?</w:t>
        </w:r>
        <w:r w:rsidR="006A3D27">
          <w:rPr>
            <w:webHidden/>
          </w:rPr>
          <w:tab/>
        </w:r>
        <w:r w:rsidR="006A3D27">
          <w:rPr>
            <w:webHidden/>
          </w:rPr>
          <w:fldChar w:fldCharType="begin"/>
        </w:r>
        <w:r w:rsidR="006A3D27">
          <w:rPr>
            <w:webHidden/>
          </w:rPr>
          <w:instrText xml:space="preserve"> PAGEREF _Toc121134144 \h </w:instrText>
        </w:r>
        <w:r w:rsidR="006A3D27">
          <w:rPr>
            <w:webHidden/>
          </w:rPr>
        </w:r>
        <w:r w:rsidR="006A3D27">
          <w:rPr>
            <w:webHidden/>
          </w:rPr>
          <w:fldChar w:fldCharType="separate"/>
        </w:r>
        <w:r w:rsidR="006A3D27">
          <w:rPr>
            <w:webHidden/>
          </w:rPr>
          <w:t>73</w:t>
        </w:r>
        <w:r w:rsidR="006A3D27">
          <w:rPr>
            <w:webHidden/>
          </w:rPr>
          <w:fldChar w:fldCharType="end"/>
        </w:r>
      </w:hyperlink>
    </w:p>
    <w:p w14:paraId="3BB78E71" w14:textId="50BBA498" w:rsidR="006A3D27" w:rsidRDefault="00000000">
      <w:pPr>
        <w:pStyle w:val="TOC2"/>
        <w:rPr>
          <w:rFonts w:asciiTheme="minorHAnsi" w:eastAsiaTheme="minorEastAsia" w:hAnsiTheme="minorHAnsi" w:cstheme="minorBidi"/>
          <w:sz w:val="22"/>
          <w:szCs w:val="22"/>
          <w:lang w:eastAsia="en-AU"/>
        </w:rPr>
      </w:pPr>
      <w:hyperlink w:anchor="_Toc121134145" w:history="1">
        <w:r w:rsidR="006A3D27" w:rsidRPr="00977DF3">
          <w:rPr>
            <w:rStyle w:val="Hyperlink"/>
          </w:rPr>
          <w:t>What is under-performance?</w:t>
        </w:r>
        <w:r w:rsidR="006A3D27">
          <w:rPr>
            <w:webHidden/>
          </w:rPr>
          <w:tab/>
        </w:r>
        <w:r w:rsidR="006A3D27">
          <w:rPr>
            <w:webHidden/>
          </w:rPr>
          <w:fldChar w:fldCharType="begin"/>
        </w:r>
        <w:r w:rsidR="006A3D27">
          <w:rPr>
            <w:webHidden/>
          </w:rPr>
          <w:instrText xml:space="preserve"> PAGEREF _Toc121134145 \h </w:instrText>
        </w:r>
        <w:r w:rsidR="006A3D27">
          <w:rPr>
            <w:webHidden/>
          </w:rPr>
        </w:r>
        <w:r w:rsidR="006A3D27">
          <w:rPr>
            <w:webHidden/>
          </w:rPr>
          <w:fldChar w:fldCharType="separate"/>
        </w:r>
        <w:r w:rsidR="006A3D27">
          <w:rPr>
            <w:webHidden/>
          </w:rPr>
          <w:t>74</w:t>
        </w:r>
        <w:r w:rsidR="006A3D27">
          <w:rPr>
            <w:webHidden/>
          </w:rPr>
          <w:fldChar w:fldCharType="end"/>
        </w:r>
      </w:hyperlink>
    </w:p>
    <w:p w14:paraId="0BE05095" w14:textId="5CC22655" w:rsidR="006A3D27" w:rsidRDefault="00000000">
      <w:pPr>
        <w:pStyle w:val="TOC2"/>
        <w:rPr>
          <w:rFonts w:asciiTheme="minorHAnsi" w:eastAsiaTheme="minorEastAsia" w:hAnsiTheme="minorHAnsi" w:cstheme="minorBidi"/>
          <w:sz w:val="22"/>
          <w:szCs w:val="22"/>
          <w:lang w:eastAsia="en-AU"/>
        </w:rPr>
      </w:pPr>
      <w:hyperlink w:anchor="_Toc121134146" w:history="1">
        <w:r w:rsidR="006A3D27" w:rsidRPr="00977DF3">
          <w:rPr>
            <w:rStyle w:val="Hyperlink"/>
          </w:rPr>
          <w:t>Identifying areas of program under-performance</w:t>
        </w:r>
        <w:r w:rsidR="006A3D27">
          <w:rPr>
            <w:webHidden/>
          </w:rPr>
          <w:tab/>
        </w:r>
        <w:r w:rsidR="006A3D27">
          <w:rPr>
            <w:webHidden/>
          </w:rPr>
          <w:fldChar w:fldCharType="begin"/>
        </w:r>
        <w:r w:rsidR="006A3D27">
          <w:rPr>
            <w:webHidden/>
          </w:rPr>
          <w:instrText xml:space="preserve"> PAGEREF _Toc121134146 \h </w:instrText>
        </w:r>
        <w:r w:rsidR="006A3D27">
          <w:rPr>
            <w:webHidden/>
          </w:rPr>
        </w:r>
        <w:r w:rsidR="006A3D27">
          <w:rPr>
            <w:webHidden/>
          </w:rPr>
          <w:fldChar w:fldCharType="separate"/>
        </w:r>
        <w:r w:rsidR="006A3D27">
          <w:rPr>
            <w:webHidden/>
          </w:rPr>
          <w:t>74</w:t>
        </w:r>
        <w:r w:rsidR="006A3D27">
          <w:rPr>
            <w:webHidden/>
          </w:rPr>
          <w:fldChar w:fldCharType="end"/>
        </w:r>
      </w:hyperlink>
    </w:p>
    <w:p w14:paraId="37801B34" w14:textId="0299EEA5" w:rsidR="006A3D27" w:rsidRDefault="00000000">
      <w:pPr>
        <w:pStyle w:val="TOC2"/>
        <w:rPr>
          <w:rFonts w:asciiTheme="minorHAnsi" w:eastAsiaTheme="minorEastAsia" w:hAnsiTheme="minorHAnsi" w:cstheme="minorBidi"/>
          <w:sz w:val="22"/>
          <w:szCs w:val="22"/>
          <w:lang w:eastAsia="en-AU"/>
        </w:rPr>
      </w:pPr>
      <w:hyperlink w:anchor="_Toc121134147" w:history="1">
        <w:r w:rsidR="006A3D27" w:rsidRPr="00977DF3">
          <w:rPr>
            <w:rStyle w:val="Hyperlink"/>
          </w:rPr>
          <w:t>Request for clarification</w:t>
        </w:r>
        <w:r w:rsidR="006A3D27">
          <w:rPr>
            <w:webHidden/>
          </w:rPr>
          <w:tab/>
        </w:r>
        <w:r w:rsidR="006A3D27">
          <w:rPr>
            <w:webHidden/>
          </w:rPr>
          <w:fldChar w:fldCharType="begin"/>
        </w:r>
        <w:r w:rsidR="006A3D27">
          <w:rPr>
            <w:webHidden/>
          </w:rPr>
          <w:instrText xml:space="preserve"> PAGEREF _Toc121134147 \h </w:instrText>
        </w:r>
        <w:r w:rsidR="006A3D27">
          <w:rPr>
            <w:webHidden/>
          </w:rPr>
        </w:r>
        <w:r w:rsidR="006A3D27">
          <w:rPr>
            <w:webHidden/>
          </w:rPr>
          <w:fldChar w:fldCharType="separate"/>
        </w:r>
        <w:r w:rsidR="006A3D27">
          <w:rPr>
            <w:webHidden/>
          </w:rPr>
          <w:t>74</w:t>
        </w:r>
        <w:r w:rsidR="006A3D27">
          <w:rPr>
            <w:webHidden/>
          </w:rPr>
          <w:fldChar w:fldCharType="end"/>
        </w:r>
      </w:hyperlink>
    </w:p>
    <w:p w14:paraId="48A060C6" w14:textId="1DAD42CF" w:rsidR="006A3D27" w:rsidRDefault="00000000">
      <w:pPr>
        <w:pStyle w:val="TOC2"/>
        <w:rPr>
          <w:rFonts w:asciiTheme="minorHAnsi" w:eastAsiaTheme="minorEastAsia" w:hAnsiTheme="minorHAnsi" w:cstheme="minorBidi"/>
          <w:sz w:val="22"/>
          <w:szCs w:val="22"/>
          <w:lang w:eastAsia="en-AU"/>
        </w:rPr>
      </w:pPr>
      <w:hyperlink w:anchor="_Toc121134148" w:history="1">
        <w:r w:rsidR="006A3D27" w:rsidRPr="00977DF3">
          <w:rPr>
            <w:rStyle w:val="Hyperlink"/>
          </w:rPr>
          <w:t>Target/ Funding review</w:t>
        </w:r>
        <w:r w:rsidR="006A3D27">
          <w:rPr>
            <w:webHidden/>
          </w:rPr>
          <w:tab/>
        </w:r>
        <w:r w:rsidR="006A3D27">
          <w:rPr>
            <w:webHidden/>
          </w:rPr>
          <w:fldChar w:fldCharType="begin"/>
        </w:r>
        <w:r w:rsidR="006A3D27">
          <w:rPr>
            <w:webHidden/>
          </w:rPr>
          <w:instrText xml:space="preserve"> PAGEREF _Toc121134148 \h </w:instrText>
        </w:r>
        <w:r w:rsidR="006A3D27">
          <w:rPr>
            <w:webHidden/>
          </w:rPr>
        </w:r>
        <w:r w:rsidR="006A3D27">
          <w:rPr>
            <w:webHidden/>
          </w:rPr>
          <w:fldChar w:fldCharType="separate"/>
        </w:r>
        <w:r w:rsidR="006A3D27">
          <w:rPr>
            <w:webHidden/>
          </w:rPr>
          <w:t>74</w:t>
        </w:r>
        <w:r w:rsidR="006A3D27">
          <w:rPr>
            <w:webHidden/>
          </w:rPr>
          <w:fldChar w:fldCharType="end"/>
        </w:r>
      </w:hyperlink>
    </w:p>
    <w:p w14:paraId="4BAD5F53" w14:textId="523CFA90" w:rsidR="006A3D27" w:rsidRDefault="00000000">
      <w:pPr>
        <w:pStyle w:val="TOC2"/>
        <w:rPr>
          <w:rFonts w:asciiTheme="minorHAnsi" w:eastAsiaTheme="minorEastAsia" w:hAnsiTheme="minorHAnsi" w:cstheme="minorBidi"/>
          <w:sz w:val="22"/>
          <w:szCs w:val="22"/>
          <w:lang w:eastAsia="en-AU"/>
        </w:rPr>
      </w:pPr>
      <w:hyperlink w:anchor="_Toc121134149" w:history="1">
        <w:r w:rsidR="006A3D27" w:rsidRPr="00977DF3">
          <w:rPr>
            <w:rStyle w:val="Hyperlink"/>
          </w:rPr>
          <w:t>Review of Performance</w:t>
        </w:r>
        <w:r w:rsidR="006A3D27">
          <w:rPr>
            <w:webHidden/>
          </w:rPr>
          <w:tab/>
        </w:r>
        <w:r w:rsidR="006A3D27">
          <w:rPr>
            <w:webHidden/>
          </w:rPr>
          <w:fldChar w:fldCharType="begin"/>
        </w:r>
        <w:r w:rsidR="006A3D27">
          <w:rPr>
            <w:webHidden/>
          </w:rPr>
          <w:instrText xml:space="preserve"> PAGEREF _Toc121134149 \h </w:instrText>
        </w:r>
        <w:r w:rsidR="006A3D27">
          <w:rPr>
            <w:webHidden/>
          </w:rPr>
        </w:r>
        <w:r w:rsidR="006A3D27">
          <w:rPr>
            <w:webHidden/>
          </w:rPr>
          <w:fldChar w:fldCharType="separate"/>
        </w:r>
        <w:r w:rsidR="006A3D27">
          <w:rPr>
            <w:webHidden/>
          </w:rPr>
          <w:t>74</w:t>
        </w:r>
        <w:r w:rsidR="006A3D27">
          <w:rPr>
            <w:webHidden/>
          </w:rPr>
          <w:fldChar w:fldCharType="end"/>
        </w:r>
      </w:hyperlink>
    </w:p>
    <w:p w14:paraId="552ED35C" w14:textId="098F1642" w:rsidR="006A3D27" w:rsidRDefault="00000000">
      <w:pPr>
        <w:pStyle w:val="TOC2"/>
        <w:rPr>
          <w:rFonts w:asciiTheme="minorHAnsi" w:eastAsiaTheme="minorEastAsia" w:hAnsiTheme="minorHAnsi" w:cstheme="minorBidi"/>
          <w:sz w:val="22"/>
          <w:szCs w:val="22"/>
          <w:lang w:eastAsia="en-AU"/>
        </w:rPr>
      </w:pPr>
      <w:hyperlink w:anchor="_Toc121134150" w:history="1">
        <w:r w:rsidR="006A3D27" w:rsidRPr="00977DF3">
          <w:rPr>
            <w:rStyle w:val="Hyperlink"/>
          </w:rPr>
          <w:t>Performance Improvement Action Plan (PIAP)</w:t>
        </w:r>
        <w:r w:rsidR="006A3D27">
          <w:rPr>
            <w:webHidden/>
          </w:rPr>
          <w:tab/>
        </w:r>
        <w:r w:rsidR="006A3D27">
          <w:rPr>
            <w:webHidden/>
          </w:rPr>
          <w:fldChar w:fldCharType="begin"/>
        </w:r>
        <w:r w:rsidR="006A3D27">
          <w:rPr>
            <w:webHidden/>
          </w:rPr>
          <w:instrText xml:space="preserve"> PAGEREF _Toc121134150 \h </w:instrText>
        </w:r>
        <w:r w:rsidR="006A3D27">
          <w:rPr>
            <w:webHidden/>
          </w:rPr>
        </w:r>
        <w:r w:rsidR="006A3D27">
          <w:rPr>
            <w:webHidden/>
          </w:rPr>
          <w:fldChar w:fldCharType="separate"/>
        </w:r>
        <w:r w:rsidR="006A3D27">
          <w:rPr>
            <w:webHidden/>
          </w:rPr>
          <w:t>75</w:t>
        </w:r>
        <w:r w:rsidR="006A3D27">
          <w:rPr>
            <w:webHidden/>
          </w:rPr>
          <w:fldChar w:fldCharType="end"/>
        </w:r>
      </w:hyperlink>
    </w:p>
    <w:p w14:paraId="006F52F5" w14:textId="68AA0E9A" w:rsidR="006A3D27" w:rsidRDefault="00000000">
      <w:pPr>
        <w:pStyle w:val="TOC2"/>
        <w:rPr>
          <w:rFonts w:asciiTheme="minorHAnsi" w:eastAsiaTheme="minorEastAsia" w:hAnsiTheme="minorHAnsi" w:cstheme="minorBidi"/>
          <w:sz w:val="22"/>
          <w:szCs w:val="22"/>
          <w:lang w:eastAsia="en-AU"/>
        </w:rPr>
      </w:pPr>
      <w:hyperlink w:anchor="_Toc121134151" w:history="1">
        <w:r w:rsidR="006A3D27" w:rsidRPr="00977DF3">
          <w:rPr>
            <w:rStyle w:val="Hyperlink"/>
          </w:rPr>
          <w:t>Exceptional circumstances</w:t>
        </w:r>
        <w:r w:rsidR="006A3D27">
          <w:rPr>
            <w:webHidden/>
          </w:rPr>
          <w:tab/>
        </w:r>
        <w:r w:rsidR="006A3D27">
          <w:rPr>
            <w:webHidden/>
          </w:rPr>
          <w:fldChar w:fldCharType="begin"/>
        </w:r>
        <w:r w:rsidR="006A3D27">
          <w:rPr>
            <w:webHidden/>
          </w:rPr>
          <w:instrText xml:space="preserve"> PAGEREF _Toc121134151 \h </w:instrText>
        </w:r>
        <w:r w:rsidR="006A3D27">
          <w:rPr>
            <w:webHidden/>
          </w:rPr>
        </w:r>
        <w:r w:rsidR="006A3D27">
          <w:rPr>
            <w:webHidden/>
          </w:rPr>
          <w:fldChar w:fldCharType="separate"/>
        </w:r>
        <w:r w:rsidR="006A3D27">
          <w:rPr>
            <w:webHidden/>
          </w:rPr>
          <w:t>75</w:t>
        </w:r>
        <w:r w:rsidR="006A3D27">
          <w:rPr>
            <w:webHidden/>
          </w:rPr>
          <w:fldChar w:fldCharType="end"/>
        </w:r>
      </w:hyperlink>
    </w:p>
    <w:p w14:paraId="49CE2F02" w14:textId="3A7AAC15" w:rsidR="006A3D27" w:rsidRDefault="00000000">
      <w:pPr>
        <w:pStyle w:val="TOC1"/>
        <w:rPr>
          <w:rFonts w:asciiTheme="minorHAnsi" w:eastAsiaTheme="minorEastAsia" w:hAnsiTheme="minorHAnsi" w:cstheme="minorBidi"/>
          <w:b w:val="0"/>
          <w:sz w:val="22"/>
          <w:szCs w:val="22"/>
          <w:lang w:eastAsia="en-AU"/>
        </w:rPr>
      </w:pPr>
      <w:hyperlink w:anchor="_Toc121134152" w:history="1">
        <w:r w:rsidR="006A3D27" w:rsidRPr="00977DF3">
          <w:rPr>
            <w:rStyle w:val="Hyperlink"/>
          </w:rPr>
          <w:t>Appendix 3 - H2H support package type by number, by HEART area and by dwelling type</w:t>
        </w:r>
        <w:r w:rsidR="006A3D27">
          <w:rPr>
            <w:webHidden/>
          </w:rPr>
          <w:tab/>
        </w:r>
        <w:r w:rsidR="006A3D27">
          <w:rPr>
            <w:webHidden/>
          </w:rPr>
          <w:fldChar w:fldCharType="begin"/>
        </w:r>
        <w:r w:rsidR="006A3D27">
          <w:rPr>
            <w:webHidden/>
          </w:rPr>
          <w:instrText xml:space="preserve"> PAGEREF _Toc121134152 \h </w:instrText>
        </w:r>
        <w:r w:rsidR="006A3D27">
          <w:rPr>
            <w:webHidden/>
          </w:rPr>
        </w:r>
        <w:r w:rsidR="006A3D27">
          <w:rPr>
            <w:webHidden/>
          </w:rPr>
          <w:fldChar w:fldCharType="separate"/>
        </w:r>
        <w:r w:rsidR="006A3D27">
          <w:rPr>
            <w:webHidden/>
          </w:rPr>
          <w:t>77</w:t>
        </w:r>
        <w:r w:rsidR="006A3D27">
          <w:rPr>
            <w:webHidden/>
          </w:rPr>
          <w:fldChar w:fldCharType="end"/>
        </w:r>
      </w:hyperlink>
    </w:p>
    <w:p w14:paraId="05EE4DCD" w14:textId="0AC88811" w:rsidR="006A3D27" w:rsidRDefault="00000000">
      <w:pPr>
        <w:pStyle w:val="TOC1"/>
        <w:rPr>
          <w:rFonts w:asciiTheme="minorHAnsi" w:eastAsiaTheme="minorEastAsia" w:hAnsiTheme="minorHAnsi" w:cstheme="minorBidi"/>
          <w:b w:val="0"/>
          <w:sz w:val="22"/>
          <w:szCs w:val="22"/>
          <w:lang w:eastAsia="en-AU"/>
        </w:rPr>
      </w:pPr>
      <w:hyperlink w:anchor="_Toc121134153" w:history="1">
        <w:r w:rsidR="006A3D27" w:rsidRPr="00977DF3">
          <w:rPr>
            <w:rStyle w:val="Hyperlink"/>
          </w:rPr>
          <w:t>Appendix 4 - Mandatory disclosures and safety checks for General Lease and HPF Dwellings</w:t>
        </w:r>
        <w:r w:rsidR="006A3D27">
          <w:rPr>
            <w:webHidden/>
          </w:rPr>
          <w:tab/>
        </w:r>
        <w:r w:rsidR="006A3D27">
          <w:rPr>
            <w:webHidden/>
          </w:rPr>
          <w:fldChar w:fldCharType="begin"/>
        </w:r>
        <w:r w:rsidR="006A3D27">
          <w:rPr>
            <w:webHidden/>
          </w:rPr>
          <w:instrText xml:space="preserve"> PAGEREF _Toc121134153 \h </w:instrText>
        </w:r>
        <w:r w:rsidR="006A3D27">
          <w:rPr>
            <w:webHidden/>
          </w:rPr>
        </w:r>
        <w:r w:rsidR="006A3D27">
          <w:rPr>
            <w:webHidden/>
          </w:rPr>
          <w:fldChar w:fldCharType="separate"/>
        </w:r>
        <w:r w:rsidR="006A3D27">
          <w:rPr>
            <w:webHidden/>
          </w:rPr>
          <w:t>81</w:t>
        </w:r>
        <w:r w:rsidR="006A3D27">
          <w:rPr>
            <w:webHidden/>
          </w:rPr>
          <w:fldChar w:fldCharType="end"/>
        </w:r>
      </w:hyperlink>
    </w:p>
    <w:p w14:paraId="222B69E5" w14:textId="70B6ECE0" w:rsidR="006A3D27" w:rsidRDefault="00000000">
      <w:pPr>
        <w:pStyle w:val="TOC1"/>
        <w:rPr>
          <w:rFonts w:asciiTheme="minorHAnsi" w:eastAsiaTheme="minorEastAsia" w:hAnsiTheme="minorHAnsi" w:cstheme="minorBidi"/>
          <w:b w:val="0"/>
          <w:sz w:val="22"/>
          <w:szCs w:val="22"/>
          <w:lang w:eastAsia="en-AU"/>
        </w:rPr>
      </w:pPr>
      <w:hyperlink w:anchor="_Toc121134154" w:history="1">
        <w:r w:rsidR="006A3D27" w:rsidRPr="00977DF3">
          <w:rPr>
            <w:rStyle w:val="Hyperlink"/>
          </w:rPr>
          <w:t>Appendix 5 – Portfolio Approach: Allocations (Operations Policy Position)</w:t>
        </w:r>
        <w:r w:rsidR="006A3D27">
          <w:rPr>
            <w:webHidden/>
          </w:rPr>
          <w:tab/>
        </w:r>
        <w:r w:rsidR="006A3D27">
          <w:rPr>
            <w:webHidden/>
          </w:rPr>
          <w:fldChar w:fldCharType="begin"/>
        </w:r>
        <w:r w:rsidR="006A3D27">
          <w:rPr>
            <w:webHidden/>
          </w:rPr>
          <w:instrText xml:space="preserve"> PAGEREF _Toc121134154 \h </w:instrText>
        </w:r>
        <w:r w:rsidR="006A3D27">
          <w:rPr>
            <w:webHidden/>
          </w:rPr>
        </w:r>
        <w:r w:rsidR="006A3D27">
          <w:rPr>
            <w:webHidden/>
          </w:rPr>
          <w:fldChar w:fldCharType="separate"/>
        </w:r>
        <w:r w:rsidR="006A3D27">
          <w:rPr>
            <w:webHidden/>
          </w:rPr>
          <w:t>86</w:t>
        </w:r>
        <w:r w:rsidR="006A3D27">
          <w:rPr>
            <w:webHidden/>
          </w:rPr>
          <w:fldChar w:fldCharType="end"/>
        </w:r>
      </w:hyperlink>
    </w:p>
    <w:p w14:paraId="768A4769" w14:textId="65FC2103" w:rsidR="006A3D27" w:rsidRDefault="00000000">
      <w:pPr>
        <w:pStyle w:val="TOC2"/>
        <w:rPr>
          <w:rFonts w:asciiTheme="minorHAnsi" w:eastAsiaTheme="minorEastAsia" w:hAnsiTheme="minorHAnsi" w:cstheme="minorBidi"/>
          <w:sz w:val="22"/>
          <w:szCs w:val="22"/>
          <w:lang w:eastAsia="en-AU"/>
        </w:rPr>
      </w:pPr>
      <w:hyperlink w:anchor="_Toc121134155" w:history="1">
        <w:r w:rsidR="006A3D27" w:rsidRPr="00977DF3">
          <w:rPr>
            <w:rStyle w:val="Hyperlink"/>
          </w:rPr>
          <w:t>Context &amp; Background</w:t>
        </w:r>
        <w:r w:rsidR="006A3D27">
          <w:rPr>
            <w:webHidden/>
          </w:rPr>
          <w:tab/>
        </w:r>
        <w:r w:rsidR="006A3D27">
          <w:rPr>
            <w:webHidden/>
          </w:rPr>
          <w:fldChar w:fldCharType="begin"/>
        </w:r>
        <w:r w:rsidR="006A3D27">
          <w:rPr>
            <w:webHidden/>
          </w:rPr>
          <w:instrText xml:space="preserve"> PAGEREF _Toc121134155 \h </w:instrText>
        </w:r>
        <w:r w:rsidR="006A3D27">
          <w:rPr>
            <w:webHidden/>
          </w:rPr>
        </w:r>
        <w:r w:rsidR="006A3D27">
          <w:rPr>
            <w:webHidden/>
          </w:rPr>
          <w:fldChar w:fldCharType="separate"/>
        </w:r>
        <w:r w:rsidR="006A3D27">
          <w:rPr>
            <w:webHidden/>
          </w:rPr>
          <w:t>86</w:t>
        </w:r>
        <w:r w:rsidR="006A3D27">
          <w:rPr>
            <w:webHidden/>
          </w:rPr>
          <w:fldChar w:fldCharType="end"/>
        </w:r>
      </w:hyperlink>
    </w:p>
    <w:p w14:paraId="31E28374" w14:textId="50DAEF9A" w:rsidR="006A3D27" w:rsidRDefault="00000000">
      <w:pPr>
        <w:pStyle w:val="TOC2"/>
        <w:rPr>
          <w:rFonts w:asciiTheme="minorHAnsi" w:eastAsiaTheme="minorEastAsia" w:hAnsiTheme="minorHAnsi" w:cstheme="minorBidi"/>
          <w:sz w:val="22"/>
          <w:szCs w:val="22"/>
          <w:lang w:eastAsia="en-AU"/>
        </w:rPr>
      </w:pPr>
      <w:hyperlink w:anchor="_Toc121134156" w:history="1">
        <w:r w:rsidR="006A3D27" w:rsidRPr="00977DF3">
          <w:rPr>
            <w:rStyle w:val="Hyperlink"/>
          </w:rPr>
          <w:t>Policy Intent</w:t>
        </w:r>
        <w:r w:rsidR="006A3D27">
          <w:rPr>
            <w:webHidden/>
          </w:rPr>
          <w:tab/>
        </w:r>
        <w:r w:rsidR="006A3D27">
          <w:rPr>
            <w:webHidden/>
          </w:rPr>
          <w:fldChar w:fldCharType="begin"/>
        </w:r>
        <w:r w:rsidR="006A3D27">
          <w:rPr>
            <w:webHidden/>
          </w:rPr>
          <w:instrText xml:space="preserve"> PAGEREF _Toc121134156 \h </w:instrText>
        </w:r>
        <w:r w:rsidR="006A3D27">
          <w:rPr>
            <w:webHidden/>
          </w:rPr>
        </w:r>
        <w:r w:rsidR="006A3D27">
          <w:rPr>
            <w:webHidden/>
          </w:rPr>
          <w:fldChar w:fldCharType="separate"/>
        </w:r>
        <w:r w:rsidR="006A3D27">
          <w:rPr>
            <w:webHidden/>
          </w:rPr>
          <w:t>86</w:t>
        </w:r>
        <w:r w:rsidR="006A3D27">
          <w:rPr>
            <w:webHidden/>
          </w:rPr>
          <w:fldChar w:fldCharType="end"/>
        </w:r>
      </w:hyperlink>
    </w:p>
    <w:p w14:paraId="59D9B9CD" w14:textId="7D76A5F0" w:rsidR="006A3D27" w:rsidRDefault="00000000">
      <w:pPr>
        <w:pStyle w:val="TOC2"/>
        <w:rPr>
          <w:rFonts w:asciiTheme="minorHAnsi" w:eastAsiaTheme="minorEastAsia" w:hAnsiTheme="minorHAnsi" w:cstheme="minorBidi"/>
          <w:sz w:val="22"/>
          <w:szCs w:val="22"/>
          <w:lang w:eastAsia="en-AU"/>
        </w:rPr>
      </w:pPr>
      <w:hyperlink w:anchor="_Toc121134157" w:history="1">
        <w:r w:rsidR="006A3D27" w:rsidRPr="00977DF3">
          <w:rPr>
            <w:rStyle w:val="Hyperlink"/>
          </w:rPr>
          <w:t>Key Policy Considerations and Settings</w:t>
        </w:r>
        <w:r w:rsidR="006A3D27">
          <w:rPr>
            <w:webHidden/>
          </w:rPr>
          <w:tab/>
        </w:r>
        <w:r w:rsidR="006A3D27">
          <w:rPr>
            <w:webHidden/>
          </w:rPr>
          <w:fldChar w:fldCharType="begin"/>
        </w:r>
        <w:r w:rsidR="006A3D27">
          <w:rPr>
            <w:webHidden/>
          </w:rPr>
          <w:instrText xml:space="preserve"> PAGEREF _Toc121134157 \h </w:instrText>
        </w:r>
        <w:r w:rsidR="006A3D27">
          <w:rPr>
            <w:webHidden/>
          </w:rPr>
        </w:r>
        <w:r w:rsidR="006A3D27">
          <w:rPr>
            <w:webHidden/>
          </w:rPr>
          <w:fldChar w:fldCharType="separate"/>
        </w:r>
        <w:r w:rsidR="006A3D27">
          <w:rPr>
            <w:webHidden/>
          </w:rPr>
          <w:t>86</w:t>
        </w:r>
        <w:r w:rsidR="006A3D27">
          <w:rPr>
            <w:webHidden/>
          </w:rPr>
          <w:fldChar w:fldCharType="end"/>
        </w:r>
      </w:hyperlink>
    </w:p>
    <w:p w14:paraId="10B9E450" w14:textId="15C08524" w:rsidR="006A3D27" w:rsidRDefault="00000000">
      <w:pPr>
        <w:pStyle w:val="TOC2"/>
        <w:rPr>
          <w:rFonts w:asciiTheme="minorHAnsi" w:eastAsiaTheme="minorEastAsia" w:hAnsiTheme="minorHAnsi" w:cstheme="minorBidi"/>
          <w:sz w:val="22"/>
          <w:szCs w:val="22"/>
          <w:lang w:eastAsia="en-AU"/>
        </w:rPr>
      </w:pPr>
      <w:hyperlink w:anchor="_Toc121134158" w:history="1">
        <w:r w:rsidR="006A3D27" w:rsidRPr="00977DF3">
          <w:rPr>
            <w:rStyle w:val="Hyperlink"/>
          </w:rPr>
          <w:t>Housing product</w:t>
        </w:r>
        <w:r w:rsidR="006A3D27">
          <w:rPr>
            <w:webHidden/>
          </w:rPr>
          <w:tab/>
        </w:r>
        <w:r w:rsidR="006A3D27">
          <w:rPr>
            <w:webHidden/>
          </w:rPr>
          <w:fldChar w:fldCharType="begin"/>
        </w:r>
        <w:r w:rsidR="006A3D27">
          <w:rPr>
            <w:webHidden/>
          </w:rPr>
          <w:instrText xml:space="preserve"> PAGEREF _Toc121134158 \h </w:instrText>
        </w:r>
        <w:r w:rsidR="006A3D27">
          <w:rPr>
            <w:webHidden/>
          </w:rPr>
        </w:r>
        <w:r w:rsidR="006A3D27">
          <w:rPr>
            <w:webHidden/>
          </w:rPr>
          <w:fldChar w:fldCharType="separate"/>
        </w:r>
        <w:r w:rsidR="006A3D27">
          <w:rPr>
            <w:webHidden/>
          </w:rPr>
          <w:t>87</w:t>
        </w:r>
        <w:r w:rsidR="006A3D27">
          <w:rPr>
            <w:webHidden/>
          </w:rPr>
          <w:fldChar w:fldCharType="end"/>
        </w:r>
      </w:hyperlink>
    </w:p>
    <w:p w14:paraId="467887AF" w14:textId="6FA0BF05" w:rsidR="006A3D27" w:rsidRDefault="00000000">
      <w:pPr>
        <w:pStyle w:val="TOC2"/>
        <w:rPr>
          <w:rFonts w:asciiTheme="minorHAnsi" w:eastAsiaTheme="minorEastAsia" w:hAnsiTheme="minorHAnsi" w:cstheme="minorBidi"/>
          <w:sz w:val="22"/>
          <w:szCs w:val="22"/>
          <w:lang w:eastAsia="en-AU"/>
        </w:rPr>
      </w:pPr>
      <w:hyperlink w:anchor="_Toc121134159" w:history="1">
        <w:r w:rsidR="006A3D27" w:rsidRPr="00977DF3">
          <w:rPr>
            <w:rStyle w:val="Hyperlink"/>
          </w:rPr>
          <w:t>Portfolio Approach</w:t>
        </w:r>
        <w:r w:rsidR="006A3D27">
          <w:rPr>
            <w:webHidden/>
          </w:rPr>
          <w:tab/>
        </w:r>
        <w:r w:rsidR="006A3D27">
          <w:rPr>
            <w:webHidden/>
          </w:rPr>
          <w:fldChar w:fldCharType="begin"/>
        </w:r>
        <w:r w:rsidR="006A3D27">
          <w:rPr>
            <w:webHidden/>
          </w:rPr>
          <w:instrText xml:space="preserve"> PAGEREF _Toc121134159 \h </w:instrText>
        </w:r>
        <w:r w:rsidR="006A3D27">
          <w:rPr>
            <w:webHidden/>
          </w:rPr>
        </w:r>
        <w:r w:rsidR="006A3D27">
          <w:rPr>
            <w:webHidden/>
          </w:rPr>
          <w:fldChar w:fldCharType="separate"/>
        </w:r>
        <w:r w:rsidR="006A3D27">
          <w:rPr>
            <w:webHidden/>
          </w:rPr>
          <w:t>87</w:t>
        </w:r>
        <w:r w:rsidR="006A3D27">
          <w:rPr>
            <w:webHidden/>
          </w:rPr>
          <w:fldChar w:fldCharType="end"/>
        </w:r>
      </w:hyperlink>
    </w:p>
    <w:p w14:paraId="18FA2E60" w14:textId="0562B275" w:rsidR="006A3D27" w:rsidRDefault="00000000">
      <w:pPr>
        <w:pStyle w:val="TOC2"/>
        <w:rPr>
          <w:rFonts w:asciiTheme="minorHAnsi" w:eastAsiaTheme="minorEastAsia" w:hAnsiTheme="minorHAnsi" w:cstheme="minorBidi"/>
          <w:sz w:val="22"/>
          <w:szCs w:val="22"/>
          <w:lang w:eastAsia="en-AU"/>
        </w:rPr>
      </w:pPr>
      <w:hyperlink w:anchor="_Toc121134160" w:history="1">
        <w:r w:rsidR="006A3D27" w:rsidRPr="00977DF3">
          <w:rPr>
            <w:rStyle w:val="Hyperlink"/>
            <w:bCs/>
          </w:rPr>
          <w:t xml:space="preserve">Additional resource allocation  </w:t>
        </w:r>
        <w:r w:rsidR="006A3D27" w:rsidRPr="00977DF3">
          <w:rPr>
            <w:rStyle w:val="Hyperlink"/>
          </w:rPr>
          <w:t>Homes Victoria will cover the following costs to support H2H clients to move into alternative social housing stock managed and owned by Community Housing providers:</w:t>
        </w:r>
        <w:r w:rsidR="006A3D27">
          <w:rPr>
            <w:webHidden/>
          </w:rPr>
          <w:tab/>
        </w:r>
        <w:r w:rsidR="006A3D27">
          <w:rPr>
            <w:webHidden/>
          </w:rPr>
          <w:fldChar w:fldCharType="begin"/>
        </w:r>
        <w:r w:rsidR="006A3D27">
          <w:rPr>
            <w:webHidden/>
          </w:rPr>
          <w:instrText xml:space="preserve"> PAGEREF _Toc121134160 \h </w:instrText>
        </w:r>
        <w:r w:rsidR="006A3D27">
          <w:rPr>
            <w:webHidden/>
          </w:rPr>
        </w:r>
        <w:r w:rsidR="006A3D27">
          <w:rPr>
            <w:webHidden/>
          </w:rPr>
          <w:fldChar w:fldCharType="separate"/>
        </w:r>
        <w:r w:rsidR="006A3D27">
          <w:rPr>
            <w:webHidden/>
          </w:rPr>
          <w:t>87</w:t>
        </w:r>
        <w:r w:rsidR="006A3D27">
          <w:rPr>
            <w:webHidden/>
          </w:rPr>
          <w:fldChar w:fldCharType="end"/>
        </w:r>
      </w:hyperlink>
    </w:p>
    <w:p w14:paraId="50D1DEA2" w14:textId="0F337C0A" w:rsidR="006A3D27" w:rsidRDefault="00000000">
      <w:pPr>
        <w:pStyle w:val="TOC2"/>
        <w:rPr>
          <w:rFonts w:asciiTheme="minorHAnsi" w:eastAsiaTheme="minorEastAsia" w:hAnsiTheme="minorHAnsi" w:cstheme="minorBidi"/>
          <w:sz w:val="22"/>
          <w:szCs w:val="22"/>
          <w:lang w:eastAsia="en-AU"/>
        </w:rPr>
      </w:pPr>
      <w:hyperlink w:anchor="_Toc121134161" w:history="1">
        <w:r w:rsidR="006A3D27" w:rsidRPr="00977DF3">
          <w:rPr>
            <w:rStyle w:val="Hyperlink"/>
          </w:rPr>
          <w:t>Changes to H2H General Lease properties</w:t>
        </w:r>
        <w:r w:rsidR="006A3D27">
          <w:rPr>
            <w:webHidden/>
          </w:rPr>
          <w:tab/>
        </w:r>
        <w:r w:rsidR="006A3D27">
          <w:rPr>
            <w:webHidden/>
          </w:rPr>
          <w:fldChar w:fldCharType="begin"/>
        </w:r>
        <w:r w:rsidR="006A3D27">
          <w:rPr>
            <w:webHidden/>
          </w:rPr>
          <w:instrText xml:space="preserve"> PAGEREF _Toc121134161 \h </w:instrText>
        </w:r>
        <w:r w:rsidR="006A3D27">
          <w:rPr>
            <w:webHidden/>
          </w:rPr>
        </w:r>
        <w:r w:rsidR="006A3D27">
          <w:rPr>
            <w:webHidden/>
          </w:rPr>
          <w:fldChar w:fldCharType="separate"/>
        </w:r>
        <w:r w:rsidR="006A3D27">
          <w:rPr>
            <w:webHidden/>
          </w:rPr>
          <w:t>88</w:t>
        </w:r>
        <w:r w:rsidR="006A3D27">
          <w:rPr>
            <w:webHidden/>
          </w:rPr>
          <w:fldChar w:fldCharType="end"/>
        </w:r>
      </w:hyperlink>
    </w:p>
    <w:p w14:paraId="1E56CAD0" w14:textId="1D847946" w:rsidR="006A3D27" w:rsidRDefault="00000000">
      <w:pPr>
        <w:pStyle w:val="TOC2"/>
        <w:rPr>
          <w:rFonts w:asciiTheme="minorHAnsi" w:eastAsiaTheme="minorEastAsia" w:hAnsiTheme="minorHAnsi" w:cstheme="minorBidi"/>
          <w:sz w:val="22"/>
          <w:szCs w:val="22"/>
          <w:lang w:eastAsia="en-AU"/>
        </w:rPr>
      </w:pPr>
      <w:hyperlink w:anchor="_Toc121134162" w:history="1">
        <w:r w:rsidR="006A3D27" w:rsidRPr="00977DF3">
          <w:rPr>
            <w:rStyle w:val="Hyperlink"/>
          </w:rPr>
          <w:t>Allocation approach</w:t>
        </w:r>
        <w:r w:rsidR="006A3D27">
          <w:rPr>
            <w:webHidden/>
          </w:rPr>
          <w:tab/>
        </w:r>
        <w:r w:rsidR="006A3D27">
          <w:rPr>
            <w:webHidden/>
          </w:rPr>
          <w:fldChar w:fldCharType="begin"/>
        </w:r>
        <w:r w:rsidR="006A3D27">
          <w:rPr>
            <w:webHidden/>
          </w:rPr>
          <w:instrText xml:space="preserve"> PAGEREF _Toc121134162 \h </w:instrText>
        </w:r>
        <w:r w:rsidR="006A3D27">
          <w:rPr>
            <w:webHidden/>
          </w:rPr>
        </w:r>
        <w:r w:rsidR="006A3D27">
          <w:rPr>
            <w:webHidden/>
          </w:rPr>
          <w:fldChar w:fldCharType="separate"/>
        </w:r>
        <w:r w:rsidR="006A3D27">
          <w:rPr>
            <w:webHidden/>
          </w:rPr>
          <w:t>88</w:t>
        </w:r>
        <w:r w:rsidR="006A3D27">
          <w:rPr>
            <w:webHidden/>
          </w:rPr>
          <w:fldChar w:fldCharType="end"/>
        </w:r>
      </w:hyperlink>
    </w:p>
    <w:p w14:paraId="02AF5EDD" w14:textId="12C865F1" w:rsidR="006A3D27" w:rsidRDefault="00000000">
      <w:pPr>
        <w:pStyle w:val="TOC2"/>
        <w:rPr>
          <w:rFonts w:asciiTheme="minorHAnsi" w:eastAsiaTheme="minorEastAsia" w:hAnsiTheme="minorHAnsi" w:cstheme="minorBidi"/>
          <w:sz w:val="22"/>
          <w:szCs w:val="22"/>
          <w:lang w:eastAsia="en-AU"/>
        </w:rPr>
      </w:pPr>
      <w:hyperlink w:anchor="_Toc121134163" w:history="1">
        <w:r w:rsidR="006A3D27" w:rsidRPr="00977DF3">
          <w:rPr>
            <w:rStyle w:val="Hyperlink"/>
            <w:rFonts w:eastAsia="Arial"/>
          </w:rPr>
          <w:t>Principles of resource allocation and prioritisation</w:t>
        </w:r>
        <w:r w:rsidR="006A3D27">
          <w:rPr>
            <w:webHidden/>
          </w:rPr>
          <w:tab/>
        </w:r>
        <w:r w:rsidR="006A3D27">
          <w:rPr>
            <w:webHidden/>
          </w:rPr>
          <w:fldChar w:fldCharType="begin"/>
        </w:r>
        <w:r w:rsidR="006A3D27">
          <w:rPr>
            <w:webHidden/>
          </w:rPr>
          <w:instrText xml:space="preserve"> PAGEREF _Toc121134163 \h </w:instrText>
        </w:r>
        <w:r w:rsidR="006A3D27">
          <w:rPr>
            <w:webHidden/>
          </w:rPr>
        </w:r>
        <w:r w:rsidR="006A3D27">
          <w:rPr>
            <w:webHidden/>
          </w:rPr>
          <w:fldChar w:fldCharType="separate"/>
        </w:r>
        <w:r w:rsidR="006A3D27">
          <w:rPr>
            <w:webHidden/>
          </w:rPr>
          <w:t>89</w:t>
        </w:r>
        <w:r w:rsidR="006A3D27">
          <w:rPr>
            <w:webHidden/>
          </w:rPr>
          <w:fldChar w:fldCharType="end"/>
        </w:r>
      </w:hyperlink>
    </w:p>
    <w:p w14:paraId="1CD6FAD6" w14:textId="735E3487" w:rsidR="006A3D27" w:rsidRDefault="00000000">
      <w:pPr>
        <w:pStyle w:val="TOC2"/>
        <w:rPr>
          <w:rFonts w:asciiTheme="minorHAnsi" w:eastAsiaTheme="minorEastAsia" w:hAnsiTheme="minorHAnsi" w:cstheme="minorBidi"/>
          <w:sz w:val="22"/>
          <w:szCs w:val="22"/>
          <w:lang w:eastAsia="en-AU"/>
        </w:rPr>
      </w:pPr>
      <w:hyperlink w:anchor="_Toc121134164" w:history="1">
        <w:r w:rsidR="006A3D27" w:rsidRPr="00977DF3">
          <w:rPr>
            <w:rStyle w:val="Hyperlink"/>
          </w:rPr>
          <w:t>Definition of Stable Housing</w:t>
        </w:r>
        <w:r w:rsidR="006A3D27">
          <w:rPr>
            <w:webHidden/>
          </w:rPr>
          <w:tab/>
        </w:r>
        <w:r w:rsidR="006A3D27">
          <w:rPr>
            <w:webHidden/>
          </w:rPr>
          <w:fldChar w:fldCharType="begin"/>
        </w:r>
        <w:r w:rsidR="006A3D27">
          <w:rPr>
            <w:webHidden/>
          </w:rPr>
          <w:instrText xml:space="preserve"> PAGEREF _Toc121134164 \h </w:instrText>
        </w:r>
        <w:r w:rsidR="006A3D27">
          <w:rPr>
            <w:webHidden/>
          </w:rPr>
        </w:r>
        <w:r w:rsidR="006A3D27">
          <w:rPr>
            <w:webHidden/>
          </w:rPr>
          <w:fldChar w:fldCharType="separate"/>
        </w:r>
        <w:r w:rsidR="006A3D27">
          <w:rPr>
            <w:webHidden/>
          </w:rPr>
          <w:t>89</w:t>
        </w:r>
        <w:r w:rsidR="006A3D27">
          <w:rPr>
            <w:webHidden/>
          </w:rPr>
          <w:fldChar w:fldCharType="end"/>
        </w:r>
      </w:hyperlink>
    </w:p>
    <w:p w14:paraId="7E61A035" w14:textId="10A62ED7" w:rsidR="006A3D27" w:rsidRDefault="00000000">
      <w:pPr>
        <w:pStyle w:val="TOC2"/>
        <w:rPr>
          <w:rFonts w:asciiTheme="minorHAnsi" w:eastAsiaTheme="minorEastAsia" w:hAnsiTheme="minorHAnsi" w:cstheme="minorBidi"/>
          <w:sz w:val="22"/>
          <w:szCs w:val="22"/>
          <w:lang w:eastAsia="en-AU"/>
        </w:rPr>
      </w:pPr>
      <w:hyperlink w:anchor="_Toc121134165" w:history="1">
        <w:r w:rsidR="006A3D27" w:rsidRPr="00977DF3">
          <w:rPr>
            <w:rStyle w:val="Hyperlink"/>
          </w:rPr>
          <w:t>Cultural Safety</w:t>
        </w:r>
        <w:r w:rsidR="006A3D27">
          <w:rPr>
            <w:webHidden/>
          </w:rPr>
          <w:tab/>
        </w:r>
        <w:r w:rsidR="006A3D27">
          <w:rPr>
            <w:webHidden/>
          </w:rPr>
          <w:fldChar w:fldCharType="begin"/>
        </w:r>
        <w:r w:rsidR="006A3D27">
          <w:rPr>
            <w:webHidden/>
          </w:rPr>
          <w:instrText xml:space="preserve"> PAGEREF _Toc121134165 \h </w:instrText>
        </w:r>
        <w:r w:rsidR="006A3D27">
          <w:rPr>
            <w:webHidden/>
          </w:rPr>
        </w:r>
        <w:r w:rsidR="006A3D27">
          <w:rPr>
            <w:webHidden/>
          </w:rPr>
          <w:fldChar w:fldCharType="separate"/>
        </w:r>
        <w:r w:rsidR="006A3D27">
          <w:rPr>
            <w:webHidden/>
          </w:rPr>
          <w:t>89</w:t>
        </w:r>
        <w:r w:rsidR="006A3D27">
          <w:rPr>
            <w:webHidden/>
          </w:rPr>
          <w:fldChar w:fldCharType="end"/>
        </w:r>
      </w:hyperlink>
    </w:p>
    <w:p w14:paraId="024C1881" w14:textId="0D41C2A8" w:rsidR="006A3D27" w:rsidRDefault="00000000">
      <w:pPr>
        <w:pStyle w:val="TOC2"/>
        <w:rPr>
          <w:rFonts w:asciiTheme="minorHAnsi" w:eastAsiaTheme="minorEastAsia" w:hAnsiTheme="minorHAnsi" w:cstheme="minorBidi"/>
          <w:sz w:val="22"/>
          <w:szCs w:val="22"/>
          <w:lang w:eastAsia="en-AU"/>
        </w:rPr>
      </w:pPr>
      <w:hyperlink w:anchor="_Toc121134166" w:history="1">
        <w:r w:rsidR="006A3D27" w:rsidRPr="00977DF3">
          <w:rPr>
            <w:rStyle w:val="Hyperlink"/>
          </w:rPr>
          <w:t>Risk mitigations</w:t>
        </w:r>
        <w:r w:rsidR="006A3D27">
          <w:rPr>
            <w:webHidden/>
          </w:rPr>
          <w:tab/>
        </w:r>
        <w:r w:rsidR="006A3D27">
          <w:rPr>
            <w:webHidden/>
          </w:rPr>
          <w:fldChar w:fldCharType="begin"/>
        </w:r>
        <w:r w:rsidR="006A3D27">
          <w:rPr>
            <w:webHidden/>
          </w:rPr>
          <w:instrText xml:space="preserve"> PAGEREF _Toc121134166 \h </w:instrText>
        </w:r>
        <w:r w:rsidR="006A3D27">
          <w:rPr>
            <w:webHidden/>
          </w:rPr>
        </w:r>
        <w:r w:rsidR="006A3D27">
          <w:rPr>
            <w:webHidden/>
          </w:rPr>
          <w:fldChar w:fldCharType="separate"/>
        </w:r>
        <w:r w:rsidR="006A3D27">
          <w:rPr>
            <w:webHidden/>
          </w:rPr>
          <w:t>89</w:t>
        </w:r>
        <w:r w:rsidR="006A3D27">
          <w:rPr>
            <w:webHidden/>
          </w:rPr>
          <w:fldChar w:fldCharType="end"/>
        </w:r>
      </w:hyperlink>
    </w:p>
    <w:p w14:paraId="3C54BB18" w14:textId="1651B5AE" w:rsidR="006A3D27" w:rsidRDefault="00000000">
      <w:pPr>
        <w:pStyle w:val="TOC2"/>
        <w:rPr>
          <w:rFonts w:asciiTheme="minorHAnsi" w:eastAsiaTheme="minorEastAsia" w:hAnsiTheme="minorHAnsi" w:cstheme="minorBidi"/>
          <w:sz w:val="22"/>
          <w:szCs w:val="22"/>
          <w:lang w:eastAsia="en-AU"/>
        </w:rPr>
      </w:pPr>
      <w:hyperlink w:anchor="_Toc121134167" w:history="1">
        <w:r w:rsidR="006A3D27" w:rsidRPr="00977DF3">
          <w:rPr>
            <w:rStyle w:val="Hyperlink"/>
          </w:rPr>
          <w:t>Agreed policy position</w:t>
        </w:r>
        <w:r w:rsidR="006A3D27">
          <w:rPr>
            <w:webHidden/>
          </w:rPr>
          <w:tab/>
        </w:r>
        <w:r w:rsidR="006A3D27">
          <w:rPr>
            <w:webHidden/>
          </w:rPr>
          <w:fldChar w:fldCharType="begin"/>
        </w:r>
        <w:r w:rsidR="006A3D27">
          <w:rPr>
            <w:webHidden/>
          </w:rPr>
          <w:instrText xml:space="preserve"> PAGEREF _Toc121134167 \h </w:instrText>
        </w:r>
        <w:r w:rsidR="006A3D27">
          <w:rPr>
            <w:webHidden/>
          </w:rPr>
        </w:r>
        <w:r w:rsidR="006A3D27">
          <w:rPr>
            <w:webHidden/>
          </w:rPr>
          <w:fldChar w:fldCharType="separate"/>
        </w:r>
        <w:r w:rsidR="006A3D27">
          <w:rPr>
            <w:webHidden/>
          </w:rPr>
          <w:t>90</w:t>
        </w:r>
        <w:r w:rsidR="006A3D27">
          <w:rPr>
            <w:webHidden/>
          </w:rPr>
          <w:fldChar w:fldCharType="end"/>
        </w:r>
      </w:hyperlink>
    </w:p>
    <w:p w14:paraId="199A6456" w14:textId="2469B488" w:rsidR="006A3D27" w:rsidRDefault="00000000">
      <w:pPr>
        <w:pStyle w:val="TOC1"/>
        <w:rPr>
          <w:rFonts w:asciiTheme="minorHAnsi" w:eastAsiaTheme="minorEastAsia" w:hAnsiTheme="minorHAnsi" w:cstheme="minorBidi"/>
          <w:b w:val="0"/>
          <w:sz w:val="22"/>
          <w:szCs w:val="22"/>
          <w:lang w:eastAsia="en-AU"/>
        </w:rPr>
      </w:pPr>
      <w:hyperlink w:anchor="_Toc121134168" w:history="1">
        <w:r w:rsidR="006A3D27" w:rsidRPr="00977DF3">
          <w:rPr>
            <w:rStyle w:val="Hyperlink"/>
          </w:rPr>
          <w:t>References</w:t>
        </w:r>
        <w:r w:rsidR="006A3D27">
          <w:rPr>
            <w:webHidden/>
          </w:rPr>
          <w:tab/>
        </w:r>
        <w:r w:rsidR="006A3D27">
          <w:rPr>
            <w:webHidden/>
          </w:rPr>
          <w:fldChar w:fldCharType="begin"/>
        </w:r>
        <w:r w:rsidR="006A3D27">
          <w:rPr>
            <w:webHidden/>
          </w:rPr>
          <w:instrText xml:space="preserve"> PAGEREF _Toc121134168 \h </w:instrText>
        </w:r>
        <w:r w:rsidR="006A3D27">
          <w:rPr>
            <w:webHidden/>
          </w:rPr>
        </w:r>
        <w:r w:rsidR="006A3D27">
          <w:rPr>
            <w:webHidden/>
          </w:rPr>
          <w:fldChar w:fldCharType="separate"/>
        </w:r>
        <w:r w:rsidR="006A3D27">
          <w:rPr>
            <w:webHidden/>
          </w:rPr>
          <w:t>91</w:t>
        </w:r>
        <w:r w:rsidR="006A3D27">
          <w:rPr>
            <w:webHidden/>
          </w:rPr>
          <w:fldChar w:fldCharType="end"/>
        </w:r>
      </w:hyperlink>
    </w:p>
    <w:p w14:paraId="5307EED7" w14:textId="054CEA48" w:rsidR="006A3D27" w:rsidRDefault="00000000">
      <w:pPr>
        <w:pStyle w:val="TOC2"/>
        <w:rPr>
          <w:rFonts w:asciiTheme="minorHAnsi" w:eastAsiaTheme="minorEastAsia" w:hAnsiTheme="minorHAnsi" w:cstheme="minorBidi"/>
          <w:sz w:val="22"/>
          <w:szCs w:val="22"/>
          <w:lang w:eastAsia="en-AU"/>
        </w:rPr>
      </w:pPr>
      <w:hyperlink w:anchor="_Toc121134169" w:history="1">
        <w:r w:rsidR="006A3D27" w:rsidRPr="00977DF3">
          <w:rPr>
            <w:rStyle w:val="Hyperlink"/>
          </w:rPr>
          <w:t>FOR INTERNAL USE ONLY</w:t>
        </w:r>
        <w:r w:rsidR="006A3D27">
          <w:rPr>
            <w:webHidden/>
          </w:rPr>
          <w:tab/>
        </w:r>
        <w:r w:rsidR="006A3D27">
          <w:rPr>
            <w:webHidden/>
          </w:rPr>
          <w:fldChar w:fldCharType="begin"/>
        </w:r>
        <w:r w:rsidR="006A3D27">
          <w:rPr>
            <w:webHidden/>
          </w:rPr>
          <w:instrText xml:space="preserve"> PAGEREF _Toc121134169 \h </w:instrText>
        </w:r>
        <w:r w:rsidR="006A3D27">
          <w:rPr>
            <w:webHidden/>
          </w:rPr>
        </w:r>
        <w:r w:rsidR="006A3D27">
          <w:rPr>
            <w:webHidden/>
          </w:rPr>
          <w:fldChar w:fldCharType="separate"/>
        </w:r>
        <w:r w:rsidR="006A3D27">
          <w:rPr>
            <w:webHidden/>
          </w:rPr>
          <w:t>91</w:t>
        </w:r>
        <w:r w:rsidR="006A3D27">
          <w:rPr>
            <w:webHidden/>
          </w:rPr>
          <w:fldChar w:fldCharType="end"/>
        </w:r>
      </w:hyperlink>
    </w:p>
    <w:p w14:paraId="32D787D2" w14:textId="54837443" w:rsidR="00EE29AD" w:rsidRPr="00A71CE4" w:rsidRDefault="00AD784C" w:rsidP="003421CB">
      <w:pPr>
        <w:pStyle w:val="Heading1"/>
      </w:pPr>
      <w:r>
        <w:lastRenderedPageBreak/>
        <w:fldChar w:fldCharType="end"/>
      </w:r>
      <w:bookmarkStart w:id="0" w:name="_Toc121134061"/>
      <w:r w:rsidR="00314E7F">
        <w:t>Glossary</w:t>
      </w:r>
      <w:bookmarkEnd w:id="0"/>
    </w:p>
    <w:tbl>
      <w:tblPr>
        <w:tblStyle w:val="TableGrid"/>
        <w:tblW w:w="0" w:type="auto"/>
        <w:tblLook w:val="04A0" w:firstRow="1" w:lastRow="0" w:firstColumn="1" w:lastColumn="0" w:noHBand="0" w:noVBand="1"/>
      </w:tblPr>
      <w:tblGrid>
        <w:gridCol w:w="2200"/>
        <w:gridCol w:w="7886"/>
      </w:tblGrid>
      <w:tr w:rsidR="00314E7F" w:rsidRPr="00314E7F" w14:paraId="380EAFC8" w14:textId="77777777" w:rsidTr="007516E6">
        <w:trPr>
          <w:cnfStyle w:val="100000000000" w:firstRow="1" w:lastRow="0" w:firstColumn="0" w:lastColumn="0" w:oddVBand="0" w:evenVBand="0" w:oddHBand="0" w:evenHBand="0" w:firstRowFirstColumn="0" w:firstRowLastColumn="0" w:lastRowFirstColumn="0" w:lastRowLastColumn="0"/>
          <w:tblHeader/>
        </w:trPr>
        <w:tc>
          <w:tcPr>
            <w:tcW w:w="2200" w:type="dxa"/>
          </w:tcPr>
          <w:p w14:paraId="269BC40F" w14:textId="77777777" w:rsidR="00314E7F" w:rsidRPr="003421CB" w:rsidRDefault="00314E7F" w:rsidP="00314E7F">
            <w:pPr>
              <w:pStyle w:val="Body"/>
              <w:rPr>
                <w:b/>
                <w:bCs/>
                <w:szCs w:val="21"/>
                <w:highlight w:val="black"/>
              </w:rPr>
            </w:pPr>
            <w:r w:rsidRPr="003421CB">
              <w:rPr>
                <w:b/>
                <w:bCs/>
                <w:szCs w:val="21"/>
                <w:highlight w:val="black"/>
              </w:rPr>
              <w:t>Term</w:t>
            </w:r>
          </w:p>
        </w:tc>
        <w:tc>
          <w:tcPr>
            <w:tcW w:w="7886" w:type="dxa"/>
          </w:tcPr>
          <w:p w14:paraId="40BD450C" w14:textId="77777777" w:rsidR="00314E7F" w:rsidRPr="003421CB" w:rsidRDefault="00314E7F" w:rsidP="00314E7F">
            <w:pPr>
              <w:pStyle w:val="Body"/>
              <w:rPr>
                <w:b/>
                <w:bCs/>
                <w:szCs w:val="21"/>
                <w:highlight w:val="black"/>
              </w:rPr>
            </w:pPr>
            <w:r w:rsidRPr="003421CB">
              <w:rPr>
                <w:b/>
                <w:bCs/>
                <w:szCs w:val="21"/>
                <w:highlight w:val="black"/>
              </w:rPr>
              <w:t>Definition</w:t>
            </w:r>
          </w:p>
        </w:tc>
      </w:tr>
      <w:tr w:rsidR="00314E7F" w:rsidRPr="00314E7F" w14:paraId="0A1CA387" w14:textId="77777777" w:rsidTr="007516E6">
        <w:tc>
          <w:tcPr>
            <w:tcW w:w="2200" w:type="dxa"/>
          </w:tcPr>
          <w:p w14:paraId="267A5E01" w14:textId="77777777" w:rsidR="00314E7F" w:rsidRPr="00566C0C" w:rsidRDefault="00314E7F" w:rsidP="00566C0C">
            <w:pPr>
              <w:pStyle w:val="Body"/>
              <w:rPr>
                <w:szCs w:val="21"/>
              </w:rPr>
            </w:pPr>
            <w:r w:rsidRPr="00566C0C">
              <w:rPr>
                <w:szCs w:val="21"/>
                <w:lang w:val="en-GB"/>
              </w:rPr>
              <w:t>Accommodation</w:t>
            </w:r>
          </w:p>
        </w:tc>
        <w:tc>
          <w:tcPr>
            <w:tcW w:w="7886" w:type="dxa"/>
          </w:tcPr>
          <w:p w14:paraId="3F7517BE" w14:textId="77777777" w:rsidR="00314E7F" w:rsidRPr="00566C0C" w:rsidRDefault="00314E7F" w:rsidP="00566C0C">
            <w:pPr>
              <w:pStyle w:val="Body"/>
              <w:rPr>
                <w:rFonts w:cs="Arial"/>
                <w:color w:val="000000"/>
                <w:szCs w:val="21"/>
                <w:highlight w:val="yellow"/>
                <w:lang w:val="en-GB" w:eastAsia="en-AU"/>
              </w:rPr>
            </w:pPr>
            <w:r w:rsidRPr="00566C0C">
              <w:rPr>
                <w:szCs w:val="21"/>
                <w:lang w:eastAsia="en-AU"/>
              </w:rPr>
              <w:t>The provision of a residential location for the Client to live or stay where the Client is not part of the tenancy agreement.</w:t>
            </w:r>
          </w:p>
        </w:tc>
      </w:tr>
      <w:tr w:rsidR="00314E7F" w:rsidRPr="00314E7F" w14:paraId="52950CEF" w14:textId="77777777" w:rsidTr="007516E6">
        <w:trPr>
          <w:trHeight w:val="576"/>
        </w:trPr>
        <w:tc>
          <w:tcPr>
            <w:tcW w:w="2200" w:type="dxa"/>
          </w:tcPr>
          <w:p w14:paraId="07BA1ACF" w14:textId="77777777" w:rsidR="00314E7F" w:rsidRPr="00566C0C" w:rsidRDefault="00314E7F" w:rsidP="00566C0C">
            <w:pPr>
              <w:pStyle w:val="Body"/>
              <w:rPr>
                <w:szCs w:val="21"/>
              </w:rPr>
            </w:pPr>
            <w:r w:rsidRPr="00566C0C">
              <w:rPr>
                <w:szCs w:val="21"/>
                <w:lang w:val="en-GB"/>
              </w:rPr>
              <w:t>Activity Descriptor</w:t>
            </w:r>
          </w:p>
        </w:tc>
        <w:tc>
          <w:tcPr>
            <w:tcW w:w="7886" w:type="dxa"/>
          </w:tcPr>
          <w:p w14:paraId="09A3237C" w14:textId="35D421A4" w:rsidR="00314E7F" w:rsidRPr="00566C0C" w:rsidRDefault="00314E7F" w:rsidP="00566C0C">
            <w:pPr>
              <w:pStyle w:val="Body"/>
              <w:rPr>
                <w:rFonts w:cs="Arial"/>
                <w:szCs w:val="21"/>
              </w:rPr>
            </w:pPr>
            <w:r w:rsidRPr="00566C0C">
              <w:rPr>
                <w:rFonts w:cs="Arial"/>
                <w:color w:val="000000"/>
                <w:szCs w:val="21"/>
                <w:lang w:val="en-GB" w:eastAsia="en-AU"/>
              </w:rPr>
              <w:t xml:space="preserve">A schedule to the Service Agreement, which contains detailed information for each Department-funded services activity, available at </w:t>
            </w:r>
            <w:hyperlink r:id="rId16" w:history="1">
              <w:r w:rsidRPr="00566C0C">
                <w:rPr>
                  <w:rStyle w:val="Hyperlink"/>
                  <w:rFonts w:cs="Arial"/>
                  <w:szCs w:val="21"/>
                  <w:lang w:val="en-GB" w:eastAsia="en-AU"/>
                </w:rPr>
                <w:t>https://providers.dhhs.vic.gov.au/health-human-services-activity-search</w:t>
              </w:r>
            </w:hyperlink>
          </w:p>
        </w:tc>
      </w:tr>
      <w:tr w:rsidR="00314E7F" w:rsidRPr="00314E7F" w14:paraId="0C84FD84" w14:textId="77777777" w:rsidTr="007516E6">
        <w:tc>
          <w:tcPr>
            <w:tcW w:w="2200" w:type="dxa"/>
          </w:tcPr>
          <w:p w14:paraId="3B1E1234" w14:textId="77777777" w:rsidR="00314E7F" w:rsidRPr="00566C0C" w:rsidRDefault="00314E7F" w:rsidP="00566C0C">
            <w:pPr>
              <w:pStyle w:val="Body"/>
              <w:rPr>
                <w:rFonts w:cs="Arial"/>
                <w:bCs/>
                <w:szCs w:val="21"/>
                <w:lang w:val="en-GB" w:eastAsia="en-AU"/>
              </w:rPr>
            </w:pPr>
            <w:r w:rsidRPr="001F57BD">
              <w:rPr>
                <w:rFonts w:cs="Arial"/>
                <w:bCs/>
                <w:szCs w:val="21"/>
                <w:lang w:val="en-GB" w:eastAsia="en-AU"/>
              </w:rPr>
              <w:t>APSS</w:t>
            </w:r>
          </w:p>
        </w:tc>
        <w:tc>
          <w:tcPr>
            <w:tcW w:w="7886" w:type="dxa"/>
          </w:tcPr>
          <w:p w14:paraId="0BAD2584" w14:textId="77777777" w:rsidR="00314E7F" w:rsidRPr="00566C0C" w:rsidRDefault="00314E7F" w:rsidP="00566C0C">
            <w:pPr>
              <w:pStyle w:val="Body"/>
              <w:rPr>
                <w:rFonts w:cs="Arial"/>
                <w:szCs w:val="21"/>
              </w:rPr>
            </w:pPr>
            <w:r w:rsidRPr="00566C0C">
              <w:rPr>
                <w:rFonts w:cs="Arial"/>
                <w:szCs w:val="21"/>
              </w:rPr>
              <w:t>Agency Performance System and Support teams located in DFFH local areas</w:t>
            </w:r>
          </w:p>
        </w:tc>
      </w:tr>
      <w:tr w:rsidR="00314E7F" w:rsidRPr="00314E7F" w14:paraId="14C386E6" w14:textId="77777777" w:rsidTr="007516E6">
        <w:tc>
          <w:tcPr>
            <w:tcW w:w="2200" w:type="dxa"/>
          </w:tcPr>
          <w:p w14:paraId="64FE6C25" w14:textId="77777777" w:rsidR="00314E7F" w:rsidRPr="00566C0C" w:rsidRDefault="00314E7F" w:rsidP="00566C0C">
            <w:pPr>
              <w:pStyle w:val="Body"/>
              <w:rPr>
                <w:szCs w:val="21"/>
              </w:rPr>
            </w:pPr>
            <w:r w:rsidRPr="00566C0C">
              <w:rPr>
                <w:rFonts w:cs="Arial"/>
                <w:bCs/>
                <w:szCs w:val="21"/>
                <w:lang w:val="en-GB" w:eastAsia="en-AU"/>
              </w:rPr>
              <w:t>Asset Management Services</w:t>
            </w:r>
          </w:p>
        </w:tc>
        <w:tc>
          <w:tcPr>
            <w:tcW w:w="7886" w:type="dxa"/>
          </w:tcPr>
          <w:p w14:paraId="0F87B451" w14:textId="77777777" w:rsidR="00314E7F" w:rsidRPr="00566C0C" w:rsidRDefault="00314E7F" w:rsidP="00566C0C">
            <w:pPr>
              <w:pStyle w:val="Body"/>
              <w:rPr>
                <w:rFonts w:cs="Arial"/>
                <w:szCs w:val="21"/>
              </w:rPr>
            </w:pPr>
            <w:r w:rsidRPr="00566C0C">
              <w:rPr>
                <w:rFonts w:cs="Arial"/>
                <w:szCs w:val="21"/>
              </w:rPr>
              <w:t>Property Services including, but not limited to:</w:t>
            </w:r>
          </w:p>
          <w:p w14:paraId="641D37FA" w14:textId="77777777" w:rsidR="00314E7F" w:rsidRPr="00566C0C" w:rsidRDefault="00314E7F" w:rsidP="00566C0C">
            <w:pPr>
              <w:pStyle w:val="Body"/>
              <w:rPr>
                <w:rFonts w:cs="Arial"/>
                <w:szCs w:val="21"/>
              </w:rPr>
            </w:pPr>
            <w:r w:rsidRPr="00566C0C">
              <w:rPr>
                <w:rFonts w:cs="Arial"/>
                <w:szCs w:val="21"/>
              </w:rPr>
              <w:t>accepting liability for the property condition (including review and acceptance, or otherwise, of the conditions report) at lease commencement.</w:t>
            </w:r>
          </w:p>
          <w:p w14:paraId="4FF966A2" w14:textId="77777777" w:rsidR="00314E7F" w:rsidRPr="00566C0C" w:rsidRDefault="00314E7F" w:rsidP="00566C0C">
            <w:pPr>
              <w:pStyle w:val="Body"/>
              <w:rPr>
                <w:rFonts w:cs="Arial"/>
                <w:szCs w:val="21"/>
              </w:rPr>
            </w:pPr>
            <w:r w:rsidRPr="00566C0C">
              <w:rPr>
                <w:rFonts w:cs="Arial"/>
                <w:szCs w:val="21"/>
              </w:rPr>
              <w:t>Setting and meeting relevant property condition levels.</w:t>
            </w:r>
          </w:p>
          <w:p w14:paraId="2DE33583" w14:textId="77777777" w:rsidR="00314E7F" w:rsidRPr="00566C0C" w:rsidRDefault="00314E7F" w:rsidP="00566C0C">
            <w:pPr>
              <w:pStyle w:val="Body"/>
              <w:rPr>
                <w:rFonts w:cs="Arial"/>
                <w:szCs w:val="21"/>
              </w:rPr>
            </w:pPr>
            <w:r w:rsidRPr="00566C0C">
              <w:rPr>
                <w:rFonts w:cs="Arial"/>
                <w:szCs w:val="21"/>
              </w:rPr>
              <w:t>Completing any maintenance works to ensure the property meets the hand-back conditions at the end of the lease term; and</w:t>
            </w:r>
          </w:p>
          <w:p w14:paraId="0088A235" w14:textId="77777777" w:rsidR="00314E7F" w:rsidRPr="00566C0C" w:rsidRDefault="00314E7F" w:rsidP="00566C0C">
            <w:pPr>
              <w:pStyle w:val="Body"/>
              <w:rPr>
                <w:rFonts w:cs="Arial"/>
                <w:szCs w:val="21"/>
              </w:rPr>
            </w:pPr>
            <w:r w:rsidRPr="00566C0C">
              <w:rPr>
                <w:rFonts w:cs="Arial"/>
                <w:szCs w:val="21"/>
              </w:rPr>
              <w:t>maintaining Renter satisfaction with the overall asset management and maintenance services provided.</w:t>
            </w:r>
          </w:p>
        </w:tc>
      </w:tr>
      <w:tr w:rsidR="00314E7F" w:rsidRPr="00314E7F" w14:paraId="1A592F81" w14:textId="77777777" w:rsidTr="007516E6">
        <w:tc>
          <w:tcPr>
            <w:tcW w:w="2200" w:type="dxa"/>
          </w:tcPr>
          <w:p w14:paraId="2C1AEF83" w14:textId="77777777" w:rsidR="00314E7F" w:rsidRPr="00566C0C" w:rsidRDefault="00314E7F" w:rsidP="00566C0C">
            <w:pPr>
              <w:pStyle w:val="Body"/>
              <w:rPr>
                <w:szCs w:val="21"/>
              </w:rPr>
            </w:pPr>
            <w:r w:rsidRPr="00566C0C">
              <w:rPr>
                <w:rFonts w:cs="Arial"/>
                <w:bCs/>
                <w:szCs w:val="21"/>
                <w:lang w:val="en-GB" w:eastAsia="en-AU"/>
              </w:rPr>
              <w:t>Asset Management Services Additional Costs</w:t>
            </w:r>
          </w:p>
        </w:tc>
        <w:tc>
          <w:tcPr>
            <w:tcW w:w="7886" w:type="dxa"/>
          </w:tcPr>
          <w:p w14:paraId="20633E49" w14:textId="4E31F679" w:rsidR="00314E7F" w:rsidRPr="00566C0C" w:rsidRDefault="00314E7F" w:rsidP="00566C0C">
            <w:pPr>
              <w:pStyle w:val="Body"/>
              <w:rPr>
                <w:rFonts w:cs="Arial"/>
                <w:color w:val="000000"/>
                <w:szCs w:val="21"/>
                <w:lang w:val="en-GB" w:eastAsia="en-AU"/>
              </w:rPr>
            </w:pPr>
            <w:r w:rsidRPr="00566C0C">
              <w:rPr>
                <w:rFonts w:cs="Arial"/>
                <w:color w:val="000000"/>
                <w:szCs w:val="21"/>
                <w:lang w:val="en-GB" w:eastAsia="en-AU"/>
              </w:rPr>
              <w:t xml:space="preserve">As described in </w:t>
            </w:r>
            <w:r w:rsidRPr="00566C0C">
              <w:rPr>
                <w:rFonts w:cs="Arial"/>
                <w:bCs/>
                <w:color w:val="000000"/>
                <w:szCs w:val="21"/>
                <w:lang w:val="en-GB" w:eastAsia="en-AU"/>
              </w:rPr>
              <w:t xml:space="preserve">Appendix </w:t>
            </w:r>
            <w:r w:rsidR="009E70A1">
              <w:rPr>
                <w:rFonts w:cs="Arial"/>
                <w:bCs/>
                <w:color w:val="000000"/>
                <w:szCs w:val="21"/>
                <w:lang w:val="en-GB" w:eastAsia="en-AU"/>
              </w:rPr>
              <w:t>1</w:t>
            </w:r>
            <w:r w:rsidRPr="00566C0C">
              <w:rPr>
                <w:rFonts w:cs="Arial"/>
                <w:color w:val="000000"/>
                <w:szCs w:val="21"/>
                <w:lang w:val="en-GB" w:eastAsia="en-AU"/>
              </w:rPr>
              <w:t>.</w:t>
            </w:r>
          </w:p>
        </w:tc>
      </w:tr>
      <w:tr w:rsidR="00314E7F" w:rsidRPr="00314E7F" w14:paraId="46504C85" w14:textId="77777777" w:rsidTr="007516E6">
        <w:tc>
          <w:tcPr>
            <w:tcW w:w="2200" w:type="dxa"/>
          </w:tcPr>
          <w:p w14:paraId="6A8033CD" w14:textId="77777777" w:rsidR="00314E7F" w:rsidRPr="00566C0C" w:rsidRDefault="00314E7F" w:rsidP="00566C0C">
            <w:pPr>
              <w:pStyle w:val="Body"/>
              <w:rPr>
                <w:szCs w:val="21"/>
                <w:lang w:val="en-GB"/>
              </w:rPr>
            </w:pPr>
            <w:r w:rsidRPr="00566C0C">
              <w:rPr>
                <w:szCs w:val="21"/>
                <w:lang w:val="en-GB"/>
              </w:rPr>
              <w:t xml:space="preserve">Client </w:t>
            </w:r>
          </w:p>
        </w:tc>
        <w:tc>
          <w:tcPr>
            <w:tcW w:w="7886" w:type="dxa"/>
          </w:tcPr>
          <w:p w14:paraId="5350300D" w14:textId="77777777" w:rsidR="00314E7F" w:rsidRPr="00566C0C" w:rsidRDefault="00314E7F" w:rsidP="00566C0C">
            <w:pPr>
              <w:pStyle w:val="Body"/>
              <w:rPr>
                <w:rFonts w:cs="Arial"/>
                <w:color w:val="000000"/>
                <w:szCs w:val="21"/>
                <w:lang w:val="en-GB" w:eastAsia="en-AU"/>
              </w:rPr>
            </w:pPr>
            <w:r w:rsidRPr="00566C0C">
              <w:rPr>
                <w:rFonts w:cs="Arial"/>
                <w:color w:val="000000"/>
                <w:szCs w:val="21"/>
                <w:lang w:val="en-GB" w:eastAsia="en-AU"/>
              </w:rPr>
              <w:t>The recipient of Services as described in the Service Agreement. Funding Amount relating to support package is per Client (counted as a household) NOT individual.</w:t>
            </w:r>
          </w:p>
        </w:tc>
      </w:tr>
      <w:tr w:rsidR="00314E7F" w:rsidRPr="00314E7F" w14:paraId="4E3DA59A" w14:textId="77777777" w:rsidTr="007516E6">
        <w:tc>
          <w:tcPr>
            <w:tcW w:w="2200" w:type="dxa"/>
          </w:tcPr>
          <w:p w14:paraId="11947671" w14:textId="77777777" w:rsidR="00314E7F" w:rsidRPr="00566C0C" w:rsidRDefault="00314E7F" w:rsidP="00566C0C">
            <w:pPr>
              <w:pStyle w:val="Body"/>
              <w:rPr>
                <w:szCs w:val="21"/>
                <w:lang w:val="en-GB"/>
              </w:rPr>
            </w:pPr>
            <w:r w:rsidRPr="00566C0C">
              <w:rPr>
                <w:szCs w:val="21"/>
                <w:lang w:val="en-GB"/>
              </w:rPr>
              <w:t>Client Support Service Plan</w:t>
            </w:r>
          </w:p>
        </w:tc>
        <w:tc>
          <w:tcPr>
            <w:tcW w:w="7886" w:type="dxa"/>
          </w:tcPr>
          <w:p w14:paraId="079084A7" w14:textId="77777777" w:rsidR="00314E7F" w:rsidRPr="00566C0C" w:rsidRDefault="00314E7F" w:rsidP="00566C0C">
            <w:pPr>
              <w:pStyle w:val="Body"/>
              <w:rPr>
                <w:rFonts w:cs="Arial"/>
                <w:szCs w:val="21"/>
              </w:rPr>
            </w:pPr>
            <w:r w:rsidRPr="00566C0C">
              <w:rPr>
                <w:rFonts w:cs="Arial"/>
                <w:szCs w:val="21"/>
              </w:rPr>
              <w:t>A strength-based plan that reflects the Client’s goals is holistic and follows them through their housing pathway.</w:t>
            </w:r>
          </w:p>
        </w:tc>
      </w:tr>
      <w:tr w:rsidR="00314E7F" w:rsidRPr="00314E7F" w14:paraId="59F1D335" w14:textId="77777777" w:rsidTr="007516E6">
        <w:tc>
          <w:tcPr>
            <w:tcW w:w="2200" w:type="dxa"/>
          </w:tcPr>
          <w:p w14:paraId="2E06E1DC" w14:textId="77777777" w:rsidR="00314E7F" w:rsidRPr="00566C0C" w:rsidRDefault="00314E7F" w:rsidP="00566C0C">
            <w:pPr>
              <w:pStyle w:val="Body"/>
              <w:rPr>
                <w:szCs w:val="21"/>
                <w:lang w:val="en-GB"/>
              </w:rPr>
            </w:pPr>
            <w:r w:rsidRPr="00566C0C">
              <w:rPr>
                <w:szCs w:val="21"/>
                <w:lang w:val="en-GB"/>
              </w:rPr>
              <w:t xml:space="preserve">Confidential Information </w:t>
            </w:r>
          </w:p>
        </w:tc>
        <w:tc>
          <w:tcPr>
            <w:tcW w:w="7886" w:type="dxa"/>
          </w:tcPr>
          <w:p w14:paraId="59137163" w14:textId="77777777" w:rsidR="00314E7F" w:rsidRPr="00566C0C" w:rsidRDefault="00314E7F" w:rsidP="00566C0C">
            <w:pPr>
              <w:pStyle w:val="Body"/>
              <w:rPr>
                <w:rFonts w:cs="Arial"/>
                <w:szCs w:val="21"/>
              </w:rPr>
            </w:pPr>
            <w:r w:rsidRPr="00566C0C">
              <w:rPr>
                <w:rFonts w:cs="Arial"/>
                <w:color w:val="032833" w:themeColor="text1"/>
                <w:szCs w:val="21"/>
                <w:lang w:val="en-GB" w:eastAsia="en-AU"/>
              </w:rPr>
              <w:t xml:space="preserve">Any </w:t>
            </w:r>
            <w:r w:rsidRPr="00566C0C">
              <w:rPr>
                <w:rFonts w:cs="Arial"/>
                <w:color w:val="000000"/>
                <w:szCs w:val="21"/>
                <w:lang w:val="en-GB" w:eastAsia="en-AU"/>
              </w:rPr>
              <w:t>information</w:t>
            </w:r>
            <w:r w:rsidRPr="00566C0C">
              <w:rPr>
                <w:rFonts w:cs="Arial"/>
                <w:color w:val="032833" w:themeColor="text1"/>
                <w:szCs w:val="21"/>
                <w:lang w:val="en-GB" w:eastAsia="en-AU"/>
              </w:rPr>
              <w:t xml:space="preserve"> or data, whether or not in a material form, which is confidential to a party including personal, health, and sensitive information acquired, collected or developed for the invited submission process, except that which is already in the public domain.</w:t>
            </w:r>
          </w:p>
        </w:tc>
      </w:tr>
      <w:tr w:rsidR="00314E7F" w:rsidRPr="00314E7F" w14:paraId="13528841" w14:textId="77777777" w:rsidTr="007516E6">
        <w:trPr>
          <w:trHeight w:val="375"/>
        </w:trPr>
        <w:tc>
          <w:tcPr>
            <w:tcW w:w="2200" w:type="dxa"/>
          </w:tcPr>
          <w:p w14:paraId="2D4075D7" w14:textId="77777777" w:rsidR="00314E7F" w:rsidRPr="00566C0C" w:rsidRDefault="00314E7F" w:rsidP="00566C0C">
            <w:pPr>
              <w:pStyle w:val="Body"/>
              <w:rPr>
                <w:szCs w:val="21"/>
                <w:lang w:val="en-GB"/>
              </w:rPr>
            </w:pPr>
            <w:r w:rsidRPr="00566C0C">
              <w:rPr>
                <w:szCs w:val="21"/>
                <w:lang w:val="en-GB"/>
              </w:rPr>
              <w:t>Contracting Party</w:t>
            </w:r>
          </w:p>
        </w:tc>
        <w:tc>
          <w:tcPr>
            <w:tcW w:w="7886" w:type="dxa"/>
          </w:tcPr>
          <w:p w14:paraId="1CF58DED" w14:textId="77777777" w:rsidR="00314E7F" w:rsidRPr="00566C0C" w:rsidRDefault="00314E7F" w:rsidP="00566C0C">
            <w:pPr>
              <w:pStyle w:val="Body"/>
              <w:rPr>
                <w:rFonts w:cs="Arial"/>
                <w:szCs w:val="21"/>
              </w:rPr>
            </w:pPr>
            <w:r w:rsidRPr="00566C0C">
              <w:rPr>
                <w:rFonts w:cs="Arial"/>
                <w:color w:val="000000"/>
                <w:szCs w:val="21"/>
                <w:lang w:val="en-GB" w:eastAsia="en-AU"/>
              </w:rPr>
              <w:t>The party/parties contracted to deliver Services under the Service Agreement, a Registered Housing Agency or a Consortium.</w:t>
            </w:r>
          </w:p>
        </w:tc>
      </w:tr>
      <w:tr w:rsidR="00314E7F" w:rsidRPr="00314E7F" w14:paraId="5E18468B" w14:textId="77777777" w:rsidTr="007516E6">
        <w:trPr>
          <w:trHeight w:val="375"/>
        </w:trPr>
        <w:tc>
          <w:tcPr>
            <w:tcW w:w="2200" w:type="dxa"/>
          </w:tcPr>
          <w:p w14:paraId="6041E035" w14:textId="77777777" w:rsidR="00314E7F" w:rsidRPr="00566C0C" w:rsidRDefault="00314E7F" w:rsidP="00566C0C">
            <w:pPr>
              <w:pStyle w:val="Body"/>
              <w:rPr>
                <w:szCs w:val="21"/>
                <w:lang w:val="en-GB"/>
              </w:rPr>
            </w:pPr>
            <w:r w:rsidRPr="00566C0C">
              <w:rPr>
                <w:szCs w:val="21"/>
                <w:lang w:val="en-GB"/>
              </w:rPr>
              <w:t>Contractual Close</w:t>
            </w:r>
          </w:p>
        </w:tc>
        <w:tc>
          <w:tcPr>
            <w:tcW w:w="7886" w:type="dxa"/>
          </w:tcPr>
          <w:p w14:paraId="5A432CBD" w14:textId="77777777" w:rsidR="00314E7F" w:rsidRPr="00566C0C" w:rsidRDefault="00314E7F" w:rsidP="00566C0C">
            <w:pPr>
              <w:pStyle w:val="Body"/>
              <w:rPr>
                <w:rFonts w:cs="Arial"/>
                <w:color w:val="000000"/>
                <w:szCs w:val="21"/>
                <w:lang w:val="en-GB" w:eastAsia="en-AU"/>
              </w:rPr>
            </w:pPr>
            <w:r w:rsidRPr="00566C0C">
              <w:rPr>
                <w:rFonts w:cs="Arial"/>
                <w:color w:val="000000"/>
                <w:szCs w:val="21"/>
                <w:lang w:val="en-GB" w:eastAsia="en-AU"/>
              </w:rPr>
              <w:t>The date on which relevant agreements between the Service Provider and department are entered into.</w:t>
            </w:r>
          </w:p>
        </w:tc>
      </w:tr>
      <w:tr w:rsidR="00314E7F" w:rsidRPr="00314E7F" w14:paraId="1853A76A" w14:textId="77777777" w:rsidTr="007516E6">
        <w:trPr>
          <w:trHeight w:val="375"/>
        </w:trPr>
        <w:tc>
          <w:tcPr>
            <w:tcW w:w="2200" w:type="dxa"/>
          </w:tcPr>
          <w:p w14:paraId="6457344F" w14:textId="77777777" w:rsidR="00314E7F" w:rsidRPr="00566C0C" w:rsidRDefault="00314E7F" w:rsidP="00566C0C">
            <w:pPr>
              <w:pStyle w:val="Body"/>
              <w:rPr>
                <w:szCs w:val="21"/>
                <w:lang w:val="en-GB"/>
              </w:rPr>
            </w:pPr>
            <w:r w:rsidRPr="00566C0C">
              <w:rPr>
                <w:szCs w:val="21"/>
                <w:lang w:val="en-GB"/>
              </w:rPr>
              <w:t>Monthly Client Data Report</w:t>
            </w:r>
          </w:p>
        </w:tc>
        <w:tc>
          <w:tcPr>
            <w:tcW w:w="7886" w:type="dxa"/>
          </w:tcPr>
          <w:p w14:paraId="007EB789" w14:textId="77777777" w:rsidR="00314E7F" w:rsidRPr="00566C0C" w:rsidRDefault="00314E7F" w:rsidP="00566C0C">
            <w:pPr>
              <w:pStyle w:val="Body"/>
              <w:rPr>
                <w:rFonts w:cs="Arial"/>
                <w:color w:val="000000"/>
                <w:szCs w:val="21"/>
                <w:lang w:val="en-GB" w:eastAsia="en-AU"/>
              </w:rPr>
            </w:pPr>
            <w:r w:rsidRPr="00566C0C">
              <w:rPr>
                <w:rFonts w:cs="Arial"/>
                <w:color w:val="000000"/>
                <w:szCs w:val="21"/>
                <w:lang w:val="en-GB" w:eastAsia="en-AU"/>
              </w:rPr>
              <w:t>A reporting template that Community Partners will complete monthly with cut off time for submission being the first Thursday of each month at 12:00 pm. It consists of deidentified Client information, their relevant support packages, and their new housing information.</w:t>
            </w:r>
          </w:p>
        </w:tc>
      </w:tr>
      <w:tr w:rsidR="00314E7F" w:rsidRPr="00314E7F" w14:paraId="7932CC38" w14:textId="77777777" w:rsidTr="007516E6">
        <w:tc>
          <w:tcPr>
            <w:tcW w:w="2200" w:type="dxa"/>
          </w:tcPr>
          <w:p w14:paraId="5C4A3A2A" w14:textId="77777777" w:rsidR="00314E7F" w:rsidRPr="00566C0C" w:rsidRDefault="00314E7F" w:rsidP="00566C0C">
            <w:pPr>
              <w:pStyle w:val="Body"/>
              <w:rPr>
                <w:szCs w:val="21"/>
                <w:lang w:val="en-GB"/>
              </w:rPr>
            </w:pPr>
            <w:r w:rsidRPr="00566C0C">
              <w:rPr>
                <w:szCs w:val="21"/>
                <w:lang w:val="en-GB"/>
              </w:rPr>
              <w:lastRenderedPageBreak/>
              <w:t>Department Funded Community Service Organisation</w:t>
            </w:r>
          </w:p>
        </w:tc>
        <w:tc>
          <w:tcPr>
            <w:tcW w:w="7886" w:type="dxa"/>
          </w:tcPr>
          <w:p w14:paraId="26A64C7E" w14:textId="77777777" w:rsidR="00314E7F" w:rsidRPr="00566C0C" w:rsidRDefault="00314E7F" w:rsidP="00566C0C">
            <w:pPr>
              <w:pStyle w:val="Body"/>
              <w:rPr>
                <w:rFonts w:cs="Arial"/>
                <w:color w:val="000000"/>
                <w:szCs w:val="21"/>
                <w:lang w:val="en-GB" w:eastAsia="en-AU"/>
              </w:rPr>
            </w:pPr>
            <w:r w:rsidRPr="00566C0C">
              <w:rPr>
                <w:rFonts w:cs="Arial"/>
                <w:color w:val="000000"/>
                <w:szCs w:val="21"/>
                <w:lang w:val="en-GB" w:eastAsia="en-AU"/>
              </w:rPr>
              <w:t>A community service organisation which has a Service Agreement with the</w:t>
            </w:r>
          </w:p>
          <w:p w14:paraId="54D136DE" w14:textId="77777777" w:rsidR="00314E7F" w:rsidRPr="00566C0C" w:rsidRDefault="00314E7F" w:rsidP="00566C0C">
            <w:pPr>
              <w:pStyle w:val="Body"/>
              <w:rPr>
                <w:rFonts w:cs="Arial"/>
                <w:color w:val="032833" w:themeColor="text1"/>
                <w:szCs w:val="21"/>
                <w:lang w:val="en-GB" w:eastAsia="en-AU"/>
              </w:rPr>
            </w:pPr>
            <w:r w:rsidRPr="00566C0C">
              <w:rPr>
                <w:rFonts w:cs="Arial"/>
                <w:color w:val="032833" w:themeColor="text1"/>
                <w:szCs w:val="21"/>
                <w:lang w:val="en-GB" w:eastAsia="en-AU"/>
              </w:rPr>
              <w:t>Department of Families Fairness and Housing (DFFH).</w:t>
            </w:r>
          </w:p>
        </w:tc>
      </w:tr>
      <w:tr w:rsidR="00314E7F" w:rsidRPr="00314E7F" w14:paraId="177074D3" w14:textId="77777777" w:rsidTr="007516E6">
        <w:tc>
          <w:tcPr>
            <w:tcW w:w="2200" w:type="dxa"/>
          </w:tcPr>
          <w:p w14:paraId="72A72763" w14:textId="77777777" w:rsidR="00314E7F" w:rsidRPr="00566C0C" w:rsidRDefault="00314E7F" w:rsidP="00566C0C">
            <w:pPr>
              <w:pStyle w:val="Body"/>
              <w:rPr>
                <w:szCs w:val="21"/>
                <w:lang w:val="en-GB"/>
              </w:rPr>
            </w:pPr>
            <w:proofErr w:type="spellStart"/>
            <w:r w:rsidRPr="00566C0C">
              <w:rPr>
                <w:szCs w:val="21"/>
                <w:lang w:val="en-GB"/>
              </w:rPr>
              <w:t>DoH</w:t>
            </w:r>
            <w:proofErr w:type="spellEnd"/>
            <w:r w:rsidRPr="00566C0C">
              <w:rPr>
                <w:szCs w:val="21"/>
                <w:lang w:val="en-GB"/>
              </w:rPr>
              <w:t xml:space="preserve"> Dwellings</w:t>
            </w:r>
          </w:p>
        </w:tc>
        <w:tc>
          <w:tcPr>
            <w:tcW w:w="7886" w:type="dxa"/>
          </w:tcPr>
          <w:p w14:paraId="119EE2D3" w14:textId="77777777" w:rsidR="00314E7F" w:rsidRPr="00566C0C" w:rsidRDefault="00314E7F" w:rsidP="00566C0C">
            <w:pPr>
              <w:pStyle w:val="Body"/>
              <w:rPr>
                <w:rFonts w:cs="Arial"/>
                <w:szCs w:val="21"/>
              </w:rPr>
            </w:pPr>
            <w:r w:rsidRPr="00566C0C">
              <w:rPr>
                <w:rFonts w:cs="Arial"/>
                <w:szCs w:val="21"/>
              </w:rPr>
              <w:t xml:space="preserve">A retired term that was collectively used for </w:t>
            </w:r>
            <w:proofErr w:type="spellStart"/>
            <w:r w:rsidRPr="00566C0C">
              <w:rPr>
                <w:rFonts w:cs="Arial"/>
                <w:szCs w:val="21"/>
              </w:rPr>
              <w:t>DoH</w:t>
            </w:r>
            <w:proofErr w:type="spellEnd"/>
            <w:r w:rsidRPr="00566C0C">
              <w:rPr>
                <w:rFonts w:cs="Arial"/>
                <w:szCs w:val="21"/>
              </w:rPr>
              <w:t xml:space="preserve"> existing stock and newly acquired spot purchased properties. Please note that this term has been changed to Public Housing and General Lease Properties (new definitions are below).</w:t>
            </w:r>
          </w:p>
        </w:tc>
      </w:tr>
      <w:tr w:rsidR="00314E7F" w:rsidRPr="00314E7F" w14:paraId="49A077C4" w14:textId="77777777" w:rsidTr="007516E6">
        <w:tc>
          <w:tcPr>
            <w:tcW w:w="2200" w:type="dxa"/>
          </w:tcPr>
          <w:p w14:paraId="503E70A8" w14:textId="77777777" w:rsidR="00314E7F" w:rsidRPr="00566C0C" w:rsidRDefault="00314E7F" w:rsidP="00566C0C">
            <w:pPr>
              <w:pStyle w:val="Body"/>
              <w:rPr>
                <w:szCs w:val="21"/>
                <w:lang w:val="en-GB"/>
              </w:rPr>
            </w:pPr>
            <w:r w:rsidRPr="00566C0C">
              <w:rPr>
                <w:szCs w:val="21"/>
                <w:lang w:val="en-GB"/>
              </w:rPr>
              <w:t>Disengagement from services</w:t>
            </w:r>
          </w:p>
        </w:tc>
        <w:tc>
          <w:tcPr>
            <w:tcW w:w="7886" w:type="dxa"/>
          </w:tcPr>
          <w:p w14:paraId="0674CB1B" w14:textId="77777777" w:rsidR="00314E7F" w:rsidRPr="00566C0C" w:rsidRDefault="00314E7F" w:rsidP="00566C0C">
            <w:pPr>
              <w:pStyle w:val="Body"/>
              <w:rPr>
                <w:rFonts w:cs="Arial"/>
                <w:szCs w:val="21"/>
              </w:rPr>
            </w:pPr>
            <w:r w:rsidRPr="00566C0C">
              <w:rPr>
                <w:rFonts w:cs="Arial"/>
                <w:szCs w:val="21"/>
              </w:rPr>
              <w:t>When a Client withdraws or rejects contact with a H2H worker for eight consecutive weeks. Please refer to section on Client disengagement for further details.</w:t>
            </w:r>
          </w:p>
        </w:tc>
      </w:tr>
      <w:tr w:rsidR="00314E7F" w:rsidRPr="00314E7F" w14:paraId="0C347964" w14:textId="77777777" w:rsidTr="007516E6">
        <w:tc>
          <w:tcPr>
            <w:tcW w:w="2200" w:type="dxa"/>
          </w:tcPr>
          <w:p w14:paraId="2C1F7372" w14:textId="77777777" w:rsidR="00314E7F" w:rsidRPr="00566C0C" w:rsidRDefault="00314E7F" w:rsidP="00566C0C">
            <w:pPr>
              <w:pStyle w:val="Body"/>
              <w:rPr>
                <w:szCs w:val="21"/>
                <w:lang w:val="en-GB"/>
              </w:rPr>
            </w:pPr>
            <w:r w:rsidRPr="00566C0C">
              <w:rPr>
                <w:szCs w:val="21"/>
                <w:lang w:val="en-GB"/>
              </w:rPr>
              <w:t>Dwelling</w:t>
            </w:r>
          </w:p>
        </w:tc>
        <w:tc>
          <w:tcPr>
            <w:tcW w:w="7886" w:type="dxa"/>
          </w:tcPr>
          <w:p w14:paraId="4D9C9CB4" w14:textId="77777777" w:rsidR="00314E7F" w:rsidRPr="00566C0C" w:rsidRDefault="00314E7F" w:rsidP="00566C0C">
            <w:pPr>
              <w:pStyle w:val="Body"/>
              <w:rPr>
                <w:rFonts w:cs="Arial"/>
                <w:szCs w:val="21"/>
              </w:rPr>
            </w:pPr>
            <w:r w:rsidRPr="00566C0C">
              <w:rPr>
                <w:rFonts w:cs="Arial"/>
                <w:szCs w:val="21"/>
              </w:rPr>
              <w:t>A suitable form of housing accommodation for the purposes of this program.</w:t>
            </w:r>
          </w:p>
        </w:tc>
      </w:tr>
      <w:tr w:rsidR="00314E7F" w:rsidRPr="00314E7F" w14:paraId="3E3F4C16" w14:textId="77777777" w:rsidTr="007516E6">
        <w:tc>
          <w:tcPr>
            <w:tcW w:w="2200" w:type="dxa"/>
          </w:tcPr>
          <w:p w14:paraId="54219631" w14:textId="77777777" w:rsidR="00314E7F" w:rsidRPr="00566C0C" w:rsidRDefault="00314E7F" w:rsidP="00566C0C">
            <w:pPr>
              <w:pStyle w:val="Body"/>
              <w:rPr>
                <w:szCs w:val="21"/>
                <w:lang w:val="en-GB"/>
              </w:rPr>
            </w:pPr>
            <w:r w:rsidRPr="00566C0C">
              <w:rPr>
                <w:szCs w:val="21"/>
                <w:lang w:val="en-GB"/>
              </w:rPr>
              <w:t>Funded Support</w:t>
            </w:r>
          </w:p>
          <w:p w14:paraId="278BBDBA" w14:textId="77777777" w:rsidR="00314E7F" w:rsidRPr="00566C0C" w:rsidRDefault="00314E7F" w:rsidP="00566C0C">
            <w:pPr>
              <w:pStyle w:val="Body"/>
              <w:rPr>
                <w:szCs w:val="21"/>
                <w:lang w:val="en-GB"/>
              </w:rPr>
            </w:pPr>
            <w:r w:rsidRPr="00566C0C">
              <w:rPr>
                <w:szCs w:val="21"/>
                <w:lang w:val="en-GB"/>
              </w:rPr>
              <w:t>Services</w:t>
            </w:r>
          </w:p>
        </w:tc>
        <w:tc>
          <w:tcPr>
            <w:tcW w:w="7886" w:type="dxa"/>
          </w:tcPr>
          <w:p w14:paraId="36FA5FF0" w14:textId="77777777" w:rsidR="00314E7F" w:rsidRPr="00566C0C" w:rsidRDefault="00314E7F" w:rsidP="00566C0C">
            <w:pPr>
              <w:pStyle w:val="Body"/>
              <w:rPr>
                <w:rFonts w:cs="Arial"/>
                <w:szCs w:val="21"/>
              </w:rPr>
            </w:pPr>
            <w:r w:rsidRPr="00566C0C">
              <w:rPr>
                <w:rFonts w:cs="Arial"/>
                <w:szCs w:val="21"/>
              </w:rPr>
              <w:t>New Support Services to be funded through this program.</w:t>
            </w:r>
          </w:p>
        </w:tc>
      </w:tr>
      <w:tr w:rsidR="00314E7F" w:rsidRPr="00314E7F" w14:paraId="3F3B223E" w14:textId="77777777" w:rsidTr="007516E6">
        <w:tc>
          <w:tcPr>
            <w:tcW w:w="2200" w:type="dxa"/>
          </w:tcPr>
          <w:p w14:paraId="1D56AFED" w14:textId="77777777" w:rsidR="00314E7F" w:rsidRPr="00566C0C" w:rsidRDefault="00314E7F" w:rsidP="00566C0C">
            <w:pPr>
              <w:pStyle w:val="Body"/>
              <w:rPr>
                <w:szCs w:val="21"/>
                <w:lang w:val="en-GB"/>
              </w:rPr>
            </w:pPr>
            <w:r w:rsidRPr="00566C0C">
              <w:rPr>
                <w:szCs w:val="21"/>
                <w:lang w:val="en-GB"/>
              </w:rPr>
              <w:t>General Lease Properties</w:t>
            </w:r>
          </w:p>
        </w:tc>
        <w:tc>
          <w:tcPr>
            <w:tcW w:w="7886" w:type="dxa"/>
          </w:tcPr>
          <w:p w14:paraId="21A7D8F6" w14:textId="77777777" w:rsidR="00314E7F" w:rsidRPr="00566C0C" w:rsidRDefault="00314E7F" w:rsidP="00566C0C">
            <w:pPr>
              <w:pStyle w:val="Body"/>
              <w:rPr>
                <w:rFonts w:cs="Arial"/>
                <w:szCs w:val="21"/>
              </w:rPr>
            </w:pPr>
            <w:r w:rsidRPr="00566C0C">
              <w:rPr>
                <w:rFonts w:cs="Arial"/>
                <w:szCs w:val="21"/>
              </w:rPr>
              <w:t>Newly acquired dwellings which will be leased to the Property Service Provider under General Lease with Homes Victoria.</w:t>
            </w:r>
          </w:p>
        </w:tc>
      </w:tr>
      <w:tr w:rsidR="00314E7F" w:rsidRPr="00314E7F" w14:paraId="79535C8E" w14:textId="77777777" w:rsidTr="007516E6">
        <w:tc>
          <w:tcPr>
            <w:tcW w:w="2200" w:type="dxa"/>
          </w:tcPr>
          <w:p w14:paraId="5A9D8C4C" w14:textId="77777777" w:rsidR="00314E7F" w:rsidRPr="00566C0C" w:rsidRDefault="00314E7F" w:rsidP="00566C0C">
            <w:pPr>
              <w:pStyle w:val="Body"/>
              <w:rPr>
                <w:rFonts w:cs="Arial"/>
                <w:szCs w:val="21"/>
                <w:lang w:val="en-GB"/>
              </w:rPr>
            </w:pPr>
            <w:proofErr w:type="spellStart"/>
            <w:r w:rsidRPr="00566C0C">
              <w:rPr>
                <w:szCs w:val="21"/>
                <w:lang w:val="en-GB"/>
              </w:rPr>
              <w:t>HaAS</w:t>
            </w:r>
            <w:proofErr w:type="spellEnd"/>
            <w:r w:rsidRPr="00566C0C">
              <w:rPr>
                <w:szCs w:val="21"/>
                <w:lang w:val="en-GB"/>
              </w:rPr>
              <w:t xml:space="preserve"> </w:t>
            </w:r>
          </w:p>
        </w:tc>
        <w:tc>
          <w:tcPr>
            <w:tcW w:w="7886" w:type="dxa"/>
          </w:tcPr>
          <w:p w14:paraId="691C2F66" w14:textId="77777777" w:rsidR="00314E7F" w:rsidRPr="00566C0C" w:rsidRDefault="00314E7F" w:rsidP="00566C0C">
            <w:pPr>
              <w:pStyle w:val="Body"/>
              <w:rPr>
                <w:rFonts w:cs="Arial"/>
                <w:szCs w:val="21"/>
              </w:rPr>
            </w:pPr>
            <w:r w:rsidRPr="00566C0C">
              <w:rPr>
                <w:rFonts w:cs="Arial"/>
                <w:szCs w:val="21"/>
              </w:rPr>
              <w:t>Homelessness and Accommodation Support Unit under the Housing, Pathways and Outcomes Branch, Homes Victoria.</w:t>
            </w:r>
          </w:p>
        </w:tc>
      </w:tr>
      <w:tr w:rsidR="00314E7F" w:rsidRPr="00314E7F" w14:paraId="047E9972" w14:textId="77777777" w:rsidTr="007516E6">
        <w:tc>
          <w:tcPr>
            <w:tcW w:w="2200" w:type="dxa"/>
          </w:tcPr>
          <w:p w14:paraId="0E12A122" w14:textId="77777777" w:rsidR="00314E7F" w:rsidRPr="00566C0C" w:rsidRDefault="00314E7F" w:rsidP="00566C0C">
            <w:pPr>
              <w:pStyle w:val="Body"/>
              <w:rPr>
                <w:szCs w:val="21"/>
                <w:lang w:val="en-GB"/>
              </w:rPr>
            </w:pPr>
            <w:r w:rsidRPr="00566C0C">
              <w:rPr>
                <w:szCs w:val="21"/>
                <w:lang w:val="en-GB"/>
              </w:rPr>
              <w:t>Head Leased Dwellings</w:t>
            </w:r>
          </w:p>
        </w:tc>
        <w:tc>
          <w:tcPr>
            <w:tcW w:w="7886" w:type="dxa"/>
          </w:tcPr>
          <w:p w14:paraId="7BBC5E67" w14:textId="77777777" w:rsidR="00314E7F" w:rsidRPr="00566C0C" w:rsidRDefault="00314E7F" w:rsidP="00566C0C">
            <w:pPr>
              <w:pStyle w:val="Body"/>
              <w:rPr>
                <w:rFonts w:cs="Arial"/>
                <w:szCs w:val="21"/>
              </w:rPr>
            </w:pPr>
            <w:r w:rsidRPr="00566C0C">
              <w:rPr>
                <w:rFonts w:cs="Arial"/>
                <w:szCs w:val="21"/>
                <w:lang w:val="en-GB" w:eastAsia="en-AU"/>
              </w:rPr>
              <w:t>Dwellings owned by private residential rental providers and made available to the Service Provider via an 18-month head lease with its owner.</w:t>
            </w:r>
          </w:p>
        </w:tc>
      </w:tr>
      <w:tr w:rsidR="00314E7F" w:rsidRPr="00314E7F" w14:paraId="1C582DD5" w14:textId="77777777" w:rsidTr="007516E6">
        <w:tc>
          <w:tcPr>
            <w:tcW w:w="2200" w:type="dxa"/>
          </w:tcPr>
          <w:p w14:paraId="07D15FFE" w14:textId="77777777" w:rsidR="00314E7F" w:rsidRPr="00566C0C" w:rsidRDefault="00314E7F" w:rsidP="00566C0C">
            <w:pPr>
              <w:pStyle w:val="Body"/>
              <w:rPr>
                <w:szCs w:val="21"/>
                <w:lang w:val="en-GB"/>
              </w:rPr>
            </w:pPr>
            <w:r w:rsidRPr="00566C0C">
              <w:rPr>
                <w:szCs w:val="21"/>
                <w:lang w:val="en-GB"/>
              </w:rPr>
              <w:t>HEART</w:t>
            </w:r>
          </w:p>
        </w:tc>
        <w:tc>
          <w:tcPr>
            <w:tcW w:w="7886" w:type="dxa"/>
          </w:tcPr>
          <w:p w14:paraId="065C41E2" w14:textId="4E66A87E" w:rsidR="00314E7F" w:rsidRPr="00566C0C" w:rsidRDefault="00314E7F" w:rsidP="00566C0C">
            <w:pPr>
              <w:pStyle w:val="Body"/>
              <w:rPr>
                <w:rFonts w:cs="Arial"/>
                <w:szCs w:val="21"/>
              </w:rPr>
            </w:pPr>
            <w:bookmarkStart w:id="1" w:name="_Hlk81410729"/>
            <w:r w:rsidRPr="00566C0C">
              <w:rPr>
                <w:rFonts w:cs="Arial"/>
                <w:szCs w:val="21"/>
              </w:rPr>
              <w:t xml:space="preserve">Homelessness Emergency Accommodation Response Team </w:t>
            </w:r>
            <w:bookmarkEnd w:id="1"/>
            <w:r w:rsidR="001F57BD" w:rsidRPr="00566C0C">
              <w:rPr>
                <w:rFonts w:cs="Arial"/>
                <w:szCs w:val="21"/>
              </w:rPr>
              <w:t>established for</w:t>
            </w:r>
            <w:r w:rsidRPr="00566C0C">
              <w:rPr>
                <w:rFonts w:cs="Arial"/>
                <w:szCs w:val="21"/>
              </w:rPr>
              <w:t xml:space="preserve"> the coordination of housing and homelessness service providers at a local level during the pandemic</w:t>
            </w:r>
            <w:r w:rsidRPr="00566C0C">
              <w:rPr>
                <w:rStyle w:val="FootnoteReference"/>
                <w:rFonts w:cs="Arial"/>
                <w:szCs w:val="21"/>
              </w:rPr>
              <w:footnoteReference w:id="2"/>
            </w:r>
            <w:r w:rsidRPr="00566C0C">
              <w:rPr>
                <w:rFonts w:cs="Arial"/>
                <w:szCs w:val="21"/>
              </w:rPr>
              <w:t>.</w:t>
            </w:r>
          </w:p>
        </w:tc>
      </w:tr>
      <w:tr w:rsidR="00314E7F" w:rsidRPr="00314E7F" w14:paraId="7B4AA289" w14:textId="77777777" w:rsidTr="007516E6">
        <w:tc>
          <w:tcPr>
            <w:tcW w:w="2200" w:type="dxa"/>
          </w:tcPr>
          <w:p w14:paraId="7DE2F6BA" w14:textId="77777777" w:rsidR="00314E7F" w:rsidRPr="00566C0C" w:rsidRDefault="00314E7F" w:rsidP="00566C0C">
            <w:pPr>
              <w:pStyle w:val="Body"/>
              <w:rPr>
                <w:szCs w:val="21"/>
                <w:lang w:val="en-GB"/>
              </w:rPr>
            </w:pPr>
            <w:r w:rsidRPr="00566C0C">
              <w:rPr>
                <w:szCs w:val="21"/>
                <w:lang w:val="en-GB"/>
              </w:rPr>
              <w:t>HEF</w:t>
            </w:r>
          </w:p>
        </w:tc>
        <w:tc>
          <w:tcPr>
            <w:tcW w:w="7886" w:type="dxa"/>
          </w:tcPr>
          <w:p w14:paraId="0720402D" w14:textId="77777777" w:rsidR="00314E7F" w:rsidRPr="00566C0C" w:rsidRDefault="00314E7F" w:rsidP="00566C0C">
            <w:pPr>
              <w:pStyle w:val="Body"/>
              <w:rPr>
                <w:rFonts w:cs="Arial"/>
                <w:szCs w:val="21"/>
              </w:rPr>
            </w:pPr>
            <w:r w:rsidRPr="00566C0C">
              <w:rPr>
                <w:rFonts w:cs="Arial"/>
                <w:szCs w:val="21"/>
              </w:rPr>
              <w:t>Housing Establishment Fund</w:t>
            </w:r>
          </w:p>
        </w:tc>
      </w:tr>
      <w:tr w:rsidR="00314E7F" w:rsidRPr="00314E7F" w14:paraId="6DAE632C" w14:textId="77777777" w:rsidTr="007516E6">
        <w:tc>
          <w:tcPr>
            <w:tcW w:w="2200" w:type="dxa"/>
          </w:tcPr>
          <w:p w14:paraId="794A57B4" w14:textId="77777777" w:rsidR="00314E7F" w:rsidRPr="00566C0C" w:rsidRDefault="00314E7F" w:rsidP="00566C0C">
            <w:pPr>
              <w:pStyle w:val="Body"/>
              <w:rPr>
                <w:szCs w:val="21"/>
                <w:lang w:val="en-GB"/>
              </w:rPr>
            </w:pPr>
            <w:r w:rsidRPr="00566C0C">
              <w:rPr>
                <w:szCs w:val="21"/>
                <w:lang w:val="en-GB"/>
              </w:rPr>
              <w:t>HiiP</w:t>
            </w:r>
          </w:p>
        </w:tc>
        <w:tc>
          <w:tcPr>
            <w:tcW w:w="7886" w:type="dxa"/>
          </w:tcPr>
          <w:p w14:paraId="341390FF" w14:textId="77777777" w:rsidR="00314E7F" w:rsidRPr="00566C0C" w:rsidRDefault="00314E7F" w:rsidP="00566C0C">
            <w:pPr>
              <w:pStyle w:val="Body"/>
              <w:rPr>
                <w:rFonts w:cs="Arial"/>
                <w:szCs w:val="21"/>
              </w:rPr>
            </w:pPr>
            <w:r w:rsidRPr="00566C0C">
              <w:rPr>
                <w:rFonts w:cs="Arial"/>
                <w:szCs w:val="21"/>
              </w:rPr>
              <w:t>Housing Integrated Information Program – a platform the department is using to manage social housing.</w:t>
            </w:r>
          </w:p>
        </w:tc>
      </w:tr>
      <w:tr w:rsidR="00314E7F" w:rsidRPr="00314E7F" w14:paraId="388AE6FD" w14:textId="77777777" w:rsidTr="007516E6">
        <w:tc>
          <w:tcPr>
            <w:tcW w:w="2200" w:type="dxa"/>
          </w:tcPr>
          <w:p w14:paraId="0FE542E1" w14:textId="1A84F8D2" w:rsidR="00314E7F" w:rsidRPr="00566C0C" w:rsidRDefault="00314E7F" w:rsidP="00566C0C">
            <w:pPr>
              <w:pStyle w:val="Body"/>
              <w:rPr>
                <w:szCs w:val="21"/>
                <w:lang w:val="en-GB"/>
              </w:rPr>
            </w:pPr>
            <w:r w:rsidRPr="00566C0C">
              <w:rPr>
                <w:szCs w:val="21"/>
                <w:lang w:val="en-GB"/>
              </w:rPr>
              <w:t>Homelessness Data</w:t>
            </w:r>
            <w:r w:rsidR="00010B4D">
              <w:rPr>
                <w:szCs w:val="21"/>
                <w:lang w:val="en-GB"/>
              </w:rPr>
              <w:t xml:space="preserve"> </w:t>
            </w:r>
            <w:r w:rsidRPr="00566C0C">
              <w:rPr>
                <w:szCs w:val="21"/>
                <w:lang w:val="en-GB"/>
              </w:rPr>
              <w:t>Collection</w:t>
            </w:r>
          </w:p>
        </w:tc>
        <w:tc>
          <w:tcPr>
            <w:tcW w:w="7886" w:type="dxa"/>
          </w:tcPr>
          <w:p w14:paraId="5BED455D" w14:textId="4468959E" w:rsidR="00314E7F" w:rsidRPr="00566C0C" w:rsidRDefault="00314E7F" w:rsidP="00566C0C">
            <w:pPr>
              <w:pStyle w:val="Body"/>
              <w:rPr>
                <w:rFonts w:cs="Arial"/>
                <w:szCs w:val="21"/>
              </w:rPr>
            </w:pPr>
            <w:r w:rsidRPr="00566C0C">
              <w:rPr>
                <w:rFonts w:cs="Arial"/>
                <w:szCs w:val="21"/>
              </w:rPr>
              <w:t>The Department’s data collection system, SHIP and other manual</w:t>
            </w:r>
            <w:r w:rsidR="00010B4D">
              <w:rPr>
                <w:rFonts w:cs="Arial"/>
                <w:szCs w:val="21"/>
              </w:rPr>
              <w:t xml:space="preserve"> </w:t>
            </w:r>
            <w:r w:rsidRPr="00566C0C">
              <w:rPr>
                <w:rFonts w:cs="Arial"/>
                <w:szCs w:val="21"/>
              </w:rPr>
              <w:t>reporting practises.</w:t>
            </w:r>
          </w:p>
        </w:tc>
      </w:tr>
      <w:tr w:rsidR="00314E7F" w:rsidRPr="00314E7F" w14:paraId="3DC0322F" w14:textId="77777777" w:rsidTr="007516E6">
        <w:tc>
          <w:tcPr>
            <w:tcW w:w="2200" w:type="dxa"/>
          </w:tcPr>
          <w:p w14:paraId="43CC4875" w14:textId="77777777" w:rsidR="00314E7F" w:rsidRPr="00566C0C" w:rsidRDefault="00314E7F" w:rsidP="00566C0C">
            <w:pPr>
              <w:pStyle w:val="Body"/>
              <w:rPr>
                <w:szCs w:val="21"/>
                <w:lang w:val="en-GB"/>
              </w:rPr>
            </w:pPr>
            <w:r w:rsidRPr="00566C0C">
              <w:rPr>
                <w:szCs w:val="21"/>
                <w:lang w:val="en-GB"/>
              </w:rPr>
              <w:t>H2H Community Partners and/or H2H Community Providers</w:t>
            </w:r>
          </w:p>
        </w:tc>
        <w:tc>
          <w:tcPr>
            <w:tcW w:w="7886" w:type="dxa"/>
          </w:tcPr>
          <w:p w14:paraId="0F049476" w14:textId="510E9ABE" w:rsidR="00314E7F" w:rsidRPr="00566C0C" w:rsidRDefault="00314E7F" w:rsidP="00566C0C">
            <w:pPr>
              <w:pStyle w:val="Body"/>
              <w:rPr>
                <w:rFonts w:cs="Arial"/>
                <w:szCs w:val="21"/>
              </w:rPr>
            </w:pPr>
            <w:r w:rsidRPr="00566C0C">
              <w:rPr>
                <w:rFonts w:cs="Arial"/>
                <w:szCs w:val="21"/>
              </w:rPr>
              <w:t>The 14 successful partnerships funded to deliver the H2H Program. This term has been updated from what was previously referred to as ‘</w:t>
            </w:r>
            <w:r w:rsidR="00BE39E0">
              <w:rPr>
                <w:rFonts w:cs="Arial"/>
                <w:szCs w:val="21"/>
              </w:rPr>
              <w:t>C</w:t>
            </w:r>
            <w:r w:rsidRPr="00566C0C">
              <w:rPr>
                <w:rFonts w:cs="Arial"/>
                <w:szCs w:val="21"/>
              </w:rPr>
              <w:t xml:space="preserve">onsortia’ and ‘consortium members’. The partnerships consist of a Registered Housing Agency and other relevant provider(s) of Support </w:t>
            </w:r>
            <w:r w:rsidRPr="00566C0C">
              <w:rPr>
                <w:rFonts w:cs="Arial"/>
                <w:szCs w:val="21"/>
              </w:rPr>
              <w:lastRenderedPageBreak/>
              <w:t>Services, that collectively can provide the full scope of the Services required under the From Homelessness to a Home (H2H) program.</w:t>
            </w:r>
          </w:p>
        </w:tc>
      </w:tr>
      <w:tr w:rsidR="00314E7F" w:rsidRPr="00314E7F" w14:paraId="6C843B5B" w14:textId="77777777" w:rsidTr="007516E6">
        <w:tc>
          <w:tcPr>
            <w:tcW w:w="2200" w:type="dxa"/>
          </w:tcPr>
          <w:p w14:paraId="1151FB36" w14:textId="77777777" w:rsidR="00314E7F" w:rsidRPr="00566C0C" w:rsidRDefault="00314E7F" w:rsidP="00566C0C">
            <w:pPr>
              <w:pStyle w:val="Body"/>
              <w:rPr>
                <w:szCs w:val="21"/>
                <w:lang w:val="en-GB"/>
              </w:rPr>
            </w:pPr>
            <w:r w:rsidRPr="00566C0C">
              <w:rPr>
                <w:szCs w:val="21"/>
                <w:lang w:val="en-GB"/>
              </w:rPr>
              <w:lastRenderedPageBreak/>
              <w:t xml:space="preserve">H2H Program </w:t>
            </w:r>
          </w:p>
        </w:tc>
        <w:tc>
          <w:tcPr>
            <w:tcW w:w="7886" w:type="dxa"/>
          </w:tcPr>
          <w:p w14:paraId="111EFAB2" w14:textId="77777777" w:rsidR="00314E7F" w:rsidRPr="00566C0C" w:rsidRDefault="00314E7F" w:rsidP="00566C0C">
            <w:pPr>
              <w:pStyle w:val="Body"/>
              <w:rPr>
                <w:rFonts w:cs="Arial"/>
                <w:szCs w:val="21"/>
              </w:rPr>
            </w:pPr>
            <w:r w:rsidRPr="00566C0C">
              <w:rPr>
                <w:bCs/>
                <w:szCs w:val="21"/>
                <w:lang w:val="en-GB"/>
              </w:rPr>
              <w:t xml:space="preserve">The </w:t>
            </w:r>
            <w:r w:rsidRPr="00566C0C">
              <w:rPr>
                <w:bCs/>
                <w:i/>
                <w:iCs/>
                <w:szCs w:val="21"/>
                <w:lang w:val="en-GB"/>
              </w:rPr>
              <w:t>From Homelessness to a Home</w:t>
            </w:r>
            <w:r w:rsidRPr="00566C0C">
              <w:rPr>
                <w:bCs/>
                <w:szCs w:val="21"/>
                <w:lang w:val="en-GB"/>
              </w:rPr>
              <w:t xml:space="preserve"> Program, known as H2H Program, aiming at providing1,845 households with access to stable medium- and long-term housing and support packages to people experiencing homelessness who are residing in emergency accommodation due to the coronavirus (COVID-19) pandemic before 6 December 2020.</w:t>
            </w:r>
          </w:p>
        </w:tc>
      </w:tr>
      <w:tr w:rsidR="00314E7F" w:rsidRPr="00314E7F" w14:paraId="5547BF1D" w14:textId="77777777" w:rsidTr="007516E6">
        <w:tc>
          <w:tcPr>
            <w:tcW w:w="2200" w:type="dxa"/>
          </w:tcPr>
          <w:p w14:paraId="27E5F0D8" w14:textId="77777777" w:rsidR="00314E7F" w:rsidRPr="00566C0C" w:rsidRDefault="00314E7F" w:rsidP="00566C0C">
            <w:pPr>
              <w:pStyle w:val="Body"/>
              <w:rPr>
                <w:szCs w:val="21"/>
                <w:lang w:val="en-GB"/>
              </w:rPr>
            </w:pPr>
            <w:r w:rsidRPr="00566C0C">
              <w:rPr>
                <w:szCs w:val="21"/>
                <w:lang w:val="en-GB"/>
              </w:rPr>
              <w:t xml:space="preserve">Homes Victoria </w:t>
            </w:r>
          </w:p>
        </w:tc>
        <w:tc>
          <w:tcPr>
            <w:tcW w:w="7886" w:type="dxa"/>
          </w:tcPr>
          <w:p w14:paraId="3B555FC4" w14:textId="3C02C1CF" w:rsidR="00314E7F" w:rsidRPr="00566C0C" w:rsidRDefault="00FE53E8" w:rsidP="00566C0C">
            <w:pPr>
              <w:pStyle w:val="Body"/>
              <w:rPr>
                <w:bCs/>
                <w:szCs w:val="21"/>
                <w:lang w:val="en-GB"/>
              </w:rPr>
            </w:pPr>
            <w:r w:rsidRPr="00FE53E8">
              <w:rPr>
                <w:bCs/>
                <w:szCs w:val="21"/>
                <w:lang w:val="en-GB"/>
              </w:rPr>
              <w:t>Homes Victoria sits within the Victorian Government</w:t>
            </w:r>
            <w:r>
              <w:rPr>
                <w:bCs/>
                <w:szCs w:val="21"/>
                <w:lang w:val="en-GB"/>
              </w:rPr>
              <w:t xml:space="preserve"> Department of Families, Fairness and </w:t>
            </w:r>
            <w:proofErr w:type="spellStart"/>
            <w:r>
              <w:rPr>
                <w:bCs/>
                <w:szCs w:val="21"/>
                <w:lang w:val="en-GB"/>
              </w:rPr>
              <w:t>Houising</w:t>
            </w:r>
            <w:proofErr w:type="spellEnd"/>
            <w:r>
              <w:rPr>
                <w:bCs/>
                <w:szCs w:val="21"/>
                <w:lang w:val="en-GB"/>
              </w:rPr>
              <w:t>.</w:t>
            </w:r>
          </w:p>
        </w:tc>
      </w:tr>
      <w:tr w:rsidR="00314E7F" w:rsidRPr="00314E7F" w14:paraId="13C65822" w14:textId="77777777" w:rsidTr="007516E6">
        <w:tc>
          <w:tcPr>
            <w:tcW w:w="2200" w:type="dxa"/>
          </w:tcPr>
          <w:p w14:paraId="3C7B9E5E" w14:textId="77777777" w:rsidR="00314E7F" w:rsidRPr="00566C0C" w:rsidRDefault="00314E7F" w:rsidP="00566C0C">
            <w:pPr>
              <w:pStyle w:val="Body"/>
              <w:rPr>
                <w:szCs w:val="21"/>
                <w:lang w:val="en-GB"/>
              </w:rPr>
            </w:pPr>
            <w:r w:rsidRPr="00566C0C">
              <w:rPr>
                <w:szCs w:val="21"/>
                <w:lang w:val="en-GB"/>
              </w:rPr>
              <w:t>Housing Act</w:t>
            </w:r>
          </w:p>
        </w:tc>
        <w:tc>
          <w:tcPr>
            <w:tcW w:w="7886" w:type="dxa"/>
          </w:tcPr>
          <w:p w14:paraId="6D774606" w14:textId="77777777" w:rsidR="00314E7F" w:rsidRPr="00566C0C" w:rsidRDefault="00314E7F" w:rsidP="00566C0C">
            <w:pPr>
              <w:pStyle w:val="Body"/>
              <w:rPr>
                <w:rFonts w:cs="Arial"/>
                <w:i/>
                <w:iCs/>
                <w:szCs w:val="21"/>
              </w:rPr>
            </w:pPr>
            <w:r w:rsidRPr="00566C0C">
              <w:rPr>
                <w:rFonts w:cs="Arial"/>
                <w:szCs w:val="21"/>
                <w:lang w:val="en-GB" w:eastAsia="en-AU"/>
              </w:rPr>
              <w:t>The</w:t>
            </w:r>
            <w:r w:rsidRPr="00566C0C">
              <w:rPr>
                <w:rFonts w:cs="Arial"/>
                <w:i/>
                <w:iCs/>
                <w:szCs w:val="21"/>
                <w:lang w:val="en-GB" w:eastAsia="en-AU"/>
              </w:rPr>
              <w:t xml:space="preserve"> Housing Act 1983 (Vic).</w:t>
            </w:r>
          </w:p>
        </w:tc>
      </w:tr>
      <w:tr w:rsidR="00314E7F" w:rsidRPr="00314E7F" w14:paraId="4D29015C" w14:textId="77777777" w:rsidTr="007516E6">
        <w:tc>
          <w:tcPr>
            <w:tcW w:w="2200" w:type="dxa"/>
          </w:tcPr>
          <w:p w14:paraId="3B2FBEE2" w14:textId="77777777" w:rsidR="00314E7F" w:rsidRPr="00566C0C" w:rsidRDefault="00314E7F" w:rsidP="00566C0C">
            <w:pPr>
              <w:pStyle w:val="Body"/>
              <w:rPr>
                <w:szCs w:val="21"/>
                <w:lang w:val="en-GB"/>
              </w:rPr>
            </w:pPr>
            <w:r w:rsidRPr="00566C0C">
              <w:rPr>
                <w:szCs w:val="21"/>
                <w:lang w:val="en-GB"/>
              </w:rPr>
              <w:t>Housing</w:t>
            </w:r>
          </w:p>
          <w:p w14:paraId="31BAB639" w14:textId="77777777" w:rsidR="00314E7F" w:rsidRPr="00566C0C" w:rsidRDefault="00314E7F" w:rsidP="00566C0C">
            <w:pPr>
              <w:pStyle w:val="Body"/>
              <w:rPr>
                <w:szCs w:val="21"/>
                <w:lang w:val="en-GB"/>
              </w:rPr>
            </w:pPr>
            <w:r w:rsidRPr="00566C0C">
              <w:rPr>
                <w:szCs w:val="21"/>
                <w:lang w:val="en-GB"/>
              </w:rPr>
              <w:t>Registrar</w:t>
            </w:r>
          </w:p>
        </w:tc>
        <w:tc>
          <w:tcPr>
            <w:tcW w:w="7886" w:type="dxa"/>
          </w:tcPr>
          <w:p w14:paraId="62ED858B" w14:textId="77777777" w:rsidR="00314E7F" w:rsidRPr="00566C0C" w:rsidRDefault="00314E7F" w:rsidP="00566C0C">
            <w:pPr>
              <w:pStyle w:val="Body"/>
              <w:rPr>
                <w:rFonts w:cs="Arial"/>
                <w:szCs w:val="21"/>
                <w:lang w:val="en-GB" w:eastAsia="en-AU"/>
              </w:rPr>
            </w:pPr>
            <w:r w:rsidRPr="00566C0C">
              <w:rPr>
                <w:rFonts w:cs="Arial"/>
                <w:szCs w:val="21"/>
                <w:lang w:val="en-GB" w:eastAsia="en-AU"/>
              </w:rPr>
              <w:t>The Housing Registrar monitors the performance of prospective Registered Housing Agencies.</w:t>
            </w:r>
          </w:p>
        </w:tc>
      </w:tr>
      <w:tr w:rsidR="00314E7F" w:rsidRPr="00314E7F" w14:paraId="763F14DF" w14:textId="77777777" w:rsidTr="007516E6">
        <w:tc>
          <w:tcPr>
            <w:tcW w:w="2200" w:type="dxa"/>
            <w:shd w:val="clear" w:color="auto" w:fill="auto"/>
          </w:tcPr>
          <w:p w14:paraId="3925F46C" w14:textId="77777777" w:rsidR="00314E7F" w:rsidRPr="00566C0C" w:rsidRDefault="00314E7F" w:rsidP="00566C0C">
            <w:pPr>
              <w:pStyle w:val="Body"/>
              <w:rPr>
                <w:szCs w:val="21"/>
                <w:lang w:val="en-GB"/>
              </w:rPr>
            </w:pPr>
            <w:r w:rsidRPr="00566C0C">
              <w:rPr>
                <w:szCs w:val="21"/>
                <w:lang w:val="en-GB"/>
              </w:rPr>
              <w:t xml:space="preserve">Housing Services commencement date </w:t>
            </w:r>
          </w:p>
        </w:tc>
        <w:tc>
          <w:tcPr>
            <w:tcW w:w="7886" w:type="dxa"/>
            <w:shd w:val="clear" w:color="auto" w:fill="auto"/>
          </w:tcPr>
          <w:p w14:paraId="001EB073" w14:textId="77777777" w:rsidR="00314E7F" w:rsidRPr="00566C0C" w:rsidRDefault="00314E7F" w:rsidP="00566C0C">
            <w:pPr>
              <w:pStyle w:val="Body"/>
              <w:rPr>
                <w:rFonts w:cs="Arial"/>
                <w:szCs w:val="21"/>
                <w:lang w:val="en-GB" w:eastAsia="en-AU"/>
              </w:rPr>
            </w:pPr>
            <w:r w:rsidRPr="00566C0C">
              <w:rPr>
                <w:rFonts w:cs="Arial"/>
                <w:szCs w:val="21"/>
                <w:lang w:val="en-GB" w:eastAsia="en-AU"/>
              </w:rPr>
              <w:t>The date of lease commencement for each Dwelling.</w:t>
            </w:r>
          </w:p>
          <w:p w14:paraId="3463DDC1" w14:textId="77777777" w:rsidR="00314E7F" w:rsidRPr="00566C0C" w:rsidRDefault="00314E7F" w:rsidP="00566C0C">
            <w:pPr>
              <w:pStyle w:val="Body"/>
              <w:rPr>
                <w:rFonts w:cs="Arial"/>
                <w:szCs w:val="21"/>
                <w:lang w:val="en-GB" w:eastAsia="en-AU"/>
              </w:rPr>
            </w:pPr>
          </w:p>
        </w:tc>
      </w:tr>
      <w:tr w:rsidR="00314E7F" w:rsidRPr="00314E7F" w14:paraId="65923156" w14:textId="77777777" w:rsidTr="007516E6">
        <w:tc>
          <w:tcPr>
            <w:tcW w:w="2200" w:type="dxa"/>
            <w:shd w:val="clear" w:color="auto" w:fill="auto"/>
          </w:tcPr>
          <w:p w14:paraId="6D109C7B" w14:textId="77777777" w:rsidR="00314E7F" w:rsidRPr="00566C0C" w:rsidRDefault="00314E7F" w:rsidP="00566C0C">
            <w:pPr>
              <w:pStyle w:val="Body"/>
              <w:rPr>
                <w:szCs w:val="21"/>
                <w:lang w:val="en-GB"/>
              </w:rPr>
            </w:pPr>
            <w:r w:rsidRPr="00566C0C">
              <w:rPr>
                <w:szCs w:val="21"/>
                <w:lang w:val="en-GB"/>
              </w:rPr>
              <w:t>Initial Vacancy</w:t>
            </w:r>
          </w:p>
        </w:tc>
        <w:tc>
          <w:tcPr>
            <w:tcW w:w="7886" w:type="dxa"/>
            <w:shd w:val="clear" w:color="auto" w:fill="auto"/>
          </w:tcPr>
          <w:p w14:paraId="3150030F" w14:textId="77777777" w:rsidR="00314E7F" w:rsidRPr="00566C0C" w:rsidRDefault="00314E7F" w:rsidP="00566C0C">
            <w:pPr>
              <w:pStyle w:val="Body"/>
              <w:rPr>
                <w:rFonts w:cs="Arial"/>
                <w:szCs w:val="21"/>
                <w:lang w:val="en-GB" w:eastAsia="en-AU"/>
              </w:rPr>
            </w:pPr>
            <w:r w:rsidRPr="00566C0C">
              <w:rPr>
                <w:rFonts w:cs="Arial"/>
                <w:szCs w:val="21"/>
                <w:lang w:val="en-GB" w:eastAsia="en-AU"/>
              </w:rPr>
              <w:t>The period where a head-lease is first entered into for a Leased Property and the property is inhabitable due to works required to make the property lettable, such as furnishing the property or completing necessary Asset Management Services to bring the property to the standard required.</w:t>
            </w:r>
          </w:p>
        </w:tc>
      </w:tr>
      <w:tr w:rsidR="00314E7F" w:rsidRPr="00314E7F" w14:paraId="7AEC5FE2" w14:textId="77777777" w:rsidTr="007516E6">
        <w:tc>
          <w:tcPr>
            <w:tcW w:w="2200" w:type="dxa"/>
            <w:shd w:val="clear" w:color="auto" w:fill="auto"/>
          </w:tcPr>
          <w:p w14:paraId="347B96BF" w14:textId="77777777" w:rsidR="00314E7F" w:rsidRPr="00566C0C" w:rsidRDefault="00314E7F" w:rsidP="00566C0C">
            <w:pPr>
              <w:pStyle w:val="Body"/>
              <w:rPr>
                <w:szCs w:val="21"/>
                <w:lang w:val="en-GB"/>
              </w:rPr>
            </w:pPr>
            <w:r w:rsidRPr="00566C0C">
              <w:rPr>
                <w:szCs w:val="21"/>
                <w:lang w:val="en-GB"/>
              </w:rPr>
              <w:t>Integrated Housing Responses (IHR)</w:t>
            </w:r>
          </w:p>
        </w:tc>
        <w:tc>
          <w:tcPr>
            <w:tcW w:w="7886" w:type="dxa"/>
            <w:shd w:val="clear" w:color="auto" w:fill="auto"/>
          </w:tcPr>
          <w:p w14:paraId="0452E373" w14:textId="3211DDA4" w:rsidR="00314E7F" w:rsidRPr="00566C0C" w:rsidRDefault="00314E7F" w:rsidP="00566C0C">
            <w:pPr>
              <w:pStyle w:val="Body"/>
              <w:rPr>
                <w:rFonts w:cs="Arial"/>
                <w:szCs w:val="21"/>
                <w:lang w:val="en-GB" w:eastAsia="en-AU"/>
              </w:rPr>
            </w:pPr>
            <w:r w:rsidRPr="00566C0C">
              <w:rPr>
                <w:rFonts w:cs="Arial"/>
                <w:szCs w:val="21"/>
                <w:lang w:val="en-GB" w:eastAsia="en-AU"/>
              </w:rPr>
              <w:t>Integrated Housing Responses is a branch within Homes Victoria that manages the delivery, governance, performance</w:t>
            </w:r>
            <w:r w:rsidR="00BB3916">
              <w:rPr>
                <w:rFonts w:cs="Arial"/>
                <w:szCs w:val="21"/>
                <w:lang w:val="en-GB" w:eastAsia="en-AU"/>
              </w:rPr>
              <w:t xml:space="preserve"> </w:t>
            </w:r>
            <w:r w:rsidRPr="00566C0C">
              <w:rPr>
                <w:rFonts w:cs="Arial"/>
                <w:szCs w:val="21"/>
                <w:lang w:val="en-GB" w:eastAsia="en-AU"/>
              </w:rPr>
              <w:t xml:space="preserve">monitoring and evaluation of the H2H program. </w:t>
            </w:r>
            <w:r w:rsidR="00CB1601">
              <w:rPr>
                <w:rFonts w:cs="Arial"/>
                <w:szCs w:val="21"/>
                <w:lang w:val="en-GB" w:eastAsia="en-AU"/>
              </w:rPr>
              <w:t xml:space="preserve">As of January 2023, Integrated Housing Responses </w:t>
            </w:r>
            <w:r w:rsidR="00D460EE">
              <w:rPr>
                <w:rFonts w:cs="Arial"/>
                <w:szCs w:val="21"/>
                <w:lang w:val="en-GB" w:eastAsia="en-AU"/>
              </w:rPr>
              <w:t>became part of the Housing and Homelessness Support branch within Homes Victoria.</w:t>
            </w:r>
          </w:p>
        </w:tc>
      </w:tr>
      <w:tr w:rsidR="00314E7F" w:rsidRPr="00314E7F" w14:paraId="27ED4182" w14:textId="77777777" w:rsidTr="007516E6">
        <w:tc>
          <w:tcPr>
            <w:tcW w:w="2200" w:type="dxa"/>
          </w:tcPr>
          <w:p w14:paraId="59274847" w14:textId="77777777" w:rsidR="00314E7F" w:rsidRPr="00566C0C" w:rsidRDefault="00314E7F" w:rsidP="00566C0C">
            <w:pPr>
              <w:pStyle w:val="Body"/>
              <w:rPr>
                <w:szCs w:val="21"/>
                <w:lang w:val="en-GB"/>
              </w:rPr>
            </w:pPr>
            <w:r w:rsidRPr="00566C0C">
              <w:rPr>
                <w:rFonts w:cs="Arial"/>
                <w:bCs/>
                <w:szCs w:val="21"/>
                <w:lang w:val="en-GB" w:eastAsia="en-AU"/>
              </w:rPr>
              <w:t>Intensive Support Package</w:t>
            </w:r>
          </w:p>
        </w:tc>
        <w:tc>
          <w:tcPr>
            <w:tcW w:w="7886" w:type="dxa"/>
          </w:tcPr>
          <w:p w14:paraId="530CAA47" w14:textId="77777777" w:rsidR="00314E7F" w:rsidRPr="00566C0C" w:rsidRDefault="00314E7F" w:rsidP="00566C0C">
            <w:pPr>
              <w:pStyle w:val="Body"/>
              <w:rPr>
                <w:szCs w:val="21"/>
                <w:lang w:val="en-GB" w:eastAsia="en-AU"/>
              </w:rPr>
            </w:pPr>
            <w:r w:rsidRPr="00566C0C">
              <w:rPr>
                <w:rFonts w:cs="Arial"/>
                <w:szCs w:val="21"/>
                <w:lang w:val="en-GB" w:eastAsia="en-AU"/>
              </w:rPr>
              <w:t xml:space="preserve">Intensive Support requires longer-term support to address the Client’s unique experience of homelessness and the individual health and wellbeing factors that have hampered previous attempts to resolve their homelessness. </w:t>
            </w:r>
          </w:p>
        </w:tc>
      </w:tr>
      <w:tr w:rsidR="00314E7F" w:rsidRPr="00314E7F" w14:paraId="4894782E" w14:textId="77777777" w:rsidTr="007516E6">
        <w:tc>
          <w:tcPr>
            <w:tcW w:w="2200" w:type="dxa"/>
          </w:tcPr>
          <w:p w14:paraId="53F6D84A" w14:textId="77777777" w:rsidR="00314E7F" w:rsidRPr="00566C0C" w:rsidRDefault="00314E7F" w:rsidP="00566C0C">
            <w:pPr>
              <w:pStyle w:val="Body"/>
              <w:rPr>
                <w:szCs w:val="21"/>
                <w:lang w:val="en-GB"/>
              </w:rPr>
            </w:pPr>
            <w:r w:rsidRPr="00566C0C">
              <w:rPr>
                <w:szCs w:val="21"/>
                <w:lang w:val="en-GB"/>
              </w:rPr>
              <w:t>Key Output Performance Measures (KPOMs)</w:t>
            </w:r>
          </w:p>
          <w:p w14:paraId="3FD47456" w14:textId="77777777" w:rsidR="00314E7F" w:rsidRPr="00566C0C" w:rsidRDefault="00314E7F" w:rsidP="00566C0C">
            <w:pPr>
              <w:pStyle w:val="Body"/>
              <w:rPr>
                <w:szCs w:val="21"/>
                <w:lang w:val="en-GB"/>
              </w:rPr>
            </w:pPr>
          </w:p>
        </w:tc>
        <w:tc>
          <w:tcPr>
            <w:tcW w:w="7886" w:type="dxa"/>
          </w:tcPr>
          <w:p w14:paraId="547FDED5" w14:textId="77777777" w:rsidR="00314E7F" w:rsidRPr="00566C0C" w:rsidRDefault="00314E7F" w:rsidP="00566C0C">
            <w:pPr>
              <w:pStyle w:val="Body"/>
              <w:rPr>
                <w:rFonts w:cs="Arial"/>
                <w:szCs w:val="21"/>
              </w:rPr>
            </w:pPr>
            <w:r w:rsidRPr="00566C0C">
              <w:rPr>
                <w:rFonts w:cs="Arial"/>
                <w:szCs w:val="21"/>
                <w:lang w:val="en-GB" w:eastAsia="en-AU"/>
              </w:rPr>
              <w:t>As</w:t>
            </w:r>
            <w:r w:rsidRPr="00566C0C">
              <w:rPr>
                <w:szCs w:val="21"/>
              </w:rPr>
              <w:t xml:space="preserve"> </w:t>
            </w:r>
            <w:r w:rsidRPr="00566C0C">
              <w:rPr>
                <w:rFonts w:cs="Arial"/>
                <w:szCs w:val="21"/>
                <w:lang w:val="en-GB" w:eastAsia="en-AU"/>
              </w:rPr>
              <w:t xml:space="preserve">defined within the Service Agreement. This will indicate the volume and performance of Services being delivered monthly. The continuation of funding levels depends on H2H Community Partners meeting the Key Output Performance Measures for these services documented in their Service Agreement. </w:t>
            </w:r>
          </w:p>
        </w:tc>
      </w:tr>
      <w:tr w:rsidR="00314E7F" w:rsidRPr="00314E7F" w14:paraId="56550140" w14:textId="77777777" w:rsidTr="007516E6">
        <w:tc>
          <w:tcPr>
            <w:tcW w:w="2200" w:type="dxa"/>
          </w:tcPr>
          <w:p w14:paraId="02D35EA5" w14:textId="77777777" w:rsidR="00314E7F" w:rsidRPr="00566C0C" w:rsidRDefault="00314E7F" w:rsidP="00566C0C">
            <w:pPr>
              <w:pStyle w:val="Body"/>
              <w:rPr>
                <w:szCs w:val="21"/>
                <w:lang w:val="en-GB"/>
              </w:rPr>
            </w:pPr>
            <w:r w:rsidRPr="00566C0C">
              <w:rPr>
                <w:szCs w:val="21"/>
                <w:lang w:val="en-GB"/>
              </w:rPr>
              <w:t>Lessor</w:t>
            </w:r>
          </w:p>
        </w:tc>
        <w:tc>
          <w:tcPr>
            <w:tcW w:w="7886" w:type="dxa"/>
          </w:tcPr>
          <w:p w14:paraId="01E2A2EE" w14:textId="77777777" w:rsidR="00314E7F" w:rsidRPr="00566C0C" w:rsidRDefault="00314E7F" w:rsidP="00566C0C">
            <w:pPr>
              <w:pStyle w:val="Body"/>
              <w:rPr>
                <w:rFonts w:cs="Arial"/>
                <w:szCs w:val="21"/>
                <w:lang w:val="en-GB" w:eastAsia="en-AU"/>
              </w:rPr>
            </w:pPr>
            <w:r w:rsidRPr="00566C0C">
              <w:rPr>
                <w:rFonts w:cs="Arial"/>
                <w:szCs w:val="21"/>
                <w:lang w:val="en-GB" w:eastAsia="en-AU"/>
              </w:rPr>
              <w:t>The owner of a Dwelling who has entered a lease arrangement with the</w:t>
            </w:r>
          </w:p>
          <w:p w14:paraId="6E9146C6" w14:textId="77777777" w:rsidR="00314E7F" w:rsidRPr="00566C0C" w:rsidRDefault="00314E7F" w:rsidP="00566C0C">
            <w:pPr>
              <w:pStyle w:val="Body"/>
              <w:rPr>
                <w:rFonts w:cs="Arial"/>
                <w:szCs w:val="21"/>
              </w:rPr>
            </w:pPr>
            <w:r w:rsidRPr="00566C0C">
              <w:rPr>
                <w:rFonts w:cs="Arial"/>
                <w:szCs w:val="21"/>
                <w:lang w:val="en-GB" w:eastAsia="en-AU"/>
              </w:rPr>
              <w:t>Property Service Provider.</w:t>
            </w:r>
          </w:p>
        </w:tc>
      </w:tr>
      <w:tr w:rsidR="00314E7F" w:rsidRPr="00314E7F" w14:paraId="603EF7A7" w14:textId="77777777" w:rsidTr="007516E6">
        <w:tc>
          <w:tcPr>
            <w:tcW w:w="2200" w:type="dxa"/>
          </w:tcPr>
          <w:p w14:paraId="161DD908" w14:textId="77777777" w:rsidR="00314E7F" w:rsidRPr="00566C0C" w:rsidRDefault="00314E7F" w:rsidP="00566C0C">
            <w:pPr>
              <w:pStyle w:val="Body"/>
              <w:rPr>
                <w:szCs w:val="21"/>
                <w:lang w:val="en-GB"/>
              </w:rPr>
            </w:pPr>
            <w:r w:rsidRPr="00566C0C">
              <w:rPr>
                <w:szCs w:val="21"/>
                <w:lang w:val="en-GB"/>
              </w:rPr>
              <w:t>Local Area Service</w:t>
            </w:r>
          </w:p>
          <w:p w14:paraId="121BC726" w14:textId="77777777" w:rsidR="00314E7F" w:rsidRPr="00566C0C" w:rsidRDefault="00314E7F" w:rsidP="00566C0C">
            <w:pPr>
              <w:pStyle w:val="Body"/>
              <w:rPr>
                <w:szCs w:val="21"/>
                <w:lang w:val="en-GB"/>
              </w:rPr>
            </w:pPr>
            <w:r w:rsidRPr="00566C0C">
              <w:rPr>
                <w:szCs w:val="21"/>
                <w:lang w:val="en-GB"/>
              </w:rPr>
              <w:t>Network (LASN)</w:t>
            </w:r>
          </w:p>
        </w:tc>
        <w:tc>
          <w:tcPr>
            <w:tcW w:w="7886" w:type="dxa"/>
          </w:tcPr>
          <w:p w14:paraId="4EB3BBF8" w14:textId="77777777" w:rsidR="00314E7F" w:rsidRPr="00566C0C" w:rsidRDefault="00314E7F" w:rsidP="00566C0C">
            <w:pPr>
              <w:pStyle w:val="Body"/>
              <w:rPr>
                <w:rFonts w:cs="Arial"/>
                <w:szCs w:val="21"/>
                <w:lang w:val="en-GB" w:eastAsia="en-AU"/>
              </w:rPr>
            </w:pPr>
            <w:r w:rsidRPr="00566C0C">
              <w:rPr>
                <w:rFonts w:cs="Arial"/>
                <w:szCs w:val="21"/>
                <w:lang w:val="en-GB" w:eastAsia="en-AU"/>
              </w:rPr>
              <w:t>Existing networks responsible for providing homelessness assistance services in a local catchment area.</w:t>
            </w:r>
          </w:p>
        </w:tc>
      </w:tr>
      <w:tr w:rsidR="00314E7F" w:rsidRPr="00314E7F" w14:paraId="23F76F0B" w14:textId="77777777" w:rsidTr="007516E6">
        <w:tc>
          <w:tcPr>
            <w:tcW w:w="2200" w:type="dxa"/>
          </w:tcPr>
          <w:p w14:paraId="6AAFA459" w14:textId="77777777" w:rsidR="00314E7F" w:rsidRPr="00566C0C" w:rsidRDefault="00314E7F" w:rsidP="00566C0C">
            <w:pPr>
              <w:pStyle w:val="Body"/>
              <w:rPr>
                <w:rFonts w:cs="Arial"/>
                <w:bCs/>
                <w:szCs w:val="21"/>
                <w:lang w:val="en-GB" w:eastAsia="en-AU"/>
              </w:rPr>
            </w:pPr>
            <w:r w:rsidRPr="00566C0C">
              <w:rPr>
                <w:rFonts w:cs="Arial"/>
                <w:bCs/>
                <w:szCs w:val="21"/>
                <w:lang w:val="en-GB" w:eastAsia="en-AU"/>
              </w:rPr>
              <w:t>Local Jobs First Policy</w:t>
            </w:r>
          </w:p>
        </w:tc>
        <w:tc>
          <w:tcPr>
            <w:tcW w:w="7886" w:type="dxa"/>
          </w:tcPr>
          <w:p w14:paraId="6F40CCA3" w14:textId="77777777" w:rsidR="00314E7F" w:rsidRPr="00566C0C" w:rsidRDefault="00314E7F" w:rsidP="00566C0C">
            <w:pPr>
              <w:pStyle w:val="Body"/>
              <w:rPr>
                <w:rFonts w:cs="Arial"/>
                <w:szCs w:val="21"/>
              </w:rPr>
            </w:pPr>
            <w:r w:rsidRPr="00566C0C">
              <w:rPr>
                <w:rFonts w:cs="Arial"/>
                <w:szCs w:val="21"/>
                <w:lang w:val="en-GB" w:eastAsia="en-AU"/>
              </w:rPr>
              <w:t>Victorian Government policy applicable to funding projects where the value of the funding is above the threshold values of $3 million or more in Metropolitan Melbourne and $1 million or more in Regional Victoria.</w:t>
            </w:r>
          </w:p>
        </w:tc>
      </w:tr>
      <w:tr w:rsidR="00314E7F" w:rsidRPr="00314E7F" w14:paraId="19E7A536" w14:textId="77777777" w:rsidTr="007516E6">
        <w:tc>
          <w:tcPr>
            <w:tcW w:w="2200" w:type="dxa"/>
          </w:tcPr>
          <w:p w14:paraId="666BCD23" w14:textId="77777777" w:rsidR="00314E7F" w:rsidRPr="00566C0C" w:rsidRDefault="00314E7F" w:rsidP="00566C0C">
            <w:pPr>
              <w:pStyle w:val="Body"/>
              <w:rPr>
                <w:szCs w:val="21"/>
                <w:lang w:val="en-GB"/>
              </w:rPr>
            </w:pPr>
            <w:r w:rsidRPr="00566C0C">
              <w:rPr>
                <w:szCs w:val="21"/>
                <w:lang w:val="en-GB"/>
              </w:rPr>
              <w:lastRenderedPageBreak/>
              <w:t>Market Rent</w:t>
            </w:r>
          </w:p>
        </w:tc>
        <w:tc>
          <w:tcPr>
            <w:tcW w:w="7886" w:type="dxa"/>
          </w:tcPr>
          <w:p w14:paraId="50A9B73E" w14:textId="77777777" w:rsidR="00314E7F" w:rsidRPr="00566C0C" w:rsidRDefault="00314E7F" w:rsidP="00566C0C">
            <w:pPr>
              <w:pStyle w:val="Body"/>
              <w:rPr>
                <w:rFonts w:cs="Arial"/>
                <w:szCs w:val="21"/>
                <w:lang w:val="en-GB" w:eastAsia="en-AU"/>
              </w:rPr>
            </w:pPr>
            <w:r w:rsidRPr="00566C0C">
              <w:rPr>
                <w:rFonts w:cs="Arial"/>
                <w:szCs w:val="21"/>
                <w:lang w:val="en-GB" w:eastAsia="en-AU"/>
              </w:rPr>
              <w:t>The lower of (1) the rent amount included in the head-lease and (2) the amount of rent that can be expected for the use of a property, in comparison with similar properties in the same area, as determined in the department acting reasonably.</w:t>
            </w:r>
          </w:p>
        </w:tc>
      </w:tr>
      <w:tr w:rsidR="00314E7F" w:rsidRPr="00314E7F" w14:paraId="031B703D" w14:textId="77777777" w:rsidTr="007516E6">
        <w:tc>
          <w:tcPr>
            <w:tcW w:w="2200" w:type="dxa"/>
          </w:tcPr>
          <w:p w14:paraId="66B9BA5E" w14:textId="77777777" w:rsidR="00314E7F" w:rsidRPr="00566C0C" w:rsidRDefault="00314E7F" w:rsidP="00566C0C">
            <w:pPr>
              <w:pStyle w:val="Body"/>
              <w:rPr>
                <w:szCs w:val="21"/>
                <w:lang w:val="en-GB"/>
              </w:rPr>
            </w:pPr>
            <w:r w:rsidRPr="00566C0C">
              <w:rPr>
                <w:szCs w:val="21"/>
                <w:lang w:val="en-GB"/>
              </w:rPr>
              <w:t>Maximum Rent</w:t>
            </w:r>
          </w:p>
        </w:tc>
        <w:tc>
          <w:tcPr>
            <w:tcW w:w="7886" w:type="dxa"/>
          </w:tcPr>
          <w:p w14:paraId="7E2F995D" w14:textId="77777777" w:rsidR="00314E7F" w:rsidRPr="00566C0C" w:rsidRDefault="00314E7F" w:rsidP="00566C0C">
            <w:pPr>
              <w:pStyle w:val="Body"/>
              <w:rPr>
                <w:rFonts w:cs="Arial"/>
                <w:szCs w:val="21"/>
                <w:lang w:eastAsia="en-AU"/>
              </w:rPr>
            </w:pPr>
            <w:r w:rsidRPr="00566C0C">
              <w:rPr>
                <w:rFonts w:cs="Arial"/>
                <w:szCs w:val="21"/>
                <w:lang w:val="en-GB" w:eastAsia="en-AU"/>
              </w:rPr>
              <w:t>The rent payable by the Client under a sublease as determined by the Maximum Rent Formula.</w:t>
            </w:r>
          </w:p>
        </w:tc>
      </w:tr>
      <w:tr w:rsidR="00314E7F" w:rsidRPr="00314E7F" w14:paraId="291D9F29" w14:textId="77777777" w:rsidTr="007516E6">
        <w:tc>
          <w:tcPr>
            <w:tcW w:w="2200" w:type="dxa"/>
          </w:tcPr>
          <w:p w14:paraId="4EAD738E" w14:textId="77777777" w:rsidR="00314E7F" w:rsidRPr="00566C0C" w:rsidRDefault="00314E7F" w:rsidP="00566C0C">
            <w:pPr>
              <w:pStyle w:val="Body"/>
              <w:rPr>
                <w:szCs w:val="21"/>
                <w:lang w:val="en-GB"/>
              </w:rPr>
            </w:pPr>
            <w:r w:rsidRPr="00566C0C">
              <w:rPr>
                <w:szCs w:val="21"/>
                <w:lang w:val="en-GB"/>
              </w:rPr>
              <w:t>Maximum Rent Formula</w:t>
            </w:r>
          </w:p>
        </w:tc>
        <w:tc>
          <w:tcPr>
            <w:tcW w:w="7886" w:type="dxa"/>
          </w:tcPr>
          <w:p w14:paraId="6F36EC8C" w14:textId="7B40A709" w:rsidR="00314E7F" w:rsidRPr="00566C0C" w:rsidRDefault="00314E7F" w:rsidP="00566C0C">
            <w:pPr>
              <w:pStyle w:val="Body"/>
              <w:rPr>
                <w:rFonts w:cs="Arial"/>
                <w:szCs w:val="21"/>
                <w:lang w:val="en-GB" w:eastAsia="en-AU"/>
              </w:rPr>
            </w:pPr>
            <w:r w:rsidRPr="00566C0C">
              <w:rPr>
                <w:rFonts w:cs="Arial"/>
                <w:szCs w:val="21"/>
                <w:lang w:val="en-GB" w:eastAsia="en-AU"/>
              </w:rPr>
              <w:t xml:space="preserve">As described in </w:t>
            </w:r>
            <w:r w:rsidRPr="00566C0C">
              <w:rPr>
                <w:rFonts w:cs="Arial"/>
                <w:bCs/>
                <w:szCs w:val="21"/>
                <w:lang w:val="en-GB" w:eastAsia="en-AU"/>
              </w:rPr>
              <w:t xml:space="preserve">Appendix </w:t>
            </w:r>
            <w:r w:rsidR="009E70A1">
              <w:rPr>
                <w:rFonts w:cs="Arial"/>
                <w:bCs/>
                <w:szCs w:val="21"/>
                <w:lang w:val="en-GB" w:eastAsia="en-AU"/>
              </w:rPr>
              <w:t>1</w:t>
            </w:r>
            <w:r w:rsidRPr="00566C0C">
              <w:rPr>
                <w:rFonts w:cs="Arial"/>
                <w:szCs w:val="21"/>
                <w:lang w:val="en-GB" w:eastAsia="en-AU"/>
              </w:rPr>
              <w:t>.</w:t>
            </w:r>
          </w:p>
        </w:tc>
      </w:tr>
      <w:tr w:rsidR="00314E7F" w:rsidRPr="00314E7F" w14:paraId="60DE5E61" w14:textId="77777777" w:rsidTr="007516E6">
        <w:tc>
          <w:tcPr>
            <w:tcW w:w="2200" w:type="dxa"/>
            <w:shd w:val="clear" w:color="auto" w:fill="auto"/>
          </w:tcPr>
          <w:p w14:paraId="706FBBBD" w14:textId="77777777" w:rsidR="00314E7F" w:rsidRPr="00566C0C" w:rsidRDefault="00314E7F" w:rsidP="00566C0C">
            <w:pPr>
              <w:pStyle w:val="Body"/>
              <w:rPr>
                <w:szCs w:val="21"/>
                <w:lang w:val="en-GB"/>
              </w:rPr>
            </w:pPr>
            <w:r w:rsidRPr="00566C0C">
              <w:rPr>
                <w:szCs w:val="21"/>
                <w:lang w:val="en-GB"/>
              </w:rPr>
              <w:t>Month</w:t>
            </w:r>
          </w:p>
        </w:tc>
        <w:tc>
          <w:tcPr>
            <w:tcW w:w="7886" w:type="dxa"/>
            <w:shd w:val="clear" w:color="auto" w:fill="auto"/>
          </w:tcPr>
          <w:p w14:paraId="09822552" w14:textId="77777777" w:rsidR="00314E7F" w:rsidRPr="00566C0C" w:rsidRDefault="00314E7F" w:rsidP="00566C0C">
            <w:pPr>
              <w:pStyle w:val="Body"/>
              <w:rPr>
                <w:rFonts w:cs="Arial"/>
                <w:szCs w:val="21"/>
                <w:lang w:val="en-GB" w:eastAsia="en-AU"/>
              </w:rPr>
            </w:pPr>
            <w:r w:rsidRPr="00566C0C">
              <w:rPr>
                <w:rFonts w:cs="Arial"/>
                <w:szCs w:val="21"/>
                <w:lang w:val="en-GB" w:eastAsia="en-AU"/>
              </w:rPr>
              <w:t>The calendar month in which Services were provided.</w:t>
            </w:r>
          </w:p>
        </w:tc>
      </w:tr>
      <w:tr w:rsidR="00314E7F" w:rsidRPr="00314E7F" w14:paraId="578417F1" w14:textId="77777777" w:rsidTr="007516E6">
        <w:tc>
          <w:tcPr>
            <w:tcW w:w="2200" w:type="dxa"/>
          </w:tcPr>
          <w:p w14:paraId="4DD793CB" w14:textId="77777777" w:rsidR="00314E7F" w:rsidRPr="00566C0C" w:rsidRDefault="00314E7F" w:rsidP="00566C0C">
            <w:pPr>
              <w:pStyle w:val="Body"/>
              <w:rPr>
                <w:szCs w:val="21"/>
                <w:lang w:val="en-GB"/>
              </w:rPr>
            </w:pPr>
            <w:r w:rsidRPr="00566C0C">
              <w:rPr>
                <w:szCs w:val="21"/>
                <w:lang w:val="en-GB"/>
              </w:rPr>
              <w:t>Net Rent</w:t>
            </w:r>
          </w:p>
        </w:tc>
        <w:tc>
          <w:tcPr>
            <w:tcW w:w="7886" w:type="dxa"/>
          </w:tcPr>
          <w:p w14:paraId="624DA371" w14:textId="77777777" w:rsidR="00314E7F" w:rsidRPr="00566C0C" w:rsidRDefault="00314E7F" w:rsidP="00566C0C">
            <w:pPr>
              <w:pStyle w:val="Body"/>
              <w:rPr>
                <w:rFonts w:cs="Arial"/>
                <w:szCs w:val="21"/>
              </w:rPr>
            </w:pPr>
            <w:r w:rsidRPr="00566C0C">
              <w:rPr>
                <w:rFonts w:cs="Arial"/>
                <w:szCs w:val="21"/>
                <w:lang w:val="en-GB" w:eastAsia="en-AU"/>
              </w:rPr>
              <w:t>Is determined by the Market Rent of the Dwelling less the Maximum Rent payable by the Client as determined by the Maximum Rent Formula.</w:t>
            </w:r>
          </w:p>
        </w:tc>
      </w:tr>
      <w:tr w:rsidR="00314E7F" w:rsidRPr="00314E7F" w14:paraId="6747EC24" w14:textId="77777777" w:rsidTr="007516E6">
        <w:tc>
          <w:tcPr>
            <w:tcW w:w="2200" w:type="dxa"/>
          </w:tcPr>
          <w:p w14:paraId="019755FE" w14:textId="77777777" w:rsidR="00314E7F" w:rsidRPr="00566C0C" w:rsidRDefault="00314E7F" w:rsidP="00566C0C">
            <w:pPr>
              <w:pStyle w:val="Body"/>
              <w:rPr>
                <w:szCs w:val="21"/>
                <w:lang w:val="en-GB"/>
              </w:rPr>
            </w:pPr>
            <w:r w:rsidRPr="00566C0C">
              <w:rPr>
                <w:szCs w:val="21"/>
                <w:lang w:val="en-GB"/>
              </w:rPr>
              <w:t>Owned Dwellings</w:t>
            </w:r>
          </w:p>
        </w:tc>
        <w:tc>
          <w:tcPr>
            <w:tcW w:w="7886" w:type="dxa"/>
          </w:tcPr>
          <w:p w14:paraId="25CA91CB" w14:textId="77777777" w:rsidR="00314E7F" w:rsidRPr="00566C0C" w:rsidRDefault="00314E7F" w:rsidP="00566C0C">
            <w:pPr>
              <w:pStyle w:val="Body"/>
              <w:rPr>
                <w:rFonts w:cs="Arial"/>
                <w:szCs w:val="21"/>
                <w:lang w:val="en-GB" w:eastAsia="en-AU"/>
              </w:rPr>
            </w:pPr>
            <w:r w:rsidRPr="00566C0C">
              <w:rPr>
                <w:rFonts w:cs="Arial"/>
                <w:szCs w:val="21"/>
                <w:lang w:val="en-GB" w:eastAsia="en-AU"/>
              </w:rPr>
              <w:t>Dwellings owned (or which will be owned) by the Property Service Provider.</w:t>
            </w:r>
          </w:p>
        </w:tc>
      </w:tr>
      <w:tr w:rsidR="00314E7F" w:rsidRPr="00314E7F" w14:paraId="5B823DAE" w14:textId="77777777" w:rsidTr="007516E6">
        <w:tc>
          <w:tcPr>
            <w:tcW w:w="2200" w:type="dxa"/>
          </w:tcPr>
          <w:p w14:paraId="4D3B0CC9" w14:textId="77777777" w:rsidR="00314E7F" w:rsidRPr="00566C0C" w:rsidRDefault="00314E7F" w:rsidP="00566C0C">
            <w:pPr>
              <w:pStyle w:val="Body"/>
              <w:rPr>
                <w:rFonts w:cs="Arial"/>
                <w:bCs/>
                <w:szCs w:val="21"/>
                <w:lang w:val="en-GB" w:eastAsia="en-AU"/>
              </w:rPr>
            </w:pPr>
            <w:r w:rsidRPr="00566C0C">
              <w:rPr>
                <w:rFonts w:cs="Arial"/>
                <w:bCs/>
                <w:szCs w:val="21"/>
                <w:lang w:val="en-GB" w:eastAsia="en-AU"/>
              </w:rPr>
              <w:t>Policies</w:t>
            </w:r>
          </w:p>
        </w:tc>
        <w:tc>
          <w:tcPr>
            <w:tcW w:w="7886" w:type="dxa"/>
          </w:tcPr>
          <w:p w14:paraId="6D666C29" w14:textId="77777777" w:rsidR="00314E7F" w:rsidRPr="00566C0C" w:rsidRDefault="00314E7F" w:rsidP="00566C0C">
            <w:pPr>
              <w:pStyle w:val="Body"/>
              <w:rPr>
                <w:rFonts w:cs="Arial"/>
                <w:szCs w:val="21"/>
                <w:lang w:val="en-GB" w:eastAsia="en-AU"/>
              </w:rPr>
            </w:pPr>
            <w:r w:rsidRPr="00566C0C">
              <w:rPr>
                <w:rFonts w:cs="Arial"/>
                <w:szCs w:val="21"/>
                <w:lang w:val="en-GB" w:eastAsia="en-AU"/>
              </w:rPr>
              <w:t>The applicable Victorian Government Policies as outlined in the Service</w:t>
            </w:r>
          </w:p>
          <w:p w14:paraId="0D504560" w14:textId="77777777" w:rsidR="00314E7F" w:rsidRPr="00566C0C" w:rsidRDefault="00314E7F" w:rsidP="00566C0C">
            <w:pPr>
              <w:pStyle w:val="Body"/>
              <w:rPr>
                <w:rFonts w:cs="Arial"/>
                <w:szCs w:val="21"/>
              </w:rPr>
            </w:pPr>
            <w:r w:rsidRPr="00566C0C">
              <w:rPr>
                <w:rFonts w:cs="Arial"/>
                <w:szCs w:val="21"/>
                <w:lang w:val="en-GB" w:eastAsia="en-AU"/>
              </w:rPr>
              <w:t>Agreement.</w:t>
            </w:r>
          </w:p>
        </w:tc>
      </w:tr>
      <w:tr w:rsidR="00314E7F" w:rsidRPr="00314E7F" w14:paraId="4C79ACC8" w14:textId="77777777" w:rsidTr="007516E6">
        <w:tc>
          <w:tcPr>
            <w:tcW w:w="2200" w:type="dxa"/>
          </w:tcPr>
          <w:p w14:paraId="2E8512D4" w14:textId="77777777" w:rsidR="00314E7F" w:rsidRPr="00566C0C" w:rsidRDefault="00314E7F" w:rsidP="00566C0C">
            <w:pPr>
              <w:pStyle w:val="Body"/>
              <w:rPr>
                <w:rFonts w:cs="Arial"/>
                <w:bCs/>
                <w:szCs w:val="21"/>
                <w:lang w:val="en-GB" w:eastAsia="en-AU"/>
              </w:rPr>
            </w:pPr>
            <w:r w:rsidRPr="00566C0C">
              <w:rPr>
                <w:rFonts w:cs="Arial"/>
                <w:bCs/>
                <w:szCs w:val="21"/>
                <w:lang w:val="en-GB" w:eastAsia="en-AU"/>
              </w:rPr>
              <w:t>Potential Consortium Members</w:t>
            </w:r>
          </w:p>
        </w:tc>
        <w:tc>
          <w:tcPr>
            <w:tcW w:w="7886" w:type="dxa"/>
          </w:tcPr>
          <w:p w14:paraId="423027F5" w14:textId="77777777" w:rsidR="00314E7F" w:rsidRPr="00566C0C" w:rsidRDefault="00314E7F" w:rsidP="00566C0C">
            <w:pPr>
              <w:pStyle w:val="Body"/>
              <w:rPr>
                <w:rFonts w:cs="Arial"/>
                <w:szCs w:val="21"/>
                <w:lang w:val="en-GB" w:eastAsia="en-AU"/>
              </w:rPr>
            </w:pPr>
            <w:r w:rsidRPr="00566C0C">
              <w:rPr>
                <w:rFonts w:cs="Arial"/>
                <w:szCs w:val="21"/>
                <w:lang w:val="en-GB" w:eastAsia="en-AU"/>
              </w:rPr>
              <w:t xml:space="preserve">A service provider not currently contracted to deliver Services as part of the Service Provider consortium, but which may deliver Services as a consortium member of the Service Provider consortium in the future subject to department approval, not unreasonably withheld. </w:t>
            </w:r>
          </w:p>
        </w:tc>
      </w:tr>
      <w:tr w:rsidR="00314E7F" w:rsidRPr="00314E7F" w14:paraId="4B6BAE10" w14:textId="77777777" w:rsidTr="007516E6">
        <w:tc>
          <w:tcPr>
            <w:tcW w:w="2200" w:type="dxa"/>
          </w:tcPr>
          <w:p w14:paraId="72E65922" w14:textId="77777777" w:rsidR="00314E7F" w:rsidRPr="00566C0C" w:rsidRDefault="00314E7F" w:rsidP="00566C0C">
            <w:pPr>
              <w:pStyle w:val="Body"/>
              <w:rPr>
                <w:rFonts w:cs="Arial"/>
                <w:bCs/>
                <w:szCs w:val="21"/>
                <w:lang w:val="en-GB" w:eastAsia="en-AU"/>
              </w:rPr>
            </w:pPr>
            <w:r w:rsidRPr="00566C0C">
              <w:rPr>
                <w:rFonts w:cs="Arial"/>
                <w:bCs/>
                <w:szCs w:val="21"/>
                <w:lang w:val="en-GB" w:eastAsia="en-AU"/>
              </w:rPr>
              <w:t>PRAP</w:t>
            </w:r>
          </w:p>
        </w:tc>
        <w:tc>
          <w:tcPr>
            <w:tcW w:w="7886" w:type="dxa"/>
          </w:tcPr>
          <w:p w14:paraId="09F65D73" w14:textId="77777777" w:rsidR="00314E7F" w:rsidRPr="00566C0C" w:rsidRDefault="00314E7F" w:rsidP="00566C0C">
            <w:pPr>
              <w:pStyle w:val="Body"/>
              <w:rPr>
                <w:rFonts w:cs="Arial"/>
                <w:szCs w:val="21"/>
                <w:lang w:val="en-GB" w:eastAsia="en-AU"/>
              </w:rPr>
            </w:pPr>
            <w:r w:rsidRPr="00566C0C">
              <w:rPr>
                <w:rFonts w:cs="Arial"/>
                <w:szCs w:val="21"/>
                <w:lang w:val="en-GB" w:eastAsia="en-AU"/>
              </w:rPr>
              <w:t>Private Rental Assistance Program.</w:t>
            </w:r>
          </w:p>
        </w:tc>
      </w:tr>
      <w:tr w:rsidR="00314E7F" w:rsidRPr="00314E7F" w14:paraId="2043015F" w14:textId="77777777" w:rsidTr="007516E6">
        <w:tc>
          <w:tcPr>
            <w:tcW w:w="2200" w:type="dxa"/>
          </w:tcPr>
          <w:p w14:paraId="7D0178DF" w14:textId="77777777" w:rsidR="00314E7F" w:rsidRPr="00566C0C" w:rsidRDefault="00314E7F" w:rsidP="00566C0C">
            <w:pPr>
              <w:pStyle w:val="Body"/>
              <w:rPr>
                <w:rFonts w:cs="Arial"/>
                <w:bCs/>
                <w:szCs w:val="21"/>
                <w:lang w:val="en-GB" w:eastAsia="en-AU"/>
              </w:rPr>
            </w:pPr>
            <w:r w:rsidRPr="00566C0C">
              <w:rPr>
                <w:rFonts w:cs="Arial"/>
                <w:bCs/>
                <w:szCs w:val="21"/>
                <w:lang w:val="en-GB" w:eastAsia="en-AU"/>
              </w:rPr>
              <w:t>Pre-Approved Potential Consortium Members</w:t>
            </w:r>
          </w:p>
        </w:tc>
        <w:tc>
          <w:tcPr>
            <w:tcW w:w="7886" w:type="dxa"/>
          </w:tcPr>
          <w:p w14:paraId="3C86F3C8" w14:textId="77777777" w:rsidR="00314E7F" w:rsidRPr="00566C0C" w:rsidRDefault="00314E7F" w:rsidP="00566C0C">
            <w:pPr>
              <w:pStyle w:val="Body"/>
              <w:rPr>
                <w:rFonts w:cs="Arial"/>
                <w:szCs w:val="21"/>
                <w:lang w:val="en-GB" w:eastAsia="en-AU"/>
              </w:rPr>
            </w:pPr>
            <w:r w:rsidRPr="00566C0C">
              <w:rPr>
                <w:rFonts w:cs="Arial"/>
                <w:szCs w:val="21"/>
                <w:lang w:val="en-GB" w:eastAsia="en-AU"/>
              </w:rPr>
              <w:t>A Potential Consortium Member which has been approved by the department.</w:t>
            </w:r>
          </w:p>
        </w:tc>
      </w:tr>
      <w:tr w:rsidR="00314E7F" w:rsidRPr="00314E7F" w14:paraId="351811CA" w14:textId="77777777" w:rsidTr="007516E6">
        <w:tc>
          <w:tcPr>
            <w:tcW w:w="2200" w:type="dxa"/>
          </w:tcPr>
          <w:p w14:paraId="45985874" w14:textId="77777777" w:rsidR="00314E7F" w:rsidRPr="00566C0C" w:rsidRDefault="00314E7F" w:rsidP="00566C0C">
            <w:pPr>
              <w:pStyle w:val="Body"/>
              <w:rPr>
                <w:szCs w:val="21"/>
                <w:lang w:val="en-GB"/>
              </w:rPr>
            </w:pPr>
            <w:r w:rsidRPr="00566C0C">
              <w:rPr>
                <w:szCs w:val="21"/>
                <w:lang w:val="en-GB"/>
              </w:rPr>
              <w:t>Property Services</w:t>
            </w:r>
          </w:p>
        </w:tc>
        <w:tc>
          <w:tcPr>
            <w:tcW w:w="7886" w:type="dxa"/>
          </w:tcPr>
          <w:p w14:paraId="008623CD" w14:textId="77777777" w:rsidR="00314E7F" w:rsidRPr="00566C0C" w:rsidRDefault="00314E7F" w:rsidP="00566C0C">
            <w:pPr>
              <w:pStyle w:val="Body"/>
              <w:rPr>
                <w:rFonts w:cs="Arial"/>
                <w:szCs w:val="21"/>
              </w:rPr>
            </w:pPr>
            <w:r w:rsidRPr="00566C0C">
              <w:rPr>
                <w:rFonts w:cs="Arial"/>
                <w:szCs w:val="21"/>
                <w:lang w:val="en-GB" w:eastAsia="en-AU"/>
              </w:rPr>
              <w:t>The collective provision of Accommodation, Tenancy Management Services and Asset Management Services with respect to the Accommodation.</w:t>
            </w:r>
          </w:p>
        </w:tc>
      </w:tr>
      <w:tr w:rsidR="00314E7F" w:rsidRPr="00314E7F" w14:paraId="0051E2BE" w14:textId="77777777" w:rsidTr="007516E6">
        <w:tc>
          <w:tcPr>
            <w:tcW w:w="2200" w:type="dxa"/>
          </w:tcPr>
          <w:p w14:paraId="776F5390" w14:textId="77777777" w:rsidR="00314E7F" w:rsidRPr="00566C0C" w:rsidRDefault="00314E7F" w:rsidP="00566C0C">
            <w:pPr>
              <w:pStyle w:val="Body"/>
              <w:rPr>
                <w:szCs w:val="21"/>
                <w:lang w:val="en-GB"/>
              </w:rPr>
            </w:pPr>
            <w:r w:rsidRPr="00566C0C">
              <w:rPr>
                <w:szCs w:val="21"/>
                <w:lang w:val="en-GB"/>
              </w:rPr>
              <w:t>Property Service</w:t>
            </w:r>
          </w:p>
          <w:p w14:paraId="04E5B736" w14:textId="77777777" w:rsidR="00314E7F" w:rsidRPr="00566C0C" w:rsidRDefault="00314E7F" w:rsidP="00566C0C">
            <w:pPr>
              <w:pStyle w:val="Body"/>
              <w:rPr>
                <w:szCs w:val="21"/>
                <w:lang w:val="en-GB"/>
              </w:rPr>
            </w:pPr>
            <w:r w:rsidRPr="00566C0C">
              <w:rPr>
                <w:szCs w:val="21"/>
                <w:lang w:val="en-GB"/>
              </w:rPr>
              <w:t>Provider</w:t>
            </w:r>
          </w:p>
        </w:tc>
        <w:tc>
          <w:tcPr>
            <w:tcW w:w="7886" w:type="dxa"/>
          </w:tcPr>
          <w:p w14:paraId="7BB24018" w14:textId="77777777" w:rsidR="00314E7F" w:rsidRPr="00566C0C" w:rsidRDefault="00314E7F" w:rsidP="00566C0C">
            <w:pPr>
              <w:pStyle w:val="Body"/>
              <w:rPr>
                <w:rFonts w:cs="Arial"/>
                <w:szCs w:val="21"/>
              </w:rPr>
            </w:pPr>
            <w:r w:rsidRPr="00566C0C">
              <w:rPr>
                <w:rFonts w:cs="Arial"/>
                <w:szCs w:val="21"/>
                <w:lang w:val="en-GB" w:eastAsia="en-AU"/>
              </w:rPr>
              <w:t>The contracted party delivering Property Services.</w:t>
            </w:r>
          </w:p>
        </w:tc>
      </w:tr>
      <w:tr w:rsidR="00314E7F" w:rsidRPr="00314E7F" w14:paraId="305CC4F1" w14:textId="77777777" w:rsidTr="007516E6">
        <w:tc>
          <w:tcPr>
            <w:tcW w:w="2200" w:type="dxa"/>
          </w:tcPr>
          <w:p w14:paraId="6074369D" w14:textId="77777777" w:rsidR="00314E7F" w:rsidRPr="00566C0C" w:rsidRDefault="00314E7F" w:rsidP="00566C0C">
            <w:pPr>
              <w:pStyle w:val="Body"/>
              <w:rPr>
                <w:szCs w:val="21"/>
                <w:lang w:val="en-GB"/>
              </w:rPr>
            </w:pPr>
            <w:r w:rsidRPr="00566C0C">
              <w:rPr>
                <w:rFonts w:cs="Arial"/>
                <w:bCs/>
                <w:szCs w:val="21"/>
                <w:lang w:val="en-GB" w:eastAsia="en-AU"/>
              </w:rPr>
              <w:t>Public Housing</w:t>
            </w:r>
          </w:p>
        </w:tc>
        <w:tc>
          <w:tcPr>
            <w:tcW w:w="7886" w:type="dxa"/>
          </w:tcPr>
          <w:p w14:paraId="65600997" w14:textId="77777777" w:rsidR="00314E7F" w:rsidRPr="00566C0C" w:rsidRDefault="00314E7F" w:rsidP="00566C0C">
            <w:pPr>
              <w:pStyle w:val="Body"/>
              <w:rPr>
                <w:rFonts w:cs="Arial"/>
                <w:szCs w:val="21"/>
                <w:lang w:val="en-GB" w:eastAsia="en-AU"/>
              </w:rPr>
            </w:pPr>
            <w:r w:rsidRPr="00566C0C">
              <w:rPr>
                <w:rFonts w:cs="Arial"/>
                <w:szCs w:val="21"/>
              </w:rPr>
              <w:t>Dwellings owned by the department allocated to H2H Clients via a lease with the department.</w:t>
            </w:r>
          </w:p>
        </w:tc>
      </w:tr>
      <w:tr w:rsidR="00314E7F" w:rsidRPr="00314E7F" w14:paraId="7C53F858" w14:textId="77777777" w:rsidTr="007516E6">
        <w:tc>
          <w:tcPr>
            <w:tcW w:w="2200" w:type="dxa"/>
          </w:tcPr>
          <w:p w14:paraId="71FC1848" w14:textId="77777777" w:rsidR="00314E7F" w:rsidRPr="00566C0C" w:rsidRDefault="00314E7F" w:rsidP="00566C0C">
            <w:pPr>
              <w:pStyle w:val="Body"/>
              <w:rPr>
                <w:szCs w:val="21"/>
                <w:lang w:val="en-GB"/>
              </w:rPr>
            </w:pPr>
            <w:r w:rsidRPr="00566C0C">
              <w:rPr>
                <w:szCs w:val="21"/>
                <w:lang w:val="en-GB"/>
              </w:rPr>
              <w:t>Quarter</w:t>
            </w:r>
          </w:p>
        </w:tc>
        <w:tc>
          <w:tcPr>
            <w:tcW w:w="7886" w:type="dxa"/>
          </w:tcPr>
          <w:p w14:paraId="6F3C6DFA" w14:textId="77777777" w:rsidR="00314E7F" w:rsidRPr="00566C0C" w:rsidRDefault="00314E7F" w:rsidP="00566C0C">
            <w:pPr>
              <w:pStyle w:val="Body"/>
              <w:rPr>
                <w:rFonts w:cs="Arial"/>
                <w:szCs w:val="21"/>
                <w:lang w:val="en-GB" w:eastAsia="en-AU"/>
              </w:rPr>
            </w:pPr>
            <w:r w:rsidRPr="00566C0C">
              <w:rPr>
                <w:rFonts w:cs="Arial"/>
                <w:szCs w:val="21"/>
                <w:lang w:val="en-GB" w:eastAsia="en-AU"/>
              </w:rPr>
              <w:t>Each three consecutive calendar month period ending 31 March, 30 June, 30 September, and 31 December.</w:t>
            </w:r>
          </w:p>
        </w:tc>
      </w:tr>
      <w:tr w:rsidR="00314E7F" w:rsidRPr="00314E7F" w14:paraId="495E8567" w14:textId="77777777" w:rsidTr="007516E6">
        <w:tc>
          <w:tcPr>
            <w:tcW w:w="2200" w:type="dxa"/>
          </w:tcPr>
          <w:p w14:paraId="3C6B30CB" w14:textId="77777777" w:rsidR="00314E7F" w:rsidRPr="00566C0C" w:rsidRDefault="00314E7F" w:rsidP="00566C0C">
            <w:pPr>
              <w:pStyle w:val="Body"/>
              <w:rPr>
                <w:rFonts w:cs="Arial"/>
                <w:bCs/>
                <w:szCs w:val="21"/>
                <w:lang w:val="en-GB" w:eastAsia="en-AU"/>
              </w:rPr>
            </w:pPr>
            <w:r w:rsidRPr="00566C0C">
              <w:rPr>
                <w:rFonts w:cs="Arial"/>
                <w:bCs/>
                <w:szCs w:val="21"/>
                <w:lang w:val="en-GB" w:eastAsia="en-AU"/>
              </w:rPr>
              <w:t>Ramp-Up Phase</w:t>
            </w:r>
          </w:p>
        </w:tc>
        <w:tc>
          <w:tcPr>
            <w:tcW w:w="7886" w:type="dxa"/>
          </w:tcPr>
          <w:p w14:paraId="773BBA14" w14:textId="77777777" w:rsidR="00314E7F" w:rsidRPr="00566C0C" w:rsidRDefault="00314E7F" w:rsidP="00566C0C">
            <w:pPr>
              <w:pStyle w:val="Body"/>
              <w:rPr>
                <w:rFonts w:cs="Arial"/>
                <w:szCs w:val="21"/>
              </w:rPr>
            </w:pPr>
            <w:r w:rsidRPr="00566C0C">
              <w:rPr>
                <w:rFonts w:cs="Arial"/>
                <w:szCs w:val="21"/>
                <w:lang w:val="en-GB" w:eastAsia="en-AU"/>
              </w:rPr>
              <w:t>The period in which Services are progressively commenced.</w:t>
            </w:r>
          </w:p>
        </w:tc>
      </w:tr>
      <w:tr w:rsidR="00314E7F" w:rsidRPr="00314E7F" w14:paraId="76223614" w14:textId="77777777" w:rsidTr="007516E6">
        <w:tc>
          <w:tcPr>
            <w:tcW w:w="2200" w:type="dxa"/>
          </w:tcPr>
          <w:p w14:paraId="4A30AF3D" w14:textId="77777777" w:rsidR="00314E7F" w:rsidRPr="00566C0C" w:rsidRDefault="00314E7F" w:rsidP="00566C0C">
            <w:pPr>
              <w:pStyle w:val="Body"/>
              <w:rPr>
                <w:rFonts w:cs="Arial"/>
                <w:bCs/>
                <w:szCs w:val="21"/>
                <w:lang w:val="en-GB" w:eastAsia="en-AU"/>
              </w:rPr>
            </w:pPr>
            <w:r w:rsidRPr="00566C0C">
              <w:rPr>
                <w:rFonts w:cs="Arial"/>
                <w:bCs/>
                <w:szCs w:val="21"/>
                <w:lang w:val="en-GB" w:eastAsia="en-AU"/>
              </w:rPr>
              <w:t>Reconciliation Amount</w:t>
            </w:r>
          </w:p>
        </w:tc>
        <w:tc>
          <w:tcPr>
            <w:tcW w:w="7886" w:type="dxa"/>
          </w:tcPr>
          <w:p w14:paraId="48BF8370" w14:textId="7A54FFE6" w:rsidR="00314E7F" w:rsidRPr="00566C0C" w:rsidRDefault="00314E7F" w:rsidP="00566C0C">
            <w:pPr>
              <w:pStyle w:val="Body"/>
              <w:rPr>
                <w:rFonts w:cs="Arial"/>
                <w:szCs w:val="21"/>
                <w:lang w:val="en-GB" w:eastAsia="en-AU"/>
              </w:rPr>
            </w:pPr>
            <w:r w:rsidRPr="00566C0C">
              <w:rPr>
                <w:rFonts w:cs="Arial"/>
                <w:szCs w:val="21"/>
                <w:lang w:val="en-GB" w:eastAsia="en-AU"/>
              </w:rPr>
              <w:t xml:space="preserve">As described in </w:t>
            </w:r>
            <w:r w:rsidRPr="00566C0C">
              <w:rPr>
                <w:rFonts w:cs="Arial"/>
                <w:bCs/>
                <w:szCs w:val="21"/>
                <w:lang w:val="en-GB" w:eastAsia="en-AU"/>
              </w:rPr>
              <w:t xml:space="preserve">Appendix </w:t>
            </w:r>
            <w:r w:rsidR="009E70A1">
              <w:rPr>
                <w:rFonts w:cs="Arial"/>
                <w:bCs/>
                <w:szCs w:val="21"/>
                <w:lang w:val="en-GB" w:eastAsia="en-AU"/>
              </w:rPr>
              <w:t>1</w:t>
            </w:r>
            <w:r w:rsidRPr="00566C0C">
              <w:rPr>
                <w:rFonts w:cs="Arial"/>
                <w:szCs w:val="21"/>
                <w:lang w:val="en-GB" w:eastAsia="en-AU"/>
              </w:rPr>
              <w:t>.</w:t>
            </w:r>
          </w:p>
        </w:tc>
      </w:tr>
      <w:tr w:rsidR="00314E7F" w:rsidRPr="00314E7F" w14:paraId="42E3E3F0" w14:textId="77777777" w:rsidTr="007516E6">
        <w:tc>
          <w:tcPr>
            <w:tcW w:w="2200" w:type="dxa"/>
          </w:tcPr>
          <w:p w14:paraId="198187AB" w14:textId="77777777" w:rsidR="00314E7F" w:rsidRPr="00566C0C" w:rsidRDefault="00314E7F" w:rsidP="00566C0C">
            <w:pPr>
              <w:pStyle w:val="Body"/>
              <w:rPr>
                <w:szCs w:val="21"/>
                <w:lang w:val="en-GB"/>
              </w:rPr>
            </w:pPr>
            <w:r w:rsidRPr="00566C0C">
              <w:rPr>
                <w:szCs w:val="21"/>
                <w:lang w:val="en-GB"/>
              </w:rPr>
              <w:t>Redirected Support</w:t>
            </w:r>
          </w:p>
          <w:p w14:paraId="193E5BE7" w14:textId="77777777" w:rsidR="00314E7F" w:rsidRPr="00566C0C" w:rsidRDefault="00314E7F" w:rsidP="00566C0C">
            <w:pPr>
              <w:pStyle w:val="Body"/>
              <w:rPr>
                <w:szCs w:val="21"/>
                <w:lang w:val="en-GB"/>
              </w:rPr>
            </w:pPr>
            <w:r w:rsidRPr="00566C0C">
              <w:rPr>
                <w:szCs w:val="21"/>
                <w:lang w:val="en-GB"/>
              </w:rPr>
              <w:lastRenderedPageBreak/>
              <w:t>Services</w:t>
            </w:r>
          </w:p>
        </w:tc>
        <w:tc>
          <w:tcPr>
            <w:tcW w:w="7886" w:type="dxa"/>
          </w:tcPr>
          <w:p w14:paraId="085869EA" w14:textId="77777777" w:rsidR="00314E7F" w:rsidRPr="00566C0C" w:rsidRDefault="00314E7F" w:rsidP="00566C0C">
            <w:pPr>
              <w:pStyle w:val="Body"/>
              <w:rPr>
                <w:rFonts w:cs="Arial"/>
                <w:szCs w:val="21"/>
              </w:rPr>
            </w:pPr>
            <w:r w:rsidRPr="00566C0C">
              <w:rPr>
                <w:rFonts w:cs="Arial"/>
                <w:szCs w:val="21"/>
                <w:lang w:val="en-GB" w:eastAsia="en-AU"/>
              </w:rPr>
              <w:lastRenderedPageBreak/>
              <w:t xml:space="preserve">Existing Support Services for which the Service Provider already receives funding and from which the Service Provider agrees to </w:t>
            </w:r>
            <w:r w:rsidRPr="00566C0C">
              <w:rPr>
                <w:rFonts w:cs="Arial"/>
                <w:szCs w:val="21"/>
                <w:lang w:val="en-GB" w:eastAsia="en-AU"/>
              </w:rPr>
              <w:lastRenderedPageBreak/>
              <w:t>leverage existing capacity to deliver Support Services</w:t>
            </w:r>
            <w:r w:rsidRPr="00566C0C">
              <w:rPr>
                <w:rFonts w:cs="Arial"/>
                <w:szCs w:val="21"/>
              </w:rPr>
              <w:t xml:space="preserve"> for the purposes of this program.</w:t>
            </w:r>
            <w:r w:rsidRPr="00566C0C" w:rsidDel="001B0714">
              <w:rPr>
                <w:rFonts w:cs="Arial"/>
                <w:szCs w:val="21"/>
                <w:lang w:val="en-GB" w:eastAsia="en-AU"/>
              </w:rPr>
              <w:t xml:space="preserve"> </w:t>
            </w:r>
          </w:p>
        </w:tc>
      </w:tr>
      <w:tr w:rsidR="00314E7F" w:rsidRPr="00314E7F" w14:paraId="12588FA1" w14:textId="77777777" w:rsidTr="007516E6">
        <w:tc>
          <w:tcPr>
            <w:tcW w:w="2200" w:type="dxa"/>
          </w:tcPr>
          <w:p w14:paraId="3BAC554A" w14:textId="77777777" w:rsidR="00314E7F" w:rsidRPr="00566C0C" w:rsidRDefault="00314E7F" w:rsidP="00566C0C">
            <w:pPr>
              <w:pStyle w:val="Body"/>
              <w:rPr>
                <w:szCs w:val="21"/>
                <w:lang w:val="en-GB"/>
              </w:rPr>
            </w:pPr>
            <w:r w:rsidRPr="00566C0C">
              <w:rPr>
                <w:szCs w:val="21"/>
                <w:lang w:val="en-GB"/>
              </w:rPr>
              <w:lastRenderedPageBreak/>
              <w:t>Registered Housing</w:t>
            </w:r>
          </w:p>
          <w:p w14:paraId="5D50CF53" w14:textId="77777777" w:rsidR="00314E7F" w:rsidRPr="00566C0C" w:rsidRDefault="00314E7F" w:rsidP="00566C0C">
            <w:pPr>
              <w:pStyle w:val="Body"/>
              <w:rPr>
                <w:szCs w:val="21"/>
                <w:lang w:val="en-GB"/>
              </w:rPr>
            </w:pPr>
            <w:r w:rsidRPr="00566C0C">
              <w:rPr>
                <w:szCs w:val="21"/>
                <w:lang w:val="en-GB"/>
              </w:rPr>
              <w:t>Agency</w:t>
            </w:r>
          </w:p>
        </w:tc>
        <w:tc>
          <w:tcPr>
            <w:tcW w:w="7886" w:type="dxa"/>
          </w:tcPr>
          <w:p w14:paraId="002E7C06" w14:textId="77777777" w:rsidR="00314E7F" w:rsidRPr="00566C0C" w:rsidRDefault="00314E7F" w:rsidP="00566C0C">
            <w:pPr>
              <w:pStyle w:val="Body"/>
              <w:rPr>
                <w:rFonts w:cs="Arial"/>
                <w:szCs w:val="21"/>
              </w:rPr>
            </w:pPr>
            <w:r w:rsidRPr="00566C0C">
              <w:rPr>
                <w:rFonts w:cs="Arial"/>
                <w:szCs w:val="21"/>
                <w:lang w:val="en-GB" w:eastAsia="en-AU"/>
              </w:rPr>
              <w:t xml:space="preserve">A housing provider, registered with the Registrar of Housing Agencies appointed under the </w:t>
            </w:r>
            <w:r w:rsidRPr="00566C0C">
              <w:rPr>
                <w:rFonts w:cs="Arial"/>
                <w:i/>
                <w:iCs/>
                <w:szCs w:val="21"/>
                <w:lang w:val="en-GB" w:eastAsia="en-AU"/>
              </w:rPr>
              <w:t>Housing Act 1983 (Vic).</w:t>
            </w:r>
          </w:p>
        </w:tc>
      </w:tr>
      <w:tr w:rsidR="00314E7F" w:rsidRPr="00314E7F" w14:paraId="0AE156F3" w14:textId="77777777" w:rsidTr="007516E6">
        <w:tc>
          <w:tcPr>
            <w:tcW w:w="2200" w:type="dxa"/>
          </w:tcPr>
          <w:p w14:paraId="6A8AD5B9" w14:textId="77777777" w:rsidR="00314E7F" w:rsidRPr="00566C0C" w:rsidRDefault="00314E7F" w:rsidP="00566C0C">
            <w:pPr>
              <w:pStyle w:val="Body"/>
              <w:rPr>
                <w:rFonts w:cs="Arial"/>
                <w:bCs/>
                <w:szCs w:val="21"/>
                <w:lang w:val="en-GB" w:eastAsia="en-AU"/>
              </w:rPr>
            </w:pPr>
            <w:r w:rsidRPr="00566C0C">
              <w:rPr>
                <w:rFonts w:cs="Arial"/>
                <w:bCs/>
                <w:szCs w:val="21"/>
                <w:lang w:val="en-GB" w:eastAsia="en-AU"/>
              </w:rPr>
              <w:t>Registrar of Housing</w:t>
            </w:r>
          </w:p>
          <w:p w14:paraId="6B36184A" w14:textId="77777777" w:rsidR="00314E7F" w:rsidRPr="00566C0C" w:rsidRDefault="00314E7F" w:rsidP="00566C0C">
            <w:pPr>
              <w:pStyle w:val="Body"/>
              <w:rPr>
                <w:rFonts w:cs="Arial"/>
                <w:bCs/>
                <w:szCs w:val="21"/>
                <w:lang w:val="en-GB" w:eastAsia="en-AU"/>
              </w:rPr>
            </w:pPr>
            <w:r w:rsidRPr="00566C0C">
              <w:rPr>
                <w:rFonts w:cs="Arial"/>
                <w:bCs/>
                <w:szCs w:val="21"/>
                <w:lang w:val="en-GB" w:eastAsia="en-AU"/>
              </w:rPr>
              <w:t>Agencies</w:t>
            </w:r>
          </w:p>
        </w:tc>
        <w:tc>
          <w:tcPr>
            <w:tcW w:w="7886" w:type="dxa"/>
          </w:tcPr>
          <w:p w14:paraId="154ECB7E" w14:textId="77777777" w:rsidR="00314E7F" w:rsidRPr="00566C0C" w:rsidRDefault="00314E7F" w:rsidP="00566C0C">
            <w:pPr>
              <w:pStyle w:val="Body"/>
              <w:rPr>
                <w:rFonts w:cs="Arial"/>
                <w:szCs w:val="21"/>
              </w:rPr>
            </w:pPr>
            <w:r w:rsidRPr="00566C0C">
              <w:rPr>
                <w:rFonts w:cs="Arial"/>
                <w:szCs w:val="21"/>
                <w:lang w:val="en-GB" w:eastAsia="en-AU"/>
              </w:rPr>
              <w:t xml:space="preserve">The Registrar of Housing Agencies, supported by the Housing Registrar, is responsible for regulatory oversight of the community housing sector in Victoria under the </w:t>
            </w:r>
            <w:r w:rsidRPr="00566C0C">
              <w:rPr>
                <w:rFonts w:cs="Arial"/>
                <w:i/>
                <w:iCs/>
                <w:szCs w:val="21"/>
                <w:lang w:val="en-GB" w:eastAsia="en-AU"/>
              </w:rPr>
              <w:t>Housing Act 1983 (Vic)</w:t>
            </w:r>
            <w:r w:rsidRPr="00566C0C">
              <w:rPr>
                <w:rFonts w:cs="Arial"/>
                <w:szCs w:val="21"/>
                <w:lang w:val="en-GB" w:eastAsia="en-AU"/>
              </w:rPr>
              <w:t xml:space="preserve"> and against gazetted Performance Standards.</w:t>
            </w:r>
          </w:p>
        </w:tc>
      </w:tr>
      <w:tr w:rsidR="00314E7F" w:rsidRPr="00314E7F" w14:paraId="7DE12826" w14:textId="77777777" w:rsidTr="007516E6">
        <w:tc>
          <w:tcPr>
            <w:tcW w:w="2200" w:type="dxa"/>
          </w:tcPr>
          <w:p w14:paraId="01D16845" w14:textId="77777777" w:rsidR="00314E7F" w:rsidRPr="00566C0C" w:rsidRDefault="00314E7F" w:rsidP="00566C0C">
            <w:pPr>
              <w:pStyle w:val="Body"/>
              <w:rPr>
                <w:rFonts w:cs="Arial"/>
                <w:bCs/>
                <w:szCs w:val="21"/>
                <w:lang w:val="en-GB" w:eastAsia="en-AU"/>
              </w:rPr>
            </w:pPr>
            <w:r w:rsidRPr="00566C0C">
              <w:rPr>
                <w:rFonts w:cs="Arial"/>
                <w:szCs w:val="21"/>
                <w:lang w:val="en-GB" w:eastAsia="en-AU"/>
              </w:rPr>
              <w:t>Secure Data Exchange</w:t>
            </w:r>
          </w:p>
        </w:tc>
        <w:tc>
          <w:tcPr>
            <w:tcW w:w="7886" w:type="dxa"/>
          </w:tcPr>
          <w:p w14:paraId="5999D730" w14:textId="0C3AE2F6" w:rsidR="00314E7F" w:rsidRPr="00566C0C" w:rsidRDefault="00314E7F" w:rsidP="00566C0C">
            <w:pPr>
              <w:pStyle w:val="Body"/>
              <w:rPr>
                <w:rFonts w:cs="Arial"/>
                <w:szCs w:val="21"/>
                <w:lang w:val="en-GB" w:eastAsia="en-AU"/>
              </w:rPr>
            </w:pPr>
            <w:r w:rsidRPr="00566C0C">
              <w:rPr>
                <w:rFonts w:cs="Arial"/>
                <w:szCs w:val="21"/>
                <w:lang w:val="en-GB" w:eastAsia="en-AU"/>
              </w:rPr>
              <w:t xml:space="preserve">A platform to collect and store de-identified Client data and </w:t>
            </w:r>
            <w:r w:rsidR="00170E06" w:rsidRPr="00566C0C">
              <w:rPr>
                <w:rFonts w:cs="Arial"/>
                <w:szCs w:val="21"/>
                <w:lang w:val="en-GB" w:eastAsia="en-AU"/>
              </w:rPr>
              <w:t>six-monthly</w:t>
            </w:r>
            <w:r w:rsidRPr="00566C0C">
              <w:rPr>
                <w:rFonts w:cs="Arial"/>
                <w:szCs w:val="21"/>
                <w:lang w:val="en-GB" w:eastAsia="en-AU"/>
              </w:rPr>
              <w:t xml:space="preserve"> reporting data in a secure way. This platform was created due to the security level of the data collected that were deemed as PROTECTED. </w:t>
            </w:r>
          </w:p>
        </w:tc>
      </w:tr>
      <w:tr w:rsidR="00314E7F" w:rsidRPr="00314E7F" w14:paraId="22EA043C" w14:textId="77777777" w:rsidTr="007516E6">
        <w:tc>
          <w:tcPr>
            <w:tcW w:w="2200" w:type="dxa"/>
          </w:tcPr>
          <w:p w14:paraId="41CE373C" w14:textId="77777777" w:rsidR="00314E7F" w:rsidRPr="00566C0C" w:rsidRDefault="00314E7F" w:rsidP="00566C0C">
            <w:pPr>
              <w:pStyle w:val="Body"/>
              <w:rPr>
                <w:szCs w:val="21"/>
                <w:lang w:val="en-GB"/>
              </w:rPr>
            </w:pPr>
            <w:r w:rsidRPr="00566C0C">
              <w:rPr>
                <w:szCs w:val="21"/>
                <w:lang w:val="en-GB"/>
              </w:rPr>
              <w:t>Services</w:t>
            </w:r>
          </w:p>
        </w:tc>
        <w:tc>
          <w:tcPr>
            <w:tcW w:w="7886" w:type="dxa"/>
          </w:tcPr>
          <w:p w14:paraId="1F29D556" w14:textId="77777777" w:rsidR="00314E7F" w:rsidRPr="00566C0C" w:rsidRDefault="00314E7F" w:rsidP="00566C0C">
            <w:pPr>
              <w:pStyle w:val="Body"/>
              <w:rPr>
                <w:rFonts w:cs="Arial"/>
                <w:szCs w:val="21"/>
              </w:rPr>
            </w:pPr>
            <w:r w:rsidRPr="00566C0C">
              <w:rPr>
                <w:rFonts w:cs="Arial"/>
                <w:szCs w:val="21"/>
                <w:lang w:val="en-GB" w:eastAsia="en-AU"/>
              </w:rPr>
              <w:t>The collective Property Services and Support Services to be provided by the Service Provider, as set out or described in the Service Agreement(s) including the relevant Activity Description(s).</w:t>
            </w:r>
          </w:p>
        </w:tc>
      </w:tr>
      <w:tr w:rsidR="00314E7F" w:rsidRPr="00314E7F" w14:paraId="29EF128A" w14:textId="77777777" w:rsidTr="007516E6">
        <w:tc>
          <w:tcPr>
            <w:tcW w:w="2200" w:type="dxa"/>
          </w:tcPr>
          <w:p w14:paraId="06B129EC" w14:textId="77777777" w:rsidR="00314E7F" w:rsidRPr="00566C0C" w:rsidRDefault="00314E7F" w:rsidP="00566C0C">
            <w:pPr>
              <w:pStyle w:val="Body"/>
              <w:rPr>
                <w:szCs w:val="21"/>
                <w:lang w:val="en-GB"/>
              </w:rPr>
            </w:pPr>
            <w:r w:rsidRPr="00566C0C">
              <w:rPr>
                <w:szCs w:val="21"/>
                <w:lang w:val="en-GB"/>
              </w:rPr>
              <w:t>Service Agreement</w:t>
            </w:r>
          </w:p>
        </w:tc>
        <w:tc>
          <w:tcPr>
            <w:tcW w:w="7886" w:type="dxa"/>
          </w:tcPr>
          <w:p w14:paraId="55A1F815" w14:textId="77777777" w:rsidR="00314E7F" w:rsidRPr="00566C0C" w:rsidRDefault="00314E7F" w:rsidP="00566C0C">
            <w:pPr>
              <w:pStyle w:val="Body"/>
              <w:rPr>
                <w:rFonts w:cs="Arial"/>
                <w:szCs w:val="21"/>
                <w:lang w:val="en-GB" w:eastAsia="en-AU"/>
              </w:rPr>
            </w:pPr>
            <w:r w:rsidRPr="00566C0C">
              <w:rPr>
                <w:rFonts w:cs="Arial"/>
                <w:szCs w:val="21"/>
                <w:lang w:val="en-GB" w:eastAsia="en-AU"/>
              </w:rPr>
              <w:t>The contractual arrangement(s) between the Department and each Service</w:t>
            </w:r>
          </w:p>
          <w:p w14:paraId="41B7240E" w14:textId="77777777" w:rsidR="00314E7F" w:rsidRPr="00566C0C" w:rsidRDefault="00314E7F" w:rsidP="00566C0C">
            <w:pPr>
              <w:pStyle w:val="Body"/>
              <w:rPr>
                <w:rFonts w:cs="Arial"/>
                <w:szCs w:val="21"/>
              </w:rPr>
            </w:pPr>
            <w:r w:rsidRPr="00566C0C">
              <w:rPr>
                <w:rFonts w:cs="Arial"/>
                <w:szCs w:val="21"/>
                <w:lang w:val="en-GB" w:eastAsia="en-AU"/>
              </w:rPr>
              <w:t>Provider for the delivery of the Services.</w:t>
            </w:r>
          </w:p>
        </w:tc>
      </w:tr>
      <w:tr w:rsidR="00314E7F" w:rsidRPr="00314E7F" w14:paraId="35CD15A9" w14:textId="77777777" w:rsidTr="007516E6">
        <w:tc>
          <w:tcPr>
            <w:tcW w:w="2200" w:type="dxa"/>
          </w:tcPr>
          <w:p w14:paraId="53A70FB9" w14:textId="77777777" w:rsidR="00314E7F" w:rsidRPr="00566C0C" w:rsidRDefault="00314E7F" w:rsidP="00566C0C">
            <w:pPr>
              <w:pStyle w:val="Body"/>
              <w:rPr>
                <w:szCs w:val="21"/>
                <w:lang w:val="en-GB"/>
              </w:rPr>
            </w:pPr>
            <w:r w:rsidRPr="00566C0C">
              <w:rPr>
                <w:szCs w:val="21"/>
                <w:lang w:val="en-GB"/>
              </w:rPr>
              <w:t>Service Package</w:t>
            </w:r>
          </w:p>
        </w:tc>
        <w:tc>
          <w:tcPr>
            <w:tcW w:w="7886" w:type="dxa"/>
          </w:tcPr>
          <w:p w14:paraId="4B131302" w14:textId="77777777" w:rsidR="00314E7F" w:rsidRPr="00566C0C" w:rsidRDefault="00314E7F" w:rsidP="00566C0C">
            <w:pPr>
              <w:pStyle w:val="Body"/>
              <w:rPr>
                <w:rFonts w:cs="Arial"/>
                <w:szCs w:val="21"/>
                <w:lang w:val="en-GB" w:eastAsia="en-AU"/>
              </w:rPr>
            </w:pPr>
            <w:r w:rsidRPr="00566C0C">
              <w:rPr>
                <w:rFonts w:cs="Arial"/>
                <w:szCs w:val="21"/>
                <w:lang w:val="en-GB" w:eastAsia="en-AU"/>
              </w:rPr>
              <w:t xml:space="preserve">The package of Property Services and Support Services allocated to each household.  </w:t>
            </w:r>
          </w:p>
        </w:tc>
      </w:tr>
      <w:tr w:rsidR="00314E7F" w:rsidRPr="00314E7F" w14:paraId="747C9D54" w14:textId="77777777" w:rsidTr="007516E6">
        <w:tc>
          <w:tcPr>
            <w:tcW w:w="2200" w:type="dxa"/>
          </w:tcPr>
          <w:p w14:paraId="17C4B762" w14:textId="77777777" w:rsidR="00314E7F" w:rsidRPr="00566C0C" w:rsidRDefault="00314E7F" w:rsidP="00566C0C">
            <w:pPr>
              <w:pStyle w:val="Body"/>
              <w:rPr>
                <w:szCs w:val="21"/>
                <w:lang w:val="en-GB"/>
              </w:rPr>
            </w:pPr>
            <w:r w:rsidRPr="00566C0C">
              <w:rPr>
                <w:szCs w:val="21"/>
                <w:lang w:val="en-GB"/>
              </w:rPr>
              <w:t>Service Provider</w:t>
            </w:r>
          </w:p>
        </w:tc>
        <w:tc>
          <w:tcPr>
            <w:tcW w:w="7886" w:type="dxa"/>
          </w:tcPr>
          <w:p w14:paraId="70BBECE9" w14:textId="77777777" w:rsidR="00314E7F" w:rsidRPr="00566C0C" w:rsidRDefault="00314E7F" w:rsidP="00566C0C">
            <w:pPr>
              <w:pStyle w:val="Body"/>
              <w:rPr>
                <w:rFonts w:cs="Arial"/>
                <w:szCs w:val="21"/>
              </w:rPr>
            </w:pPr>
            <w:r w:rsidRPr="00566C0C">
              <w:rPr>
                <w:rFonts w:cs="Arial"/>
                <w:szCs w:val="21"/>
                <w:lang w:val="en-GB" w:eastAsia="en-AU"/>
              </w:rPr>
              <w:t>The general term used to refer to a contracted party which delivers services.</w:t>
            </w:r>
          </w:p>
        </w:tc>
      </w:tr>
      <w:tr w:rsidR="00314E7F" w:rsidRPr="00314E7F" w14:paraId="0CF81C09" w14:textId="77777777" w:rsidTr="007516E6">
        <w:tc>
          <w:tcPr>
            <w:tcW w:w="2200" w:type="dxa"/>
          </w:tcPr>
          <w:p w14:paraId="6BAC94ED" w14:textId="77777777" w:rsidR="00314E7F" w:rsidRPr="00566C0C" w:rsidRDefault="00314E7F" w:rsidP="00566C0C">
            <w:pPr>
              <w:pStyle w:val="Body"/>
              <w:rPr>
                <w:szCs w:val="21"/>
                <w:lang w:val="en-GB"/>
              </w:rPr>
            </w:pPr>
            <w:r w:rsidRPr="00566C0C">
              <w:rPr>
                <w:szCs w:val="21"/>
                <w:lang w:val="en-GB"/>
              </w:rPr>
              <w:t>Six-Monthly Funding Reconciliation Report</w:t>
            </w:r>
          </w:p>
        </w:tc>
        <w:tc>
          <w:tcPr>
            <w:tcW w:w="7886" w:type="dxa"/>
          </w:tcPr>
          <w:p w14:paraId="56DA3A36" w14:textId="29EA0FAB" w:rsidR="00314E7F" w:rsidRPr="00566C0C" w:rsidRDefault="00314E7F" w:rsidP="00566C0C">
            <w:pPr>
              <w:pStyle w:val="Body"/>
              <w:rPr>
                <w:rFonts w:cs="Arial"/>
                <w:szCs w:val="21"/>
                <w:lang w:val="en-GB" w:eastAsia="en-AU"/>
              </w:rPr>
            </w:pPr>
            <w:r w:rsidRPr="00566C0C">
              <w:rPr>
                <w:rFonts w:cs="Arial"/>
                <w:szCs w:val="21"/>
                <w:lang w:val="en-GB" w:eastAsia="en-AU"/>
              </w:rPr>
              <w:t xml:space="preserve">A template provided by the department to the H2H Community Partners to be completed and submitted six monthly to the Secure Data Exchange platform as part of the reconciliation process described in </w:t>
            </w:r>
            <w:r w:rsidRPr="00566C0C">
              <w:rPr>
                <w:rFonts w:cs="Arial"/>
                <w:bCs/>
                <w:szCs w:val="21"/>
                <w:lang w:val="en-GB" w:eastAsia="en-AU"/>
              </w:rPr>
              <w:t xml:space="preserve">Appendix </w:t>
            </w:r>
            <w:r w:rsidR="009E70A1">
              <w:rPr>
                <w:rFonts w:cs="Arial"/>
                <w:bCs/>
                <w:szCs w:val="21"/>
                <w:lang w:val="en-GB" w:eastAsia="en-AU"/>
              </w:rPr>
              <w:t>1</w:t>
            </w:r>
            <w:r w:rsidRPr="00566C0C">
              <w:rPr>
                <w:rFonts w:cs="Arial"/>
                <w:szCs w:val="21"/>
                <w:lang w:val="en-GB" w:eastAsia="en-AU"/>
              </w:rPr>
              <w:t>.</w:t>
            </w:r>
          </w:p>
        </w:tc>
      </w:tr>
      <w:tr w:rsidR="00314E7F" w:rsidRPr="00314E7F" w14:paraId="1F672540" w14:textId="77777777" w:rsidTr="007516E6">
        <w:tc>
          <w:tcPr>
            <w:tcW w:w="2200" w:type="dxa"/>
          </w:tcPr>
          <w:p w14:paraId="255846C2" w14:textId="77777777" w:rsidR="00314E7F" w:rsidRPr="00566C0C" w:rsidRDefault="00314E7F" w:rsidP="00566C0C">
            <w:pPr>
              <w:pStyle w:val="Body"/>
              <w:rPr>
                <w:szCs w:val="21"/>
                <w:lang w:val="en-GB"/>
              </w:rPr>
            </w:pPr>
            <w:r w:rsidRPr="00566C0C">
              <w:rPr>
                <w:szCs w:val="21"/>
                <w:lang w:val="en-GB"/>
              </w:rPr>
              <w:t>Stable and Suitable</w:t>
            </w:r>
          </w:p>
          <w:p w14:paraId="469F50E0" w14:textId="77777777" w:rsidR="00314E7F" w:rsidRPr="00566C0C" w:rsidRDefault="00314E7F" w:rsidP="00566C0C">
            <w:pPr>
              <w:pStyle w:val="Body"/>
              <w:rPr>
                <w:szCs w:val="21"/>
                <w:lang w:val="en-GB"/>
              </w:rPr>
            </w:pPr>
            <w:r w:rsidRPr="00566C0C">
              <w:rPr>
                <w:szCs w:val="21"/>
                <w:lang w:val="en-GB"/>
              </w:rPr>
              <w:t>Housing</w:t>
            </w:r>
          </w:p>
        </w:tc>
        <w:tc>
          <w:tcPr>
            <w:tcW w:w="7886" w:type="dxa"/>
          </w:tcPr>
          <w:p w14:paraId="68EE7764" w14:textId="77777777" w:rsidR="00314E7F" w:rsidRPr="00566C0C" w:rsidRDefault="00314E7F" w:rsidP="00566C0C">
            <w:pPr>
              <w:pStyle w:val="Body"/>
              <w:rPr>
                <w:rFonts w:cs="Arial"/>
                <w:szCs w:val="21"/>
                <w:lang w:val="en-GB" w:eastAsia="en-AU"/>
              </w:rPr>
            </w:pPr>
            <w:r w:rsidRPr="00566C0C">
              <w:rPr>
                <w:rFonts w:cs="Arial"/>
                <w:szCs w:val="21"/>
                <w:lang w:val="en-GB" w:eastAsia="en-AU"/>
              </w:rPr>
              <w:t>Accessible, affordable, and secure tenure that includes support to maintain housing in the medium to long-term.</w:t>
            </w:r>
          </w:p>
        </w:tc>
      </w:tr>
      <w:tr w:rsidR="00314E7F" w:rsidRPr="00314E7F" w14:paraId="16EF1FC9" w14:textId="77777777" w:rsidTr="007516E6">
        <w:tc>
          <w:tcPr>
            <w:tcW w:w="2200" w:type="dxa"/>
          </w:tcPr>
          <w:p w14:paraId="530CCDA2" w14:textId="77777777" w:rsidR="00314E7F" w:rsidRPr="00566C0C" w:rsidRDefault="00314E7F" w:rsidP="00566C0C">
            <w:pPr>
              <w:pStyle w:val="Body"/>
              <w:rPr>
                <w:rFonts w:cs="Arial"/>
                <w:bCs/>
                <w:szCs w:val="21"/>
                <w:lang w:val="en-GB" w:eastAsia="en-AU"/>
              </w:rPr>
            </w:pPr>
            <w:r w:rsidRPr="00566C0C">
              <w:rPr>
                <w:szCs w:val="21"/>
                <w:lang w:val="en-GB"/>
              </w:rPr>
              <w:t>Subcontractor</w:t>
            </w:r>
          </w:p>
        </w:tc>
        <w:tc>
          <w:tcPr>
            <w:tcW w:w="7886" w:type="dxa"/>
          </w:tcPr>
          <w:p w14:paraId="2D39A156" w14:textId="77777777" w:rsidR="00314E7F" w:rsidRPr="00566C0C" w:rsidRDefault="00314E7F" w:rsidP="00566C0C">
            <w:pPr>
              <w:pStyle w:val="Body"/>
              <w:rPr>
                <w:rFonts w:cs="Arial"/>
                <w:szCs w:val="21"/>
                <w:lang w:val="en-GB" w:eastAsia="en-AU"/>
              </w:rPr>
            </w:pPr>
            <w:r w:rsidRPr="00566C0C">
              <w:rPr>
                <w:rFonts w:cs="Arial"/>
                <w:szCs w:val="21"/>
                <w:lang w:val="en-GB" w:eastAsia="en-AU"/>
              </w:rPr>
              <w:t>The Service Agreement requires that all sub-contracting arrangements be documented and agreed to by the department. The sub-contracting arrangements are the responsibility of the Service Provider and not the department. The Service Provider is responsible for the delivery of the Services.</w:t>
            </w:r>
          </w:p>
        </w:tc>
      </w:tr>
      <w:tr w:rsidR="00314E7F" w:rsidRPr="00314E7F" w14:paraId="03E6CEFE" w14:textId="77777777" w:rsidTr="007516E6">
        <w:tc>
          <w:tcPr>
            <w:tcW w:w="2200" w:type="dxa"/>
          </w:tcPr>
          <w:p w14:paraId="6EA316B1" w14:textId="77777777" w:rsidR="00314E7F" w:rsidRPr="00566C0C" w:rsidRDefault="00314E7F" w:rsidP="00566C0C">
            <w:pPr>
              <w:pStyle w:val="Body"/>
              <w:rPr>
                <w:rFonts w:cs="Arial"/>
                <w:bCs/>
                <w:szCs w:val="21"/>
                <w:lang w:val="en-GB" w:eastAsia="en-AU"/>
              </w:rPr>
            </w:pPr>
            <w:r w:rsidRPr="00566C0C">
              <w:rPr>
                <w:rFonts w:cs="Arial"/>
                <w:bCs/>
                <w:szCs w:val="21"/>
                <w:lang w:val="en-GB" w:eastAsia="en-AU"/>
              </w:rPr>
              <w:t>Sunset Date</w:t>
            </w:r>
          </w:p>
        </w:tc>
        <w:tc>
          <w:tcPr>
            <w:tcW w:w="7886" w:type="dxa"/>
          </w:tcPr>
          <w:p w14:paraId="01AA78BE" w14:textId="77777777" w:rsidR="00314E7F" w:rsidRPr="00566C0C" w:rsidRDefault="00314E7F" w:rsidP="00566C0C">
            <w:pPr>
              <w:pStyle w:val="Body"/>
              <w:rPr>
                <w:rFonts w:cs="Arial"/>
                <w:szCs w:val="21"/>
                <w:lang w:val="en-GB" w:eastAsia="en-AU"/>
              </w:rPr>
            </w:pPr>
            <w:r w:rsidRPr="00566C0C">
              <w:rPr>
                <w:rFonts w:cs="Arial"/>
                <w:szCs w:val="21"/>
                <w:lang w:val="en-GB" w:eastAsia="en-AU"/>
              </w:rPr>
              <w:t>The date that all packages must have commenced, i.e., being 30 June 2022.</w:t>
            </w:r>
          </w:p>
        </w:tc>
      </w:tr>
      <w:tr w:rsidR="00314E7F" w:rsidRPr="00314E7F" w14:paraId="79E10AC5" w14:textId="77777777" w:rsidTr="007516E6">
        <w:tc>
          <w:tcPr>
            <w:tcW w:w="2200" w:type="dxa"/>
          </w:tcPr>
          <w:p w14:paraId="489FA211" w14:textId="77777777" w:rsidR="00314E7F" w:rsidRPr="00566C0C" w:rsidRDefault="00314E7F" w:rsidP="00566C0C">
            <w:pPr>
              <w:pStyle w:val="Body"/>
              <w:rPr>
                <w:rFonts w:cs="Arial"/>
                <w:bCs/>
                <w:szCs w:val="21"/>
                <w:lang w:val="en-GB" w:eastAsia="en-AU"/>
              </w:rPr>
            </w:pPr>
            <w:r w:rsidRPr="00566C0C">
              <w:rPr>
                <w:szCs w:val="21"/>
                <w:lang w:val="en-GB"/>
              </w:rPr>
              <w:t>Support Services</w:t>
            </w:r>
          </w:p>
        </w:tc>
        <w:tc>
          <w:tcPr>
            <w:tcW w:w="7886" w:type="dxa"/>
          </w:tcPr>
          <w:p w14:paraId="2F195510" w14:textId="77777777" w:rsidR="00314E7F" w:rsidRPr="00566C0C" w:rsidRDefault="00314E7F" w:rsidP="00566C0C">
            <w:pPr>
              <w:pStyle w:val="Body"/>
              <w:rPr>
                <w:rFonts w:cs="Arial"/>
                <w:szCs w:val="21"/>
                <w:highlight w:val="yellow"/>
                <w:lang w:val="en-GB" w:eastAsia="en-AU"/>
              </w:rPr>
            </w:pPr>
            <w:r w:rsidRPr="00566C0C">
              <w:rPr>
                <w:rFonts w:cs="Arial"/>
                <w:szCs w:val="21"/>
                <w:lang w:val="en-GB" w:eastAsia="en-AU"/>
              </w:rPr>
              <w:t>The collective provision of services to support Clients in Accommodation, through an integrated and multi-disciplinary approach towards resolving the homelessness of people exiting emergency accommodation and responding appropriately to their needs.</w:t>
            </w:r>
          </w:p>
        </w:tc>
      </w:tr>
      <w:tr w:rsidR="00314E7F" w:rsidRPr="00314E7F" w14:paraId="13B49B66" w14:textId="77777777" w:rsidTr="007516E6">
        <w:tc>
          <w:tcPr>
            <w:tcW w:w="2200" w:type="dxa"/>
          </w:tcPr>
          <w:p w14:paraId="49671E1A" w14:textId="77777777" w:rsidR="00314E7F" w:rsidRPr="00566C0C" w:rsidRDefault="00314E7F" w:rsidP="00566C0C">
            <w:pPr>
              <w:pStyle w:val="Body"/>
              <w:rPr>
                <w:szCs w:val="21"/>
                <w:lang w:val="en-GB"/>
              </w:rPr>
            </w:pPr>
            <w:r w:rsidRPr="00566C0C">
              <w:rPr>
                <w:szCs w:val="21"/>
                <w:lang w:val="en-GB"/>
              </w:rPr>
              <w:lastRenderedPageBreak/>
              <w:t>Support Service Commencement</w:t>
            </w:r>
          </w:p>
        </w:tc>
        <w:tc>
          <w:tcPr>
            <w:tcW w:w="7886" w:type="dxa"/>
          </w:tcPr>
          <w:p w14:paraId="13FAB313" w14:textId="77777777" w:rsidR="00314E7F" w:rsidRPr="00566C0C" w:rsidRDefault="00314E7F" w:rsidP="00566C0C">
            <w:pPr>
              <w:pStyle w:val="Body"/>
              <w:rPr>
                <w:rFonts w:cs="Arial"/>
                <w:szCs w:val="21"/>
                <w:lang w:val="en-GB" w:eastAsia="en-AU"/>
              </w:rPr>
            </w:pPr>
            <w:r w:rsidRPr="00566C0C">
              <w:rPr>
                <w:rFonts w:cs="Arial"/>
                <w:szCs w:val="21"/>
                <w:lang w:val="en-GB" w:eastAsia="en-AU"/>
              </w:rPr>
              <w:t xml:space="preserve">Commencement of support service should align, as per funding, with housing commencement. There is recognition that in many cases support may commence for a short period prior to housing allocation; in order to engage with households and identify the most sustainable housing option for each household. </w:t>
            </w:r>
          </w:p>
        </w:tc>
      </w:tr>
      <w:tr w:rsidR="00314E7F" w:rsidRPr="00314E7F" w14:paraId="31B06A31" w14:textId="77777777" w:rsidTr="007516E6">
        <w:tc>
          <w:tcPr>
            <w:tcW w:w="2200" w:type="dxa"/>
          </w:tcPr>
          <w:p w14:paraId="12BA5413" w14:textId="77777777" w:rsidR="00314E7F" w:rsidRPr="00566C0C" w:rsidRDefault="00314E7F" w:rsidP="00566C0C">
            <w:pPr>
              <w:pStyle w:val="Body"/>
              <w:rPr>
                <w:szCs w:val="21"/>
                <w:lang w:val="en-GB"/>
              </w:rPr>
            </w:pPr>
            <w:r w:rsidRPr="00566C0C">
              <w:rPr>
                <w:szCs w:val="21"/>
                <w:lang w:val="en-GB"/>
              </w:rPr>
              <w:t>Support Service Provider</w:t>
            </w:r>
          </w:p>
        </w:tc>
        <w:tc>
          <w:tcPr>
            <w:tcW w:w="7886" w:type="dxa"/>
          </w:tcPr>
          <w:p w14:paraId="11382357" w14:textId="77777777" w:rsidR="00314E7F" w:rsidRPr="00566C0C" w:rsidRDefault="00314E7F" w:rsidP="00566C0C">
            <w:pPr>
              <w:pStyle w:val="Body"/>
              <w:rPr>
                <w:rFonts w:cs="Arial"/>
                <w:szCs w:val="21"/>
              </w:rPr>
            </w:pPr>
            <w:r w:rsidRPr="00566C0C">
              <w:rPr>
                <w:rFonts w:cs="Arial"/>
                <w:szCs w:val="21"/>
                <w:lang w:val="en-GB" w:eastAsia="en-AU"/>
              </w:rPr>
              <w:t>The contracted party delivering Support Services.</w:t>
            </w:r>
          </w:p>
        </w:tc>
      </w:tr>
      <w:tr w:rsidR="00314E7F" w:rsidRPr="00314E7F" w14:paraId="4A487A22" w14:textId="77777777" w:rsidTr="007516E6">
        <w:trPr>
          <w:trHeight w:val="300"/>
        </w:trPr>
        <w:tc>
          <w:tcPr>
            <w:tcW w:w="2200" w:type="dxa"/>
          </w:tcPr>
          <w:p w14:paraId="57E6AC5F" w14:textId="77777777" w:rsidR="00314E7F" w:rsidRPr="00566C0C" w:rsidRDefault="00314E7F" w:rsidP="00566C0C">
            <w:pPr>
              <w:pStyle w:val="Body"/>
              <w:rPr>
                <w:rFonts w:cs="Arial"/>
                <w:bCs/>
                <w:szCs w:val="21"/>
                <w:lang w:val="en-GB" w:eastAsia="en-AU"/>
              </w:rPr>
            </w:pPr>
            <w:r w:rsidRPr="00566C0C">
              <w:rPr>
                <w:rFonts w:cs="Arial"/>
                <w:bCs/>
                <w:szCs w:val="21"/>
                <w:lang w:val="en-GB" w:eastAsia="en-AU"/>
              </w:rPr>
              <w:t>Targeted and Tailored</w:t>
            </w:r>
          </w:p>
          <w:p w14:paraId="476F98CB" w14:textId="77777777" w:rsidR="00314E7F" w:rsidRPr="00566C0C" w:rsidRDefault="00314E7F" w:rsidP="00566C0C">
            <w:pPr>
              <w:pStyle w:val="Body"/>
              <w:rPr>
                <w:rFonts w:cs="Arial"/>
                <w:bCs/>
                <w:szCs w:val="21"/>
                <w:lang w:val="en-GB" w:eastAsia="en-AU"/>
              </w:rPr>
            </w:pPr>
            <w:r w:rsidRPr="00566C0C">
              <w:rPr>
                <w:rFonts w:cs="Arial"/>
                <w:bCs/>
                <w:szCs w:val="21"/>
                <w:lang w:val="en-GB" w:eastAsia="en-AU"/>
              </w:rPr>
              <w:t>Support</w:t>
            </w:r>
          </w:p>
        </w:tc>
        <w:tc>
          <w:tcPr>
            <w:tcW w:w="7886" w:type="dxa"/>
          </w:tcPr>
          <w:p w14:paraId="1F458D3F" w14:textId="77777777" w:rsidR="00314E7F" w:rsidRPr="00566C0C" w:rsidRDefault="00314E7F" w:rsidP="00566C0C">
            <w:pPr>
              <w:pStyle w:val="Body"/>
              <w:rPr>
                <w:szCs w:val="21"/>
                <w:lang w:val="en-GB" w:eastAsia="en-AU"/>
              </w:rPr>
            </w:pPr>
            <w:r w:rsidRPr="00566C0C">
              <w:rPr>
                <w:rFonts w:cs="Arial"/>
                <w:szCs w:val="21"/>
                <w:lang w:val="en-GB" w:eastAsia="en-AU"/>
              </w:rPr>
              <w:t xml:space="preserve">Targeted and Tailored Support is designed for those Clients with increased vulnerabilities and risks, is expected to be time limited, and provided by homelessness, and other health and human services. </w:t>
            </w:r>
          </w:p>
        </w:tc>
      </w:tr>
      <w:tr w:rsidR="00314E7F" w:rsidRPr="00314E7F" w14:paraId="5242D3F5" w14:textId="77777777" w:rsidTr="007516E6">
        <w:trPr>
          <w:trHeight w:val="3313"/>
        </w:trPr>
        <w:tc>
          <w:tcPr>
            <w:tcW w:w="2200" w:type="dxa"/>
          </w:tcPr>
          <w:p w14:paraId="598258CB" w14:textId="77777777" w:rsidR="00314E7F" w:rsidRPr="00566C0C" w:rsidRDefault="00314E7F" w:rsidP="00566C0C">
            <w:pPr>
              <w:pStyle w:val="Body"/>
              <w:rPr>
                <w:rFonts w:cs="Arial"/>
                <w:bCs/>
                <w:szCs w:val="21"/>
                <w:lang w:val="en-GB" w:eastAsia="en-AU"/>
              </w:rPr>
            </w:pPr>
            <w:r w:rsidRPr="00566C0C">
              <w:rPr>
                <w:rFonts w:cs="Arial"/>
                <w:bCs/>
                <w:szCs w:val="21"/>
                <w:lang w:val="en-GB" w:eastAsia="en-AU"/>
              </w:rPr>
              <w:t>Tenancy Management</w:t>
            </w:r>
          </w:p>
          <w:p w14:paraId="789559E8" w14:textId="77777777" w:rsidR="00314E7F" w:rsidRPr="00566C0C" w:rsidRDefault="00314E7F" w:rsidP="00566C0C">
            <w:pPr>
              <w:pStyle w:val="Body"/>
              <w:rPr>
                <w:rFonts w:cs="Arial"/>
                <w:bCs/>
                <w:szCs w:val="21"/>
                <w:lang w:val="en-GB" w:eastAsia="en-AU"/>
              </w:rPr>
            </w:pPr>
            <w:r w:rsidRPr="00566C0C">
              <w:rPr>
                <w:rFonts w:cs="Arial"/>
                <w:bCs/>
                <w:szCs w:val="21"/>
                <w:lang w:val="en-GB" w:eastAsia="en-AU"/>
              </w:rPr>
              <w:t>Services</w:t>
            </w:r>
          </w:p>
        </w:tc>
        <w:tc>
          <w:tcPr>
            <w:tcW w:w="7886" w:type="dxa"/>
          </w:tcPr>
          <w:p w14:paraId="14A70448" w14:textId="77777777" w:rsidR="00314E7F" w:rsidRPr="00566C0C" w:rsidRDefault="00314E7F" w:rsidP="00566C0C">
            <w:pPr>
              <w:pStyle w:val="Body"/>
              <w:rPr>
                <w:rFonts w:cs="Arial"/>
                <w:szCs w:val="21"/>
                <w:lang w:val="en-GB" w:eastAsia="en-AU"/>
              </w:rPr>
            </w:pPr>
            <w:r w:rsidRPr="00566C0C">
              <w:rPr>
                <w:rFonts w:cs="Arial"/>
                <w:szCs w:val="21"/>
                <w:lang w:val="en-GB" w:eastAsia="en-AU"/>
              </w:rPr>
              <w:t>Services including, but not limited to, the following:</w:t>
            </w:r>
          </w:p>
          <w:p w14:paraId="665C0051" w14:textId="77777777" w:rsidR="00314E7F" w:rsidRPr="00566C0C" w:rsidRDefault="00314E7F" w:rsidP="00566C0C">
            <w:pPr>
              <w:pStyle w:val="Body"/>
              <w:rPr>
                <w:rFonts w:cs="Arial"/>
                <w:szCs w:val="21"/>
                <w:lang w:val="en-GB" w:eastAsia="en-AU"/>
              </w:rPr>
            </w:pPr>
            <w:r w:rsidRPr="00566C0C">
              <w:rPr>
                <w:rFonts w:cs="Arial"/>
                <w:szCs w:val="21"/>
                <w:lang w:val="en-GB" w:eastAsia="en-AU"/>
              </w:rPr>
              <w:t>as residential rental provider entering sub-leases with Clients and determining and managing (receiving) the Maximum Rent payable by the Client in accordance with the Maximum Rent Formula.</w:t>
            </w:r>
          </w:p>
          <w:p w14:paraId="72850C2C" w14:textId="77777777" w:rsidR="00314E7F" w:rsidRPr="00566C0C" w:rsidRDefault="00314E7F" w:rsidP="00566C0C">
            <w:pPr>
              <w:pStyle w:val="Body"/>
              <w:rPr>
                <w:rFonts w:cs="Arial"/>
                <w:szCs w:val="21"/>
                <w:lang w:val="en-GB" w:eastAsia="en-AU"/>
              </w:rPr>
            </w:pPr>
            <w:r w:rsidRPr="00566C0C">
              <w:rPr>
                <w:rFonts w:cs="Arial"/>
                <w:szCs w:val="21"/>
                <w:lang w:val="en-GB" w:eastAsia="en-AU"/>
              </w:rPr>
              <w:t>determining and managing eligibility, allocation, and termination of housing assistance.</w:t>
            </w:r>
          </w:p>
          <w:p w14:paraId="7530F1A3" w14:textId="77777777" w:rsidR="00314E7F" w:rsidRPr="00566C0C" w:rsidRDefault="00314E7F" w:rsidP="00566C0C">
            <w:pPr>
              <w:pStyle w:val="Body"/>
              <w:rPr>
                <w:rFonts w:cs="Arial"/>
                <w:szCs w:val="21"/>
                <w:lang w:val="en-GB" w:eastAsia="en-AU"/>
              </w:rPr>
            </w:pPr>
            <w:r w:rsidRPr="00566C0C">
              <w:rPr>
                <w:rFonts w:cs="Arial"/>
                <w:szCs w:val="21"/>
                <w:lang w:val="en-GB" w:eastAsia="en-AU"/>
              </w:rPr>
              <w:t>setting and meeting relevant housing service standards.</w:t>
            </w:r>
          </w:p>
          <w:p w14:paraId="71B2EB94" w14:textId="77777777" w:rsidR="00314E7F" w:rsidRPr="00566C0C" w:rsidRDefault="00314E7F" w:rsidP="00566C0C">
            <w:pPr>
              <w:pStyle w:val="Body"/>
              <w:rPr>
                <w:rFonts w:cs="Arial"/>
                <w:szCs w:val="21"/>
                <w:lang w:val="en-GB" w:eastAsia="en-AU"/>
              </w:rPr>
            </w:pPr>
            <w:r w:rsidRPr="00566C0C">
              <w:rPr>
                <w:rFonts w:cs="Arial"/>
                <w:szCs w:val="21"/>
                <w:lang w:val="en-GB" w:eastAsia="en-AU"/>
              </w:rPr>
              <w:t>supporting Client and resident engagement.</w:t>
            </w:r>
          </w:p>
          <w:p w14:paraId="78048639" w14:textId="77777777" w:rsidR="00314E7F" w:rsidRPr="00566C0C" w:rsidRDefault="00314E7F" w:rsidP="00566C0C">
            <w:pPr>
              <w:pStyle w:val="Body"/>
              <w:rPr>
                <w:rFonts w:cs="Arial"/>
                <w:szCs w:val="21"/>
                <w:lang w:val="en-GB" w:eastAsia="en-AU"/>
              </w:rPr>
            </w:pPr>
            <w:r w:rsidRPr="00566C0C">
              <w:rPr>
                <w:rFonts w:cs="Arial"/>
                <w:szCs w:val="21"/>
                <w:lang w:val="en-GB" w:eastAsia="en-AU"/>
              </w:rPr>
              <w:t>facilitating access to Support Services for Clients and household members with complex needs.</w:t>
            </w:r>
          </w:p>
          <w:p w14:paraId="609E237A" w14:textId="77777777" w:rsidR="00314E7F" w:rsidRPr="00566C0C" w:rsidRDefault="00314E7F" w:rsidP="00566C0C">
            <w:pPr>
              <w:pStyle w:val="Body"/>
              <w:rPr>
                <w:rFonts w:cs="Arial"/>
                <w:szCs w:val="21"/>
                <w:lang w:val="en-GB" w:eastAsia="en-AU"/>
              </w:rPr>
            </w:pPr>
            <w:r w:rsidRPr="00566C0C">
              <w:rPr>
                <w:rFonts w:cs="Arial"/>
                <w:szCs w:val="21"/>
                <w:lang w:val="en-GB" w:eastAsia="en-AU"/>
              </w:rPr>
              <w:t>managing and addressing complaints and appeals relating to the provision of housing services; and</w:t>
            </w:r>
          </w:p>
          <w:p w14:paraId="2DC3F961" w14:textId="77777777" w:rsidR="00314E7F" w:rsidRPr="00566C0C" w:rsidRDefault="00314E7F" w:rsidP="00566C0C">
            <w:pPr>
              <w:pStyle w:val="Body"/>
              <w:rPr>
                <w:rFonts w:cs="Arial"/>
                <w:szCs w:val="21"/>
              </w:rPr>
            </w:pPr>
            <w:r w:rsidRPr="00566C0C">
              <w:rPr>
                <w:rFonts w:cs="Arial"/>
                <w:szCs w:val="21"/>
                <w:lang w:val="en-GB" w:eastAsia="en-AU"/>
              </w:rPr>
              <w:t>maintaining Client satisfaction with the overall quality of housing assistance.</w:t>
            </w:r>
          </w:p>
        </w:tc>
      </w:tr>
      <w:tr w:rsidR="00314E7F" w:rsidRPr="00314E7F" w14:paraId="3A274F13" w14:textId="77777777" w:rsidTr="000559C9">
        <w:trPr>
          <w:trHeight w:val="288"/>
        </w:trPr>
        <w:tc>
          <w:tcPr>
            <w:tcW w:w="2200" w:type="dxa"/>
          </w:tcPr>
          <w:p w14:paraId="68CA300C" w14:textId="77777777" w:rsidR="00314E7F" w:rsidRPr="00566C0C" w:rsidRDefault="00314E7F" w:rsidP="00566C0C">
            <w:pPr>
              <w:pStyle w:val="Body"/>
              <w:rPr>
                <w:rFonts w:cs="Arial"/>
                <w:bCs/>
                <w:szCs w:val="21"/>
                <w:lang w:val="en-GB" w:eastAsia="en-AU"/>
              </w:rPr>
            </w:pPr>
            <w:r w:rsidRPr="00566C0C">
              <w:rPr>
                <w:szCs w:val="21"/>
                <w:lang w:val="en-GB"/>
              </w:rPr>
              <w:t>Term of Service Provision</w:t>
            </w:r>
          </w:p>
        </w:tc>
        <w:tc>
          <w:tcPr>
            <w:tcW w:w="7886" w:type="dxa"/>
          </w:tcPr>
          <w:p w14:paraId="2FA23898" w14:textId="77777777" w:rsidR="00314E7F" w:rsidRPr="00566C0C" w:rsidRDefault="00314E7F" w:rsidP="00566C0C">
            <w:pPr>
              <w:pStyle w:val="Body"/>
              <w:rPr>
                <w:rFonts w:cs="Arial"/>
                <w:szCs w:val="21"/>
                <w:lang w:val="en-GB"/>
              </w:rPr>
            </w:pPr>
            <w:r w:rsidRPr="00566C0C">
              <w:rPr>
                <w:rFonts w:cs="Arial"/>
                <w:szCs w:val="21"/>
                <w:lang w:val="en-GB"/>
              </w:rPr>
              <w:t>The term of service provision for each service type is as follows:</w:t>
            </w:r>
          </w:p>
          <w:p w14:paraId="7D61D8D6" w14:textId="77777777" w:rsidR="00314E7F" w:rsidRPr="00566C0C" w:rsidRDefault="00314E7F" w:rsidP="00566C0C">
            <w:pPr>
              <w:pStyle w:val="Body"/>
              <w:rPr>
                <w:szCs w:val="21"/>
              </w:rPr>
            </w:pPr>
          </w:p>
          <w:tbl>
            <w:tblPr>
              <w:tblStyle w:val="TableGrid"/>
              <w:tblW w:w="7465" w:type="dxa"/>
              <w:tblLook w:val="04A0" w:firstRow="1" w:lastRow="0" w:firstColumn="1" w:lastColumn="0" w:noHBand="0" w:noVBand="1"/>
            </w:tblPr>
            <w:tblGrid>
              <w:gridCol w:w="1785"/>
              <w:gridCol w:w="1893"/>
              <w:gridCol w:w="1893"/>
              <w:gridCol w:w="1894"/>
            </w:tblGrid>
            <w:tr w:rsidR="00314E7F" w:rsidRPr="00566C0C" w14:paraId="5F69E9DD" w14:textId="77777777" w:rsidTr="003421CB">
              <w:trPr>
                <w:cnfStyle w:val="100000000000" w:firstRow="1" w:lastRow="0" w:firstColumn="0" w:lastColumn="0" w:oddVBand="0" w:evenVBand="0" w:oddHBand="0" w:evenHBand="0" w:firstRowFirstColumn="0" w:firstRowLastColumn="0" w:lastRowFirstColumn="0" w:lastRowLastColumn="0"/>
              </w:trPr>
              <w:tc>
                <w:tcPr>
                  <w:tcW w:w="1785" w:type="dxa"/>
                </w:tcPr>
                <w:p w14:paraId="2DC87DBC" w14:textId="77777777" w:rsidR="00314E7F" w:rsidRPr="00566C0C" w:rsidRDefault="00314E7F" w:rsidP="00566C0C">
                  <w:pPr>
                    <w:pStyle w:val="Body"/>
                    <w:rPr>
                      <w:b/>
                      <w:bCs/>
                      <w:color w:val="FFFFFF" w:themeColor="background1"/>
                      <w:szCs w:val="21"/>
                      <w:highlight w:val="black"/>
                    </w:rPr>
                  </w:pPr>
                  <w:r w:rsidRPr="00566C0C">
                    <w:rPr>
                      <w:b/>
                      <w:bCs/>
                      <w:color w:val="FFFFFF" w:themeColor="background1"/>
                      <w:szCs w:val="21"/>
                      <w:highlight w:val="black"/>
                    </w:rPr>
                    <w:t>Service Component</w:t>
                  </w:r>
                </w:p>
              </w:tc>
              <w:tc>
                <w:tcPr>
                  <w:tcW w:w="1893" w:type="dxa"/>
                </w:tcPr>
                <w:p w14:paraId="7F8C4FAA" w14:textId="77777777" w:rsidR="00314E7F" w:rsidRPr="00566C0C" w:rsidRDefault="00314E7F" w:rsidP="00566C0C">
                  <w:pPr>
                    <w:pStyle w:val="Body"/>
                    <w:rPr>
                      <w:b/>
                      <w:bCs/>
                      <w:color w:val="FFFFFF" w:themeColor="background1"/>
                      <w:szCs w:val="21"/>
                      <w:highlight w:val="black"/>
                    </w:rPr>
                  </w:pPr>
                  <w:r w:rsidRPr="00566C0C">
                    <w:rPr>
                      <w:b/>
                      <w:bCs/>
                      <w:color w:val="FFFFFF" w:themeColor="background1"/>
                      <w:szCs w:val="21"/>
                      <w:highlight w:val="black"/>
                    </w:rPr>
                    <w:t>Public Housing</w:t>
                  </w:r>
                  <w:r w:rsidRPr="00566C0C">
                    <w:rPr>
                      <w:rFonts w:cs="Arial"/>
                      <w:b/>
                      <w:bCs/>
                      <w:color w:val="FFFFFF" w:themeColor="background1"/>
                      <w:szCs w:val="21"/>
                      <w:highlight w:val="black"/>
                    </w:rPr>
                    <w:t xml:space="preserve"> </w:t>
                  </w:r>
                </w:p>
              </w:tc>
              <w:tc>
                <w:tcPr>
                  <w:tcW w:w="1893" w:type="dxa"/>
                </w:tcPr>
                <w:p w14:paraId="44D919B4" w14:textId="77777777" w:rsidR="00314E7F" w:rsidRPr="00566C0C" w:rsidRDefault="00314E7F" w:rsidP="00566C0C">
                  <w:pPr>
                    <w:pStyle w:val="Body"/>
                    <w:rPr>
                      <w:rFonts w:cs="Arial"/>
                      <w:b/>
                      <w:bCs/>
                      <w:color w:val="FFFFFF" w:themeColor="background1"/>
                      <w:szCs w:val="21"/>
                      <w:highlight w:val="black"/>
                    </w:rPr>
                  </w:pPr>
                  <w:r w:rsidRPr="00566C0C">
                    <w:rPr>
                      <w:rFonts w:cs="Arial"/>
                      <w:b/>
                      <w:bCs/>
                      <w:color w:val="FFFFFF" w:themeColor="background1"/>
                      <w:szCs w:val="21"/>
                      <w:highlight w:val="black"/>
                    </w:rPr>
                    <w:t>General Lease Property</w:t>
                  </w:r>
                </w:p>
              </w:tc>
              <w:tc>
                <w:tcPr>
                  <w:tcW w:w="1894" w:type="dxa"/>
                </w:tcPr>
                <w:p w14:paraId="57BBEC6D" w14:textId="77777777" w:rsidR="00314E7F" w:rsidRPr="00566C0C" w:rsidRDefault="00314E7F" w:rsidP="00566C0C">
                  <w:pPr>
                    <w:pStyle w:val="Body"/>
                    <w:rPr>
                      <w:b/>
                      <w:bCs/>
                      <w:color w:val="FFFFFF" w:themeColor="background1"/>
                      <w:szCs w:val="21"/>
                      <w:highlight w:val="black"/>
                    </w:rPr>
                  </w:pPr>
                  <w:r w:rsidRPr="00566C0C">
                    <w:rPr>
                      <w:b/>
                      <w:bCs/>
                      <w:color w:val="FFFFFF" w:themeColor="background1"/>
                      <w:szCs w:val="21"/>
                      <w:highlight w:val="black"/>
                    </w:rPr>
                    <w:t xml:space="preserve">Leased </w:t>
                  </w:r>
                  <w:r w:rsidRPr="00566C0C">
                    <w:rPr>
                      <w:rFonts w:cs="Arial"/>
                      <w:b/>
                      <w:bCs/>
                      <w:color w:val="FFFFFF" w:themeColor="background1"/>
                      <w:szCs w:val="21"/>
                      <w:highlight w:val="black"/>
                    </w:rPr>
                    <w:t xml:space="preserve">Dwellings </w:t>
                  </w:r>
                  <w:r w:rsidRPr="00566C0C">
                    <w:rPr>
                      <w:b/>
                      <w:bCs/>
                      <w:color w:val="FFFFFF" w:themeColor="background1"/>
                      <w:szCs w:val="21"/>
                      <w:highlight w:val="black"/>
                    </w:rPr>
                    <w:t>and Owned Dwellings</w:t>
                  </w:r>
                </w:p>
              </w:tc>
            </w:tr>
            <w:tr w:rsidR="00314E7F" w:rsidRPr="00566C0C" w14:paraId="010DAED0" w14:textId="77777777" w:rsidTr="003421CB">
              <w:tc>
                <w:tcPr>
                  <w:tcW w:w="1785" w:type="dxa"/>
                </w:tcPr>
                <w:p w14:paraId="7D3D9C12" w14:textId="77777777" w:rsidR="00314E7F" w:rsidRPr="00566C0C" w:rsidRDefault="00314E7F" w:rsidP="00566C0C">
                  <w:pPr>
                    <w:pStyle w:val="Body"/>
                    <w:rPr>
                      <w:rFonts w:cs="Arial"/>
                      <w:szCs w:val="21"/>
                    </w:rPr>
                  </w:pPr>
                  <w:r w:rsidRPr="00566C0C">
                    <w:rPr>
                      <w:rFonts w:cs="Arial"/>
                      <w:szCs w:val="21"/>
                    </w:rPr>
                    <w:t>Property Services</w:t>
                  </w:r>
                </w:p>
              </w:tc>
              <w:tc>
                <w:tcPr>
                  <w:tcW w:w="1893" w:type="dxa"/>
                </w:tcPr>
                <w:p w14:paraId="3F99681C" w14:textId="77777777" w:rsidR="00314E7F" w:rsidRPr="00566C0C" w:rsidRDefault="00314E7F" w:rsidP="00566C0C">
                  <w:pPr>
                    <w:pStyle w:val="Body"/>
                    <w:rPr>
                      <w:rFonts w:cs="Arial"/>
                      <w:szCs w:val="21"/>
                    </w:rPr>
                  </w:pPr>
                  <w:r w:rsidRPr="00566C0C">
                    <w:rPr>
                      <w:rFonts w:cs="Arial"/>
                      <w:szCs w:val="21"/>
                    </w:rPr>
                    <w:t>n/a</w:t>
                  </w:r>
                </w:p>
              </w:tc>
              <w:tc>
                <w:tcPr>
                  <w:tcW w:w="1893" w:type="dxa"/>
                </w:tcPr>
                <w:p w14:paraId="7B3BC087" w14:textId="77777777" w:rsidR="00314E7F" w:rsidRPr="00566C0C" w:rsidRDefault="00314E7F" w:rsidP="00566C0C">
                  <w:pPr>
                    <w:pStyle w:val="Body"/>
                    <w:rPr>
                      <w:rFonts w:cs="Arial"/>
                      <w:szCs w:val="21"/>
                    </w:rPr>
                  </w:pPr>
                  <w:r w:rsidRPr="00566C0C">
                    <w:rPr>
                      <w:rFonts w:cs="Arial"/>
                      <w:szCs w:val="21"/>
                    </w:rPr>
                    <w:t>18 months</w:t>
                  </w:r>
                </w:p>
              </w:tc>
              <w:tc>
                <w:tcPr>
                  <w:tcW w:w="1894" w:type="dxa"/>
                </w:tcPr>
                <w:p w14:paraId="3E55EA63" w14:textId="77777777" w:rsidR="00314E7F" w:rsidRPr="00566C0C" w:rsidRDefault="00314E7F" w:rsidP="00566C0C">
                  <w:pPr>
                    <w:pStyle w:val="Body"/>
                    <w:rPr>
                      <w:rFonts w:cs="Arial"/>
                      <w:szCs w:val="21"/>
                    </w:rPr>
                  </w:pPr>
                  <w:r w:rsidRPr="00566C0C">
                    <w:rPr>
                      <w:rFonts w:cs="Arial"/>
                      <w:szCs w:val="21"/>
                    </w:rPr>
                    <w:t>18 months</w:t>
                  </w:r>
                </w:p>
              </w:tc>
            </w:tr>
            <w:tr w:rsidR="00314E7F" w:rsidRPr="00566C0C" w14:paraId="55FB6204" w14:textId="77777777" w:rsidTr="003421CB">
              <w:tc>
                <w:tcPr>
                  <w:tcW w:w="1785" w:type="dxa"/>
                </w:tcPr>
                <w:p w14:paraId="04F802AF" w14:textId="77777777" w:rsidR="00314E7F" w:rsidRPr="00566C0C" w:rsidRDefault="00314E7F" w:rsidP="00566C0C">
                  <w:pPr>
                    <w:pStyle w:val="Body"/>
                    <w:rPr>
                      <w:rFonts w:cs="Arial"/>
                      <w:szCs w:val="21"/>
                    </w:rPr>
                  </w:pPr>
                  <w:r w:rsidRPr="00566C0C">
                    <w:rPr>
                      <w:rFonts w:cs="Arial"/>
                      <w:szCs w:val="21"/>
                    </w:rPr>
                    <w:t>Intensive Support Services</w:t>
                  </w:r>
                </w:p>
              </w:tc>
              <w:tc>
                <w:tcPr>
                  <w:tcW w:w="1893" w:type="dxa"/>
                </w:tcPr>
                <w:p w14:paraId="398BB1FE" w14:textId="77777777" w:rsidR="00314E7F" w:rsidRPr="00566C0C" w:rsidRDefault="00314E7F" w:rsidP="00566C0C">
                  <w:pPr>
                    <w:pStyle w:val="Body"/>
                    <w:rPr>
                      <w:rFonts w:cs="Arial"/>
                      <w:szCs w:val="21"/>
                    </w:rPr>
                  </w:pPr>
                  <w:r w:rsidRPr="00566C0C">
                    <w:rPr>
                      <w:rFonts w:cs="Arial"/>
                      <w:szCs w:val="21"/>
                    </w:rPr>
                    <w:t>18 months</w:t>
                  </w:r>
                </w:p>
              </w:tc>
              <w:tc>
                <w:tcPr>
                  <w:tcW w:w="1893" w:type="dxa"/>
                </w:tcPr>
                <w:p w14:paraId="3F382803" w14:textId="77777777" w:rsidR="00314E7F" w:rsidRPr="00566C0C" w:rsidRDefault="00314E7F" w:rsidP="00566C0C">
                  <w:pPr>
                    <w:pStyle w:val="Body"/>
                    <w:rPr>
                      <w:rFonts w:cs="Arial"/>
                      <w:szCs w:val="21"/>
                    </w:rPr>
                  </w:pPr>
                  <w:r w:rsidRPr="00566C0C">
                    <w:rPr>
                      <w:rFonts w:cs="Arial"/>
                      <w:szCs w:val="21"/>
                    </w:rPr>
                    <w:t>18 months</w:t>
                  </w:r>
                </w:p>
              </w:tc>
              <w:tc>
                <w:tcPr>
                  <w:tcW w:w="1894" w:type="dxa"/>
                </w:tcPr>
                <w:p w14:paraId="6863C14C" w14:textId="77777777" w:rsidR="00314E7F" w:rsidRPr="00566C0C" w:rsidRDefault="00314E7F" w:rsidP="00566C0C">
                  <w:pPr>
                    <w:pStyle w:val="Body"/>
                    <w:rPr>
                      <w:rFonts w:cs="Arial"/>
                      <w:szCs w:val="21"/>
                    </w:rPr>
                  </w:pPr>
                  <w:r w:rsidRPr="00566C0C">
                    <w:rPr>
                      <w:rFonts w:cs="Arial"/>
                      <w:szCs w:val="21"/>
                    </w:rPr>
                    <w:t>24 months</w:t>
                  </w:r>
                </w:p>
              </w:tc>
            </w:tr>
            <w:tr w:rsidR="00314E7F" w:rsidRPr="00566C0C" w14:paraId="4AFD8B05" w14:textId="77777777" w:rsidTr="003421CB">
              <w:tc>
                <w:tcPr>
                  <w:tcW w:w="1785" w:type="dxa"/>
                </w:tcPr>
                <w:p w14:paraId="27EC1264" w14:textId="77777777" w:rsidR="00314E7F" w:rsidRPr="00566C0C" w:rsidRDefault="00314E7F" w:rsidP="00566C0C">
                  <w:pPr>
                    <w:pStyle w:val="Body"/>
                    <w:rPr>
                      <w:rFonts w:cs="Arial"/>
                      <w:szCs w:val="21"/>
                    </w:rPr>
                  </w:pPr>
                  <w:r w:rsidRPr="00566C0C">
                    <w:rPr>
                      <w:rFonts w:cs="Arial"/>
                      <w:szCs w:val="21"/>
                    </w:rPr>
                    <w:t>Targeted and Tailored Support Services</w:t>
                  </w:r>
                </w:p>
              </w:tc>
              <w:tc>
                <w:tcPr>
                  <w:tcW w:w="1893" w:type="dxa"/>
                </w:tcPr>
                <w:p w14:paraId="268A3F20" w14:textId="77777777" w:rsidR="00314E7F" w:rsidRPr="00566C0C" w:rsidRDefault="00314E7F" w:rsidP="00566C0C">
                  <w:pPr>
                    <w:pStyle w:val="Body"/>
                    <w:rPr>
                      <w:rFonts w:cs="Arial"/>
                      <w:szCs w:val="21"/>
                    </w:rPr>
                  </w:pPr>
                  <w:r w:rsidRPr="00566C0C">
                    <w:rPr>
                      <w:rFonts w:cs="Arial"/>
                      <w:szCs w:val="21"/>
                    </w:rPr>
                    <w:t>12 months</w:t>
                  </w:r>
                </w:p>
              </w:tc>
              <w:tc>
                <w:tcPr>
                  <w:tcW w:w="1893" w:type="dxa"/>
                </w:tcPr>
                <w:p w14:paraId="20A47C54" w14:textId="77777777" w:rsidR="00314E7F" w:rsidRPr="00566C0C" w:rsidRDefault="00314E7F" w:rsidP="00566C0C">
                  <w:pPr>
                    <w:pStyle w:val="Body"/>
                    <w:rPr>
                      <w:rFonts w:cs="Arial"/>
                      <w:szCs w:val="21"/>
                    </w:rPr>
                  </w:pPr>
                  <w:r w:rsidRPr="00566C0C">
                    <w:rPr>
                      <w:rFonts w:cs="Arial"/>
                      <w:szCs w:val="21"/>
                    </w:rPr>
                    <w:t>12 months</w:t>
                  </w:r>
                </w:p>
              </w:tc>
              <w:tc>
                <w:tcPr>
                  <w:tcW w:w="1894" w:type="dxa"/>
                </w:tcPr>
                <w:p w14:paraId="614263DA" w14:textId="77777777" w:rsidR="00314E7F" w:rsidRPr="00566C0C" w:rsidRDefault="00314E7F" w:rsidP="00566C0C">
                  <w:pPr>
                    <w:pStyle w:val="Body"/>
                    <w:rPr>
                      <w:rFonts w:cs="Arial"/>
                      <w:szCs w:val="21"/>
                    </w:rPr>
                  </w:pPr>
                  <w:r w:rsidRPr="00566C0C">
                    <w:rPr>
                      <w:rFonts w:cs="Arial"/>
                      <w:szCs w:val="21"/>
                    </w:rPr>
                    <w:t>24 months</w:t>
                  </w:r>
                </w:p>
              </w:tc>
            </w:tr>
          </w:tbl>
          <w:p w14:paraId="7BCB1D13" w14:textId="77777777" w:rsidR="00314E7F" w:rsidRPr="00566C0C" w:rsidRDefault="00314E7F" w:rsidP="00566C0C">
            <w:pPr>
              <w:pStyle w:val="Body"/>
              <w:rPr>
                <w:rFonts w:cs="Arial"/>
                <w:szCs w:val="21"/>
                <w:lang w:val="en-GB" w:eastAsia="en-AU"/>
              </w:rPr>
            </w:pPr>
          </w:p>
        </w:tc>
      </w:tr>
      <w:tr w:rsidR="00314E7F" w:rsidRPr="00314E7F" w14:paraId="06671485" w14:textId="77777777" w:rsidTr="007516E6">
        <w:trPr>
          <w:trHeight w:val="495"/>
        </w:trPr>
        <w:tc>
          <w:tcPr>
            <w:tcW w:w="2200" w:type="dxa"/>
          </w:tcPr>
          <w:p w14:paraId="11115868" w14:textId="77777777" w:rsidR="00314E7F" w:rsidRPr="00566C0C" w:rsidRDefault="00314E7F" w:rsidP="00566C0C">
            <w:pPr>
              <w:pStyle w:val="Body"/>
              <w:rPr>
                <w:rFonts w:cs="Arial"/>
                <w:bCs/>
                <w:szCs w:val="21"/>
                <w:lang w:val="en-GB" w:eastAsia="en-AU"/>
              </w:rPr>
            </w:pPr>
            <w:r w:rsidRPr="00566C0C">
              <w:rPr>
                <w:rFonts w:cs="Arial"/>
                <w:bCs/>
                <w:szCs w:val="21"/>
                <w:lang w:val="en-GB" w:eastAsia="en-AU"/>
              </w:rPr>
              <w:lastRenderedPageBreak/>
              <w:t>Victorian Housing Register (VHR)</w:t>
            </w:r>
          </w:p>
        </w:tc>
        <w:tc>
          <w:tcPr>
            <w:tcW w:w="7886" w:type="dxa"/>
          </w:tcPr>
          <w:p w14:paraId="617952B7" w14:textId="77777777" w:rsidR="00314E7F" w:rsidRPr="00566C0C" w:rsidRDefault="00314E7F" w:rsidP="00566C0C">
            <w:pPr>
              <w:pStyle w:val="Body"/>
              <w:rPr>
                <w:color w:val="333333"/>
                <w:szCs w:val="21"/>
                <w:lang w:eastAsia="en-AU"/>
              </w:rPr>
            </w:pPr>
            <w:r w:rsidRPr="00566C0C">
              <w:rPr>
                <w:rFonts w:cs="Arial"/>
                <w:color w:val="032833" w:themeColor="text1"/>
                <w:szCs w:val="21"/>
                <w:lang w:eastAsia="en-AU"/>
              </w:rPr>
              <w:t xml:space="preserve">The Victorian Housing Register is a single register of all social housing applications. </w:t>
            </w:r>
            <w:r w:rsidRPr="00566C0C">
              <w:rPr>
                <w:rFonts w:cs="Arial"/>
                <w:color w:val="333333"/>
                <w:szCs w:val="21"/>
                <w:lang w:eastAsia="en-AU"/>
              </w:rPr>
              <w:t xml:space="preserve">The register applies to both public and community housing. </w:t>
            </w:r>
          </w:p>
        </w:tc>
      </w:tr>
    </w:tbl>
    <w:p w14:paraId="0A50852F" w14:textId="35C51789" w:rsidR="00314E7F" w:rsidRDefault="00314E7F" w:rsidP="00314E7F">
      <w:pPr>
        <w:pStyle w:val="Heading1"/>
      </w:pPr>
      <w:bookmarkStart w:id="2" w:name="_Toc121134062"/>
      <w:r>
        <w:t>Overview</w:t>
      </w:r>
      <w:bookmarkEnd w:id="2"/>
    </w:p>
    <w:p w14:paraId="4AAC6A50" w14:textId="77777777" w:rsidR="00314E7F" w:rsidRPr="00314E7F" w:rsidRDefault="00314E7F" w:rsidP="00314E7F">
      <w:pPr>
        <w:pStyle w:val="DHHSbody"/>
        <w:rPr>
          <w:rFonts w:ascii="Verdana" w:hAnsi="Verdana"/>
          <w:sz w:val="21"/>
          <w:szCs w:val="21"/>
        </w:rPr>
      </w:pPr>
      <w:r w:rsidRPr="00314E7F">
        <w:rPr>
          <w:rFonts w:ascii="Verdana" w:hAnsi="Verdana"/>
          <w:sz w:val="21"/>
          <w:szCs w:val="21"/>
        </w:rPr>
        <w:t xml:space="preserve">The </w:t>
      </w:r>
      <w:r w:rsidRPr="00314E7F">
        <w:rPr>
          <w:rFonts w:ascii="Verdana" w:hAnsi="Verdana"/>
          <w:i/>
          <w:iCs/>
          <w:sz w:val="21"/>
          <w:szCs w:val="21"/>
        </w:rPr>
        <w:t>From Homelessness to a Home</w:t>
      </w:r>
      <w:r w:rsidRPr="00314E7F">
        <w:rPr>
          <w:rFonts w:ascii="Verdana" w:hAnsi="Verdana"/>
          <w:i/>
          <w:sz w:val="21"/>
          <w:szCs w:val="21"/>
        </w:rPr>
        <w:t xml:space="preserve"> </w:t>
      </w:r>
      <w:r w:rsidRPr="00314E7F">
        <w:rPr>
          <w:rFonts w:ascii="Verdana" w:hAnsi="Verdana"/>
          <w:i/>
          <w:iCs/>
          <w:sz w:val="21"/>
          <w:szCs w:val="21"/>
        </w:rPr>
        <w:t>(H2H)</w:t>
      </w:r>
      <w:r w:rsidRPr="00314E7F">
        <w:rPr>
          <w:rFonts w:ascii="Verdana" w:hAnsi="Verdana"/>
          <w:sz w:val="21"/>
          <w:szCs w:val="21"/>
        </w:rPr>
        <w:t xml:space="preserve"> program will provide 1,845 households with access to stable medium- and long-term housing and support packages to people experiencing homelessness who are residing in emergency accommodation due to the coronavirus (COVID-19) pandemic prior to 6 December 2020. The program is an opportunity to make a significant, lasting impact on homelessness and rough sleeping in Victoria. Many of the people supported into emergency accommodation have experienced long-term homelessness and disadvantage and have complex needs; this investment will provide the affordable housing and support they need to promote their health and wellbeing and prevent a return to rough sleeping. </w:t>
      </w:r>
    </w:p>
    <w:p w14:paraId="5377571A" w14:textId="77777777" w:rsidR="00314E7F" w:rsidRPr="00314E7F" w:rsidRDefault="00314E7F" w:rsidP="00314E7F">
      <w:pPr>
        <w:pStyle w:val="DHHSbody"/>
        <w:rPr>
          <w:rFonts w:ascii="Verdana" w:hAnsi="Verdana"/>
          <w:sz w:val="21"/>
          <w:szCs w:val="21"/>
        </w:rPr>
      </w:pPr>
      <w:r w:rsidRPr="00314E7F">
        <w:rPr>
          <w:rFonts w:ascii="Verdana" w:hAnsi="Verdana"/>
          <w:sz w:val="21"/>
          <w:szCs w:val="21"/>
        </w:rPr>
        <w:t>The H2H program incorporates property services (including identification and securing of dwellings and property management), support services and flexible brokerage. Property Service Providers and Support Service Providers will work in partnership to deliver a seamless and quality service to the shared Clients receiving support through the H2H program.</w:t>
      </w:r>
    </w:p>
    <w:p w14:paraId="24556AB2" w14:textId="77777777" w:rsidR="00314E7F" w:rsidRPr="00314E7F" w:rsidRDefault="00314E7F" w:rsidP="00314E7F">
      <w:pPr>
        <w:spacing w:before="120" w:line="270" w:lineRule="atLeast"/>
        <w:rPr>
          <w:rFonts w:cs="Arial"/>
          <w:szCs w:val="21"/>
          <w:lang w:val="en-US"/>
        </w:rPr>
      </w:pPr>
      <w:r w:rsidRPr="00314E7F">
        <w:rPr>
          <w:rFonts w:eastAsia="Times" w:cs="Arial"/>
          <w:szCs w:val="21"/>
          <w:lang w:val="en-US"/>
        </w:rPr>
        <w:t xml:space="preserve">Services delivered under this program will be delivered in a culturally appropriate way and in partnership with local Aboriginal services where possible. The Victorian Aboriginal Housing and Homelessness Framework - </w:t>
      </w:r>
      <w:r w:rsidRPr="00314E7F">
        <w:rPr>
          <w:rFonts w:eastAsia="Times" w:cs="Arial"/>
          <w:i/>
          <w:iCs/>
          <w:szCs w:val="21"/>
          <w:lang w:val="en-US"/>
        </w:rPr>
        <w:t>Mana-</w:t>
      </w:r>
      <w:proofErr w:type="spellStart"/>
      <w:r w:rsidRPr="00314E7F">
        <w:rPr>
          <w:rFonts w:eastAsia="Times" w:cs="Arial"/>
          <w:i/>
          <w:iCs/>
          <w:szCs w:val="21"/>
          <w:lang w:val="en-US"/>
        </w:rPr>
        <w:t>na</w:t>
      </w:r>
      <w:proofErr w:type="spellEnd"/>
      <w:r w:rsidRPr="00314E7F">
        <w:rPr>
          <w:rFonts w:eastAsia="Times" w:cs="Arial"/>
          <w:i/>
          <w:iCs/>
          <w:szCs w:val="21"/>
          <w:lang w:val="en-US"/>
        </w:rPr>
        <w:t xml:space="preserve"> </w:t>
      </w:r>
      <w:proofErr w:type="spellStart"/>
      <w:r w:rsidRPr="00314E7F">
        <w:rPr>
          <w:rFonts w:eastAsia="Times" w:cs="Arial"/>
          <w:i/>
          <w:iCs/>
          <w:szCs w:val="21"/>
          <w:lang w:val="en-US"/>
        </w:rPr>
        <w:t>Woorn-tyeen</w:t>
      </w:r>
      <w:proofErr w:type="spellEnd"/>
      <w:r w:rsidRPr="00314E7F">
        <w:rPr>
          <w:rFonts w:eastAsia="Times" w:cs="Arial"/>
          <w:i/>
          <w:iCs/>
          <w:szCs w:val="21"/>
          <w:lang w:val="en-US"/>
        </w:rPr>
        <w:t xml:space="preserve"> Maar-</w:t>
      </w:r>
      <w:proofErr w:type="spellStart"/>
      <w:r w:rsidRPr="00314E7F">
        <w:rPr>
          <w:rFonts w:eastAsia="Times" w:cs="Arial"/>
          <w:i/>
          <w:iCs/>
          <w:szCs w:val="21"/>
          <w:lang w:val="en-US"/>
        </w:rPr>
        <w:t>takoort</w:t>
      </w:r>
      <w:proofErr w:type="spellEnd"/>
      <w:r w:rsidRPr="00314E7F">
        <w:rPr>
          <w:rFonts w:eastAsia="Times" w:cs="Arial"/>
          <w:b/>
          <w:bCs/>
          <w:szCs w:val="21"/>
          <w:lang w:val="en-US"/>
        </w:rPr>
        <w:t xml:space="preserve"> –</w:t>
      </w:r>
      <w:r w:rsidRPr="00314E7F">
        <w:rPr>
          <w:rFonts w:eastAsia="Times" w:cs="Arial"/>
          <w:szCs w:val="21"/>
          <w:lang w:val="en-US"/>
        </w:rPr>
        <w:t xml:space="preserve"> sets out an approach to ensuring all Aboriginal Victorians have safe, secure and stable housing  </w:t>
      </w:r>
      <w:hyperlink>
        <w:r w:rsidRPr="00314E7F">
          <w:rPr>
            <w:rStyle w:val="Hyperlink"/>
            <w:rFonts w:eastAsia="Times" w:cs="Arial"/>
            <w:szCs w:val="21"/>
            <w:lang w:val="en-US"/>
          </w:rPr>
          <w:t>https://www.vahhf.org.au/</w:t>
        </w:r>
      </w:hyperlink>
      <w:r w:rsidRPr="00314E7F">
        <w:rPr>
          <w:rStyle w:val="Hyperlink"/>
          <w:rFonts w:eastAsia="Times" w:cs="Arial"/>
          <w:szCs w:val="21"/>
          <w:lang w:val="en-US"/>
        </w:rPr>
        <w:t xml:space="preserve">. The framework is a </w:t>
      </w:r>
      <w:r w:rsidRPr="00314E7F">
        <w:rPr>
          <w:rFonts w:eastAsia="Times" w:cs="Arial"/>
          <w:szCs w:val="21"/>
          <w:lang w:val="en-US"/>
        </w:rPr>
        <w:t>guiding document for delivering H2H to Aboriginal people.</w:t>
      </w:r>
    </w:p>
    <w:p w14:paraId="6524B484" w14:textId="0F7F4269" w:rsidR="00314E7F" w:rsidRDefault="00314E7F" w:rsidP="00314E7F">
      <w:pPr>
        <w:pStyle w:val="Body"/>
        <w:rPr>
          <w:szCs w:val="21"/>
        </w:rPr>
      </w:pPr>
      <w:r w:rsidRPr="00314E7F">
        <w:rPr>
          <w:szCs w:val="21"/>
        </w:rPr>
        <w:t>Following Housing First principles</w:t>
      </w:r>
      <w:r w:rsidRPr="00314E7F">
        <w:rPr>
          <w:rStyle w:val="FootnoteReference"/>
          <w:szCs w:val="21"/>
        </w:rPr>
        <w:footnoteReference w:id="3"/>
      </w:r>
      <w:r w:rsidRPr="00314E7F">
        <w:rPr>
          <w:szCs w:val="21"/>
        </w:rPr>
        <w:t>, the primary aim is to house people as quickly as possible to prevent further harm from sleeping rough or living in emergency accommodation. Securing a safe place to live means recovery can start and further non housing needs can be met more effectively.</w:t>
      </w:r>
    </w:p>
    <w:p w14:paraId="050EEB9B" w14:textId="6139B98C" w:rsidR="00314E7F" w:rsidRDefault="00314E7F" w:rsidP="00314E7F">
      <w:pPr>
        <w:pStyle w:val="Heading2"/>
      </w:pPr>
      <w:bookmarkStart w:id="3" w:name="_Toc121134063"/>
      <w:r>
        <w:t>Housing</w:t>
      </w:r>
      <w:bookmarkEnd w:id="3"/>
    </w:p>
    <w:p w14:paraId="5D75F310" w14:textId="77777777" w:rsidR="00314E7F" w:rsidRDefault="00314E7F" w:rsidP="00710372">
      <w:pPr>
        <w:pStyle w:val="Body"/>
      </w:pPr>
      <w:r w:rsidRPr="13AE30AF">
        <w:t xml:space="preserve">The H2H program will house 1,845 households in properties located in regional and metropolitan areas of Victoria. </w:t>
      </w:r>
      <w:bookmarkStart w:id="4" w:name="_Hlk81412369"/>
      <w:r w:rsidRPr="13AE30AF">
        <w:t>Properties will consist of a combination of those owned by the Registered Housing Provider, private rental properties head</w:t>
      </w:r>
      <w:r>
        <w:t xml:space="preserve"> </w:t>
      </w:r>
      <w:r w:rsidRPr="13AE30AF">
        <w:t xml:space="preserve">leased by the Registered Housing Provider, newly acquired properties owned by </w:t>
      </w:r>
      <w:r>
        <w:t>Homes Victoria</w:t>
      </w:r>
      <w:r w:rsidRPr="13AE30AF">
        <w:t xml:space="preserve"> and leased to the Property Services Provider under a General Lease Agreement, and existing </w:t>
      </w:r>
      <w:r>
        <w:t>p</w:t>
      </w:r>
      <w:r w:rsidRPr="13AE30AF">
        <w:t xml:space="preserve">ublic </w:t>
      </w:r>
      <w:r>
        <w:t>h</w:t>
      </w:r>
      <w:r w:rsidRPr="13AE30AF">
        <w:t>ousing stock.</w:t>
      </w:r>
    </w:p>
    <w:bookmarkEnd w:id="4"/>
    <w:p w14:paraId="10FAA274" w14:textId="77777777" w:rsidR="00314E7F" w:rsidRDefault="00314E7F" w:rsidP="00710372">
      <w:pPr>
        <w:pStyle w:val="Body"/>
      </w:pPr>
      <w:r>
        <w:t xml:space="preserve">Head leasing properties will be used for rapid housing solution, and this is framed by a continuum of support from more intensive (to help a Client maintain their housing while they await long term social housing options), to less intensive, including financial assistance to </w:t>
      </w:r>
      <w:r>
        <w:lastRenderedPageBreak/>
        <w:t xml:space="preserve">maintain housing that provides stability to enable the Client to access private rental or other appropriate housing options. </w:t>
      </w:r>
    </w:p>
    <w:p w14:paraId="7A36F65B" w14:textId="77777777" w:rsidR="00314E7F" w:rsidRDefault="00314E7F" w:rsidP="00314E7F">
      <w:pPr>
        <w:rPr>
          <w:rFonts w:ascii="Arial" w:hAnsi="Arial" w:cs="Arial"/>
          <w:b/>
          <w:bCs/>
          <w:i/>
          <w:iCs/>
          <w:lang w:val="en-GB"/>
        </w:rPr>
      </w:pPr>
    </w:p>
    <w:p w14:paraId="2996066F" w14:textId="77777777" w:rsidR="00314E7F" w:rsidRPr="000E79CF" w:rsidRDefault="00314E7F" w:rsidP="00314E7F">
      <w:pPr>
        <w:pStyle w:val="Caption"/>
        <w:keepNext/>
        <w:rPr>
          <w:rFonts w:ascii="Arial" w:hAnsi="Arial" w:cs="Arial"/>
          <w:b/>
          <w:bCs/>
        </w:rPr>
      </w:pPr>
      <w:bookmarkStart w:id="5" w:name="_Ref112145256"/>
      <w:r w:rsidRPr="000E79CF">
        <w:rPr>
          <w:rFonts w:ascii="Arial" w:hAnsi="Arial" w:cs="Arial"/>
          <w:b/>
          <w:bCs/>
          <w:sz w:val="20"/>
          <w:szCs w:val="20"/>
        </w:rPr>
        <w:t xml:space="preserve">Table </w:t>
      </w:r>
      <w:r w:rsidRPr="000E79CF">
        <w:rPr>
          <w:rFonts w:ascii="Arial" w:hAnsi="Arial" w:cs="Arial"/>
          <w:b/>
          <w:bCs/>
          <w:sz w:val="20"/>
          <w:szCs w:val="20"/>
        </w:rPr>
        <w:fldChar w:fldCharType="begin"/>
      </w:r>
      <w:r w:rsidRPr="000E79CF">
        <w:rPr>
          <w:rFonts w:ascii="Arial" w:hAnsi="Arial" w:cs="Arial"/>
          <w:b/>
          <w:bCs/>
          <w:sz w:val="20"/>
          <w:szCs w:val="20"/>
        </w:rPr>
        <w:instrText xml:space="preserve"> SEQ Table \* ARABIC </w:instrText>
      </w:r>
      <w:r w:rsidRPr="000E79CF">
        <w:rPr>
          <w:rFonts w:ascii="Arial" w:hAnsi="Arial" w:cs="Arial"/>
          <w:b/>
          <w:bCs/>
          <w:sz w:val="20"/>
          <w:szCs w:val="20"/>
        </w:rPr>
        <w:fldChar w:fldCharType="separate"/>
      </w:r>
      <w:r w:rsidRPr="000E79CF">
        <w:rPr>
          <w:rFonts w:ascii="Arial" w:hAnsi="Arial" w:cs="Arial"/>
          <w:b/>
          <w:bCs/>
          <w:noProof/>
          <w:sz w:val="20"/>
          <w:szCs w:val="20"/>
        </w:rPr>
        <w:t>1</w:t>
      </w:r>
      <w:r w:rsidRPr="000E79CF">
        <w:rPr>
          <w:rFonts w:ascii="Arial" w:hAnsi="Arial" w:cs="Arial"/>
          <w:b/>
          <w:bCs/>
          <w:sz w:val="20"/>
          <w:szCs w:val="20"/>
        </w:rPr>
        <w:fldChar w:fldCharType="end"/>
      </w:r>
      <w:bookmarkEnd w:id="5"/>
      <w:r w:rsidRPr="000E79CF">
        <w:rPr>
          <w:rFonts w:ascii="Arial" w:hAnsi="Arial" w:cs="Arial"/>
          <w:b/>
          <w:bCs/>
          <w:sz w:val="20"/>
          <w:szCs w:val="20"/>
        </w:rPr>
        <w:t xml:space="preserve">: The </w:t>
      </w:r>
      <w:r>
        <w:rPr>
          <w:rFonts w:ascii="Arial" w:hAnsi="Arial" w:cs="Arial"/>
          <w:b/>
          <w:bCs/>
          <w:sz w:val="20"/>
          <w:szCs w:val="20"/>
        </w:rPr>
        <w:t xml:space="preserve">initial </w:t>
      </w:r>
      <w:r w:rsidRPr="000E79CF">
        <w:rPr>
          <w:rFonts w:ascii="Arial" w:hAnsi="Arial" w:cs="Arial"/>
          <w:b/>
          <w:bCs/>
          <w:sz w:val="20"/>
          <w:szCs w:val="20"/>
        </w:rPr>
        <w:t>term of service provision for each service type</w:t>
      </w:r>
    </w:p>
    <w:tbl>
      <w:tblPr>
        <w:tblStyle w:val="TableGrid"/>
        <w:tblW w:w="10206" w:type="dxa"/>
        <w:tblInd w:w="-5" w:type="dxa"/>
        <w:tblLook w:val="04A0" w:firstRow="1" w:lastRow="0" w:firstColumn="1" w:lastColumn="0" w:noHBand="0" w:noVBand="1"/>
      </w:tblPr>
      <w:tblGrid>
        <w:gridCol w:w="2977"/>
        <w:gridCol w:w="2410"/>
        <w:gridCol w:w="2410"/>
        <w:gridCol w:w="2409"/>
      </w:tblGrid>
      <w:tr w:rsidR="00314E7F" w:rsidRPr="00FD0D2C" w14:paraId="44CF305C" w14:textId="77777777" w:rsidTr="007516E6">
        <w:trPr>
          <w:cnfStyle w:val="100000000000" w:firstRow="1" w:lastRow="0" w:firstColumn="0" w:lastColumn="0" w:oddVBand="0" w:evenVBand="0" w:oddHBand="0" w:evenHBand="0" w:firstRowFirstColumn="0" w:firstRowLastColumn="0" w:lastRowFirstColumn="0" w:lastRowLastColumn="0"/>
        </w:trPr>
        <w:tc>
          <w:tcPr>
            <w:tcW w:w="2977" w:type="dxa"/>
          </w:tcPr>
          <w:p w14:paraId="7B819016" w14:textId="77777777" w:rsidR="00314E7F" w:rsidRPr="003421CB" w:rsidRDefault="00314E7F" w:rsidP="000559C9">
            <w:pPr>
              <w:pStyle w:val="Body"/>
              <w:rPr>
                <w:b/>
                <w:bCs/>
                <w:color w:val="FFFFFF" w:themeColor="background1"/>
              </w:rPr>
            </w:pPr>
            <w:r w:rsidRPr="003421CB">
              <w:rPr>
                <w:b/>
                <w:bCs/>
                <w:color w:val="FFFFFF" w:themeColor="background1"/>
              </w:rPr>
              <w:t>Service Component</w:t>
            </w:r>
          </w:p>
        </w:tc>
        <w:tc>
          <w:tcPr>
            <w:tcW w:w="2410" w:type="dxa"/>
          </w:tcPr>
          <w:p w14:paraId="34818BF0" w14:textId="77777777" w:rsidR="00314E7F" w:rsidRPr="003421CB" w:rsidRDefault="00314E7F" w:rsidP="000559C9">
            <w:pPr>
              <w:pStyle w:val="Body"/>
              <w:rPr>
                <w:b/>
                <w:bCs/>
                <w:color w:val="FFFFFF" w:themeColor="background1"/>
              </w:rPr>
            </w:pPr>
            <w:r w:rsidRPr="003421CB">
              <w:rPr>
                <w:b/>
                <w:bCs/>
                <w:color w:val="FFFFFF" w:themeColor="background1"/>
              </w:rPr>
              <w:t>Public Housing</w:t>
            </w:r>
            <w:r w:rsidRPr="003421CB">
              <w:rPr>
                <w:rFonts w:cs="Arial"/>
                <w:b/>
                <w:bCs/>
                <w:color w:val="FFFFFF" w:themeColor="background1"/>
              </w:rPr>
              <w:t xml:space="preserve"> </w:t>
            </w:r>
          </w:p>
        </w:tc>
        <w:tc>
          <w:tcPr>
            <w:tcW w:w="2410" w:type="dxa"/>
          </w:tcPr>
          <w:p w14:paraId="68E2380C" w14:textId="77777777" w:rsidR="00314E7F" w:rsidRPr="003421CB" w:rsidRDefault="00314E7F" w:rsidP="000559C9">
            <w:pPr>
              <w:pStyle w:val="Body"/>
              <w:rPr>
                <w:rFonts w:cs="Arial"/>
                <w:b/>
                <w:bCs/>
                <w:color w:val="FFFFFF" w:themeColor="background1"/>
              </w:rPr>
            </w:pPr>
            <w:r w:rsidRPr="003421CB">
              <w:rPr>
                <w:rFonts w:cs="Arial"/>
                <w:b/>
                <w:bCs/>
                <w:color w:val="FFFFFF" w:themeColor="background1"/>
              </w:rPr>
              <w:t>General Lease Property</w:t>
            </w:r>
          </w:p>
        </w:tc>
        <w:tc>
          <w:tcPr>
            <w:tcW w:w="2409" w:type="dxa"/>
          </w:tcPr>
          <w:p w14:paraId="498D1799" w14:textId="77777777" w:rsidR="00314E7F" w:rsidRPr="003421CB" w:rsidRDefault="00314E7F" w:rsidP="000559C9">
            <w:pPr>
              <w:pStyle w:val="Body"/>
              <w:rPr>
                <w:b/>
                <w:bCs/>
                <w:color w:val="FFFFFF" w:themeColor="background1"/>
              </w:rPr>
            </w:pPr>
            <w:r w:rsidRPr="003421CB">
              <w:rPr>
                <w:b/>
                <w:bCs/>
                <w:color w:val="FFFFFF" w:themeColor="background1"/>
              </w:rPr>
              <w:t xml:space="preserve">Leased </w:t>
            </w:r>
            <w:r w:rsidRPr="003421CB">
              <w:rPr>
                <w:rFonts w:cs="Arial"/>
                <w:b/>
                <w:bCs/>
                <w:color w:val="FFFFFF" w:themeColor="background1"/>
              </w:rPr>
              <w:t xml:space="preserve">Dwellings </w:t>
            </w:r>
            <w:r w:rsidRPr="003421CB">
              <w:rPr>
                <w:b/>
                <w:bCs/>
                <w:color w:val="FFFFFF" w:themeColor="background1"/>
              </w:rPr>
              <w:t>and Owned Dwellings</w:t>
            </w:r>
          </w:p>
        </w:tc>
      </w:tr>
      <w:tr w:rsidR="00314E7F" w14:paraId="1A1ABF97" w14:textId="77777777" w:rsidTr="007516E6">
        <w:tc>
          <w:tcPr>
            <w:tcW w:w="2977" w:type="dxa"/>
          </w:tcPr>
          <w:p w14:paraId="5B7F02DA" w14:textId="77777777" w:rsidR="00314E7F" w:rsidRDefault="00314E7F" w:rsidP="000559C9">
            <w:pPr>
              <w:pStyle w:val="Body"/>
              <w:rPr>
                <w:rFonts w:cs="Arial"/>
              </w:rPr>
            </w:pPr>
            <w:r>
              <w:rPr>
                <w:rFonts w:cs="Arial"/>
              </w:rPr>
              <w:t>Property Services</w:t>
            </w:r>
          </w:p>
        </w:tc>
        <w:tc>
          <w:tcPr>
            <w:tcW w:w="2410" w:type="dxa"/>
          </w:tcPr>
          <w:p w14:paraId="329D3F56" w14:textId="77777777" w:rsidR="00314E7F" w:rsidRDefault="00314E7F" w:rsidP="000559C9">
            <w:pPr>
              <w:pStyle w:val="Body"/>
              <w:rPr>
                <w:rFonts w:cs="Arial"/>
              </w:rPr>
            </w:pPr>
            <w:r>
              <w:rPr>
                <w:rFonts w:cs="Arial"/>
              </w:rPr>
              <w:t>n/a</w:t>
            </w:r>
          </w:p>
        </w:tc>
        <w:tc>
          <w:tcPr>
            <w:tcW w:w="2410" w:type="dxa"/>
          </w:tcPr>
          <w:p w14:paraId="55938D6C" w14:textId="77777777" w:rsidR="00314E7F" w:rsidRDefault="00314E7F" w:rsidP="000559C9">
            <w:pPr>
              <w:pStyle w:val="Body"/>
              <w:rPr>
                <w:rFonts w:cs="Arial"/>
              </w:rPr>
            </w:pPr>
            <w:r>
              <w:rPr>
                <w:rFonts w:cs="Arial"/>
              </w:rPr>
              <w:t>18 months</w:t>
            </w:r>
          </w:p>
        </w:tc>
        <w:tc>
          <w:tcPr>
            <w:tcW w:w="2409" w:type="dxa"/>
          </w:tcPr>
          <w:p w14:paraId="18A55781" w14:textId="77777777" w:rsidR="00314E7F" w:rsidRDefault="00314E7F" w:rsidP="000559C9">
            <w:pPr>
              <w:pStyle w:val="Body"/>
              <w:rPr>
                <w:rFonts w:cs="Arial"/>
              </w:rPr>
            </w:pPr>
            <w:r>
              <w:rPr>
                <w:rFonts w:cs="Arial"/>
              </w:rPr>
              <w:t>18 months</w:t>
            </w:r>
          </w:p>
        </w:tc>
      </w:tr>
      <w:tr w:rsidR="00314E7F" w14:paraId="52B67825" w14:textId="77777777" w:rsidTr="007516E6">
        <w:tc>
          <w:tcPr>
            <w:tcW w:w="2977" w:type="dxa"/>
          </w:tcPr>
          <w:p w14:paraId="0F34C186" w14:textId="77777777" w:rsidR="00314E7F" w:rsidRDefault="00314E7F" w:rsidP="000559C9">
            <w:pPr>
              <w:pStyle w:val="Body"/>
              <w:rPr>
                <w:rFonts w:cs="Arial"/>
              </w:rPr>
            </w:pPr>
            <w:r>
              <w:rPr>
                <w:rFonts w:cs="Arial"/>
              </w:rPr>
              <w:t>Intensive Support Services</w:t>
            </w:r>
          </w:p>
        </w:tc>
        <w:tc>
          <w:tcPr>
            <w:tcW w:w="2410" w:type="dxa"/>
          </w:tcPr>
          <w:p w14:paraId="75F0F7F6" w14:textId="77777777" w:rsidR="00314E7F" w:rsidRDefault="00314E7F" w:rsidP="000559C9">
            <w:pPr>
              <w:pStyle w:val="Body"/>
              <w:rPr>
                <w:rFonts w:cs="Arial"/>
              </w:rPr>
            </w:pPr>
            <w:r>
              <w:rPr>
                <w:rFonts w:cs="Arial"/>
              </w:rPr>
              <w:t>18 months</w:t>
            </w:r>
          </w:p>
        </w:tc>
        <w:tc>
          <w:tcPr>
            <w:tcW w:w="2410" w:type="dxa"/>
          </w:tcPr>
          <w:p w14:paraId="386580BE" w14:textId="77777777" w:rsidR="00314E7F" w:rsidRDefault="00314E7F" w:rsidP="000559C9">
            <w:pPr>
              <w:pStyle w:val="Body"/>
              <w:rPr>
                <w:rFonts w:cs="Arial"/>
              </w:rPr>
            </w:pPr>
            <w:r>
              <w:rPr>
                <w:rFonts w:cs="Arial"/>
              </w:rPr>
              <w:t>18 months</w:t>
            </w:r>
          </w:p>
        </w:tc>
        <w:tc>
          <w:tcPr>
            <w:tcW w:w="2409" w:type="dxa"/>
          </w:tcPr>
          <w:p w14:paraId="2908D3EA" w14:textId="77777777" w:rsidR="00314E7F" w:rsidRDefault="00314E7F" w:rsidP="000559C9">
            <w:pPr>
              <w:pStyle w:val="Body"/>
              <w:rPr>
                <w:rFonts w:cs="Arial"/>
              </w:rPr>
            </w:pPr>
            <w:r>
              <w:rPr>
                <w:rFonts w:cs="Arial"/>
              </w:rPr>
              <w:t>24 months</w:t>
            </w:r>
          </w:p>
        </w:tc>
      </w:tr>
      <w:tr w:rsidR="00314E7F" w14:paraId="3CF6B1FE" w14:textId="77777777" w:rsidTr="007516E6">
        <w:tc>
          <w:tcPr>
            <w:tcW w:w="2977" w:type="dxa"/>
          </w:tcPr>
          <w:p w14:paraId="3D2C0FDD" w14:textId="77777777" w:rsidR="00314E7F" w:rsidRDefault="00314E7F" w:rsidP="000559C9">
            <w:pPr>
              <w:pStyle w:val="Body"/>
              <w:rPr>
                <w:rFonts w:cs="Arial"/>
              </w:rPr>
            </w:pPr>
            <w:r>
              <w:rPr>
                <w:rFonts w:cs="Arial"/>
              </w:rPr>
              <w:t>Targeted and Tailored Support Services</w:t>
            </w:r>
          </w:p>
        </w:tc>
        <w:tc>
          <w:tcPr>
            <w:tcW w:w="2410" w:type="dxa"/>
          </w:tcPr>
          <w:p w14:paraId="5E6964C1" w14:textId="77777777" w:rsidR="00314E7F" w:rsidRDefault="00314E7F" w:rsidP="000559C9">
            <w:pPr>
              <w:pStyle w:val="Body"/>
              <w:rPr>
                <w:rFonts w:cs="Arial"/>
              </w:rPr>
            </w:pPr>
            <w:r>
              <w:rPr>
                <w:rFonts w:cs="Arial"/>
              </w:rPr>
              <w:t>12 months</w:t>
            </w:r>
          </w:p>
        </w:tc>
        <w:tc>
          <w:tcPr>
            <w:tcW w:w="2410" w:type="dxa"/>
          </w:tcPr>
          <w:p w14:paraId="0C4B274B" w14:textId="77777777" w:rsidR="00314E7F" w:rsidRDefault="00314E7F" w:rsidP="000559C9">
            <w:pPr>
              <w:pStyle w:val="Body"/>
              <w:rPr>
                <w:rFonts w:cs="Arial"/>
              </w:rPr>
            </w:pPr>
            <w:r>
              <w:rPr>
                <w:rFonts w:cs="Arial"/>
              </w:rPr>
              <w:t>12 months</w:t>
            </w:r>
          </w:p>
        </w:tc>
        <w:tc>
          <w:tcPr>
            <w:tcW w:w="2409" w:type="dxa"/>
          </w:tcPr>
          <w:p w14:paraId="3A2F204B" w14:textId="77777777" w:rsidR="00314E7F" w:rsidRDefault="00314E7F" w:rsidP="000559C9">
            <w:pPr>
              <w:pStyle w:val="Body"/>
              <w:rPr>
                <w:rFonts w:cs="Arial"/>
              </w:rPr>
            </w:pPr>
            <w:r>
              <w:rPr>
                <w:rFonts w:cs="Arial"/>
              </w:rPr>
              <w:t>24 months</w:t>
            </w:r>
          </w:p>
        </w:tc>
      </w:tr>
    </w:tbl>
    <w:p w14:paraId="3D963F13" w14:textId="77777777" w:rsidR="00314E7F" w:rsidRDefault="00314E7F" w:rsidP="00314E7F">
      <w:pPr>
        <w:pStyle w:val="Heading2"/>
        <w:rPr>
          <w:rFonts w:eastAsia="Times"/>
          <w:lang w:val="en-US"/>
        </w:rPr>
      </w:pPr>
      <w:bookmarkStart w:id="6" w:name="_Toc121134064"/>
      <w:r>
        <w:rPr>
          <w:rFonts w:eastAsia="Times"/>
          <w:lang w:val="en-US"/>
        </w:rPr>
        <w:t>Additional Funding in Financial Year 2022-23</w:t>
      </w:r>
      <w:bookmarkEnd w:id="6"/>
    </w:p>
    <w:p w14:paraId="47FE7EBD" w14:textId="57E2BC22" w:rsidR="00314E7F" w:rsidRPr="00314E7F" w:rsidRDefault="00314E7F" w:rsidP="00314E7F">
      <w:pPr>
        <w:pStyle w:val="Body"/>
        <w:rPr>
          <w:szCs w:val="21"/>
          <w:lang w:val="en-US"/>
        </w:rPr>
      </w:pPr>
      <w:r w:rsidRPr="00314E7F">
        <w:rPr>
          <w:szCs w:val="21"/>
          <w:lang w:val="en-US"/>
        </w:rPr>
        <w:t xml:space="preserve">In addition to property and support services already fully funded in financial year (FY) 2022-23 and beyond, Homes Victoria has identified additional funding to support existing H2H clients in FY2022-23.  All current service packages are funded for the agreed service period as shown in </w:t>
      </w:r>
      <w:r w:rsidRPr="00314E7F">
        <w:rPr>
          <w:szCs w:val="21"/>
          <w:lang w:val="en-US"/>
        </w:rPr>
        <w:fldChar w:fldCharType="begin"/>
      </w:r>
      <w:r w:rsidRPr="00314E7F">
        <w:rPr>
          <w:szCs w:val="21"/>
          <w:lang w:val="en-US"/>
        </w:rPr>
        <w:instrText xml:space="preserve"> REF _Ref112145256 \h  \* MERGEFORMAT </w:instrText>
      </w:r>
      <w:r w:rsidRPr="00314E7F">
        <w:rPr>
          <w:szCs w:val="21"/>
          <w:lang w:val="en-US"/>
        </w:rPr>
      </w:r>
      <w:r w:rsidRPr="00314E7F">
        <w:rPr>
          <w:szCs w:val="21"/>
          <w:lang w:val="en-US"/>
        </w:rPr>
        <w:fldChar w:fldCharType="separate"/>
      </w:r>
      <w:r w:rsidRPr="00314E7F">
        <w:rPr>
          <w:rFonts w:cs="Arial"/>
          <w:b/>
          <w:bCs/>
          <w:szCs w:val="21"/>
        </w:rPr>
        <w:t xml:space="preserve">Table </w:t>
      </w:r>
      <w:r w:rsidRPr="00314E7F">
        <w:rPr>
          <w:rFonts w:cs="Arial"/>
          <w:b/>
          <w:bCs/>
          <w:noProof/>
          <w:szCs w:val="21"/>
        </w:rPr>
        <w:t>1</w:t>
      </w:r>
      <w:r w:rsidRPr="00314E7F">
        <w:rPr>
          <w:szCs w:val="21"/>
          <w:lang w:val="en-US"/>
        </w:rPr>
        <w:fldChar w:fldCharType="end"/>
      </w:r>
      <w:r w:rsidRPr="00314E7F">
        <w:rPr>
          <w:szCs w:val="21"/>
          <w:lang w:val="en-US"/>
        </w:rPr>
        <w:t xml:space="preserve"> above. </w:t>
      </w:r>
    </w:p>
    <w:p w14:paraId="0950F367" w14:textId="77777777" w:rsidR="00314E7F" w:rsidRPr="00314E7F" w:rsidRDefault="00314E7F" w:rsidP="00314E7F">
      <w:pPr>
        <w:pStyle w:val="Body"/>
        <w:rPr>
          <w:szCs w:val="21"/>
          <w:lang w:val="en-US"/>
        </w:rPr>
      </w:pPr>
      <w:r w:rsidRPr="00314E7F">
        <w:rPr>
          <w:szCs w:val="21"/>
          <w:lang w:val="en-US"/>
        </w:rPr>
        <w:t>Agencies will re-assess the individual needs of clients with further service provision made available based indicatively around:</w:t>
      </w:r>
    </w:p>
    <w:p w14:paraId="019668A0" w14:textId="77777777" w:rsidR="00314E7F" w:rsidRPr="00314E7F" w:rsidRDefault="00314E7F" w:rsidP="00314E7F">
      <w:pPr>
        <w:pStyle w:val="Body"/>
        <w:rPr>
          <w:szCs w:val="21"/>
        </w:rPr>
      </w:pPr>
      <w:r w:rsidRPr="00314E7F">
        <w:rPr>
          <w:szCs w:val="21"/>
        </w:rPr>
        <w:t>75 per cent of Intensive Support clients continuing with Intensive Support until the end of FY2022-23.</w:t>
      </w:r>
    </w:p>
    <w:p w14:paraId="02386A11" w14:textId="77777777" w:rsidR="00314E7F" w:rsidRPr="00314E7F" w:rsidRDefault="00314E7F" w:rsidP="00314E7F">
      <w:pPr>
        <w:pStyle w:val="Body"/>
        <w:rPr>
          <w:szCs w:val="21"/>
        </w:rPr>
      </w:pPr>
      <w:r w:rsidRPr="00314E7F">
        <w:rPr>
          <w:szCs w:val="21"/>
        </w:rPr>
        <w:t>20 per cent of Intensive Support clients, who have achieved some of their goals, being offered further support at a Tailored and Targeted service level and transitioning over time (up until the end of FY2022-23).</w:t>
      </w:r>
    </w:p>
    <w:p w14:paraId="4949BA89" w14:textId="72FA5F0E" w:rsidR="00314E7F" w:rsidRPr="00314E7F" w:rsidRDefault="00314E7F" w:rsidP="00314E7F">
      <w:pPr>
        <w:pStyle w:val="Body"/>
        <w:rPr>
          <w:szCs w:val="21"/>
        </w:rPr>
      </w:pPr>
      <w:r w:rsidRPr="00314E7F">
        <w:rPr>
          <w:szCs w:val="21"/>
        </w:rPr>
        <w:t>90 per cent of current Tailored and Targeted Support clients continue with Tailored and Targeted support until the end of FY2022-23.</w:t>
      </w:r>
    </w:p>
    <w:p w14:paraId="2C85ED20" w14:textId="77777777" w:rsidR="00314E7F" w:rsidRPr="00314E7F" w:rsidRDefault="00314E7F" w:rsidP="00314E7F">
      <w:pPr>
        <w:pStyle w:val="Body"/>
        <w:rPr>
          <w:szCs w:val="21"/>
        </w:rPr>
      </w:pPr>
      <w:r w:rsidRPr="00314E7F">
        <w:rPr>
          <w:szCs w:val="21"/>
        </w:rPr>
        <w:t>Clients with current Tailored and Targeted packages who meet their goals within their agreed service period and/or do not require wrap-around supports (estimated to be approximately 10%) will receive ‘tenancy sustainment’ support from their property provider.</w:t>
      </w:r>
    </w:p>
    <w:p w14:paraId="28E6BD91" w14:textId="0206E1AE" w:rsidR="00314E7F" w:rsidRPr="00314E7F" w:rsidRDefault="00314E7F" w:rsidP="00314E7F">
      <w:pPr>
        <w:pStyle w:val="Body"/>
        <w:rPr>
          <w:rFonts w:cs="Arial"/>
          <w:szCs w:val="21"/>
          <w:lang w:val="en-US"/>
        </w:rPr>
      </w:pPr>
      <w:r w:rsidRPr="00314E7F">
        <w:rPr>
          <w:rFonts w:cs="Arial"/>
          <w:szCs w:val="21"/>
          <w:lang w:val="en-US"/>
        </w:rPr>
        <w:t xml:space="preserve">Please refer to Funding Table 2 in Appendix </w:t>
      </w:r>
      <w:r w:rsidR="009E70A1">
        <w:rPr>
          <w:rFonts w:cs="Arial"/>
          <w:szCs w:val="21"/>
          <w:lang w:val="en-US"/>
        </w:rPr>
        <w:t>1</w:t>
      </w:r>
      <w:r w:rsidRPr="00314E7F">
        <w:rPr>
          <w:rFonts w:cs="Arial"/>
          <w:szCs w:val="21"/>
          <w:lang w:val="en-US"/>
        </w:rPr>
        <w:t xml:space="preserve"> for further detail on this additional funding.</w:t>
      </w:r>
    </w:p>
    <w:p w14:paraId="37032E75" w14:textId="77777777" w:rsidR="00314E7F" w:rsidRPr="00314E7F" w:rsidRDefault="00314E7F" w:rsidP="00314E7F">
      <w:pPr>
        <w:pStyle w:val="Body"/>
        <w:rPr>
          <w:rFonts w:cs="Arial"/>
          <w:szCs w:val="21"/>
          <w:lang w:val="en-US"/>
        </w:rPr>
      </w:pPr>
      <w:r w:rsidRPr="00314E7F">
        <w:rPr>
          <w:rFonts w:cs="Arial"/>
          <w:szCs w:val="21"/>
          <w:lang w:val="en-US"/>
        </w:rPr>
        <w:t>Additional funding has also been allocated to extending Head Leases where clients are settled, and property providers are willing to extend. This will extend the term of Property Services for leased dwellings until Long Term Housing becomes available at the earliest opportunity.</w:t>
      </w:r>
    </w:p>
    <w:p w14:paraId="4FFD297E" w14:textId="77777777" w:rsidR="00314E7F" w:rsidRPr="00D52BC2" w:rsidRDefault="00314E7F" w:rsidP="00314E7F">
      <w:pPr>
        <w:pStyle w:val="Heading2"/>
        <w:rPr>
          <w:rFonts w:eastAsia="Times"/>
          <w:lang w:val="en-US"/>
        </w:rPr>
      </w:pPr>
      <w:bookmarkStart w:id="7" w:name="_Toc121134065"/>
      <w:r w:rsidRPr="00D52BC2">
        <w:rPr>
          <w:rFonts w:eastAsia="Times"/>
          <w:lang w:val="en-US"/>
        </w:rPr>
        <w:t>Monitoring and reporting</w:t>
      </w:r>
      <w:bookmarkEnd w:id="7"/>
      <w:r w:rsidRPr="00D52BC2">
        <w:rPr>
          <w:rFonts w:eastAsia="Times"/>
          <w:lang w:val="en-US"/>
        </w:rPr>
        <w:t xml:space="preserve"> </w:t>
      </w:r>
    </w:p>
    <w:p w14:paraId="3E2D966C" w14:textId="77777777" w:rsidR="00314E7F" w:rsidRPr="00314E7F" w:rsidRDefault="00314E7F" w:rsidP="00314E7F">
      <w:pPr>
        <w:pStyle w:val="Body"/>
      </w:pPr>
      <w:r w:rsidRPr="00314E7F">
        <w:t>The program and performance monitoring of services will follow processes set out in the Monitoring and Reporting Framework section of this document. This includes:</w:t>
      </w:r>
    </w:p>
    <w:p w14:paraId="75F08A4B" w14:textId="3F59E8A4" w:rsidR="00314E7F" w:rsidRPr="00314E7F" w:rsidRDefault="00314E7F" w:rsidP="00314E7F">
      <w:pPr>
        <w:pStyle w:val="Body"/>
        <w:rPr>
          <w:rFonts w:cs="Arial"/>
        </w:rPr>
      </w:pPr>
      <w:r w:rsidRPr="00314E7F">
        <w:rPr>
          <w:rFonts w:cs="Arial"/>
        </w:rPr>
        <w:t xml:space="preserve">An Emergency Management (EM) approach was established for a 12-month period which meant that the H2H Community Partners were required to complete Daily Client Report (DCR) on daily </w:t>
      </w:r>
      <w:r w:rsidRPr="00314E7F">
        <w:rPr>
          <w:rFonts w:cs="Arial"/>
        </w:rPr>
        <w:lastRenderedPageBreak/>
        <w:t>basis until February 2022</w:t>
      </w:r>
      <w:r w:rsidR="002540F2">
        <w:rPr>
          <w:rFonts w:cs="Arial"/>
        </w:rPr>
        <w:t>.</w:t>
      </w:r>
      <w:r w:rsidRPr="00314E7F">
        <w:rPr>
          <w:rFonts w:cs="Arial"/>
        </w:rPr>
        <w:t xml:space="preserve"> From March 2022, the requirement for a daily report was revised to a weekly report, and from October 2022 the requirement has been revised to monthly reporting.</w:t>
      </w:r>
    </w:p>
    <w:p w14:paraId="27F65004" w14:textId="5D0C73BA" w:rsidR="00314E7F" w:rsidRPr="00314E7F" w:rsidRDefault="00314E7F" w:rsidP="00314E7F">
      <w:pPr>
        <w:pStyle w:val="Body"/>
      </w:pPr>
      <w:r w:rsidRPr="00314E7F">
        <w:t xml:space="preserve">H2H Community Partners will be required to complete and submit a Six-Monthly Funding Reconciliation Report to the H2H Program in DFFH on the dates outlined in Appendix </w:t>
      </w:r>
      <w:r w:rsidR="009E70A1">
        <w:t>1</w:t>
      </w:r>
      <w:r w:rsidRPr="00314E7F">
        <w:t>, for the duration of the program.</w:t>
      </w:r>
    </w:p>
    <w:p w14:paraId="2F686B2B" w14:textId="77777777" w:rsidR="00314E7F" w:rsidRPr="00314E7F" w:rsidRDefault="00314E7F" w:rsidP="00314E7F">
      <w:pPr>
        <w:pStyle w:val="Body"/>
        <w:rPr>
          <w:rFonts w:cs="Arial"/>
        </w:rPr>
      </w:pPr>
      <w:r w:rsidRPr="00314E7F">
        <w:rPr>
          <w:rFonts w:cs="Arial"/>
        </w:rPr>
        <w:t>Existing homelessness data reporting against funded activities on a quarterly basis is required and this will be further expanded to include reporting on Client support package outcomes;</w:t>
      </w:r>
      <w:r w:rsidRPr="00314E7F">
        <w:t xml:space="preserve"> and </w:t>
      </w:r>
    </w:p>
    <w:p w14:paraId="53E40F8F" w14:textId="2C99F614" w:rsidR="00314E7F" w:rsidRDefault="00314E7F" w:rsidP="00314E7F">
      <w:pPr>
        <w:pStyle w:val="Body"/>
        <w:rPr>
          <w:rFonts w:cs="Arial"/>
        </w:rPr>
      </w:pPr>
      <w:r w:rsidRPr="00314E7F">
        <w:rPr>
          <w:rFonts w:cs="Arial"/>
        </w:rPr>
        <w:t>Ad hoc data as required and input to the H2H Program evaluation (these data sets and process for collection are in development).</w:t>
      </w:r>
    </w:p>
    <w:p w14:paraId="7C524196" w14:textId="77777777" w:rsidR="00314E7F" w:rsidRDefault="00314E7F" w:rsidP="00314E7F">
      <w:pPr>
        <w:pStyle w:val="Heading1"/>
      </w:pPr>
      <w:bookmarkStart w:id="8" w:name="_Toc88218363"/>
      <w:bookmarkStart w:id="9" w:name="_Toc88218835"/>
      <w:bookmarkStart w:id="10" w:name="_Toc121134066"/>
      <w:r>
        <w:t xml:space="preserve">H2H </w:t>
      </w:r>
      <w:r w:rsidRPr="00314E7F">
        <w:t>Objectives</w:t>
      </w:r>
      <w:r>
        <w:t xml:space="preserve"> and Program Logic</w:t>
      </w:r>
      <w:bookmarkEnd w:id="8"/>
      <w:bookmarkEnd w:id="9"/>
      <w:bookmarkEnd w:id="10"/>
      <w:r>
        <w:t xml:space="preserve"> </w:t>
      </w:r>
    </w:p>
    <w:p w14:paraId="7AAB119F" w14:textId="77777777" w:rsidR="00314E7F" w:rsidRPr="00B6787F" w:rsidRDefault="00314E7F" w:rsidP="00314E7F">
      <w:pPr>
        <w:pStyle w:val="Heading2"/>
      </w:pPr>
      <w:bookmarkStart w:id="11" w:name="_Toc88218364"/>
      <w:bookmarkStart w:id="12" w:name="_Toc88218836"/>
      <w:bookmarkStart w:id="13" w:name="_Toc121134067"/>
      <w:r w:rsidRPr="00B6787F">
        <w:t xml:space="preserve">H2H </w:t>
      </w:r>
      <w:r w:rsidRPr="00314E7F">
        <w:t>Objectives</w:t>
      </w:r>
      <w:bookmarkEnd w:id="11"/>
      <w:bookmarkEnd w:id="12"/>
      <w:bookmarkEnd w:id="13"/>
    </w:p>
    <w:p w14:paraId="34D68983" w14:textId="77777777" w:rsidR="00314E7F" w:rsidRPr="00DB56FC" w:rsidRDefault="00314E7F" w:rsidP="00314E7F">
      <w:pPr>
        <w:pStyle w:val="DHHSbody"/>
        <w:jc w:val="both"/>
        <w:rPr>
          <w:rFonts w:ascii="Verdana" w:hAnsi="Verdana"/>
          <w:sz w:val="21"/>
        </w:rPr>
      </w:pPr>
      <w:r w:rsidRPr="00DB56FC">
        <w:rPr>
          <w:rFonts w:ascii="Verdana" w:hAnsi="Verdana"/>
          <w:sz w:val="21"/>
        </w:rPr>
        <w:t>The Victorian Government’s key objectives for this program are to:</w:t>
      </w:r>
    </w:p>
    <w:p w14:paraId="256645C0" w14:textId="77777777" w:rsidR="00314E7F" w:rsidRPr="00DB56FC" w:rsidRDefault="00314E7F" w:rsidP="00B037CC">
      <w:pPr>
        <w:pStyle w:val="DHHSbody"/>
        <w:numPr>
          <w:ilvl w:val="0"/>
          <w:numId w:val="17"/>
        </w:numPr>
        <w:jc w:val="both"/>
        <w:rPr>
          <w:rFonts w:ascii="Verdana" w:hAnsi="Verdana"/>
          <w:sz w:val="21"/>
        </w:rPr>
      </w:pPr>
      <w:r w:rsidRPr="00DB56FC">
        <w:rPr>
          <w:rFonts w:ascii="Verdana" w:hAnsi="Verdana"/>
          <w:sz w:val="21"/>
        </w:rPr>
        <w:t xml:space="preserve">Provide immediate access to housing that is affordable to Victorians eligible for H2H packages. </w:t>
      </w:r>
    </w:p>
    <w:p w14:paraId="5F8EA473" w14:textId="77777777" w:rsidR="00314E7F" w:rsidRPr="00DB56FC" w:rsidRDefault="00314E7F" w:rsidP="00B037CC">
      <w:pPr>
        <w:pStyle w:val="DHHSbody"/>
        <w:numPr>
          <w:ilvl w:val="0"/>
          <w:numId w:val="17"/>
        </w:numPr>
        <w:jc w:val="both"/>
        <w:rPr>
          <w:rFonts w:ascii="Verdana" w:hAnsi="Verdana"/>
          <w:sz w:val="21"/>
        </w:rPr>
      </w:pPr>
      <w:r w:rsidRPr="00DB56FC">
        <w:rPr>
          <w:rFonts w:ascii="Verdana" w:hAnsi="Verdana"/>
          <w:sz w:val="21"/>
        </w:rPr>
        <w:t xml:space="preserve">Give people without a stable place to live the opportunity to address other barriers to more stable and fulfilling lives. </w:t>
      </w:r>
    </w:p>
    <w:p w14:paraId="7E47B77A" w14:textId="77777777" w:rsidR="00314E7F" w:rsidRPr="00DB56FC" w:rsidRDefault="00314E7F" w:rsidP="00B037CC">
      <w:pPr>
        <w:pStyle w:val="DHHSbody"/>
        <w:numPr>
          <w:ilvl w:val="0"/>
          <w:numId w:val="17"/>
        </w:numPr>
        <w:jc w:val="both"/>
        <w:rPr>
          <w:rFonts w:ascii="Verdana" w:hAnsi="Verdana"/>
          <w:sz w:val="21"/>
        </w:rPr>
      </w:pPr>
      <w:r w:rsidRPr="00DB56FC">
        <w:rPr>
          <w:rFonts w:ascii="Verdana" w:hAnsi="Verdana"/>
          <w:sz w:val="21"/>
        </w:rPr>
        <w:t xml:space="preserve">Deliver quality services specific to people experiencing homelessness. </w:t>
      </w:r>
    </w:p>
    <w:p w14:paraId="2056AC26" w14:textId="77777777" w:rsidR="00314E7F" w:rsidRPr="00B6787F" w:rsidRDefault="00314E7F" w:rsidP="00314E7F">
      <w:pPr>
        <w:pStyle w:val="Heading2"/>
      </w:pPr>
      <w:bookmarkStart w:id="14" w:name="_Toc88218365"/>
      <w:bookmarkStart w:id="15" w:name="_Toc88218837"/>
      <w:bookmarkStart w:id="16" w:name="_Toc121134068"/>
      <w:r w:rsidRPr="00B6787F">
        <w:t>H2H Program Logic</w:t>
      </w:r>
      <w:bookmarkEnd w:id="14"/>
      <w:bookmarkEnd w:id="15"/>
      <w:bookmarkEnd w:id="16"/>
    </w:p>
    <w:p w14:paraId="3816E5C7" w14:textId="77777777" w:rsidR="00314E7F" w:rsidRDefault="00314E7F" w:rsidP="00314E7F">
      <w:pPr>
        <w:pStyle w:val="Body"/>
      </w:pPr>
      <w:r w:rsidRPr="00B6787F">
        <w:t xml:space="preserve">A program logic has been developed to guide the vision and changes expected at </w:t>
      </w:r>
      <w:r>
        <w:t>Client</w:t>
      </w:r>
      <w:r w:rsidRPr="00B6787F">
        <w:t xml:space="preserve"> and system levels with the implementation of the </w:t>
      </w:r>
      <w:r>
        <w:t>program</w:t>
      </w:r>
      <w:r w:rsidRPr="00B6787F">
        <w:t>.</w:t>
      </w:r>
      <w:r>
        <w:t xml:space="preserve"> The program logic will be updated with a final list of indicators and measures after consultation with H2H Community Partners.</w:t>
      </w:r>
      <w:bookmarkStart w:id="17" w:name="_Ref58321788"/>
    </w:p>
    <w:p w14:paraId="6179D111" w14:textId="77777777" w:rsidR="00314E7F" w:rsidRDefault="00314E7F" w:rsidP="00314E7F">
      <w:pPr>
        <w:pStyle w:val="Heading2"/>
      </w:pPr>
      <w:bookmarkStart w:id="18" w:name="_Toc121134069"/>
      <w:r>
        <w:lastRenderedPageBreak/>
        <w:t>Diagram</w:t>
      </w:r>
      <w:r w:rsidRPr="00CE138D">
        <w:t xml:space="preserve"> </w:t>
      </w:r>
      <w:r>
        <w:fldChar w:fldCharType="begin"/>
      </w:r>
      <w:r>
        <w:instrText>SEQ Figure \* ARABIC</w:instrText>
      </w:r>
      <w:r>
        <w:fldChar w:fldCharType="separate"/>
      </w:r>
      <w:r>
        <w:rPr>
          <w:noProof/>
        </w:rPr>
        <w:t>1</w:t>
      </w:r>
      <w:r>
        <w:fldChar w:fldCharType="end"/>
      </w:r>
      <w:bookmarkEnd w:id="17"/>
      <w:r>
        <w:rPr>
          <w:noProof/>
        </w:rPr>
        <w:t>:</w:t>
      </w:r>
      <w:r w:rsidRPr="00CE138D">
        <w:t xml:space="preserve"> From Homelessness to a Home program logic</w:t>
      </w:r>
      <w:bookmarkEnd w:id="18"/>
    </w:p>
    <w:p w14:paraId="195667D9" w14:textId="77777777" w:rsidR="00314E7F" w:rsidRPr="00CE138D" w:rsidRDefault="00314E7F" w:rsidP="00314E7F">
      <w:pPr>
        <w:pStyle w:val="DHHSbody"/>
        <w:rPr>
          <w:b/>
          <w:bCs/>
          <w:i/>
          <w:iCs/>
        </w:rPr>
      </w:pPr>
      <w:r>
        <w:rPr>
          <w:b/>
          <w:bCs/>
          <w:i/>
          <w:iCs/>
          <w:noProof/>
        </w:rPr>
        <w:drawing>
          <wp:inline distT="0" distB="0" distL="0" distR="0" wp14:anchorId="32DB8C2C" wp14:editId="7CE8A2DC">
            <wp:extent cx="6479540" cy="3098165"/>
            <wp:effectExtent l="0" t="0" r="0" b="6985"/>
            <wp:docPr id="2" name="Picture 2" descr="From Homelessness to a Home program logic. Includes activities, target population, outcomes, indicators and 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rom Homelessness to a Home program logic. Includes activities, target population, outcomes, indicators and measur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9540" cy="3098165"/>
                    </a:xfrm>
                    <a:prstGeom prst="rect">
                      <a:avLst/>
                    </a:prstGeom>
                    <a:noFill/>
                    <a:ln>
                      <a:noFill/>
                    </a:ln>
                  </pic:spPr>
                </pic:pic>
              </a:graphicData>
            </a:graphic>
          </wp:inline>
        </w:drawing>
      </w:r>
    </w:p>
    <w:p w14:paraId="22DAAE2D" w14:textId="77777777" w:rsidR="00314E7F" w:rsidRDefault="00314E7F" w:rsidP="00314E7F">
      <w:pPr>
        <w:pStyle w:val="Body"/>
      </w:pPr>
      <w:r w:rsidRPr="0014030D">
        <w:t xml:space="preserve">Note: </w:t>
      </w:r>
      <w:r>
        <w:t>T</w:t>
      </w:r>
      <w:r w:rsidRPr="0014030D">
        <w:t>he program logic has been developed by selected staff across the department over two sessions on 12 and 13 August</w:t>
      </w:r>
      <w:r>
        <w:t xml:space="preserve"> 2020</w:t>
      </w:r>
      <w:r w:rsidRPr="0014030D">
        <w:t>, with facilitation from</w:t>
      </w:r>
      <w:r>
        <w:t xml:space="preserve"> DFFH</w:t>
      </w:r>
      <w:r w:rsidRPr="0014030D">
        <w:t xml:space="preserve"> Centre for Evaluation and Research Evidence (CERE). Program logic has been updated as per feedback from service providers provided on 11 February 2021. Stream 1 is not included in this framework as funding has been directly allocated to agencies currently delivering Private Rental Assistance Program (PRAP). Stream 1 will be included in the </w:t>
      </w:r>
      <w:r>
        <w:t>program</w:t>
      </w:r>
      <w:r w:rsidRPr="0014030D">
        <w:t>’s impact evaluation, as it is part of the total government investment package.</w:t>
      </w:r>
      <w:r>
        <w:t xml:space="preserve"> The indicators and measures are finalised and no longer in draft.</w:t>
      </w:r>
    </w:p>
    <w:p w14:paraId="76E3130B" w14:textId="77777777" w:rsidR="00314E7F" w:rsidRPr="00B6787F" w:rsidRDefault="00314E7F" w:rsidP="00314E7F">
      <w:pPr>
        <w:pStyle w:val="Heading2"/>
      </w:pPr>
      <w:bookmarkStart w:id="19" w:name="_Toc88218366"/>
      <w:bookmarkStart w:id="20" w:name="_Toc88218838"/>
      <w:bookmarkStart w:id="21" w:name="_Toc121134070"/>
      <w:r w:rsidRPr="00B6787F">
        <w:t>H2H Implementation objectives</w:t>
      </w:r>
      <w:bookmarkEnd w:id="19"/>
      <w:bookmarkEnd w:id="20"/>
      <w:bookmarkEnd w:id="21"/>
    </w:p>
    <w:p w14:paraId="005E918C" w14:textId="77777777" w:rsidR="00314E7F" w:rsidRPr="00B6787F" w:rsidRDefault="00314E7F" w:rsidP="00314E7F">
      <w:pPr>
        <w:pStyle w:val="Body"/>
      </w:pPr>
      <w:r w:rsidRPr="00B6787F">
        <w:t>The key implementation objectives are</w:t>
      </w:r>
      <w:r>
        <w:t xml:space="preserve"> as follows</w:t>
      </w:r>
      <w:r w:rsidRPr="00B6787F">
        <w:t>:</w:t>
      </w:r>
    </w:p>
    <w:p w14:paraId="470267C6" w14:textId="77777777" w:rsidR="00314E7F" w:rsidRDefault="00314E7F" w:rsidP="00314E7F">
      <w:pPr>
        <w:pStyle w:val="Body"/>
      </w:pPr>
      <w:r>
        <w:t>The program’s key objective is to relocate Clients placed in hotels or other emergency accommodation due to the COVID-19 pandemic between 16 March 2020 and 6 December 2020 to more affordable forms of accommodation with support. This includes relocating people in unsustainable housing and those who are rough sleeping who meet the H2H criteria.</w:t>
      </w:r>
    </w:p>
    <w:p w14:paraId="4253EE73" w14:textId="77777777" w:rsidR="00314E7F" w:rsidRDefault="00314E7F" w:rsidP="00314E7F">
      <w:pPr>
        <w:pStyle w:val="Body"/>
      </w:pPr>
      <w:r>
        <w:t xml:space="preserve">Identify, secure and rent appropriate accommodations for 1,845 eligible Clients by the end of June 2022. </w:t>
      </w:r>
    </w:p>
    <w:p w14:paraId="28EF79A3" w14:textId="77777777" w:rsidR="00314E7F" w:rsidRDefault="00314E7F" w:rsidP="00314E7F">
      <w:pPr>
        <w:pStyle w:val="Body"/>
      </w:pPr>
      <w:r>
        <w:t>Commence delivery of all 1,845 H2H support and housing service packages to H2H Clients by the end June 2022.</w:t>
      </w:r>
    </w:p>
    <w:p w14:paraId="061A1D1D" w14:textId="77777777" w:rsidR="00314E7F" w:rsidRPr="005234EF" w:rsidRDefault="00314E7F" w:rsidP="00314E7F">
      <w:pPr>
        <w:pStyle w:val="Body"/>
      </w:pPr>
      <w:r>
        <w:t>Transition all client households housed in a head lease property to long term housing by December 2023.</w:t>
      </w:r>
    </w:p>
    <w:p w14:paraId="4C228F0D" w14:textId="77777777" w:rsidR="000559C9" w:rsidRDefault="000559C9" w:rsidP="000559C9">
      <w:pPr>
        <w:pStyle w:val="Heading1"/>
      </w:pPr>
      <w:bookmarkStart w:id="22" w:name="_Toc88218367"/>
      <w:bookmarkStart w:id="23" w:name="_Toc88218839"/>
      <w:bookmarkStart w:id="24" w:name="_Toc121134071"/>
      <w:r w:rsidRPr="00B6787F">
        <w:lastRenderedPageBreak/>
        <w:t xml:space="preserve">Target </w:t>
      </w:r>
      <w:r>
        <w:t>G</w:t>
      </w:r>
      <w:r w:rsidRPr="00B6787F">
        <w:t xml:space="preserve">roup, </w:t>
      </w:r>
      <w:r>
        <w:t>E</w:t>
      </w:r>
      <w:r w:rsidRPr="00B6787F">
        <w:t xml:space="preserve">ntry </w:t>
      </w:r>
      <w:r>
        <w:t>P</w:t>
      </w:r>
      <w:r w:rsidRPr="00B6787F">
        <w:t xml:space="preserve">oint and </w:t>
      </w:r>
      <w:r>
        <w:t>E</w:t>
      </w:r>
      <w:r w:rsidRPr="00B6787F">
        <w:t>ligibility</w:t>
      </w:r>
      <w:bookmarkEnd w:id="22"/>
      <w:bookmarkEnd w:id="23"/>
      <w:bookmarkEnd w:id="24"/>
      <w:r w:rsidRPr="00B6787F">
        <w:t xml:space="preserve"> </w:t>
      </w:r>
    </w:p>
    <w:p w14:paraId="3FD1BF28" w14:textId="77777777" w:rsidR="000559C9" w:rsidRPr="00602CD0" w:rsidRDefault="000559C9" w:rsidP="000559C9">
      <w:pPr>
        <w:pStyle w:val="Heading2"/>
      </w:pPr>
      <w:bookmarkStart w:id="25" w:name="_Toc88218368"/>
      <w:bookmarkStart w:id="26" w:name="_Toc88218840"/>
      <w:bookmarkStart w:id="27" w:name="_Toc121134072"/>
      <w:r w:rsidRPr="000559C9">
        <w:t>Target</w:t>
      </w:r>
      <w:r w:rsidRPr="00B6787F">
        <w:t xml:space="preserve"> Group</w:t>
      </w:r>
      <w:bookmarkEnd w:id="25"/>
      <w:bookmarkEnd w:id="26"/>
      <w:bookmarkEnd w:id="27"/>
    </w:p>
    <w:p w14:paraId="6C9F250A" w14:textId="77777777" w:rsidR="000559C9" w:rsidRDefault="000559C9" w:rsidP="000559C9">
      <w:pPr>
        <w:pStyle w:val="Body"/>
      </w:pPr>
      <w:r>
        <w:t>The H2H Program is focused on actively assisting individuals and families who were supported to stay in hotels and other purchased accommodation between 16 March 2020 and 6 December 2020 as an emergency response during the pandemic. This includes people who have found alternative accommodation that is not sustainable or have returned to rough sleeping post 6 December 2020. However, this group requires an assertive outreach approach to identify and engage. Once the target cohort has been assisted, the department will provide advice on secondary groups eligible to be assisted by the program if unallocated packages are available.</w:t>
      </w:r>
    </w:p>
    <w:p w14:paraId="305CE3B9" w14:textId="77777777" w:rsidR="000559C9" w:rsidRPr="00602CD0" w:rsidRDefault="000559C9" w:rsidP="000559C9">
      <w:pPr>
        <w:pStyle w:val="Heading2"/>
        <w:jc w:val="both"/>
      </w:pPr>
      <w:bookmarkStart w:id="28" w:name="_Toc88218369"/>
      <w:bookmarkStart w:id="29" w:name="_Toc88218841"/>
      <w:bookmarkStart w:id="30" w:name="_Toc121134073"/>
      <w:r w:rsidRPr="00B6787F">
        <w:t>Entry points and processes</w:t>
      </w:r>
      <w:bookmarkEnd w:id="28"/>
      <w:bookmarkEnd w:id="29"/>
      <w:bookmarkEnd w:id="30"/>
    </w:p>
    <w:p w14:paraId="76990A0B" w14:textId="77777777" w:rsidR="000559C9" w:rsidRDefault="000559C9" w:rsidP="000559C9">
      <w:pPr>
        <w:pStyle w:val="Body"/>
      </w:pPr>
      <w:r>
        <w:t xml:space="preserve">H2H Community Partners may have their own assessment tools to complement the </w:t>
      </w:r>
      <w:r w:rsidRPr="08273F6A">
        <w:rPr>
          <w:i/>
          <w:iCs/>
        </w:rPr>
        <w:t>Initial Assessment and Planning</w:t>
      </w:r>
      <w:r>
        <w:t xml:space="preserve"> tool. </w:t>
      </w:r>
      <w:r w:rsidRPr="00B6787F">
        <w:t xml:space="preserve">H2H services will work with their local HEARTs to prioritise </w:t>
      </w:r>
      <w:r>
        <w:t>Clients</w:t>
      </w:r>
      <w:r w:rsidRPr="00B6787F">
        <w:t xml:space="preserve"> for </w:t>
      </w:r>
      <w:r>
        <w:t>support packages between 12 and 24 months.</w:t>
      </w:r>
      <w:r w:rsidRPr="00B6787F">
        <w:t xml:space="preserve"> </w:t>
      </w:r>
      <w:r w:rsidRPr="00B6787F">
        <w:rPr>
          <w:rFonts w:eastAsia="Times New Roman"/>
        </w:rPr>
        <w:t xml:space="preserve">The H2H </w:t>
      </w:r>
      <w:r>
        <w:rPr>
          <w:rFonts w:eastAsia="Times New Roman"/>
        </w:rPr>
        <w:t>S</w:t>
      </w:r>
      <w:r w:rsidRPr="00B6787F">
        <w:rPr>
          <w:rFonts w:eastAsia="Times New Roman"/>
        </w:rPr>
        <w:t xml:space="preserve">upport </w:t>
      </w:r>
      <w:r>
        <w:rPr>
          <w:rFonts w:eastAsia="Times New Roman"/>
        </w:rPr>
        <w:t>Service P</w:t>
      </w:r>
      <w:r w:rsidRPr="00B6787F">
        <w:rPr>
          <w:rFonts w:eastAsia="Times New Roman"/>
        </w:rPr>
        <w:t xml:space="preserve">rovider is responsible for </w:t>
      </w:r>
      <w:r>
        <w:rPr>
          <w:rFonts w:eastAsia="Times New Roman"/>
        </w:rPr>
        <w:t xml:space="preserve">ensuring up-to-date </w:t>
      </w:r>
      <w:r w:rsidRPr="00B6787F">
        <w:rPr>
          <w:rFonts w:eastAsia="Times New Roman"/>
        </w:rPr>
        <w:t>application</w:t>
      </w:r>
      <w:r>
        <w:rPr>
          <w:rFonts w:eastAsia="Times New Roman"/>
        </w:rPr>
        <w:t>s</w:t>
      </w:r>
      <w:r w:rsidRPr="00B6787F">
        <w:rPr>
          <w:rFonts w:eastAsia="Times New Roman"/>
        </w:rPr>
        <w:t xml:space="preserve"> for the Victorian Housing Register (VHR) once </w:t>
      </w:r>
      <w:r>
        <w:rPr>
          <w:rFonts w:eastAsia="Times New Roman"/>
        </w:rPr>
        <w:t>Clients</w:t>
      </w:r>
      <w:r w:rsidRPr="00B6787F">
        <w:rPr>
          <w:rFonts w:eastAsia="Times New Roman"/>
        </w:rPr>
        <w:t xml:space="preserve"> are transitioned to the H2H provider</w:t>
      </w:r>
      <w:r w:rsidRPr="784FE42C">
        <w:rPr>
          <w:rFonts w:eastAsia="Times New Roman"/>
        </w:rPr>
        <w:t xml:space="preserve"> but </w:t>
      </w:r>
      <w:r w:rsidRPr="05983C4A">
        <w:rPr>
          <w:rFonts w:eastAsia="Times New Roman"/>
        </w:rPr>
        <w:t>prior to moving into a property of any type.</w:t>
      </w:r>
      <w:r w:rsidRPr="00B6787F">
        <w:rPr>
          <w:rFonts w:eastAsia="Times New Roman"/>
        </w:rPr>
        <w:t xml:space="preserve"> H2H </w:t>
      </w:r>
      <w:r>
        <w:rPr>
          <w:rFonts w:eastAsia="Times New Roman"/>
        </w:rPr>
        <w:t>S</w:t>
      </w:r>
      <w:r w:rsidRPr="00B6787F">
        <w:rPr>
          <w:rFonts w:eastAsia="Times New Roman"/>
        </w:rPr>
        <w:t xml:space="preserve">upport </w:t>
      </w:r>
      <w:r>
        <w:rPr>
          <w:rFonts w:eastAsia="Times New Roman"/>
        </w:rPr>
        <w:t>Service P</w:t>
      </w:r>
      <w:r w:rsidRPr="00B6787F">
        <w:rPr>
          <w:rFonts w:eastAsia="Times New Roman"/>
        </w:rPr>
        <w:t>roviders should work with HEARTS, Entry Points</w:t>
      </w:r>
      <w:r>
        <w:rPr>
          <w:rFonts w:eastAsia="Times New Roman"/>
        </w:rPr>
        <w:t>,</w:t>
      </w:r>
      <w:r w:rsidRPr="00B6787F">
        <w:rPr>
          <w:rFonts w:eastAsia="Times New Roman"/>
        </w:rPr>
        <w:t xml:space="preserve"> and other existing supports to take on referrals for those eligible for a H2H package.</w:t>
      </w:r>
    </w:p>
    <w:p w14:paraId="68234007" w14:textId="77777777" w:rsidR="000559C9" w:rsidRPr="00742C66" w:rsidRDefault="000559C9" w:rsidP="000559C9">
      <w:pPr>
        <w:pStyle w:val="Body"/>
      </w:pPr>
      <w:r w:rsidRPr="00F52AE6">
        <w:t xml:space="preserve">HEARTs </w:t>
      </w:r>
      <w:r>
        <w:t xml:space="preserve">and other referral agencies </w:t>
      </w:r>
      <w:r w:rsidRPr="00F52AE6">
        <w:t xml:space="preserve">may refer </w:t>
      </w:r>
      <w:r>
        <w:t>Clients</w:t>
      </w:r>
      <w:r w:rsidRPr="00F52AE6">
        <w:t xml:space="preserve"> to H2H services outside of their HEART area if the </w:t>
      </w:r>
      <w:r>
        <w:t>Client</w:t>
      </w:r>
      <w:r w:rsidRPr="00F52AE6">
        <w:t xml:space="preserve"> wishes to be accommodated in that area.</w:t>
      </w:r>
      <w:r>
        <w:t xml:space="preserve"> Recognising the importance of community links for successful Client outcomes, c</w:t>
      </w:r>
      <w:r w:rsidRPr="00F52AE6">
        <w:t xml:space="preserve">onsideration should be made to the </w:t>
      </w:r>
      <w:r>
        <w:t>Client</w:t>
      </w:r>
      <w:r w:rsidRPr="00F52AE6">
        <w:t>’s community links and support networks in other locations.</w:t>
      </w:r>
      <w:r>
        <w:t xml:space="preserve"> A consistent process for cross area referrals is in development. </w:t>
      </w:r>
    </w:p>
    <w:p w14:paraId="2B5C4C72" w14:textId="77777777" w:rsidR="000559C9" w:rsidRPr="00B6787F" w:rsidRDefault="000559C9" w:rsidP="000559C9">
      <w:pPr>
        <w:pStyle w:val="Heading2"/>
      </w:pPr>
      <w:bookmarkStart w:id="31" w:name="_Toc88218370"/>
      <w:bookmarkStart w:id="32" w:name="_Toc88218842"/>
      <w:bookmarkStart w:id="33" w:name="_Toc121134074"/>
      <w:r w:rsidRPr="00B6787F">
        <w:t>Eligibility</w:t>
      </w:r>
      <w:bookmarkEnd w:id="31"/>
      <w:bookmarkEnd w:id="32"/>
      <w:bookmarkEnd w:id="33"/>
    </w:p>
    <w:p w14:paraId="0EED8D94" w14:textId="77777777" w:rsidR="000559C9" w:rsidRPr="00674D16" w:rsidRDefault="000559C9" w:rsidP="000559C9">
      <w:pPr>
        <w:pStyle w:val="Body"/>
      </w:pPr>
      <w:r>
        <w:t xml:space="preserve">To be eligible for H2H, referring agencies and H2H Community Partners must confirm Clients were placed in a hotel or other purchased accommodation as a pandemic response between 16 March 2020 and 6 December 2020 </w:t>
      </w:r>
      <w:r w:rsidRPr="002F668C">
        <w:t xml:space="preserve">and </w:t>
      </w:r>
      <w:r>
        <w:t>be eligible for a VHR application. There are two types of support packages offered to eligible Clients:</w:t>
      </w:r>
    </w:p>
    <w:p w14:paraId="4A5D2A47" w14:textId="77777777" w:rsidR="000559C9" w:rsidRPr="005D3F2C" w:rsidRDefault="000559C9" w:rsidP="000559C9">
      <w:pPr>
        <w:pStyle w:val="Body"/>
      </w:pPr>
      <w:r w:rsidRPr="005D3F2C">
        <w:rPr>
          <w:b/>
        </w:rPr>
        <w:t>Targeted and Tailored Support</w:t>
      </w:r>
      <w:r w:rsidRPr="005D3F2C">
        <w:t>: for people who have increased vulnerabilities and risks who are experiencing homelessness and require ongoing housing such as social housing to resolve their homelessness. People are also likely to need a time limited support from specialist homelessness, and health and human services</w:t>
      </w:r>
      <w:r>
        <w:t>; and</w:t>
      </w:r>
    </w:p>
    <w:p w14:paraId="732BB284" w14:textId="77777777" w:rsidR="000559C9" w:rsidRPr="005D3F2C" w:rsidRDefault="000559C9" w:rsidP="000559C9">
      <w:pPr>
        <w:pStyle w:val="Body"/>
      </w:pPr>
      <w:r w:rsidRPr="005D3F2C">
        <w:rPr>
          <w:b/>
        </w:rPr>
        <w:t>Intensive Support</w:t>
      </w:r>
      <w:r w:rsidRPr="005D3F2C">
        <w:t>: for people who have multiple support needs such as mental or physical health issues, alcohol or drug use, or other trauma. People will often have experienced chronic homelessness and rough sleeping. People are likely to require intensive social housing and support from specialist homelessness, health, and human services.</w:t>
      </w:r>
      <w:r>
        <w:br/>
      </w:r>
    </w:p>
    <w:p w14:paraId="6E6C7227" w14:textId="77777777" w:rsidR="000559C9" w:rsidRDefault="000559C9" w:rsidP="000559C9">
      <w:pPr>
        <w:pStyle w:val="Body"/>
      </w:pPr>
      <w:r>
        <w:t>People who are exiting emergency accommodation and do not require intensive support and accommodation are assessed to be able to maintain private rental tenancies, will be supported via existing services, such as the Private Rental Accommodation Package (PRAP). Thus, they are not eligible for a service through the H2H program.</w:t>
      </w:r>
    </w:p>
    <w:p w14:paraId="51643A47" w14:textId="77777777" w:rsidR="000559C9" w:rsidRDefault="000559C9" w:rsidP="000559C9">
      <w:pPr>
        <w:pStyle w:val="Body"/>
      </w:pPr>
      <w:r>
        <w:lastRenderedPageBreak/>
        <w:t xml:space="preserve">People outside of this target group or not those not eligible may be admitted to the H2H Program on a case-by-case basis as approved by Homes Victoria based on the availability of housing and support packages. </w:t>
      </w:r>
    </w:p>
    <w:p w14:paraId="0D1C963B" w14:textId="77777777" w:rsidR="000559C9" w:rsidRPr="009D1999" w:rsidRDefault="000559C9" w:rsidP="000559C9">
      <w:pPr>
        <w:pStyle w:val="Heading2"/>
      </w:pPr>
      <w:bookmarkStart w:id="34" w:name="_Toc121134075"/>
      <w:r>
        <w:t>Victorian Housing Register (VHR)</w:t>
      </w:r>
      <w:bookmarkEnd w:id="34"/>
    </w:p>
    <w:p w14:paraId="1CBC0025" w14:textId="77777777" w:rsidR="000559C9" w:rsidRDefault="000559C9" w:rsidP="000559C9">
      <w:pPr>
        <w:pStyle w:val="Body"/>
      </w:pPr>
      <w:r>
        <w:t>The VHR is a platform where people can register for social housing in Victoria. It brings together applications for public and community housing so that only one application needs to be submitted to access a broad range of social housing options.</w:t>
      </w:r>
    </w:p>
    <w:p w14:paraId="735E5372" w14:textId="77777777" w:rsidR="000559C9" w:rsidRDefault="000559C9" w:rsidP="000559C9">
      <w:pPr>
        <w:pStyle w:val="Body"/>
      </w:pPr>
      <w:r>
        <w:t>The VHR has two categories:</w:t>
      </w:r>
    </w:p>
    <w:p w14:paraId="04B42B9D" w14:textId="77777777" w:rsidR="000559C9" w:rsidRDefault="000559C9" w:rsidP="000559C9">
      <w:pPr>
        <w:pStyle w:val="Body"/>
      </w:pPr>
      <w:r w:rsidRPr="00D71A6A">
        <w:rPr>
          <w:rStyle w:val="Emphasis"/>
          <w:b/>
        </w:rPr>
        <w:t>Priority Access</w:t>
      </w:r>
      <w:r>
        <w:t xml:space="preserve"> for people most in need, and</w:t>
      </w:r>
    </w:p>
    <w:p w14:paraId="0EF9C86E" w14:textId="77777777" w:rsidR="000559C9" w:rsidRDefault="000559C9" w:rsidP="000559C9">
      <w:pPr>
        <w:pStyle w:val="Body"/>
      </w:pPr>
      <w:r w:rsidRPr="2B649527">
        <w:rPr>
          <w:rStyle w:val="Emphasis"/>
          <w:b/>
          <w:bCs/>
        </w:rPr>
        <w:t>Register of Interest</w:t>
      </w:r>
      <w:r>
        <w:t xml:space="preserve"> for people to register their interest in social housing.</w:t>
      </w:r>
    </w:p>
    <w:p w14:paraId="1F8AE5C0" w14:textId="77777777" w:rsidR="000559C9" w:rsidRPr="00B1734A" w:rsidRDefault="000559C9" w:rsidP="000559C9">
      <w:pPr>
        <w:pStyle w:val="Body"/>
      </w:pPr>
      <w:r>
        <w:t xml:space="preserve">Clients eligible for housing and support packages through the H2H program </w:t>
      </w:r>
      <w:r w:rsidRPr="00EA3347">
        <w:rPr>
          <w:b/>
          <w:bCs/>
        </w:rPr>
        <w:t>must be</w:t>
      </w:r>
      <w:r>
        <w:t xml:space="preserve"> eligible for a priority VHR application. </w:t>
      </w:r>
      <w:r w:rsidRPr="00560CBC">
        <w:t>Using the VHR to allocate people accommodated in hotels into social housing is an essential step to providing hotel and emergency accommodation exits.</w:t>
      </w:r>
      <w:r w:rsidRPr="00787B8E">
        <w:t xml:space="preserve"> </w:t>
      </w:r>
      <w:r>
        <w:t xml:space="preserve">Clients will be required to complete and submit a VHR application with the COVID-19 Emergency Management Category (EMC), </w:t>
      </w:r>
      <w:r w:rsidRPr="00BD5EAA">
        <w:t>a new COVID-19</w:t>
      </w:r>
      <w:r>
        <w:t xml:space="preserve"> priority</w:t>
      </w:r>
      <w:r w:rsidRPr="00560CBC">
        <w:t> reason</w:t>
      </w:r>
      <w:r>
        <w:t xml:space="preserve">, within </w:t>
      </w:r>
      <w:r w:rsidRPr="00D103A1">
        <w:t>30 days of support commencing</w:t>
      </w:r>
      <w:r>
        <w:t>. This</w:t>
      </w:r>
      <w:r w:rsidRPr="00B1734A">
        <w:t xml:space="preserve"> 30-day</w:t>
      </w:r>
      <w:r>
        <w:t xml:space="preserve"> period relates to properties not managed by the department. Existing public housing </w:t>
      </w:r>
      <w:r w:rsidRPr="00B1734A">
        <w:t xml:space="preserve">cannot be offered </w:t>
      </w:r>
      <w:r>
        <w:t>to a H2H Client wi</w:t>
      </w:r>
      <w:r w:rsidRPr="00B1734A">
        <w:t>thout a valid EMC VHR.</w:t>
      </w:r>
    </w:p>
    <w:p w14:paraId="2E9CBCA9" w14:textId="261B6C84" w:rsidR="000559C9" w:rsidRPr="0070401E" w:rsidRDefault="000559C9" w:rsidP="000559C9">
      <w:pPr>
        <w:pStyle w:val="Body"/>
      </w:pPr>
      <w:r w:rsidRPr="00560CBC">
        <w:t xml:space="preserve">The VHR Emergency Management Guidelines </w:t>
      </w:r>
      <w:r>
        <w:t>are</w:t>
      </w:r>
      <w:r w:rsidRPr="0070401E">
        <w:t xml:space="preserve"> updated to reflect this change. Applications under the COVID-19 priority reason are assessed using the Emergency Management VHR Operational Guideline</w:t>
      </w:r>
      <w:r>
        <w:t>s</w:t>
      </w:r>
      <w:r w:rsidRPr="0070401E">
        <w:t xml:space="preserve"> in addition to the eligibility criteria referred to in the </w:t>
      </w:r>
      <w:hyperlink r:id="rId18" w:history="1">
        <w:r w:rsidRPr="003210CC">
          <w:rPr>
            <w:rStyle w:val="Hyperlink"/>
          </w:rPr>
          <w:t>Eligibility Criteria operational guidelines</w:t>
        </w:r>
      </w:hyperlink>
      <w:r w:rsidRPr="0070401E">
        <w:t xml:space="preserve"> </w:t>
      </w:r>
      <w:r>
        <w:t>(</w:t>
      </w:r>
      <w:hyperlink r:id="rId19" w:history="1">
        <w:r w:rsidRPr="00D55C47">
          <w:rPr>
            <w:rStyle w:val="Hyperlink"/>
          </w:rPr>
          <w:t>https://fac.dhhs.vic.gov.au/victorian-housing-register</w:t>
        </w:r>
      </w:hyperlink>
      <w:r>
        <w:rPr>
          <w:rStyle w:val="Hyperlink"/>
        </w:rPr>
        <w:t>)</w:t>
      </w:r>
      <w:r>
        <w:t>.</w:t>
      </w:r>
    </w:p>
    <w:p w14:paraId="4DFE64ED" w14:textId="77777777" w:rsidR="000559C9" w:rsidRPr="00560CBC" w:rsidRDefault="000559C9" w:rsidP="000559C9">
      <w:pPr>
        <w:pStyle w:val="Body"/>
      </w:pPr>
      <w:r w:rsidRPr="00560CBC">
        <w:t>Eligibility criteria and required evidence for COVID-19 priority reason is listed here. To apply for this priority reason the designated service provider must confirm that the applicant:</w:t>
      </w:r>
    </w:p>
    <w:p w14:paraId="3372C784" w14:textId="77777777" w:rsidR="000559C9" w:rsidRPr="0070401E" w:rsidRDefault="000559C9" w:rsidP="00B037CC">
      <w:pPr>
        <w:pStyle w:val="Body"/>
        <w:numPr>
          <w:ilvl w:val="0"/>
          <w:numId w:val="18"/>
        </w:numPr>
      </w:pPr>
      <w:r>
        <w:t>H</w:t>
      </w:r>
      <w:r w:rsidRPr="0070401E">
        <w:t xml:space="preserve">as been assisted to stay in </w:t>
      </w:r>
      <w:r>
        <w:t>emergency accommodation (hotels, caravan parks etc.)</w:t>
      </w:r>
      <w:r w:rsidRPr="0070401E">
        <w:t xml:space="preserve"> </w:t>
      </w:r>
      <w:r>
        <w:t>sometime from 16 March 2020 and prior</w:t>
      </w:r>
      <w:r w:rsidRPr="0070401E">
        <w:t xml:space="preserve"> to 6 December 2020 as an emergency response during the pandemic.</w:t>
      </w:r>
    </w:p>
    <w:p w14:paraId="555CF09D" w14:textId="77777777" w:rsidR="000559C9" w:rsidRPr="007F25BE" w:rsidRDefault="000559C9" w:rsidP="00B037CC">
      <w:pPr>
        <w:pStyle w:val="Body"/>
        <w:numPr>
          <w:ilvl w:val="0"/>
          <w:numId w:val="18"/>
        </w:numPr>
      </w:pPr>
      <w:r>
        <w:t>Is experiencing homelessness.</w:t>
      </w:r>
    </w:p>
    <w:p w14:paraId="698792D2" w14:textId="77777777" w:rsidR="000559C9" w:rsidRDefault="000559C9" w:rsidP="00B037CC">
      <w:pPr>
        <w:pStyle w:val="Body"/>
        <w:numPr>
          <w:ilvl w:val="0"/>
          <w:numId w:val="18"/>
        </w:numPr>
      </w:pPr>
      <w:r>
        <w:t>R</w:t>
      </w:r>
      <w:r w:rsidRPr="0070401E">
        <w:t xml:space="preserve">eceives case managed support under the H2H program; and </w:t>
      </w:r>
    </w:p>
    <w:p w14:paraId="11186FB0" w14:textId="77777777" w:rsidR="000559C9" w:rsidRDefault="000559C9" w:rsidP="00B037CC">
      <w:pPr>
        <w:pStyle w:val="Body"/>
        <w:numPr>
          <w:ilvl w:val="0"/>
          <w:numId w:val="18"/>
        </w:numPr>
      </w:pPr>
      <w:r>
        <w:t>T</w:t>
      </w:r>
      <w:r w:rsidRPr="0070401E">
        <w:t xml:space="preserve">hat no other housing exit options are available based on a person’s housing history and level of support needs. </w:t>
      </w:r>
    </w:p>
    <w:p w14:paraId="71816DE7" w14:textId="77777777" w:rsidR="000559C9" w:rsidRDefault="000559C9" w:rsidP="000559C9">
      <w:pPr>
        <w:pStyle w:val="Body"/>
        <w:rPr>
          <w:rFonts w:eastAsia="MS Gothic" w:cs="Arial"/>
          <w:color w:val="032833" w:themeColor="text2"/>
          <w:kern w:val="32"/>
          <w:sz w:val="36"/>
          <w:szCs w:val="36"/>
        </w:rPr>
      </w:pPr>
      <w:r>
        <w:t xml:space="preserve">Clients not eligible for a VHR application are to be warmly referred to services from other programs within the homelessness and broader service system. </w:t>
      </w:r>
    </w:p>
    <w:p w14:paraId="0D623540" w14:textId="77777777" w:rsidR="000559C9" w:rsidRDefault="000559C9" w:rsidP="000559C9">
      <w:pPr>
        <w:pStyle w:val="Body"/>
      </w:pPr>
      <w:r>
        <w:t xml:space="preserve">H2H Providers are expected to work collaboratively with the H2H POU and provide information on Client hotel dates and VHR details to support VHR EMC approvals for all H2H Clients. </w:t>
      </w:r>
    </w:p>
    <w:p w14:paraId="1F9A23B2" w14:textId="77777777" w:rsidR="000559C9" w:rsidRPr="00602CD0" w:rsidRDefault="000559C9" w:rsidP="000559C9">
      <w:pPr>
        <w:pStyle w:val="Heading1"/>
      </w:pPr>
      <w:bookmarkStart w:id="35" w:name="_Toc88218371"/>
      <w:bookmarkStart w:id="36" w:name="_Toc88218843"/>
      <w:bookmarkStart w:id="37" w:name="_Toc121134076"/>
      <w:r>
        <w:t>Key Activities</w:t>
      </w:r>
      <w:bookmarkEnd w:id="35"/>
      <w:bookmarkEnd w:id="36"/>
      <w:bookmarkEnd w:id="37"/>
    </w:p>
    <w:p w14:paraId="7758334F" w14:textId="77777777" w:rsidR="000559C9" w:rsidRPr="008060C4" w:rsidRDefault="000559C9" w:rsidP="000559C9">
      <w:pPr>
        <w:pStyle w:val="Body"/>
        <w:rPr>
          <w:b/>
          <w:bCs/>
        </w:rPr>
      </w:pPr>
      <w:r w:rsidRPr="00B6787F">
        <w:t xml:space="preserve">The three key activities under the H2H </w:t>
      </w:r>
      <w:r>
        <w:t>program are</w:t>
      </w:r>
      <w:r w:rsidRPr="00B6787F">
        <w:t xml:space="preserve">: </w:t>
      </w:r>
      <w:r w:rsidRPr="008060C4">
        <w:rPr>
          <w:b/>
          <w:bCs/>
        </w:rPr>
        <w:t>Support Services; Flexible Brokerage</w:t>
      </w:r>
      <w:r>
        <w:t xml:space="preserve">; and </w:t>
      </w:r>
      <w:r w:rsidRPr="008060C4">
        <w:rPr>
          <w:b/>
          <w:bCs/>
        </w:rPr>
        <w:t>Property Services.</w:t>
      </w:r>
    </w:p>
    <w:p w14:paraId="7AD7D0E8" w14:textId="77777777" w:rsidR="000559C9" w:rsidRDefault="000559C9" w:rsidP="000559C9">
      <w:pPr>
        <w:pStyle w:val="Heading2"/>
      </w:pPr>
      <w:bookmarkStart w:id="38" w:name="_Toc88218372"/>
      <w:bookmarkStart w:id="39" w:name="_Toc88218844"/>
      <w:bookmarkStart w:id="40" w:name="_Toc121134077"/>
      <w:r w:rsidRPr="000559C9">
        <w:lastRenderedPageBreak/>
        <w:t>Support</w:t>
      </w:r>
      <w:r>
        <w:t xml:space="preserve"> services</w:t>
      </w:r>
      <w:bookmarkEnd w:id="38"/>
      <w:bookmarkEnd w:id="39"/>
      <w:bookmarkEnd w:id="40"/>
    </w:p>
    <w:p w14:paraId="447645DF" w14:textId="77777777" w:rsidR="000559C9" w:rsidRPr="00DB56FC" w:rsidRDefault="000559C9" w:rsidP="000559C9">
      <w:pPr>
        <w:pStyle w:val="DHHSbody"/>
        <w:rPr>
          <w:rFonts w:ascii="Verdana" w:hAnsi="Verdana"/>
          <w:sz w:val="21"/>
        </w:rPr>
      </w:pPr>
      <w:r w:rsidRPr="00DB56FC">
        <w:rPr>
          <w:rFonts w:ascii="Verdana" w:hAnsi="Verdana"/>
          <w:sz w:val="21"/>
        </w:rPr>
        <w:t>H2H Community Partners will provide targeted and tailored support packages and/or intensive support packages to Clients living in the properties managed by the either public housing officers or H2H Property Service Providers, for the duration of the tenancy and funded support period.</w:t>
      </w:r>
    </w:p>
    <w:p w14:paraId="086363F1" w14:textId="77777777" w:rsidR="000559C9" w:rsidRPr="00DB56FC" w:rsidRDefault="000559C9" w:rsidP="000559C9">
      <w:pPr>
        <w:pStyle w:val="DHHSbody"/>
        <w:rPr>
          <w:rFonts w:ascii="Verdana" w:hAnsi="Verdana"/>
          <w:sz w:val="21"/>
        </w:rPr>
      </w:pPr>
      <w:r w:rsidRPr="00DB56FC">
        <w:rPr>
          <w:rFonts w:ascii="Verdana" w:hAnsi="Verdana"/>
          <w:sz w:val="21"/>
        </w:rPr>
        <w:t xml:space="preserve">The role of Support Services is provision of specialist homelessness services and other health and human services (through a multidisciplinary integrated model) to support Clients in their transition from emergency accommodation into medium term housing and beyond, consistent with need. </w:t>
      </w:r>
    </w:p>
    <w:p w14:paraId="67FDC58D" w14:textId="77777777" w:rsidR="000559C9" w:rsidRPr="008060C4" w:rsidRDefault="000559C9" w:rsidP="000559C9">
      <w:pPr>
        <w:pStyle w:val="Heading3"/>
      </w:pPr>
      <w:bookmarkStart w:id="41" w:name="_Toc50981365"/>
      <w:bookmarkStart w:id="42" w:name="_Toc51143799"/>
      <w:bookmarkStart w:id="43" w:name="_Toc57111844"/>
      <w:r w:rsidRPr="008060C4">
        <w:t xml:space="preserve">Targeted and tailored </w:t>
      </w:r>
      <w:r w:rsidRPr="000559C9">
        <w:t>support</w:t>
      </w:r>
      <w:bookmarkEnd w:id="41"/>
      <w:bookmarkEnd w:id="42"/>
      <w:r w:rsidRPr="008060C4">
        <w:t xml:space="preserve"> packages</w:t>
      </w:r>
      <w:bookmarkEnd w:id="43"/>
    </w:p>
    <w:p w14:paraId="60C9E6AA" w14:textId="77777777" w:rsidR="000559C9" w:rsidRPr="00A57334" w:rsidRDefault="000559C9" w:rsidP="000559C9">
      <w:pPr>
        <w:pStyle w:val="Heading4"/>
      </w:pPr>
      <w:r w:rsidRPr="004843B6">
        <w:t>Target population</w:t>
      </w:r>
    </w:p>
    <w:p w14:paraId="3CA300C4" w14:textId="77777777" w:rsidR="000559C9" w:rsidRDefault="000559C9" w:rsidP="000559C9">
      <w:pPr>
        <w:pStyle w:val="Body"/>
      </w:pPr>
      <w:r>
        <w:t xml:space="preserve">Clients eligible for this service response are likely to have increased vulnerabilities and risks while experiencing homelessness. As such, they require access to specialist homelessness and other health and human services to resolve their homelessness and address their support needs and may require ongoing subsidised housing such as social housing to break the cycle of homelessness. </w:t>
      </w:r>
    </w:p>
    <w:p w14:paraId="54614674" w14:textId="77777777" w:rsidR="000559C9" w:rsidRDefault="000559C9" w:rsidP="000559C9">
      <w:pPr>
        <w:pStyle w:val="Heading4"/>
        <w:spacing w:before="0" w:line="270" w:lineRule="atLeast"/>
        <w:rPr>
          <w:rFonts w:eastAsia="Arial" w:cs="Arial"/>
        </w:rPr>
      </w:pPr>
      <w:r>
        <w:t>Service description</w:t>
      </w:r>
    </w:p>
    <w:p w14:paraId="32D8B585" w14:textId="77777777" w:rsidR="000559C9" w:rsidRDefault="000559C9" w:rsidP="000559C9">
      <w:pPr>
        <w:pStyle w:val="Body"/>
      </w:pPr>
      <w:r>
        <w:t xml:space="preserve">Tailored and Targeted Support Services are delivered with a caseload ratio of 1:12 – 1:16 (this is a guide only) depending on the needs of the Client. Targeted and Tailored Support Services will enable Clients residing in emergency accommodation to achieve stable longer-term housing. </w:t>
      </w:r>
    </w:p>
    <w:p w14:paraId="3EB87FF1" w14:textId="77777777" w:rsidR="000559C9" w:rsidRDefault="000559C9" w:rsidP="000559C9">
      <w:pPr>
        <w:pStyle w:val="Body"/>
      </w:pPr>
      <w:r>
        <w:t xml:space="preserve">Using persistent, person-centred engagement and individually specific support, the Support Service Provider must deliver each Client’s service offers through a continuum of integrated support, designed, and monitored to: </w:t>
      </w:r>
    </w:p>
    <w:p w14:paraId="4711051C" w14:textId="77777777" w:rsidR="000559C9" w:rsidRPr="00B04C5D" w:rsidRDefault="000559C9" w:rsidP="000559C9">
      <w:pPr>
        <w:pStyle w:val="Bullet1"/>
      </w:pPr>
      <w:r>
        <w:t>ensure their pathway to long term housing and personal stability, with active support at all points of referral and transition.</w:t>
      </w:r>
    </w:p>
    <w:p w14:paraId="72FDE4BA" w14:textId="77777777" w:rsidR="000559C9" w:rsidRPr="00B04C5D" w:rsidRDefault="000559C9" w:rsidP="000559C9">
      <w:pPr>
        <w:pStyle w:val="Bullet1"/>
      </w:pPr>
      <w:r>
        <w:t>be individually tailored, flexible and rapidly responsive to support personal, Client-led recovery.</w:t>
      </w:r>
    </w:p>
    <w:p w14:paraId="113CA072" w14:textId="77777777" w:rsidR="000559C9" w:rsidRPr="00B04C5D" w:rsidRDefault="000559C9" w:rsidP="000559C9">
      <w:pPr>
        <w:pStyle w:val="Bullet1"/>
      </w:pPr>
      <w:r>
        <w:t>acknowledge</w:t>
      </w:r>
      <w:r w:rsidRPr="00B04C5D">
        <w:t xml:space="preserve"> individual histories to anticipate, monitor and respond to issues of concern</w:t>
      </w:r>
      <w:r>
        <w:t>; and</w:t>
      </w:r>
    </w:p>
    <w:p w14:paraId="5DE3E60B" w14:textId="77777777" w:rsidR="000559C9" w:rsidRPr="00B04C5D" w:rsidRDefault="000559C9" w:rsidP="000559C9">
      <w:pPr>
        <w:pStyle w:val="Bullet1"/>
      </w:pPr>
      <w:r w:rsidRPr="00B04C5D">
        <w:t>achieve and maintain stability in housing by observing principles of Trauma Informed Care and Practice (TICP), cultural safety, and strengths-based</w:t>
      </w:r>
      <w:r>
        <w:t xml:space="preserve"> practice</w:t>
      </w:r>
      <w:r w:rsidRPr="00B04C5D">
        <w:t xml:space="preserve">. </w:t>
      </w:r>
    </w:p>
    <w:p w14:paraId="3578F17A" w14:textId="77777777" w:rsidR="000559C9" w:rsidRPr="008060C4" w:rsidRDefault="000559C9" w:rsidP="000559C9">
      <w:pPr>
        <w:pStyle w:val="Heading4"/>
      </w:pPr>
      <w:r w:rsidRPr="008060C4">
        <w:t>Service components</w:t>
      </w:r>
    </w:p>
    <w:p w14:paraId="7BD4B719" w14:textId="77777777" w:rsidR="000559C9" w:rsidRDefault="000559C9" w:rsidP="000559C9">
      <w:pPr>
        <w:pStyle w:val="Body"/>
      </w:pPr>
      <w:r>
        <w:t>Targeted and Tailored Support Services for Clients incorporate individual focused homelessness support, support to maintain housing and case coordination, service navigation and referral.</w:t>
      </w:r>
    </w:p>
    <w:p w14:paraId="2A813BDC" w14:textId="1E410441" w:rsidR="000559C9" w:rsidRPr="000559C9" w:rsidRDefault="000559C9" w:rsidP="000559C9">
      <w:pPr>
        <w:pStyle w:val="Heading4"/>
        <w:rPr>
          <w:rStyle w:val="IntenseReference"/>
          <w:b/>
          <w:bCs/>
          <w:smallCaps w:val="0"/>
          <w:color w:val="032833" w:themeColor="text1"/>
          <w:spacing w:val="0"/>
        </w:rPr>
      </w:pPr>
      <w:r>
        <w:rPr>
          <w:rStyle w:val="IntenseReference"/>
          <w:b/>
          <w:color w:val="auto"/>
        </w:rPr>
        <w:t>H</w:t>
      </w:r>
      <w:r>
        <w:rPr>
          <w:rStyle w:val="IntenseReference"/>
          <w:b/>
          <w:smallCaps w:val="0"/>
          <w:color w:val="auto"/>
        </w:rPr>
        <w:t>omelessness and housing support</w:t>
      </w:r>
    </w:p>
    <w:p w14:paraId="3AE2317A" w14:textId="77777777" w:rsidR="000559C9" w:rsidRPr="000559C9" w:rsidRDefault="000559C9" w:rsidP="000559C9">
      <w:pPr>
        <w:pStyle w:val="Body"/>
        <w:rPr>
          <w:szCs w:val="21"/>
        </w:rPr>
      </w:pPr>
      <w:r>
        <w:t>T</w:t>
      </w:r>
      <w:r w:rsidRPr="000559C9">
        <w:rPr>
          <w:szCs w:val="21"/>
        </w:rPr>
        <w:t xml:space="preserve">he Support Services Provider must deliver persistent, responsive, targeted and integrated case managed interactions for Clients through flexible contact hours sufficient to create engagement and build trust and address their immediate homelessness and longer-term housing stability, however, establishing a reasonable minimum threshold of contact hours spread over a seven-day week period depending on Client needs. </w:t>
      </w:r>
    </w:p>
    <w:p w14:paraId="1290E4E6" w14:textId="77777777" w:rsidR="000559C9" w:rsidRPr="000559C9" w:rsidRDefault="000559C9" w:rsidP="000559C9">
      <w:pPr>
        <w:pStyle w:val="Body"/>
        <w:rPr>
          <w:szCs w:val="21"/>
        </w:rPr>
      </w:pPr>
      <w:r w:rsidRPr="000559C9">
        <w:rPr>
          <w:szCs w:val="21"/>
        </w:rPr>
        <w:lastRenderedPageBreak/>
        <w:t>There may be variations in duration of engagement, intensity of support, type of support and frequency of contact. However, contact must be consistent and frequent enough to achieve a continuity of engagement that will support moving from emergency accommodation.</w:t>
      </w:r>
    </w:p>
    <w:p w14:paraId="5BA9FB48" w14:textId="77777777" w:rsidR="000559C9" w:rsidRPr="000559C9" w:rsidRDefault="000559C9" w:rsidP="000559C9">
      <w:pPr>
        <w:pStyle w:val="DHHSbody"/>
        <w:rPr>
          <w:sz w:val="21"/>
          <w:szCs w:val="21"/>
        </w:rPr>
      </w:pPr>
    </w:p>
    <w:p w14:paraId="2319EE0C" w14:textId="77777777" w:rsidR="000559C9" w:rsidRPr="000559C9" w:rsidRDefault="000559C9" w:rsidP="000559C9">
      <w:pPr>
        <w:pStyle w:val="Body"/>
        <w:rPr>
          <w:szCs w:val="21"/>
        </w:rPr>
      </w:pPr>
      <w:r w:rsidRPr="000559C9">
        <w:rPr>
          <w:szCs w:val="21"/>
        </w:rPr>
        <w:t>Homelessness and housing support must include:</w:t>
      </w:r>
    </w:p>
    <w:p w14:paraId="34CE039F" w14:textId="77777777" w:rsidR="000559C9" w:rsidRPr="000559C9" w:rsidRDefault="000559C9" w:rsidP="000559C9">
      <w:pPr>
        <w:pStyle w:val="Bullet1"/>
        <w:rPr>
          <w:szCs w:val="21"/>
        </w:rPr>
      </w:pPr>
      <w:r w:rsidRPr="000559C9">
        <w:rPr>
          <w:szCs w:val="21"/>
        </w:rPr>
        <w:t xml:space="preserve">a case coordinator to actively engage with a Client, help navigate the service system, co-ordinate supports and maintain tenancies. </w:t>
      </w:r>
    </w:p>
    <w:p w14:paraId="5E6DCC9E" w14:textId="77777777" w:rsidR="000559C9" w:rsidRPr="000559C9" w:rsidRDefault="000559C9" w:rsidP="000559C9">
      <w:pPr>
        <w:pStyle w:val="Bullet1"/>
        <w:rPr>
          <w:szCs w:val="21"/>
        </w:rPr>
      </w:pPr>
      <w:r w:rsidRPr="000559C9">
        <w:rPr>
          <w:szCs w:val="21"/>
        </w:rPr>
        <w:t>a strength-based plan that reflects the Client’s goals, is holistic and follows the Client through their housing pathway.</w:t>
      </w:r>
    </w:p>
    <w:p w14:paraId="354FABC8" w14:textId="77777777" w:rsidR="000559C9" w:rsidRPr="000559C9" w:rsidRDefault="000559C9" w:rsidP="000559C9">
      <w:pPr>
        <w:pStyle w:val="Bullet1"/>
        <w:rPr>
          <w:szCs w:val="21"/>
        </w:rPr>
      </w:pPr>
      <w:r w:rsidRPr="000559C9">
        <w:rPr>
          <w:szCs w:val="21"/>
        </w:rPr>
        <w:t xml:space="preserve">referrals and connection to community, services, and networks to enable people to live more independently and leverage community-based health and social supports. </w:t>
      </w:r>
    </w:p>
    <w:p w14:paraId="4C7DDE17" w14:textId="77777777" w:rsidR="000559C9" w:rsidRPr="000559C9" w:rsidRDefault="000559C9" w:rsidP="000559C9">
      <w:pPr>
        <w:pStyle w:val="Bullet1"/>
        <w:rPr>
          <w:szCs w:val="21"/>
        </w:rPr>
      </w:pPr>
      <w:r w:rsidRPr="000559C9">
        <w:rPr>
          <w:szCs w:val="21"/>
        </w:rPr>
        <w:t>completion and submission of a VHR application at the earliest possible stage of engagement.</w:t>
      </w:r>
    </w:p>
    <w:p w14:paraId="13BDE84F" w14:textId="77777777" w:rsidR="000559C9" w:rsidRPr="000559C9" w:rsidRDefault="000559C9" w:rsidP="000559C9">
      <w:pPr>
        <w:pStyle w:val="Bullet1"/>
        <w:rPr>
          <w:szCs w:val="21"/>
        </w:rPr>
      </w:pPr>
      <w:r w:rsidRPr="000559C9">
        <w:rPr>
          <w:szCs w:val="21"/>
        </w:rPr>
        <w:t>an exit plan and pathway to meet their individual/ household needs.</w:t>
      </w:r>
    </w:p>
    <w:p w14:paraId="7785CAE7" w14:textId="37753A39" w:rsidR="000559C9" w:rsidRPr="000559C9" w:rsidRDefault="000559C9" w:rsidP="000559C9">
      <w:pPr>
        <w:pStyle w:val="Body"/>
        <w:rPr>
          <w:szCs w:val="21"/>
        </w:rPr>
      </w:pPr>
      <w:r w:rsidRPr="000559C9">
        <w:rPr>
          <w:szCs w:val="21"/>
        </w:rPr>
        <w:t>Funding amounts for Support Services are fixed at commencement of the Service Package. H2H Community Partners are expected to deliver the appropriate level of Support Services across the portfolio of Service Packages received. However, there may be scenarios where a Client no longer requires Intensive Support Services because Targeted and</w:t>
      </w:r>
      <w:r w:rsidRPr="000559C9" w:rsidDel="00663088">
        <w:rPr>
          <w:szCs w:val="21"/>
        </w:rPr>
        <w:t xml:space="preserve"> </w:t>
      </w:r>
      <w:r w:rsidRPr="000559C9">
        <w:rPr>
          <w:szCs w:val="21"/>
        </w:rPr>
        <w:t xml:space="preserve">Tailored Support Services are more appropriate, and </w:t>
      </w:r>
      <w:r w:rsidRPr="000559C9">
        <w:rPr>
          <w:i/>
          <w:szCs w:val="21"/>
        </w:rPr>
        <w:t>vice versa</w:t>
      </w:r>
      <w:r w:rsidRPr="000559C9">
        <w:rPr>
          <w:szCs w:val="21"/>
        </w:rPr>
        <w:t xml:space="preserve">. It is expected that the required intensity of Support Services for Clients generally lessens over the term of the program because of Support Services received. </w:t>
      </w:r>
    </w:p>
    <w:p w14:paraId="62C60690" w14:textId="77777777" w:rsidR="000559C9" w:rsidRPr="000559C9" w:rsidRDefault="000559C9" w:rsidP="000559C9">
      <w:pPr>
        <w:pStyle w:val="Body"/>
        <w:rPr>
          <w:szCs w:val="21"/>
        </w:rPr>
      </w:pPr>
      <w:r w:rsidRPr="000559C9">
        <w:rPr>
          <w:szCs w:val="21"/>
        </w:rPr>
        <w:t xml:space="preserve">The department will work with H2H Community Partners where a Client requests to move to another region where its initial Service Provider does not provide Property or Support Services, or a Client exits early. The department recognises in this scenario that the initial Property Service Provider will have financial obligations relating to that Client (e.g., have entered into a head-lease and recruited staff) and will work with the Property Service Provider to mitigate the financial impact (e.g., by supporting re-renting of the vacated Accommodation). The department will not reallocate funding for Support Services from the initial Support Service Provider to a new Support Service Provider. </w:t>
      </w:r>
    </w:p>
    <w:p w14:paraId="2D5A5A51" w14:textId="77777777" w:rsidR="000559C9" w:rsidRPr="000559C9" w:rsidRDefault="000559C9" w:rsidP="000559C9">
      <w:pPr>
        <w:pStyle w:val="Heading4"/>
        <w:rPr>
          <w:rStyle w:val="IntenseReference"/>
          <w:rFonts w:eastAsia="Times"/>
          <w:b/>
          <w:smallCaps w:val="0"/>
          <w:color w:val="auto"/>
        </w:rPr>
      </w:pPr>
      <w:r w:rsidRPr="000559C9">
        <w:rPr>
          <w:rStyle w:val="IntenseReference"/>
          <w:b/>
          <w:smallCaps w:val="0"/>
          <w:color w:val="auto"/>
        </w:rPr>
        <w:t xml:space="preserve">Case coordination, </w:t>
      </w:r>
      <w:r w:rsidRPr="000559C9">
        <w:rPr>
          <w:rStyle w:val="IntenseReference"/>
          <w:b/>
          <w:bCs/>
          <w:smallCaps w:val="0"/>
          <w:color w:val="032833" w:themeColor="text1"/>
          <w:spacing w:val="0"/>
        </w:rPr>
        <w:t>service</w:t>
      </w:r>
      <w:r w:rsidRPr="000559C9">
        <w:rPr>
          <w:rStyle w:val="IntenseReference"/>
          <w:b/>
          <w:smallCaps w:val="0"/>
          <w:color w:val="auto"/>
        </w:rPr>
        <w:t xml:space="preserve"> navigation and referral</w:t>
      </w:r>
    </w:p>
    <w:p w14:paraId="7E4796FC" w14:textId="77777777" w:rsidR="000559C9" w:rsidRDefault="000559C9" w:rsidP="000559C9">
      <w:pPr>
        <w:pStyle w:val="Body"/>
      </w:pPr>
      <w:bookmarkStart w:id="44" w:name="_Hlk54023624"/>
      <w:r>
        <w:t xml:space="preserve">Case coordination will support improved access, connection to and navigation of, mainstream health and other Support Services including (but not limited to) general and mental health, alcohol and other drug services, counselling, financial support, legal support, education supports, employment supports, referral to NDIS, engagement of ACAS </w:t>
      </w:r>
      <w:r w:rsidRPr="001671DD">
        <w:t>assessment if person requires aged care supports if they are over 65 or prematurely aged due to homelessness,</w:t>
      </w:r>
      <w:r>
        <w:t xml:space="preserve"> daily living skills, family reunification, positive social and community engagement and participation. </w:t>
      </w:r>
    </w:p>
    <w:p w14:paraId="1B783F47" w14:textId="77777777" w:rsidR="000559C9" w:rsidRPr="001604B6" w:rsidRDefault="000559C9" w:rsidP="000559C9">
      <w:pPr>
        <w:pStyle w:val="Body"/>
      </w:pPr>
      <w:r w:rsidRPr="001604B6">
        <w:t xml:space="preserve">A case coordinator will be assigned to each </w:t>
      </w:r>
      <w:r>
        <w:t>Client</w:t>
      </w:r>
      <w:r w:rsidRPr="001604B6">
        <w:t xml:space="preserve"> to:</w:t>
      </w:r>
    </w:p>
    <w:p w14:paraId="6F2058D6" w14:textId="77777777" w:rsidR="000559C9" w:rsidRPr="000D76F1" w:rsidRDefault="000559C9" w:rsidP="000559C9">
      <w:pPr>
        <w:pStyle w:val="Bullet1"/>
      </w:pPr>
      <w:r w:rsidRPr="000D76F1">
        <w:t xml:space="preserve">work with the </w:t>
      </w:r>
      <w:r>
        <w:t>Client</w:t>
      </w:r>
      <w:r w:rsidRPr="000D76F1">
        <w:t xml:space="preserve"> to develop a holistic, strengths-based, goal-oriented plan that will remain with the </w:t>
      </w:r>
      <w:r>
        <w:t>Client’s</w:t>
      </w:r>
      <w:r w:rsidRPr="000D76F1">
        <w:t xml:space="preserve"> for the duration of their time in the program and is shared with all members of the multidisciplinary team</w:t>
      </w:r>
      <w:r>
        <w:t>.</w:t>
      </w:r>
    </w:p>
    <w:p w14:paraId="46FD05F9" w14:textId="77777777" w:rsidR="000559C9" w:rsidRDefault="000559C9" w:rsidP="000559C9">
      <w:pPr>
        <w:pStyle w:val="Bullet1"/>
      </w:pPr>
      <w:r>
        <w:t xml:space="preserve">regularly </w:t>
      </w:r>
      <w:r w:rsidRPr="000D76F1">
        <w:t xml:space="preserve">review the plan, </w:t>
      </w:r>
      <w:r>
        <w:t xml:space="preserve">identifying achievements, and changes acknowledging that </w:t>
      </w:r>
      <w:r w:rsidRPr="000D76F1">
        <w:t xml:space="preserve">with differing intensity of contact depending on the </w:t>
      </w:r>
      <w:r>
        <w:t>Client</w:t>
      </w:r>
      <w:r w:rsidRPr="000D76F1">
        <w:t>’s needs</w:t>
      </w:r>
      <w:r>
        <w:t>.</w:t>
      </w:r>
      <w:r w:rsidRPr="000D76F1">
        <w:t xml:space="preserve"> </w:t>
      </w:r>
    </w:p>
    <w:p w14:paraId="73DB0196" w14:textId="77777777" w:rsidR="000559C9" w:rsidRPr="000D76F1" w:rsidRDefault="000559C9" w:rsidP="000559C9">
      <w:pPr>
        <w:pStyle w:val="Bullet1"/>
      </w:pPr>
      <w:r>
        <w:t xml:space="preserve">prepare six months in advance for any housing and support needs of the Client post the end of the housing and support period of the H2H package, specifically if the household is in a property where the lease is time limited. Where the Client is accommodated in a head lease </w:t>
      </w:r>
      <w:r>
        <w:lastRenderedPageBreak/>
        <w:t>property (for 18 months), a new VHR application will be required well before the end of the head lease to ensure a smooth transition where long term social housing is required. This may also be the case where support is required to continue after the funded support package has expired.</w:t>
      </w:r>
    </w:p>
    <w:p w14:paraId="33D8D96B" w14:textId="77777777" w:rsidR="000559C9" w:rsidRPr="000D76F1" w:rsidRDefault="000559C9" w:rsidP="000559C9">
      <w:pPr>
        <w:pStyle w:val="Bullet1"/>
      </w:pPr>
      <w:r w:rsidRPr="000D76F1">
        <w:t xml:space="preserve">actively engage with the </w:t>
      </w:r>
      <w:r>
        <w:t>Client</w:t>
      </w:r>
      <w:r w:rsidRPr="000D76F1">
        <w:t xml:space="preserve"> using persistence, compassion, flexibility, and an understanding of trauma, to build trust and maintain a relationship</w:t>
      </w:r>
      <w:r>
        <w:t>.</w:t>
      </w:r>
    </w:p>
    <w:p w14:paraId="2119B683" w14:textId="77777777" w:rsidR="000559C9" w:rsidRPr="000D76F1" w:rsidRDefault="000559C9" w:rsidP="000559C9">
      <w:pPr>
        <w:pStyle w:val="Bullet1"/>
      </w:pPr>
      <w:r w:rsidRPr="000D76F1">
        <w:t xml:space="preserve">act as the main point of contact for the </w:t>
      </w:r>
      <w:r>
        <w:t>Client</w:t>
      </w:r>
      <w:r w:rsidRPr="000D76F1">
        <w:t xml:space="preserve"> and provide supports to coordinate their care</w:t>
      </w:r>
      <w:r>
        <w:t>.</w:t>
      </w:r>
    </w:p>
    <w:p w14:paraId="727B94DB" w14:textId="77777777" w:rsidR="000559C9" w:rsidRPr="000D76F1" w:rsidRDefault="000559C9" w:rsidP="000559C9">
      <w:pPr>
        <w:pStyle w:val="Bullet1"/>
      </w:pPr>
      <w:r w:rsidRPr="000D76F1">
        <w:t xml:space="preserve">convene multidisciplinary team meetings on a regular basis to discuss the </w:t>
      </w:r>
      <w:r>
        <w:t>Client</w:t>
      </w:r>
      <w:r w:rsidRPr="000D76F1">
        <w:t xml:space="preserve">’s plan, care, supports and strengths, and to share information on the </w:t>
      </w:r>
      <w:r>
        <w:t>Client</w:t>
      </w:r>
      <w:r w:rsidRPr="000D76F1">
        <w:t xml:space="preserve"> (in accordance with privacy legislation)</w:t>
      </w:r>
      <w:r>
        <w:t>.</w:t>
      </w:r>
    </w:p>
    <w:p w14:paraId="0A0A8A86" w14:textId="77777777" w:rsidR="000559C9" w:rsidRPr="000D76F1" w:rsidRDefault="000559C9" w:rsidP="000559C9">
      <w:pPr>
        <w:pStyle w:val="Bullet1"/>
      </w:pPr>
      <w:r w:rsidRPr="000D76F1">
        <w:t xml:space="preserve">broker access to </w:t>
      </w:r>
      <w:r>
        <w:t>Support S</w:t>
      </w:r>
      <w:r w:rsidRPr="000D76F1">
        <w:t xml:space="preserve">ervices for the </w:t>
      </w:r>
      <w:r>
        <w:t>Client</w:t>
      </w:r>
      <w:r w:rsidRPr="000D76F1">
        <w:t xml:space="preserve"> where required, including referrals to health services, and helping them to navigate </w:t>
      </w:r>
      <w:r>
        <w:t>Support S</w:t>
      </w:r>
      <w:r w:rsidRPr="000D76F1">
        <w:t>ervices</w:t>
      </w:r>
      <w:r>
        <w:t xml:space="preserve">. </w:t>
      </w:r>
    </w:p>
    <w:p w14:paraId="5170FEFC" w14:textId="77777777" w:rsidR="000559C9" w:rsidRPr="000D76F1" w:rsidRDefault="000559C9" w:rsidP="000559C9">
      <w:pPr>
        <w:pStyle w:val="Bullet1"/>
      </w:pPr>
      <w:r w:rsidRPr="000D76F1">
        <w:t xml:space="preserve">ensure that all members of the multidisciplinary team have an up-to-date understanding of the </w:t>
      </w:r>
      <w:r>
        <w:t>Client</w:t>
      </w:r>
      <w:r w:rsidRPr="000D76F1">
        <w:t xml:space="preserve">’s situation and needs, including concerns or risks for the </w:t>
      </w:r>
      <w:r>
        <w:t>Client</w:t>
      </w:r>
      <w:r w:rsidRPr="000D76F1">
        <w:t>’s, other others’ health and/or safety</w:t>
      </w:r>
      <w:r>
        <w:t>.</w:t>
      </w:r>
    </w:p>
    <w:bookmarkEnd w:id="44"/>
    <w:p w14:paraId="76F2EE3F" w14:textId="77777777" w:rsidR="000559C9" w:rsidRDefault="000559C9" w:rsidP="000559C9">
      <w:pPr>
        <w:pStyle w:val="Bullet1"/>
        <w:rPr>
          <w:rFonts w:eastAsia="Arial" w:cs="Arial"/>
        </w:rPr>
      </w:pPr>
      <w:r>
        <w:t>work collaboratively with the tenancy management team to support Clients to maintain tenancies through early identification of issues including rental arrears. It is expected that workers will support appropriate repayment plans in a timely manner.</w:t>
      </w:r>
    </w:p>
    <w:p w14:paraId="60AAEBE2" w14:textId="77777777" w:rsidR="000559C9" w:rsidRDefault="000559C9" w:rsidP="000559C9">
      <w:pPr>
        <w:pStyle w:val="Body"/>
      </w:pPr>
      <w:r>
        <w:t xml:space="preserve">H2H Community Partners will pro-actively assist and support frontline staff to navigate and solve access barriers by forging and maintaining effective cross sector partnerships at a leadership level in order to enhance Client access, reduce stigma and work towards collaborative and shared responsibilities for addressing issues impacting on the Client’s housing stability and overall wellbeing. </w:t>
      </w:r>
    </w:p>
    <w:p w14:paraId="4B0F3607" w14:textId="77777777" w:rsidR="000559C9" w:rsidRPr="008060C4" w:rsidRDefault="000559C9" w:rsidP="000559C9">
      <w:pPr>
        <w:pStyle w:val="Heading3"/>
      </w:pPr>
      <w:bookmarkStart w:id="45" w:name="_Toc50981366"/>
      <w:bookmarkStart w:id="46" w:name="_Toc51143800"/>
      <w:bookmarkStart w:id="47" w:name="_Toc57111845"/>
      <w:r w:rsidRPr="008060C4">
        <w:t>Intensive support</w:t>
      </w:r>
      <w:bookmarkEnd w:id="45"/>
      <w:bookmarkEnd w:id="46"/>
      <w:r w:rsidRPr="008060C4">
        <w:t xml:space="preserve"> </w:t>
      </w:r>
      <w:r w:rsidRPr="000559C9">
        <w:t>packages</w:t>
      </w:r>
      <w:bookmarkEnd w:id="47"/>
    </w:p>
    <w:p w14:paraId="21988B81" w14:textId="77777777" w:rsidR="000559C9" w:rsidRDefault="000559C9" w:rsidP="000559C9">
      <w:pPr>
        <w:pStyle w:val="Heading4"/>
      </w:pPr>
      <w:r>
        <w:t xml:space="preserve">Target </w:t>
      </w:r>
      <w:r w:rsidRPr="000559C9">
        <w:t>population</w:t>
      </w:r>
    </w:p>
    <w:p w14:paraId="742C88FC" w14:textId="77777777" w:rsidR="000559C9" w:rsidRDefault="000559C9" w:rsidP="000559C9">
      <w:pPr>
        <w:pStyle w:val="Body"/>
      </w:pPr>
      <w:r>
        <w:t xml:space="preserve">Individuals, couples, and families eligible for this support offer will have multiple support needs such as mental or physical health issues, alcohol or drug use, or the effects of trauma. They will have experienced chronic homelessness and rough sleeping. They are likely to require long-term stable housing to resolve their homelessness, as well as additional persistent support from specialist health and human services so they can maintain their housing. </w:t>
      </w:r>
    </w:p>
    <w:p w14:paraId="6B90236E" w14:textId="77777777" w:rsidR="000559C9" w:rsidRDefault="000559C9" w:rsidP="000559C9">
      <w:pPr>
        <w:pStyle w:val="Heading4"/>
      </w:pPr>
      <w:r>
        <w:t xml:space="preserve">Service </w:t>
      </w:r>
      <w:r w:rsidRPr="000559C9">
        <w:t>description</w:t>
      </w:r>
      <w:r>
        <w:t xml:space="preserve"> </w:t>
      </w:r>
    </w:p>
    <w:p w14:paraId="13AC24C8" w14:textId="77777777" w:rsidR="000559C9" w:rsidRDefault="000559C9" w:rsidP="000559C9">
      <w:pPr>
        <w:pStyle w:val="Body"/>
      </w:pPr>
      <w:r>
        <w:t>Intensive support is delivered with a caseload ratio of 1:8 Clients. Support Services provided through the Intensive Support packages will vary depending on the needs and desires of the Client. The Support Service Provider will adapt supports as the Client’s needs change and respond to risks as they emerge. It is expected that for some Clients the need for services delivered by the support teams will decrease over time as Clients settle, recover, and build new connections to the resources of their community. Other Clients will require intermittent support and for others, the need for support will be ongoing.</w:t>
      </w:r>
    </w:p>
    <w:p w14:paraId="4E0BBCD6" w14:textId="77777777" w:rsidR="000559C9" w:rsidRDefault="000559C9" w:rsidP="000559C9">
      <w:pPr>
        <w:pStyle w:val="Body"/>
      </w:pPr>
      <w:r>
        <w:t>Support provided through these packages will be broad in scope, ranging from assistance to establish a home and community connections through to accessing specific clinical interventions and addressing primary and mental health issues.</w:t>
      </w:r>
    </w:p>
    <w:p w14:paraId="33582FB7" w14:textId="77777777" w:rsidR="000559C9" w:rsidRPr="00560CBC" w:rsidRDefault="000559C9" w:rsidP="000559C9">
      <w:pPr>
        <w:pStyle w:val="Body"/>
      </w:pPr>
      <w:r>
        <w:t>Non-housing support must be well integrated with housing activities, thereby assisting tenancy retention by early identification of risks and by stabilising underlying health issues that may undermine housing sustainment if unaddressed.</w:t>
      </w:r>
      <w:r w:rsidRPr="00560CBC">
        <w:t xml:space="preserve"> </w:t>
      </w:r>
    </w:p>
    <w:p w14:paraId="592B4E61" w14:textId="77777777" w:rsidR="000559C9" w:rsidRDefault="000559C9" w:rsidP="000559C9">
      <w:pPr>
        <w:pStyle w:val="Body"/>
      </w:pPr>
      <w:r w:rsidRPr="00560CBC">
        <w:lastRenderedPageBreak/>
        <w:t xml:space="preserve">For </w:t>
      </w:r>
      <w:r>
        <w:t>Clients</w:t>
      </w:r>
      <w:r w:rsidRPr="00560CBC">
        <w:t xml:space="preserve"> placed in </w:t>
      </w:r>
      <w:r>
        <w:t>existing public housing stock, where tenancy and asset management are undertaken by the local area of the department, a positive and transparent relationship with the local housing officer is required to be established and maintained. H2H Operations Managers, H2H Community Partners and DFFH officers will work collaboratively to allocate and support H2H Clients in these tenancies.</w:t>
      </w:r>
    </w:p>
    <w:p w14:paraId="6D6AC357" w14:textId="77777777" w:rsidR="000559C9" w:rsidRPr="008060C4" w:rsidRDefault="000559C9" w:rsidP="000559C9">
      <w:pPr>
        <w:pStyle w:val="Heading4"/>
        <w:rPr>
          <w:rStyle w:val="IntenseReference"/>
          <w:rFonts w:eastAsia="Times"/>
          <w:b/>
          <w:smallCaps w:val="0"/>
          <w:color w:val="auto"/>
        </w:rPr>
      </w:pPr>
      <w:r w:rsidRPr="000559C9">
        <w:rPr>
          <w:rStyle w:val="IntenseReference"/>
          <w:b/>
          <w:bCs/>
          <w:smallCaps w:val="0"/>
          <w:color w:val="032833" w:themeColor="text1"/>
          <w:spacing w:val="0"/>
        </w:rPr>
        <w:t>Service</w:t>
      </w:r>
      <w:r w:rsidRPr="004843B6">
        <w:rPr>
          <w:rStyle w:val="IntenseReference"/>
          <w:b/>
          <w:color w:val="auto"/>
        </w:rPr>
        <w:t xml:space="preserve"> </w:t>
      </w:r>
      <w:r w:rsidRPr="000559C9">
        <w:rPr>
          <w:rStyle w:val="IntenseReference"/>
          <w:b/>
          <w:bCs/>
          <w:smallCaps w:val="0"/>
          <w:color w:val="032833" w:themeColor="text1"/>
          <w:spacing w:val="0"/>
        </w:rPr>
        <w:t>Components</w:t>
      </w:r>
    </w:p>
    <w:p w14:paraId="33D4D439" w14:textId="77777777" w:rsidR="000559C9" w:rsidRDefault="000559C9" w:rsidP="00275B09">
      <w:pPr>
        <w:pStyle w:val="Body"/>
      </w:pPr>
      <w:r>
        <w:t xml:space="preserve">Support Services for Intensive Support Clients includes homelessness and housing support, specialist multidisciplinary services, and case coordination, service navigation and referral. </w:t>
      </w:r>
    </w:p>
    <w:p w14:paraId="06DE4CAD" w14:textId="77777777" w:rsidR="000559C9" w:rsidRPr="00275B09" w:rsidRDefault="000559C9" w:rsidP="00275B09">
      <w:pPr>
        <w:pStyle w:val="Heading4"/>
        <w:rPr>
          <w:rStyle w:val="IntenseEmphasis"/>
          <w:i w:val="0"/>
          <w:iCs w:val="0"/>
          <w:color w:val="032833" w:themeColor="text1"/>
        </w:rPr>
      </w:pPr>
      <w:r w:rsidRPr="00275B09">
        <w:rPr>
          <w:rStyle w:val="IntenseEmphasis"/>
          <w:i w:val="0"/>
          <w:iCs w:val="0"/>
          <w:color w:val="032833" w:themeColor="text1"/>
        </w:rPr>
        <w:t xml:space="preserve">Homelessness and housing support </w:t>
      </w:r>
    </w:p>
    <w:p w14:paraId="193044A5" w14:textId="77777777" w:rsidR="000559C9" w:rsidRDefault="000559C9" w:rsidP="00275B09">
      <w:pPr>
        <w:pStyle w:val="Body"/>
      </w:pPr>
      <w:r>
        <w:t>The Support Services Provider must deliver persistent, targeted, integrated case managed responses for Clients through flexible contact hours (such as afterhours where funding allows) sufficient to create engagement, build trust and address their immediate homelessness and work towards housing stability in the long term. The homelessness support must provide an assertive, intensive service delivery model to work with individuals to establish and maintain housing and recover from experiences of homelessness.</w:t>
      </w:r>
    </w:p>
    <w:p w14:paraId="6BC61F77" w14:textId="77777777" w:rsidR="000559C9" w:rsidRPr="00275B09" w:rsidRDefault="000559C9" w:rsidP="00275B09">
      <w:pPr>
        <w:pStyle w:val="Heading4"/>
        <w:rPr>
          <w:rStyle w:val="IntenseEmphasis"/>
          <w:i w:val="0"/>
          <w:iCs w:val="0"/>
          <w:color w:val="032833" w:themeColor="text1"/>
        </w:rPr>
      </w:pPr>
      <w:r w:rsidRPr="00275B09">
        <w:rPr>
          <w:rStyle w:val="IntenseEmphasis"/>
          <w:i w:val="0"/>
          <w:iCs w:val="0"/>
          <w:color w:val="032833" w:themeColor="text1"/>
        </w:rPr>
        <w:t>Specialist multidisciplinary services</w:t>
      </w:r>
    </w:p>
    <w:p w14:paraId="2AB21AE8" w14:textId="77777777" w:rsidR="000559C9" w:rsidRDefault="000559C9" w:rsidP="00275B09">
      <w:pPr>
        <w:pStyle w:val="Body"/>
      </w:pPr>
      <w:r>
        <w:t xml:space="preserve">Intensive Support packages must be delivered via a team case management or intensive case management model.  Consistent with </w:t>
      </w:r>
      <w:r w:rsidRPr="00257556">
        <w:rPr>
          <w:i/>
        </w:rPr>
        <w:t xml:space="preserve">Housing First </w:t>
      </w:r>
      <w:r w:rsidRPr="00257556">
        <w:rPr>
          <w:i/>
          <w:iCs/>
        </w:rPr>
        <w:t>Principles</w:t>
      </w:r>
      <w:r>
        <w:t xml:space="preserve">, each team member contributes to case management and provides their expertise to all Clients and the team. </w:t>
      </w:r>
    </w:p>
    <w:p w14:paraId="0DBF07BB" w14:textId="77777777" w:rsidR="000559C9" w:rsidRPr="00BD7E69" w:rsidRDefault="000559C9" w:rsidP="00275B09">
      <w:pPr>
        <w:pStyle w:val="Body"/>
      </w:pPr>
      <w:r>
        <w:t>Intensive Support packages must include the following if required:</w:t>
      </w:r>
    </w:p>
    <w:p w14:paraId="7498556A" w14:textId="77777777" w:rsidR="000559C9" w:rsidRPr="000D76F1" w:rsidRDefault="000559C9" w:rsidP="00275B09">
      <w:pPr>
        <w:pStyle w:val="Bullet1"/>
      </w:pPr>
      <w:r w:rsidRPr="007759C7">
        <w:t>community health support</w:t>
      </w:r>
      <w:r>
        <w:t xml:space="preserve"> – integration of community health support to provide rapid access to health assistance </w:t>
      </w:r>
      <w:r w:rsidRPr="000D76F1">
        <w:t>and breakdown the barriers that can exist between health and specialist homelessness services</w:t>
      </w:r>
      <w:r>
        <w:t>.</w:t>
      </w:r>
    </w:p>
    <w:p w14:paraId="1311C476" w14:textId="77777777" w:rsidR="000559C9" w:rsidRPr="000D76F1" w:rsidRDefault="000559C9" w:rsidP="00275B09">
      <w:pPr>
        <w:pStyle w:val="Bullet1"/>
      </w:pPr>
      <w:r w:rsidRPr="007759C7">
        <w:t>mental health support</w:t>
      </w:r>
      <w:r w:rsidRPr="000D76F1">
        <w:t xml:space="preserve"> </w:t>
      </w:r>
      <w:r>
        <w:t>–</w:t>
      </w:r>
      <w:r w:rsidRPr="000D76F1">
        <w:t xml:space="preserve"> clinical mental health practitioner to provide direct support, as well as secondary consult and service navigation to intensive support practitioners</w:t>
      </w:r>
      <w:r>
        <w:t>; and</w:t>
      </w:r>
    </w:p>
    <w:p w14:paraId="2BAAAD92" w14:textId="77777777" w:rsidR="000559C9" w:rsidRPr="00C05B87" w:rsidRDefault="000559C9" w:rsidP="00275B09">
      <w:pPr>
        <w:pStyle w:val="Bullet1"/>
      </w:pPr>
      <w:r w:rsidRPr="007759C7">
        <w:t>alcohol and other drugs support</w:t>
      </w:r>
      <w:r w:rsidRPr="000D76F1">
        <w:t xml:space="preserve"> </w:t>
      </w:r>
      <w:r>
        <w:t>–</w:t>
      </w:r>
      <w:r w:rsidRPr="000D76F1">
        <w:t xml:space="preserve"> alcohol and other drug practitioner to provide direct </w:t>
      </w:r>
      <w:r>
        <w:t>Client</w:t>
      </w:r>
      <w:r w:rsidRPr="000D76F1">
        <w:t xml:space="preserve"> support, as</w:t>
      </w:r>
      <w:r w:rsidRPr="00C05B87">
        <w:t xml:space="preserve"> </w:t>
      </w:r>
      <w:r w:rsidRPr="000D76F1">
        <w:t>well as secondary consult in relation to AOD systems and harm minimisation, to support service navigation.</w:t>
      </w:r>
    </w:p>
    <w:p w14:paraId="4DD1978D" w14:textId="77777777" w:rsidR="000559C9" w:rsidRDefault="000559C9" w:rsidP="00275B09">
      <w:pPr>
        <w:pStyle w:val="Body"/>
      </w:pPr>
      <w:r>
        <w:t xml:space="preserve">The </w:t>
      </w:r>
      <w:r>
        <w:rPr>
          <w:rFonts w:eastAsia="Arial" w:cs="Arial"/>
        </w:rPr>
        <w:t xml:space="preserve">Support </w:t>
      </w:r>
      <w:r>
        <w:t>Service Provider will deliver or broker referrals to other social services supports.</w:t>
      </w:r>
    </w:p>
    <w:p w14:paraId="7CAFCA12" w14:textId="77777777" w:rsidR="000559C9" w:rsidRDefault="000559C9" w:rsidP="00275B09">
      <w:pPr>
        <w:pStyle w:val="Body"/>
      </w:pPr>
      <w:r>
        <w:t xml:space="preserve">Flexible contact hours will be offered where possible to enable engagement, build trust and address both immediate and long-term needs. As with case coordination, there may be variations in duration of engagement, intensity of support, and frequency of contact. </w:t>
      </w:r>
    </w:p>
    <w:p w14:paraId="7EE80A2C" w14:textId="77777777" w:rsidR="000559C9" w:rsidRPr="00275B09" w:rsidRDefault="000559C9" w:rsidP="00275B09">
      <w:pPr>
        <w:pStyle w:val="Heading4"/>
        <w:rPr>
          <w:rStyle w:val="IntenseEmphasis"/>
          <w:i w:val="0"/>
          <w:iCs w:val="0"/>
          <w:color w:val="032833" w:themeColor="text1"/>
        </w:rPr>
      </w:pPr>
      <w:r w:rsidRPr="00275B09">
        <w:rPr>
          <w:rStyle w:val="IntenseEmphasis"/>
          <w:i w:val="0"/>
          <w:iCs w:val="0"/>
          <w:color w:val="032833" w:themeColor="text1"/>
        </w:rPr>
        <w:t>Case coordination, service navigation and referral</w:t>
      </w:r>
    </w:p>
    <w:p w14:paraId="26DB4115" w14:textId="77777777" w:rsidR="000559C9" w:rsidRDefault="000559C9" w:rsidP="00275B09">
      <w:pPr>
        <w:pStyle w:val="Body"/>
      </w:pPr>
      <w:r>
        <w:t xml:space="preserve">Case coordination will support improved access, connection to and navigation of, mainstream health and other support services including (but not limited to) general and mental health, alcohol and other drug services, counselling, financial support, legal support, education supports, employment supports, referral of and assistance to people to connect with NDIS, engagement of ACAS </w:t>
      </w:r>
      <w:r w:rsidRPr="001671DD">
        <w:t>assessment if person requires aged care supports if they are over 65 or prematurely aged due to homelessness,</w:t>
      </w:r>
      <w:r>
        <w:t xml:space="preserve"> daily living skills, family reunification, positive social and community engagement and participation. </w:t>
      </w:r>
    </w:p>
    <w:p w14:paraId="445C8949" w14:textId="77777777" w:rsidR="000559C9" w:rsidRPr="00AA562E" w:rsidRDefault="000559C9" w:rsidP="00275B09">
      <w:pPr>
        <w:pStyle w:val="Body"/>
      </w:pPr>
      <w:r w:rsidRPr="00AA562E">
        <w:t xml:space="preserve">A case coordinator will be assigned to each </w:t>
      </w:r>
      <w:r>
        <w:t>Client</w:t>
      </w:r>
      <w:r w:rsidRPr="00AA562E">
        <w:t xml:space="preserve"> to:</w:t>
      </w:r>
    </w:p>
    <w:p w14:paraId="2D0B9A60" w14:textId="77777777" w:rsidR="000559C9" w:rsidRPr="00542855" w:rsidRDefault="000559C9" w:rsidP="00275B09">
      <w:pPr>
        <w:pStyle w:val="Bullet1"/>
      </w:pPr>
      <w:r w:rsidRPr="00542855">
        <w:lastRenderedPageBreak/>
        <w:t xml:space="preserve">work with the </w:t>
      </w:r>
      <w:r>
        <w:t>Client</w:t>
      </w:r>
      <w:r w:rsidRPr="00542855">
        <w:t xml:space="preserve"> to develop </w:t>
      </w:r>
      <w:r>
        <w:t xml:space="preserve">and maintain </w:t>
      </w:r>
      <w:r w:rsidRPr="00542855">
        <w:t xml:space="preserve">a holistic, strengths-based, goal-oriented plan that will remain with the </w:t>
      </w:r>
      <w:r>
        <w:t>Client</w:t>
      </w:r>
      <w:r w:rsidRPr="00542855">
        <w:t xml:space="preserve"> for the duration of their time in the program and is shared with all members of the multidisciplinary team</w:t>
      </w:r>
      <w:r>
        <w:t>.</w:t>
      </w:r>
    </w:p>
    <w:p w14:paraId="312E1B16" w14:textId="77777777" w:rsidR="000559C9" w:rsidRDefault="000559C9" w:rsidP="00275B09">
      <w:pPr>
        <w:pStyle w:val="Bullet1"/>
      </w:pPr>
      <w:r w:rsidRPr="00542855">
        <w:t xml:space="preserve">review the </w:t>
      </w:r>
      <w:r>
        <w:t>Client</w:t>
      </w:r>
      <w:r w:rsidRPr="00542855">
        <w:t>’s plan</w:t>
      </w:r>
      <w:r>
        <w:t xml:space="preserve"> at a minimum of quarterly</w:t>
      </w:r>
      <w:r w:rsidRPr="00542855">
        <w:t xml:space="preserve">, and progress against their plan, with them on a regular basis, with differing intensity of contact depending on the </w:t>
      </w:r>
      <w:r>
        <w:t>Client</w:t>
      </w:r>
      <w:r w:rsidRPr="00542855">
        <w:t>’s needs</w:t>
      </w:r>
      <w:r>
        <w:t>.</w:t>
      </w:r>
      <w:r w:rsidRPr="00542855">
        <w:t xml:space="preserve"> </w:t>
      </w:r>
    </w:p>
    <w:p w14:paraId="50D1D609" w14:textId="77777777" w:rsidR="000559C9" w:rsidRPr="00542855" w:rsidRDefault="000559C9" w:rsidP="00275B09">
      <w:pPr>
        <w:pStyle w:val="Bullet1"/>
      </w:pPr>
      <w:r>
        <w:t>prepare a plan at least six months post the end of the housing and support period of the H2H package.</w:t>
      </w:r>
    </w:p>
    <w:p w14:paraId="1D0CF635" w14:textId="77777777" w:rsidR="000559C9" w:rsidRPr="00542855" w:rsidRDefault="000559C9" w:rsidP="00275B09">
      <w:pPr>
        <w:pStyle w:val="Bullet1"/>
      </w:pPr>
      <w:r w:rsidRPr="00542855">
        <w:t xml:space="preserve">actively engage with the </w:t>
      </w:r>
      <w:r>
        <w:t>Client</w:t>
      </w:r>
      <w:r w:rsidRPr="00542855">
        <w:t>: using persistence, compassion, flexibility, and an understanding of trauma, to build trust and maintain a relationship</w:t>
      </w:r>
      <w:r>
        <w:t>.</w:t>
      </w:r>
    </w:p>
    <w:p w14:paraId="154E080D" w14:textId="77777777" w:rsidR="000559C9" w:rsidRPr="00542855" w:rsidRDefault="000559C9" w:rsidP="00275B09">
      <w:pPr>
        <w:pStyle w:val="Bullet1"/>
      </w:pPr>
      <w:r w:rsidRPr="00542855">
        <w:t xml:space="preserve">act as the main point of contact for the </w:t>
      </w:r>
      <w:r>
        <w:t>Client</w:t>
      </w:r>
      <w:r w:rsidRPr="00542855">
        <w:t xml:space="preserve"> and provide supports to coordinate their care</w:t>
      </w:r>
      <w:r>
        <w:t>.</w:t>
      </w:r>
    </w:p>
    <w:p w14:paraId="6D97A86C" w14:textId="77777777" w:rsidR="000559C9" w:rsidRPr="00542855" w:rsidRDefault="000559C9" w:rsidP="00275B09">
      <w:pPr>
        <w:pStyle w:val="Bullet1"/>
      </w:pPr>
      <w:r w:rsidRPr="00542855">
        <w:t xml:space="preserve">convene multidisciplinary team meetings on a regular basis to discuss the </w:t>
      </w:r>
      <w:r>
        <w:t>Client</w:t>
      </w:r>
      <w:r w:rsidRPr="00542855">
        <w:t xml:space="preserve">’s plan, care, supports and strengths, and to share information on the </w:t>
      </w:r>
      <w:r>
        <w:t>Client</w:t>
      </w:r>
      <w:r w:rsidRPr="00542855">
        <w:t xml:space="preserve"> (in accordance with privacy legislation)</w:t>
      </w:r>
      <w:r>
        <w:t>.</w:t>
      </w:r>
    </w:p>
    <w:p w14:paraId="6E251EEF" w14:textId="77777777" w:rsidR="000559C9" w:rsidRPr="00542855" w:rsidRDefault="000559C9" w:rsidP="00275B09">
      <w:pPr>
        <w:pStyle w:val="Bullet1"/>
      </w:pPr>
      <w:r w:rsidRPr="00542855">
        <w:t xml:space="preserve">broker access to services for the </w:t>
      </w:r>
      <w:r>
        <w:t>Client</w:t>
      </w:r>
      <w:r w:rsidRPr="00542855">
        <w:t xml:space="preserve"> where required, including referrals to health services, and helping them to navigate services</w:t>
      </w:r>
      <w:r>
        <w:t>.</w:t>
      </w:r>
    </w:p>
    <w:p w14:paraId="21209FA7" w14:textId="77777777" w:rsidR="000559C9" w:rsidRDefault="000559C9" w:rsidP="00275B09">
      <w:pPr>
        <w:pStyle w:val="Bullet1"/>
      </w:pPr>
      <w:r w:rsidRPr="00542855">
        <w:t xml:space="preserve">ensure that all members of the multidisciplinary team have an up-to-date understanding of the </w:t>
      </w:r>
      <w:r>
        <w:t>Client</w:t>
      </w:r>
      <w:r w:rsidRPr="00542855">
        <w:t xml:space="preserve">’s situation and needs, including concerns or risks for the </w:t>
      </w:r>
      <w:r>
        <w:t>Client</w:t>
      </w:r>
      <w:r w:rsidRPr="00542855">
        <w:t>’s, other others’ health and /or safety.</w:t>
      </w:r>
    </w:p>
    <w:p w14:paraId="7B9981A3" w14:textId="77777777" w:rsidR="000559C9" w:rsidRDefault="000559C9" w:rsidP="00275B09">
      <w:pPr>
        <w:pStyle w:val="Bullet1"/>
      </w:pPr>
      <w:r>
        <w:t xml:space="preserve">work collaboratively with the tenancy management team to support Clients to maintain tenancies through early identification of issues including rental arrears. It is expected that workers will support appropriate repayment plans in a timely manner. </w:t>
      </w:r>
    </w:p>
    <w:p w14:paraId="0535839B" w14:textId="77777777" w:rsidR="00275B09" w:rsidRDefault="00275B09" w:rsidP="00275B09">
      <w:pPr>
        <w:pStyle w:val="Body"/>
      </w:pPr>
    </w:p>
    <w:p w14:paraId="4B0F3E5A" w14:textId="3CB19F35" w:rsidR="000559C9" w:rsidRDefault="000559C9" w:rsidP="00275B09">
      <w:pPr>
        <w:pStyle w:val="Body"/>
      </w:pPr>
      <w:r>
        <w:t>H2H Community Partners will proactively assist and support frontline staff to navigate and solve access barriers by forging and maintaining effective cross sector partnerships at a leadership level in order to enhance Client access, reduce stigma and work towards collaborative and shared responsibilities for addressing issues impacting on the Client’s housing stability and overall wellbeing. This may include out of hours services where an incident occurs.</w:t>
      </w:r>
    </w:p>
    <w:p w14:paraId="4B3DC8DC" w14:textId="77777777" w:rsidR="00275B09" w:rsidRPr="00275B09" w:rsidRDefault="00275B09" w:rsidP="00275B09">
      <w:pPr>
        <w:pStyle w:val="Heading2"/>
      </w:pPr>
      <w:bookmarkStart w:id="48" w:name="_Toc88218373"/>
      <w:bookmarkStart w:id="49" w:name="_Toc88218845"/>
      <w:bookmarkStart w:id="50" w:name="_Toc121134078"/>
      <w:r w:rsidRPr="00275B09">
        <w:t>Flexible Brokerage</w:t>
      </w:r>
      <w:bookmarkEnd w:id="48"/>
      <w:bookmarkEnd w:id="49"/>
      <w:bookmarkEnd w:id="50"/>
    </w:p>
    <w:p w14:paraId="1C4F75CB" w14:textId="77777777" w:rsidR="00275B09" w:rsidRDefault="00275B09" w:rsidP="00275B09">
      <w:pPr>
        <w:pStyle w:val="Body"/>
      </w:pPr>
      <w:r w:rsidRPr="0015603D">
        <w:t xml:space="preserve">Flexible </w:t>
      </w:r>
      <w:r>
        <w:t>B</w:t>
      </w:r>
      <w:r w:rsidRPr="0015603D">
        <w:t xml:space="preserve">rokerage enhances the effectiveness of support provision by enabling agencies to flexibly, creatively, and quickly to improve </w:t>
      </w:r>
      <w:r>
        <w:t>Client</w:t>
      </w:r>
      <w:r w:rsidRPr="0015603D">
        <w:t xml:space="preserve"> outcomes where these are unable to be accessed through standard processes.</w:t>
      </w:r>
    </w:p>
    <w:p w14:paraId="2F66A65E" w14:textId="77777777" w:rsidR="00275B09" w:rsidRPr="00FD0D2C" w:rsidRDefault="00275B09" w:rsidP="00275B09">
      <w:pPr>
        <w:pStyle w:val="Body"/>
      </w:pPr>
      <w:r w:rsidRPr="00FD0D2C">
        <w:t xml:space="preserve">Flexible </w:t>
      </w:r>
      <w:r>
        <w:t>B</w:t>
      </w:r>
      <w:r w:rsidRPr="00FD0D2C">
        <w:t xml:space="preserve">rokerage of up to $1,500 per </w:t>
      </w:r>
      <w:r>
        <w:t>Service Package per household and per annum</w:t>
      </w:r>
      <w:r w:rsidRPr="00FD0D2C">
        <w:t xml:space="preserve"> is available to the </w:t>
      </w:r>
      <w:r>
        <w:t>S</w:t>
      </w:r>
      <w:r w:rsidRPr="00FD0D2C">
        <w:t xml:space="preserve">upport </w:t>
      </w:r>
      <w:r>
        <w:t>S</w:t>
      </w:r>
      <w:r w:rsidRPr="00FD0D2C">
        <w:t xml:space="preserve">ervice </w:t>
      </w:r>
      <w:r>
        <w:t>P</w:t>
      </w:r>
      <w:r w:rsidRPr="00FD0D2C">
        <w:t xml:space="preserve">rovider to fund </w:t>
      </w:r>
      <w:r>
        <w:t>Client</w:t>
      </w:r>
      <w:r w:rsidRPr="00FD0D2C">
        <w:t xml:space="preserve">-related expenditure for individual needs such as: </w:t>
      </w:r>
    </w:p>
    <w:p w14:paraId="100931C7" w14:textId="77777777" w:rsidR="00275B09" w:rsidRPr="00542855" w:rsidRDefault="00275B09" w:rsidP="00275B09">
      <w:pPr>
        <w:pStyle w:val="Bullet1"/>
      </w:pPr>
      <w:r w:rsidRPr="00542855">
        <w:t>delivering an effective and timely response to an immediate need</w:t>
      </w:r>
      <w:r>
        <w:t>.</w:t>
      </w:r>
    </w:p>
    <w:p w14:paraId="4BC759A9" w14:textId="77777777" w:rsidR="00275B09" w:rsidRPr="00542855" w:rsidRDefault="00275B09" w:rsidP="00275B09">
      <w:pPr>
        <w:pStyle w:val="Bullet1"/>
      </w:pPr>
      <w:r w:rsidRPr="00542855">
        <w:t xml:space="preserve">assisting </w:t>
      </w:r>
      <w:r>
        <w:t>Client</w:t>
      </w:r>
      <w:r w:rsidRPr="00542855">
        <w:t>s to establish their homes and to pursue social and recreational interests</w:t>
      </w:r>
      <w:r>
        <w:t>.</w:t>
      </w:r>
    </w:p>
    <w:p w14:paraId="39C79557" w14:textId="77777777" w:rsidR="00275B09" w:rsidRDefault="00275B09" w:rsidP="00275B09">
      <w:pPr>
        <w:pStyle w:val="Bullet1"/>
      </w:pPr>
      <w:r w:rsidRPr="00542855">
        <w:t xml:space="preserve">equipping </w:t>
      </w:r>
      <w:r>
        <w:t>Client</w:t>
      </w:r>
      <w:r w:rsidRPr="00542855">
        <w:t>s to support themselves, including brief and targeted support to divert people from entering further into the service system</w:t>
      </w:r>
      <w:r>
        <w:t>.</w:t>
      </w:r>
      <w:r w:rsidRPr="00542855">
        <w:t xml:space="preserve"> </w:t>
      </w:r>
    </w:p>
    <w:p w14:paraId="38B9087E" w14:textId="77777777" w:rsidR="00275B09" w:rsidRPr="00542855" w:rsidRDefault="00275B09" w:rsidP="00275B09">
      <w:pPr>
        <w:pStyle w:val="Bullet1"/>
      </w:pPr>
      <w:r w:rsidRPr="00542855">
        <w:t>providing a greater level of support where it is linked to a case plan.</w:t>
      </w:r>
    </w:p>
    <w:p w14:paraId="7D72EB16" w14:textId="77777777" w:rsidR="00275B09" w:rsidRDefault="00275B09" w:rsidP="00275B09">
      <w:pPr>
        <w:pStyle w:val="Body"/>
      </w:pPr>
    </w:p>
    <w:p w14:paraId="2D87941B" w14:textId="3077C2A4" w:rsidR="00275B09" w:rsidRPr="00FD0D2C" w:rsidRDefault="00275B09" w:rsidP="00275B09">
      <w:pPr>
        <w:pStyle w:val="Body"/>
      </w:pPr>
      <w:r w:rsidRPr="00FD0D2C">
        <w:t xml:space="preserve">Flexible </w:t>
      </w:r>
      <w:r>
        <w:t>B</w:t>
      </w:r>
      <w:r w:rsidRPr="00FD0D2C">
        <w:t xml:space="preserve">rokerage is intended to be truly flexible in its use, and must be clearly acquitted against discernible, measurable </w:t>
      </w:r>
      <w:r>
        <w:t>Client</w:t>
      </w:r>
      <w:r w:rsidRPr="00FD0D2C">
        <w:t xml:space="preserve"> outcomes. Examples of the use of flexible brokerage are for: </w:t>
      </w:r>
    </w:p>
    <w:p w14:paraId="45498A7A" w14:textId="77777777" w:rsidR="00275B09" w:rsidRPr="00542855" w:rsidRDefault="00275B09" w:rsidP="00275B09">
      <w:pPr>
        <w:pStyle w:val="Bullet1"/>
      </w:pPr>
      <w:r>
        <w:lastRenderedPageBreak/>
        <w:t>Client</w:t>
      </w:r>
      <w:r w:rsidRPr="00542855">
        <w:t xml:space="preserve"> vocational certification</w:t>
      </w:r>
      <w:r>
        <w:t xml:space="preserve"> where other funding is not available.</w:t>
      </w:r>
    </w:p>
    <w:p w14:paraId="31524CC7" w14:textId="77777777" w:rsidR="00275B09" w:rsidRPr="00542855" w:rsidRDefault="00275B09" w:rsidP="00275B09">
      <w:pPr>
        <w:pStyle w:val="Bullet1"/>
      </w:pPr>
      <w:r w:rsidRPr="00542855">
        <w:t>therapeutic recreation</w:t>
      </w:r>
      <w:r>
        <w:t>.</w:t>
      </w:r>
      <w:r w:rsidRPr="00542855">
        <w:t xml:space="preserve"> </w:t>
      </w:r>
    </w:p>
    <w:p w14:paraId="3D583BB2" w14:textId="77777777" w:rsidR="00275B09" w:rsidRDefault="00275B09" w:rsidP="00275B09">
      <w:pPr>
        <w:pStyle w:val="Bullet1"/>
      </w:pPr>
      <w:r w:rsidRPr="00542855">
        <w:t>specialist services that may not be delivered within support services (such as AOD detox and or rehabilitation)</w:t>
      </w:r>
      <w:r>
        <w:t>.</w:t>
      </w:r>
    </w:p>
    <w:p w14:paraId="7CF6E77D" w14:textId="77777777" w:rsidR="00275B09" w:rsidRPr="00542855" w:rsidRDefault="00275B09" w:rsidP="00275B09">
      <w:pPr>
        <w:pStyle w:val="Bullet1"/>
      </w:pPr>
      <w:r>
        <w:t>accommodation where its provision is key to engagement and forms part of a pathway to permanent housing such as rent in advance.</w:t>
      </w:r>
    </w:p>
    <w:p w14:paraId="115978B0" w14:textId="77777777" w:rsidR="00275B09" w:rsidRDefault="00275B09" w:rsidP="00275B09">
      <w:pPr>
        <w:pStyle w:val="Body"/>
      </w:pPr>
    </w:p>
    <w:p w14:paraId="271B9FB9" w14:textId="6AC7E2EC" w:rsidR="00275B09" w:rsidRPr="00FD0D2C" w:rsidRDefault="00275B09" w:rsidP="00275B09">
      <w:pPr>
        <w:pStyle w:val="Body"/>
      </w:pPr>
      <w:r w:rsidRPr="00FD0D2C">
        <w:t xml:space="preserve">Flexible </w:t>
      </w:r>
      <w:r>
        <w:t>B</w:t>
      </w:r>
      <w:r w:rsidRPr="00FD0D2C">
        <w:t xml:space="preserve">rokerage is not to be used by the </w:t>
      </w:r>
      <w:r>
        <w:t>S</w:t>
      </w:r>
      <w:r w:rsidRPr="00FD0D2C">
        <w:t>upport</w:t>
      </w:r>
      <w:r>
        <w:t xml:space="preserve"> Service P</w:t>
      </w:r>
      <w:r w:rsidRPr="00FD0D2C">
        <w:t xml:space="preserve">rovider for any other purposes other than </w:t>
      </w:r>
      <w:r>
        <w:t>Client</w:t>
      </w:r>
      <w:r w:rsidRPr="00FD0D2C">
        <w:t xml:space="preserve"> related expenditure and assistance. Flexible Brokerage cannot be used for: </w:t>
      </w:r>
    </w:p>
    <w:p w14:paraId="69CB32AD" w14:textId="77777777" w:rsidR="00275B09" w:rsidRPr="00542855" w:rsidRDefault="00275B09" w:rsidP="00275B09">
      <w:pPr>
        <w:pStyle w:val="Bullet1"/>
      </w:pPr>
      <w:r w:rsidRPr="00542855">
        <w:t xml:space="preserve">products or services that have not been identified in the </w:t>
      </w:r>
      <w:r>
        <w:t>Client</w:t>
      </w:r>
      <w:r w:rsidRPr="00542855">
        <w:t xml:space="preserve"> plan</w:t>
      </w:r>
      <w:r>
        <w:t>.</w:t>
      </w:r>
      <w:r w:rsidRPr="00542855">
        <w:t xml:space="preserve"> </w:t>
      </w:r>
    </w:p>
    <w:p w14:paraId="33641913" w14:textId="77777777" w:rsidR="00275B09" w:rsidRPr="00542855" w:rsidRDefault="00275B09" w:rsidP="00275B09">
      <w:pPr>
        <w:pStyle w:val="Bullet1"/>
      </w:pPr>
      <w:r w:rsidRPr="00542855">
        <w:t>staff related activities</w:t>
      </w:r>
      <w:r>
        <w:t>.</w:t>
      </w:r>
    </w:p>
    <w:p w14:paraId="2222BBE8" w14:textId="77777777" w:rsidR="00275B09" w:rsidRDefault="00275B09" w:rsidP="00275B09">
      <w:pPr>
        <w:pStyle w:val="Bullet1"/>
      </w:pPr>
      <w:r w:rsidRPr="00542855">
        <w:t>support services that are already available to the household through other funding sources</w:t>
      </w:r>
      <w:r>
        <w:t>.</w:t>
      </w:r>
    </w:p>
    <w:p w14:paraId="298F6A21" w14:textId="77777777" w:rsidR="00275B09" w:rsidRDefault="00275B09" w:rsidP="00275B09">
      <w:pPr>
        <w:pStyle w:val="Bullet1"/>
      </w:pPr>
      <w:r w:rsidRPr="00542855">
        <w:t>illegal</w:t>
      </w:r>
      <w:r>
        <w:t xml:space="preserve"> purchases- products or services</w:t>
      </w:r>
      <w:r w:rsidRPr="00542855">
        <w:t>.</w:t>
      </w:r>
    </w:p>
    <w:p w14:paraId="3BACAF25" w14:textId="77777777" w:rsidR="00275B09" w:rsidRDefault="00275B09" w:rsidP="00275B09">
      <w:pPr>
        <w:pStyle w:val="Body"/>
      </w:pPr>
    </w:p>
    <w:p w14:paraId="2D681247" w14:textId="4AD3D55A" w:rsidR="00275B09" w:rsidRPr="00FA118A" w:rsidRDefault="00275B09" w:rsidP="00275B09">
      <w:pPr>
        <w:pStyle w:val="Body"/>
      </w:pPr>
      <w:r w:rsidRPr="3C7E2EE1">
        <w:t xml:space="preserve">When using Flexible Brokerage to top-up establishment costs for properties the </w:t>
      </w:r>
      <w:r>
        <w:t>Client</w:t>
      </w:r>
      <w:r w:rsidRPr="3C7E2EE1">
        <w:t xml:space="preserve"> must be agreeable and</w:t>
      </w:r>
      <w:r>
        <w:t xml:space="preserve"> </w:t>
      </w:r>
      <w:r w:rsidRPr="3C7E2EE1">
        <w:t>provide consent for this to occur as part of their case/care plan.</w:t>
      </w:r>
    </w:p>
    <w:p w14:paraId="0C91E6AB" w14:textId="77777777" w:rsidR="00275B09" w:rsidRPr="0008305F" w:rsidRDefault="00275B09" w:rsidP="00F62A36">
      <w:pPr>
        <w:pStyle w:val="Heading3"/>
      </w:pPr>
      <w:r w:rsidRPr="00F40BBA">
        <w:t>Acquittal</w:t>
      </w:r>
    </w:p>
    <w:p w14:paraId="544ADC6D" w14:textId="77777777" w:rsidR="00275B09" w:rsidRDefault="00275B09" w:rsidP="00275B09">
      <w:pPr>
        <w:pStyle w:val="Body"/>
      </w:pPr>
      <w:r>
        <w:t>H2H Service Support Providers will record flexible brokerage expenditure in the Client Management System (SHIP/SRS/SAMS) and will be required to submit quarterly payment reports to the department as outlined in the Flexible Brokerage activity descriptor (Activity 94844 as per standard homelessness reporting).</w:t>
      </w:r>
    </w:p>
    <w:p w14:paraId="56F7252D" w14:textId="77777777" w:rsidR="00275B09" w:rsidRDefault="00275B09" w:rsidP="00275B09">
      <w:pPr>
        <w:pStyle w:val="Heading2"/>
      </w:pPr>
      <w:bookmarkStart w:id="51" w:name="_Toc88218374"/>
      <w:bookmarkStart w:id="52" w:name="_Toc88218846"/>
      <w:bookmarkStart w:id="53" w:name="_Toc121134079"/>
      <w:r>
        <w:t>Property Services</w:t>
      </w:r>
      <w:bookmarkEnd w:id="51"/>
      <w:bookmarkEnd w:id="52"/>
      <w:bookmarkEnd w:id="53"/>
    </w:p>
    <w:p w14:paraId="625A188C" w14:textId="77777777" w:rsidR="00275B09" w:rsidRDefault="00275B09" w:rsidP="00275B09">
      <w:pPr>
        <w:pStyle w:val="Body"/>
      </w:pPr>
      <w:r>
        <w:t>T</w:t>
      </w:r>
      <w:r w:rsidRPr="00B6787F">
        <w:t>he</w:t>
      </w:r>
      <w:r>
        <w:t xml:space="preserve"> role of Property Services Providers is to provide a dwelling, tenancy management and asset management services that support Clients to transition from emergency accommodation into stable and suitable housing and during their relevant period of accommodation.</w:t>
      </w:r>
      <w:r w:rsidRPr="00A02A93">
        <w:t xml:space="preserve"> </w:t>
      </w:r>
      <w:r>
        <w:t xml:space="preserve">This function works </w:t>
      </w:r>
      <w:r w:rsidRPr="00B6787F">
        <w:t xml:space="preserve">closely with </w:t>
      </w:r>
      <w:r>
        <w:t>S</w:t>
      </w:r>
      <w:r w:rsidRPr="00B6787F">
        <w:t xml:space="preserve">upport </w:t>
      </w:r>
      <w:r>
        <w:t>S</w:t>
      </w:r>
      <w:r w:rsidRPr="00B6787F">
        <w:t>ervice</w:t>
      </w:r>
      <w:r>
        <w:t xml:space="preserve"> Providers to provide an integrated service delivery response.</w:t>
      </w:r>
    </w:p>
    <w:p w14:paraId="356C8D99" w14:textId="77777777" w:rsidR="00275B09" w:rsidRPr="00916B96" w:rsidRDefault="00275B09" w:rsidP="00F62A36">
      <w:pPr>
        <w:pStyle w:val="Heading3"/>
      </w:pPr>
      <w:r w:rsidRPr="00916B96">
        <w:t xml:space="preserve">Property </w:t>
      </w:r>
      <w:r w:rsidRPr="00275B09">
        <w:t>management</w:t>
      </w:r>
    </w:p>
    <w:p w14:paraId="2080FF26" w14:textId="77777777" w:rsidR="00275B09" w:rsidRPr="00AE3A90" w:rsidRDefault="00275B09" w:rsidP="00275B09">
      <w:pPr>
        <w:pStyle w:val="Body"/>
      </w:pPr>
      <w:r>
        <w:t xml:space="preserve">Property Service Providers are residential rental providers and responsible for compliance with the provisions of the </w:t>
      </w:r>
      <w:r w:rsidRPr="00AF5C03">
        <w:rPr>
          <w:rFonts w:cs="Arial"/>
          <w:i/>
          <w:iCs/>
        </w:rPr>
        <w:t xml:space="preserve">Residential Tenancies Amendment </w:t>
      </w:r>
      <w:r>
        <w:rPr>
          <w:rFonts w:cs="Arial"/>
          <w:i/>
          <w:iCs/>
        </w:rPr>
        <w:t>Act</w:t>
      </w:r>
      <w:r w:rsidRPr="00AF5C03">
        <w:rPr>
          <w:rFonts w:cs="Arial"/>
          <w:i/>
          <w:iCs/>
        </w:rPr>
        <w:t xml:space="preserve"> 2018 </w:t>
      </w:r>
      <w:r>
        <w:rPr>
          <w:rFonts w:cs="Arial"/>
        </w:rPr>
        <w:t>(introduced on 29 March 2021)</w:t>
      </w:r>
      <w:r w:rsidRPr="041A7D4D">
        <w:t xml:space="preserve">. Property establishment funds are available to </w:t>
      </w:r>
      <w:r>
        <w:t>Property Service Providers.</w:t>
      </w:r>
    </w:p>
    <w:p w14:paraId="0FC9231C" w14:textId="77777777" w:rsidR="00275B09" w:rsidRDefault="00275B09" w:rsidP="00275B09">
      <w:pPr>
        <w:pStyle w:val="Heading3"/>
      </w:pPr>
      <w:r>
        <w:t>Property establishment</w:t>
      </w:r>
    </w:p>
    <w:p w14:paraId="32549588" w14:textId="77777777" w:rsidR="00275B09" w:rsidRPr="00A04DE0" w:rsidRDefault="00275B09" w:rsidP="00275B09">
      <w:pPr>
        <w:pStyle w:val="Body"/>
      </w:pPr>
      <w:r>
        <w:t>When establishing properties, the following standard items, is indicative of what may be provided through the property establishment allocation. H2H flexible brokerage funding and other funding sources can be used to top up expenditure to meet these standard requirements for Clients who do not already own these items. This may include additional items suitable to meet the needs of children. Standard establishment items are as follows:</w:t>
      </w:r>
    </w:p>
    <w:tbl>
      <w:tblPr>
        <w:tblStyle w:val="TableGrid"/>
        <w:tblW w:w="9209" w:type="dxa"/>
        <w:tblLook w:val="04A0" w:firstRow="1" w:lastRow="0" w:firstColumn="1" w:lastColumn="0" w:noHBand="0" w:noVBand="1"/>
      </w:tblPr>
      <w:tblGrid>
        <w:gridCol w:w="3114"/>
        <w:gridCol w:w="6095"/>
      </w:tblGrid>
      <w:tr w:rsidR="003421CB" w:rsidRPr="003421CB" w14:paraId="0C0D1550" w14:textId="77777777" w:rsidTr="00275B09">
        <w:trPr>
          <w:cnfStyle w:val="100000000000" w:firstRow="1" w:lastRow="0" w:firstColumn="0" w:lastColumn="0" w:oddVBand="0" w:evenVBand="0" w:oddHBand="0" w:evenHBand="0" w:firstRowFirstColumn="0" w:firstRowLastColumn="0" w:lastRowFirstColumn="0" w:lastRowLastColumn="0"/>
        </w:trPr>
        <w:tc>
          <w:tcPr>
            <w:tcW w:w="9209" w:type="dxa"/>
            <w:gridSpan w:val="2"/>
          </w:tcPr>
          <w:p w14:paraId="7AFE6246" w14:textId="77777777" w:rsidR="00275B09" w:rsidRPr="003421CB" w:rsidRDefault="00275B09" w:rsidP="00275B09">
            <w:pPr>
              <w:pStyle w:val="Body"/>
              <w:rPr>
                <w:b/>
                <w:bCs/>
                <w:color w:val="FFFFFF" w:themeColor="background1"/>
              </w:rPr>
            </w:pPr>
            <w:r w:rsidRPr="003421CB">
              <w:rPr>
                <w:b/>
                <w:bCs/>
                <w:color w:val="FFFFFF" w:themeColor="background1"/>
                <w:highlight w:val="black"/>
              </w:rPr>
              <w:t>STANDARD ITEMS</w:t>
            </w:r>
          </w:p>
        </w:tc>
      </w:tr>
      <w:tr w:rsidR="00275B09" w14:paraId="792D8BA0" w14:textId="77777777" w:rsidTr="00275B09">
        <w:tc>
          <w:tcPr>
            <w:tcW w:w="3114" w:type="dxa"/>
          </w:tcPr>
          <w:p w14:paraId="6CF75788" w14:textId="77777777" w:rsidR="00275B09" w:rsidRPr="00A02A93" w:rsidRDefault="00275B09" w:rsidP="00275B09">
            <w:pPr>
              <w:pStyle w:val="Body"/>
            </w:pPr>
            <w:r w:rsidRPr="00B04C5D">
              <w:t>refrigerato</w:t>
            </w:r>
            <w:r>
              <w:t>r</w:t>
            </w:r>
          </w:p>
        </w:tc>
        <w:tc>
          <w:tcPr>
            <w:tcW w:w="6095" w:type="dxa"/>
          </w:tcPr>
          <w:p w14:paraId="67E5E275" w14:textId="77777777" w:rsidR="00275B09" w:rsidRDefault="00275B09" w:rsidP="00275B09">
            <w:pPr>
              <w:pStyle w:val="Body"/>
            </w:pPr>
            <w:r w:rsidRPr="00B04C5D">
              <w:t>beds and mattresses*</w:t>
            </w:r>
          </w:p>
        </w:tc>
      </w:tr>
      <w:tr w:rsidR="00275B09" w14:paraId="7A93126C" w14:textId="77777777" w:rsidTr="00275B09">
        <w:tc>
          <w:tcPr>
            <w:tcW w:w="3114" w:type="dxa"/>
          </w:tcPr>
          <w:p w14:paraId="63527342" w14:textId="77777777" w:rsidR="00275B09" w:rsidRPr="00A02A93" w:rsidRDefault="00275B09" w:rsidP="00275B09">
            <w:pPr>
              <w:pStyle w:val="Body"/>
            </w:pPr>
            <w:r w:rsidRPr="00B04C5D">
              <w:lastRenderedPageBreak/>
              <w:t>washing machine</w:t>
            </w:r>
            <w:r>
              <w:t>*</w:t>
            </w:r>
          </w:p>
        </w:tc>
        <w:tc>
          <w:tcPr>
            <w:tcW w:w="6095" w:type="dxa"/>
          </w:tcPr>
          <w:p w14:paraId="6D1C87CF" w14:textId="77777777" w:rsidR="00275B09" w:rsidRDefault="00275B09" w:rsidP="00275B09">
            <w:pPr>
              <w:pStyle w:val="Body"/>
            </w:pPr>
            <w:r w:rsidRPr="00B04C5D">
              <w:t>wardrobes (if not built in)</w:t>
            </w:r>
          </w:p>
        </w:tc>
      </w:tr>
      <w:tr w:rsidR="00275B09" w14:paraId="2E5E2ED1" w14:textId="77777777" w:rsidTr="00275B09">
        <w:tc>
          <w:tcPr>
            <w:tcW w:w="3114" w:type="dxa"/>
          </w:tcPr>
          <w:p w14:paraId="7736ADBF" w14:textId="77777777" w:rsidR="00275B09" w:rsidRPr="00A02A93" w:rsidRDefault="00275B09" w:rsidP="00275B09">
            <w:pPr>
              <w:pStyle w:val="Body"/>
            </w:pPr>
            <w:r w:rsidRPr="00B04C5D">
              <w:t>microwave oven</w:t>
            </w:r>
          </w:p>
        </w:tc>
        <w:tc>
          <w:tcPr>
            <w:tcW w:w="6095" w:type="dxa"/>
          </w:tcPr>
          <w:p w14:paraId="07B4639D" w14:textId="77777777" w:rsidR="00275B09" w:rsidRDefault="00275B09" w:rsidP="00275B09">
            <w:pPr>
              <w:pStyle w:val="Body"/>
            </w:pPr>
            <w:r w:rsidRPr="00B04C5D">
              <w:t>chest of drawers for each bedroom</w:t>
            </w:r>
            <w:r>
              <w:t xml:space="preserve"> (optional)</w:t>
            </w:r>
          </w:p>
        </w:tc>
      </w:tr>
      <w:tr w:rsidR="00275B09" w14:paraId="50F043EF" w14:textId="77777777" w:rsidTr="00275B09">
        <w:tc>
          <w:tcPr>
            <w:tcW w:w="3114" w:type="dxa"/>
          </w:tcPr>
          <w:p w14:paraId="6E36C4EA" w14:textId="77777777" w:rsidR="00275B09" w:rsidRPr="00A02A93" w:rsidRDefault="00275B09" w:rsidP="00275B09">
            <w:pPr>
              <w:pStyle w:val="Body"/>
            </w:pPr>
            <w:r w:rsidRPr="00B04C5D">
              <w:t>lounge suite</w:t>
            </w:r>
          </w:p>
        </w:tc>
        <w:tc>
          <w:tcPr>
            <w:tcW w:w="6095" w:type="dxa"/>
          </w:tcPr>
          <w:p w14:paraId="462D3FAA" w14:textId="77777777" w:rsidR="00275B09" w:rsidRDefault="00275B09" w:rsidP="00275B09">
            <w:pPr>
              <w:pStyle w:val="Body"/>
            </w:pPr>
            <w:r w:rsidRPr="00B04C5D">
              <w:t>small household items e.g</w:t>
            </w:r>
            <w:r>
              <w:t>.,</w:t>
            </w:r>
            <w:r w:rsidRPr="00B04C5D">
              <w:t xml:space="preserve"> crockery, cutlery, cleaning utensils</w:t>
            </w:r>
          </w:p>
        </w:tc>
      </w:tr>
      <w:tr w:rsidR="00275B09" w14:paraId="0CB098AF" w14:textId="77777777" w:rsidTr="00275B09">
        <w:tc>
          <w:tcPr>
            <w:tcW w:w="3114" w:type="dxa"/>
          </w:tcPr>
          <w:p w14:paraId="2C6B063C" w14:textId="77777777" w:rsidR="00275B09" w:rsidRPr="00B04C5D" w:rsidRDefault="00275B09" w:rsidP="00275B09">
            <w:pPr>
              <w:pStyle w:val="Body"/>
            </w:pPr>
            <w:r w:rsidRPr="00B04C5D">
              <w:t>dining table and chairs</w:t>
            </w:r>
          </w:p>
        </w:tc>
        <w:tc>
          <w:tcPr>
            <w:tcW w:w="6095" w:type="dxa"/>
          </w:tcPr>
          <w:p w14:paraId="20DB008B" w14:textId="77777777" w:rsidR="00275B09" w:rsidRDefault="00275B09" w:rsidP="00275B09">
            <w:pPr>
              <w:pStyle w:val="Body"/>
            </w:pPr>
            <w:r w:rsidRPr="00B04C5D">
              <w:t>vacuum cleaner where a property is carpeted</w:t>
            </w:r>
          </w:p>
        </w:tc>
      </w:tr>
      <w:tr w:rsidR="00275B09" w14:paraId="1D8F48AF" w14:textId="77777777" w:rsidTr="00275B09">
        <w:tc>
          <w:tcPr>
            <w:tcW w:w="3114" w:type="dxa"/>
          </w:tcPr>
          <w:p w14:paraId="6DDE3049" w14:textId="77777777" w:rsidR="00275B09" w:rsidRPr="00B04C5D" w:rsidRDefault="00275B09" w:rsidP="00275B09">
            <w:pPr>
              <w:pStyle w:val="Body"/>
            </w:pPr>
          </w:p>
        </w:tc>
        <w:tc>
          <w:tcPr>
            <w:tcW w:w="6095" w:type="dxa"/>
          </w:tcPr>
          <w:p w14:paraId="7FEF61FE" w14:textId="77777777" w:rsidR="00275B09" w:rsidRDefault="00275B09" w:rsidP="00275B09">
            <w:pPr>
              <w:pStyle w:val="Body"/>
            </w:pPr>
            <w:r w:rsidRPr="00B04C5D">
              <w:t xml:space="preserve">linen (where the </w:t>
            </w:r>
            <w:r>
              <w:t>Client</w:t>
            </w:r>
            <w:r w:rsidRPr="00B04C5D">
              <w:t xml:space="preserve"> is unable to supply their own)</w:t>
            </w:r>
          </w:p>
        </w:tc>
      </w:tr>
    </w:tbl>
    <w:p w14:paraId="266AFD5E" w14:textId="77777777" w:rsidR="00275B09" w:rsidRPr="00832FEC" w:rsidRDefault="00275B09" w:rsidP="00275B09">
      <w:pPr>
        <w:pStyle w:val="Body"/>
      </w:pPr>
      <w:r w:rsidRPr="2B649527">
        <w:t>*Note: to be determined by property type and available facilities</w:t>
      </w:r>
    </w:p>
    <w:p w14:paraId="7186D949" w14:textId="77777777" w:rsidR="00275B09" w:rsidRPr="008A5067" w:rsidRDefault="00275B09" w:rsidP="00275B09">
      <w:pPr>
        <w:pStyle w:val="Body"/>
      </w:pPr>
      <w:r>
        <w:t>Once purchased and delivered to the Client’s dwelling, ownership of household items belongs to the Client.</w:t>
      </w:r>
    </w:p>
    <w:p w14:paraId="6D549A64" w14:textId="77777777" w:rsidR="00275B09" w:rsidRPr="00916B96" w:rsidRDefault="00275B09" w:rsidP="00275B09">
      <w:pPr>
        <w:pStyle w:val="Heading3"/>
        <w:jc w:val="both"/>
      </w:pPr>
      <w:r w:rsidRPr="00916B96">
        <w:t>Asset Management</w:t>
      </w:r>
    </w:p>
    <w:p w14:paraId="61B3D427" w14:textId="77777777" w:rsidR="00275B09" w:rsidRDefault="00275B09" w:rsidP="00275B09">
      <w:pPr>
        <w:keepNext/>
        <w:spacing w:line="270" w:lineRule="atLeast"/>
        <w:rPr>
          <w:rFonts w:ascii="Arial" w:eastAsia="Times" w:hAnsi="Arial" w:cs="Arial"/>
        </w:rPr>
      </w:pPr>
      <w:r w:rsidRPr="00275B09">
        <w:rPr>
          <w:rStyle w:val="BodyChar"/>
        </w:rPr>
        <w:t>Asset management services must be delivered in accordance with existing regulatory and policy requirements including the Residential Tenancies Amendment Act 2018 (coming into effect on 29 March</w:t>
      </w:r>
      <w:r>
        <w:rPr>
          <w:rFonts w:ascii="Arial" w:eastAsia="Times" w:hAnsi="Arial" w:cs="Arial"/>
        </w:rPr>
        <w:t xml:space="preserve"> 2021) and the Housing Registrar Guidelines. In addition, </w:t>
      </w:r>
      <w:r w:rsidRPr="3709621D">
        <w:rPr>
          <w:rFonts w:ascii="Arial" w:eastAsia="Times" w:hAnsi="Arial" w:cs="Arial"/>
        </w:rPr>
        <w:t>the requirements include</w:t>
      </w:r>
      <w:r w:rsidDel="00F1173B">
        <w:rPr>
          <w:rFonts w:ascii="Arial" w:eastAsia="Times" w:hAnsi="Arial" w:cs="Arial"/>
        </w:rPr>
        <w:t xml:space="preserve"> </w:t>
      </w:r>
      <w:r>
        <w:rPr>
          <w:rFonts w:ascii="Arial" w:eastAsia="Times" w:hAnsi="Arial" w:cs="Arial"/>
        </w:rPr>
        <w:t>the following:</w:t>
      </w:r>
    </w:p>
    <w:p w14:paraId="4ADED6AD" w14:textId="77777777" w:rsidR="00275B09" w:rsidRPr="00B04C5D" w:rsidRDefault="00275B09" w:rsidP="00275B09">
      <w:pPr>
        <w:pStyle w:val="Bullet1"/>
      </w:pPr>
      <w:r>
        <w:t xml:space="preserve">as residential rental provider </w:t>
      </w:r>
      <w:r w:rsidRPr="00B04C5D">
        <w:t>accept liability for the property condition (including review and acceptance or otherwise of the conditions report) at lease commencement</w:t>
      </w:r>
    </w:p>
    <w:p w14:paraId="61DE8403" w14:textId="77777777" w:rsidR="00275B09" w:rsidRPr="00B04C5D" w:rsidRDefault="00275B09" w:rsidP="00275B09">
      <w:pPr>
        <w:pStyle w:val="Bullet1"/>
      </w:pPr>
      <w:r w:rsidRPr="00B04C5D">
        <w:t>set and meet relevant property condition levels</w:t>
      </w:r>
    </w:p>
    <w:p w14:paraId="307B46C6" w14:textId="77777777" w:rsidR="00275B09" w:rsidRPr="00B04C5D" w:rsidRDefault="00275B09" w:rsidP="00275B09">
      <w:pPr>
        <w:pStyle w:val="Bullet1"/>
      </w:pPr>
      <w:r w:rsidRPr="00B04C5D">
        <w:t xml:space="preserve">maintain </w:t>
      </w:r>
      <w:r>
        <w:t>Client</w:t>
      </w:r>
      <w:r w:rsidRPr="00B04C5D">
        <w:t xml:space="preserve"> satisfaction with the overall asset management and maintenance services provided</w:t>
      </w:r>
    </w:p>
    <w:p w14:paraId="0456F20D" w14:textId="77777777" w:rsidR="00275B09" w:rsidRDefault="00275B09" w:rsidP="00275B09">
      <w:pPr>
        <w:pStyle w:val="Bullet1"/>
      </w:pPr>
      <w:r w:rsidRPr="00B04C5D">
        <w:t>complete any maintenance works to ensure the property meets the hand-back conditions at the end of the lease term</w:t>
      </w:r>
    </w:p>
    <w:p w14:paraId="16908137" w14:textId="77777777" w:rsidR="00275B09" w:rsidRPr="00B04C5D" w:rsidRDefault="00275B09" w:rsidP="00275B09">
      <w:pPr>
        <w:pStyle w:val="Bullet1"/>
      </w:pPr>
      <w:r>
        <w:rPr>
          <w:rFonts w:cs="Arial"/>
        </w:rPr>
        <w:t xml:space="preserve">The department will consider requests for financial assistance to support repairs of extensive damage undertaken by Clients on a case-by-case basis. Community Partners will need to demonstrate that appropriate and assertive support and tenancy management has been provided to a Client. An assessment will be undertaken of file notes maintained by both support and tenancy providers.    </w:t>
      </w:r>
    </w:p>
    <w:p w14:paraId="40B9E011" w14:textId="2DA79C10" w:rsidR="00275B09" w:rsidRDefault="00275B09" w:rsidP="00275B09">
      <w:pPr>
        <w:pStyle w:val="DHHSbullet1"/>
        <w:tabs>
          <w:tab w:val="left" w:pos="720"/>
        </w:tabs>
        <w:spacing w:after="120"/>
        <w:ind w:left="0" w:firstLine="0"/>
      </w:pPr>
      <w:r w:rsidRPr="00275B09">
        <w:rPr>
          <w:rStyle w:val="BodyChar"/>
        </w:rPr>
        <w:t xml:space="preserve">A full description of the asset management regulatory and policy requirements can be found at </w:t>
      </w:r>
      <w:hyperlink r:id="rId20">
        <w:r w:rsidRPr="00275B09">
          <w:rPr>
            <w:rStyle w:val="BodyChar"/>
          </w:rPr>
          <w:t>http://www.housingregistrar.vic.gov.au/How-we-regulate/Guidelines-for-agencies</w:t>
        </w:r>
      </w:hyperlink>
      <w:r>
        <w:rPr>
          <w:rStyle w:val="BodyChar"/>
        </w:rPr>
        <w:t xml:space="preserve"> </w:t>
      </w:r>
      <w:r w:rsidRPr="28D51A1C">
        <w:rPr>
          <w:rFonts w:eastAsia="Arial" w:cs="Arial"/>
        </w:rPr>
        <w:t xml:space="preserve">. </w:t>
      </w:r>
    </w:p>
    <w:p w14:paraId="35D5B1C9" w14:textId="77777777" w:rsidR="00275B09" w:rsidRPr="00916B96" w:rsidRDefault="00275B09" w:rsidP="00275B09">
      <w:pPr>
        <w:pStyle w:val="Heading3"/>
      </w:pPr>
      <w:r w:rsidRPr="00916B96">
        <w:t>Tenancy management</w:t>
      </w:r>
    </w:p>
    <w:p w14:paraId="62123C0B" w14:textId="77777777" w:rsidR="00275B09" w:rsidRDefault="00275B09" w:rsidP="00275B09">
      <w:pPr>
        <w:pStyle w:val="Body"/>
      </w:pPr>
      <w:r>
        <w:t>Tenancy management must be delivered in accordance with the existing regulatory and policy requirements including, but not limited to, the following:</w:t>
      </w:r>
    </w:p>
    <w:p w14:paraId="70964B88" w14:textId="557022C7" w:rsidR="00275B09" w:rsidRPr="00B04C5D" w:rsidRDefault="00275B09" w:rsidP="00275B09">
      <w:pPr>
        <w:pStyle w:val="Bullet1"/>
      </w:pPr>
      <w:r>
        <w:t xml:space="preserve">Housing Providers </w:t>
      </w:r>
      <w:r w:rsidRPr="00B04C5D">
        <w:t>enter</w:t>
      </w:r>
      <w:r>
        <w:t xml:space="preserve"> a </w:t>
      </w:r>
      <w:r w:rsidRPr="00B04C5D">
        <w:t xml:space="preserve">sub-lease with </w:t>
      </w:r>
      <w:r>
        <w:t>Client</w:t>
      </w:r>
      <w:r w:rsidRPr="00B04C5D">
        <w:t xml:space="preserve">s and determine and manage (receive) the maximum rent payable by the </w:t>
      </w:r>
      <w:r>
        <w:t>Client</w:t>
      </w:r>
      <w:r w:rsidRPr="00B04C5D">
        <w:t xml:space="preserve"> in accordance with the Maximum Rent Formula</w:t>
      </w:r>
      <w:r>
        <w:t xml:space="preserve"> </w:t>
      </w:r>
      <w:r w:rsidRPr="001604B6">
        <w:rPr>
          <w:b/>
        </w:rPr>
        <w:t xml:space="preserve">(see </w:t>
      </w:r>
      <w:r>
        <w:rPr>
          <w:b/>
        </w:rPr>
        <w:t>Appendix</w:t>
      </w:r>
      <w:r w:rsidRPr="001604B6">
        <w:rPr>
          <w:b/>
        </w:rPr>
        <w:t xml:space="preserve"> </w:t>
      </w:r>
      <w:r w:rsidR="009E70A1">
        <w:rPr>
          <w:b/>
        </w:rPr>
        <w:t>1</w:t>
      </w:r>
      <w:r w:rsidRPr="001604B6">
        <w:rPr>
          <w:b/>
        </w:rPr>
        <w:t>)</w:t>
      </w:r>
      <w:r>
        <w:rPr>
          <w:b/>
        </w:rPr>
        <w:t>.</w:t>
      </w:r>
    </w:p>
    <w:p w14:paraId="50DCA2EE" w14:textId="77777777" w:rsidR="00275B09" w:rsidRPr="00B04C5D" w:rsidRDefault="00275B09" w:rsidP="00275B09">
      <w:pPr>
        <w:pStyle w:val="Bullet1"/>
      </w:pPr>
      <w:r w:rsidRPr="00B04C5D">
        <w:t>determine and manage eligibility, allocation, and termination of housing assistance</w:t>
      </w:r>
      <w:r>
        <w:t>.</w:t>
      </w:r>
    </w:p>
    <w:p w14:paraId="3B636E7C" w14:textId="77777777" w:rsidR="00275B09" w:rsidRDefault="00275B09" w:rsidP="00275B09">
      <w:pPr>
        <w:pStyle w:val="Bullet1"/>
      </w:pPr>
      <w:r>
        <w:t>negotiation of tenancy agreements.</w:t>
      </w:r>
    </w:p>
    <w:p w14:paraId="709265B5" w14:textId="77777777" w:rsidR="00275B09" w:rsidRDefault="00275B09" w:rsidP="00275B09">
      <w:pPr>
        <w:pStyle w:val="Bullet1"/>
      </w:pPr>
      <w:r>
        <w:t>monitoring of occupancy arrangements and tenancies.</w:t>
      </w:r>
    </w:p>
    <w:p w14:paraId="3B54C8B7" w14:textId="77777777" w:rsidR="00275B09" w:rsidRPr="00854E41" w:rsidRDefault="00275B09" w:rsidP="00275B09">
      <w:pPr>
        <w:pStyle w:val="Bullet1"/>
      </w:pPr>
      <w:r w:rsidRPr="00854E41">
        <w:t>rent collection</w:t>
      </w:r>
      <w:r>
        <w:t>.</w:t>
      </w:r>
    </w:p>
    <w:p w14:paraId="3EA4E6FA" w14:textId="77777777" w:rsidR="00275B09" w:rsidRPr="0024309B" w:rsidRDefault="00275B09" w:rsidP="00275B09">
      <w:pPr>
        <w:pStyle w:val="Bullet1"/>
      </w:pPr>
      <w:r w:rsidRPr="0024309B">
        <w:t xml:space="preserve">proactively manage neighbour issues, including community engagement activities where appropriate (for example, if the </w:t>
      </w:r>
      <w:r>
        <w:t>Property S</w:t>
      </w:r>
      <w:r w:rsidRPr="0024309B">
        <w:t xml:space="preserve">ervice </w:t>
      </w:r>
      <w:r>
        <w:t>P</w:t>
      </w:r>
      <w:r w:rsidRPr="0024309B">
        <w:t>rovider is managing several dwellings within the one building)</w:t>
      </w:r>
      <w:r>
        <w:t>.</w:t>
      </w:r>
      <w:r w:rsidRPr="0024309B">
        <w:t xml:space="preserve"> </w:t>
      </w:r>
    </w:p>
    <w:p w14:paraId="573DDE22" w14:textId="77777777" w:rsidR="00275B09" w:rsidRDefault="00275B09" w:rsidP="00275B09">
      <w:pPr>
        <w:pStyle w:val="Bullet1"/>
      </w:pPr>
      <w:r>
        <w:lastRenderedPageBreak/>
        <w:t xml:space="preserve">arranging maintenance for General Lease Properties and reporting maintenance in accordance with the terms of the General Lease. </w:t>
      </w:r>
    </w:p>
    <w:p w14:paraId="7B7FABF8" w14:textId="77777777" w:rsidR="00275B09" w:rsidRPr="00B04C5D" w:rsidRDefault="00275B09" w:rsidP="00275B09">
      <w:pPr>
        <w:pStyle w:val="Bullet1"/>
      </w:pPr>
      <w:r w:rsidRPr="00B04C5D">
        <w:t>set and meet relevant housing service standards</w:t>
      </w:r>
      <w:r>
        <w:t>.</w:t>
      </w:r>
    </w:p>
    <w:p w14:paraId="6BF53F54" w14:textId="77777777" w:rsidR="00275B09" w:rsidRPr="00B04C5D" w:rsidRDefault="00275B09" w:rsidP="00275B09">
      <w:pPr>
        <w:pStyle w:val="Bullet1"/>
      </w:pPr>
      <w:r w:rsidRPr="00B04C5D">
        <w:t xml:space="preserve">support </w:t>
      </w:r>
      <w:r>
        <w:t>Client</w:t>
      </w:r>
      <w:r w:rsidRPr="00B04C5D">
        <w:t xml:space="preserve"> engagement</w:t>
      </w:r>
      <w:r>
        <w:t>.</w:t>
      </w:r>
    </w:p>
    <w:p w14:paraId="3A8B6BA2" w14:textId="77777777" w:rsidR="00275B09" w:rsidRPr="00B04C5D" w:rsidRDefault="00275B09" w:rsidP="00275B09">
      <w:pPr>
        <w:pStyle w:val="Bullet1"/>
      </w:pPr>
      <w:r w:rsidRPr="00B04C5D">
        <w:t xml:space="preserve">facilitate access to </w:t>
      </w:r>
      <w:r>
        <w:t>S</w:t>
      </w:r>
      <w:r w:rsidRPr="00B04C5D">
        <w:t xml:space="preserve">upport </w:t>
      </w:r>
      <w:r>
        <w:t>S</w:t>
      </w:r>
      <w:r w:rsidRPr="00B04C5D">
        <w:t xml:space="preserve">ervices for </w:t>
      </w:r>
      <w:r>
        <w:t>Clients</w:t>
      </w:r>
      <w:r w:rsidRPr="00B04C5D">
        <w:t xml:space="preserve"> and household members with complex needs</w:t>
      </w:r>
      <w:r>
        <w:t>.</w:t>
      </w:r>
    </w:p>
    <w:p w14:paraId="11ACF1E8" w14:textId="77777777" w:rsidR="00275B09" w:rsidRPr="00B04C5D" w:rsidRDefault="00275B09" w:rsidP="00275B09">
      <w:pPr>
        <w:pStyle w:val="Bullet1"/>
      </w:pPr>
      <w:r w:rsidRPr="00B04C5D">
        <w:t>manage and address complaints and appeals relating to the provision of housing services</w:t>
      </w:r>
      <w:r>
        <w:t>.</w:t>
      </w:r>
    </w:p>
    <w:p w14:paraId="32C912C5" w14:textId="77777777" w:rsidR="00275B09" w:rsidRPr="00B04C5D" w:rsidRDefault="00275B09" w:rsidP="00275B09">
      <w:pPr>
        <w:pStyle w:val="Bullet1"/>
      </w:pPr>
      <w:r w:rsidRPr="00B04C5D">
        <w:t xml:space="preserve">maintain </w:t>
      </w:r>
      <w:r>
        <w:t>Client</w:t>
      </w:r>
      <w:r w:rsidRPr="00B04C5D">
        <w:t xml:space="preserve"> satisfaction with the overall quality of housing assistance.</w:t>
      </w:r>
    </w:p>
    <w:p w14:paraId="19D48139" w14:textId="77777777" w:rsidR="00275B09" w:rsidRDefault="00275B09" w:rsidP="00275B09">
      <w:pPr>
        <w:pStyle w:val="Body"/>
      </w:pPr>
    </w:p>
    <w:p w14:paraId="66E1DFF6" w14:textId="7AAB5478" w:rsidR="00275B09" w:rsidRDefault="00275B09" w:rsidP="00275B09">
      <w:pPr>
        <w:pStyle w:val="Body"/>
      </w:pPr>
      <w:r>
        <w:t xml:space="preserve">A full description of the department’s policy requirements can be found in section 4 of the </w:t>
      </w:r>
      <w:r w:rsidRPr="6188309B">
        <w:rPr>
          <w:i/>
          <w:iCs/>
        </w:rPr>
        <w:t>Homelessness Services Guidelines and Conditions of Funding</w:t>
      </w:r>
      <w:r>
        <w:t xml:space="preserve"> (</w:t>
      </w:r>
      <w:hyperlink r:id="rId21">
        <w:r w:rsidRPr="6188309B">
          <w:rPr>
            <w:rStyle w:val="Hyperlink"/>
            <w:rFonts w:eastAsia="Arial" w:cs="Arial"/>
          </w:rPr>
          <w:t>https://www.dhhs.vic.gov.au/sites/default/files/documents/201705/Homelessness-Services-Guidelines-and-Conditions-of-Funding-V2.1.pdf</w:t>
        </w:r>
      </w:hyperlink>
      <w:r w:rsidRPr="6188309B">
        <w:rPr>
          <w:rFonts w:eastAsia="Arial" w:cs="Arial"/>
        </w:rPr>
        <w:t>)</w:t>
      </w:r>
      <w:r>
        <w:t>.</w:t>
      </w:r>
    </w:p>
    <w:p w14:paraId="0259DCC1" w14:textId="77777777" w:rsidR="00275B09" w:rsidRDefault="00275B09" w:rsidP="00275B09">
      <w:pPr>
        <w:pStyle w:val="Heading3"/>
      </w:pPr>
      <w:bookmarkStart w:id="54" w:name="_Toc88218375"/>
      <w:bookmarkStart w:id="55" w:name="_Toc88218847"/>
      <w:r w:rsidRPr="6188309B">
        <w:t>Maintaining tenancies and rental arrears</w:t>
      </w:r>
      <w:bookmarkEnd w:id="54"/>
      <w:bookmarkEnd w:id="55"/>
    </w:p>
    <w:p w14:paraId="4C76794E" w14:textId="77777777" w:rsidR="00275B09" w:rsidRDefault="00275B09" w:rsidP="00275B09">
      <w:pPr>
        <w:pStyle w:val="Body"/>
      </w:pPr>
      <w:r w:rsidRPr="00372AF2">
        <w:t xml:space="preserve">H2H </w:t>
      </w:r>
      <w:r>
        <w:t>Client</w:t>
      </w:r>
      <w:r w:rsidRPr="00372AF2">
        <w:t xml:space="preserve">s may experience multiple challenges in maintaining tenancies. H2H service providers must be aware that </w:t>
      </w:r>
      <w:r>
        <w:t>renter</w:t>
      </w:r>
      <w:r w:rsidRPr="00372AF2">
        <w:t>s may fall behind in rent payments. It is expected that tenancy workers will be vigilant and will alert the support worker to any identified issues at the earlier possible opportunity.</w:t>
      </w:r>
      <w:r>
        <w:t xml:space="preserve"> </w:t>
      </w:r>
    </w:p>
    <w:p w14:paraId="78189115" w14:textId="77777777" w:rsidR="00275B09" w:rsidRDefault="00275B09" w:rsidP="00275B09">
      <w:pPr>
        <w:pStyle w:val="Body"/>
      </w:pPr>
      <w:r w:rsidRPr="002E34FB">
        <w:t xml:space="preserve">Tenancy managers are encouraged to undertake professional development in </w:t>
      </w:r>
      <w:r w:rsidRPr="00450830">
        <w:rPr>
          <w:i/>
          <w:iCs/>
        </w:rPr>
        <w:t>Housing First</w:t>
      </w:r>
      <w:r w:rsidRPr="002E34FB">
        <w:t xml:space="preserve"> frameworks. Under </w:t>
      </w:r>
      <w:r w:rsidRPr="00450830">
        <w:rPr>
          <w:i/>
          <w:iCs/>
        </w:rPr>
        <w:t>Housing First</w:t>
      </w:r>
      <w:r w:rsidRPr="002E34FB">
        <w:t xml:space="preserve"> principles, tenancy managers should be aware that some </w:t>
      </w:r>
      <w:r>
        <w:t>Client</w:t>
      </w:r>
      <w:r w:rsidRPr="002E34FB">
        <w:t>s may exhibit behaviours of concern in their transition from hotel to their homes, and use discretion in the use of tenancy breaches, particularly during the transition period of a new tenancy.</w:t>
      </w:r>
    </w:p>
    <w:p w14:paraId="6182CB1D" w14:textId="77777777" w:rsidR="00275B09" w:rsidRDefault="00275B09" w:rsidP="00275B09">
      <w:pPr>
        <w:pStyle w:val="Body"/>
        <w:rPr>
          <w:b/>
          <w:bCs/>
        </w:rPr>
      </w:pPr>
      <w:r w:rsidRPr="0CDAF79E">
        <w:t xml:space="preserve">Rental arrears should be identified and reported as soon as possible, and within </w:t>
      </w:r>
      <w:r w:rsidRPr="0CDAF79E">
        <w:rPr>
          <w:b/>
          <w:bCs/>
        </w:rPr>
        <w:t>5 days</w:t>
      </w:r>
      <w:r w:rsidRPr="0CDAF79E">
        <w:t xml:space="preserve"> of a missed payment to ensure that renter do not fall behind beyond an affordable repayment schedule. Support providers will work closely with tenancy workers and the Clients to ensure that a repayment plan is put into place as soon as possible to minimise financial burden.</w:t>
      </w:r>
    </w:p>
    <w:p w14:paraId="71B6F45E" w14:textId="77777777" w:rsidR="00275B09" w:rsidRDefault="00275B09" w:rsidP="00275B09">
      <w:pPr>
        <w:pStyle w:val="Body"/>
      </w:pPr>
      <w:r w:rsidRPr="39EC148B">
        <w:t xml:space="preserve">Where there are instances of H2H Clients in seeking assistance in payment of rental arrears to sustain their </w:t>
      </w:r>
      <w:r>
        <w:t xml:space="preserve">Head Lease </w:t>
      </w:r>
      <w:r w:rsidRPr="39EC148B">
        <w:t>tenancy, Private Rental Assistance Package (PRAP) funding can be accessed to support this. It is however expected that Clients will share the responsibility of repaying their debts by contributing to the repayment.</w:t>
      </w:r>
    </w:p>
    <w:p w14:paraId="004F8289" w14:textId="12C9BC60" w:rsidR="00314E7F" w:rsidRPr="00314E7F" w:rsidRDefault="00275B09" w:rsidP="00275B09">
      <w:pPr>
        <w:pStyle w:val="Body"/>
      </w:pPr>
      <w:r>
        <w:t>Spot purchased/General Leased properties cannot access PRAP for assistance in payment of rental arrears as they are not private rentals. Clients in General Leased properties can access HEF for this purpose.</w:t>
      </w:r>
    </w:p>
    <w:p w14:paraId="41CC9562" w14:textId="274761B8" w:rsidR="00275B09" w:rsidRDefault="00275B09" w:rsidP="00275B09">
      <w:pPr>
        <w:pStyle w:val="Heading2"/>
        <w:rPr>
          <w:rFonts w:eastAsia="Arial"/>
        </w:rPr>
      </w:pPr>
      <w:bookmarkStart w:id="56" w:name="_Toc121134080"/>
      <w:r>
        <w:rPr>
          <w:rFonts w:eastAsia="Arial"/>
        </w:rPr>
        <w:t>Tenancy Sustainment</w:t>
      </w:r>
      <w:bookmarkEnd w:id="56"/>
    </w:p>
    <w:p w14:paraId="608BB108" w14:textId="77777777" w:rsidR="00275B09" w:rsidRPr="003307F7" w:rsidRDefault="00275B09" w:rsidP="00275B09">
      <w:pPr>
        <w:pStyle w:val="Body"/>
      </w:pPr>
      <w:r>
        <w:t xml:space="preserve">Following the agreed term of property services, monthly tenancy management and asset management fees will be replaced by tenancy sustainment payments. </w:t>
      </w:r>
    </w:p>
    <w:p w14:paraId="6A137757" w14:textId="77777777" w:rsidR="00275B09" w:rsidRPr="003307F7" w:rsidRDefault="00275B09" w:rsidP="00275B09">
      <w:pPr>
        <w:pStyle w:val="Body"/>
      </w:pPr>
      <w:r>
        <w:t>The exception is where head leases are extended.  For head lease extensions, Asset and Tenancy Management payments will continue until the renter transitions from the head lease or is sustained in a private rental agreement.</w:t>
      </w:r>
    </w:p>
    <w:p w14:paraId="07D632FB" w14:textId="77777777" w:rsidR="00275B09" w:rsidRDefault="00275B09" w:rsidP="00275B09">
      <w:pPr>
        <w:pStyle w:val="Heading4"/>
      </w:pPr>
      <w:r w:rsidRPr="000E79CF">
        <w:lastRenderedPageBreak/>
        <w:t>Existing H2H tenancies in community housing (</w:t>
      </w:r>
      <w:r w:rsidRPr="01C4DDC1">
        <w:t xml:space="preserve">community </w:t>
      </w:r>
      <w:r w:rsidRPr="000E79CF">
        <w:t>owned or General Lease)</w:t>
      </w:r>
    </w:p>
    <w:p w14:paraId="3F6E69A7" w14:textId="77777777" w:rsidR="00275B09" w:rsidRDefault="00275B09" w:rsidP="00275B09">
      <w:pPr>
        <w:pStyle w:val="Body"/>
      </w:pPr>
      <w:r>
        <w:t xml:space="preserve">In acknowledgement of the co-ordinated approach to tenancy and support management required for many H2H tenancies, tenancy managers will receive resourcing support by way of a </w:t>
      </w:r>
      <w:r w:rsidRPr="000E79CF">
        <w:rPr>
          <w:b/>
          <w:bCs/>
        </w:rPr>
        <w:t>Tenancy Sustainment payment</w:t>
      </w:r>
      <w:r>
        <w:t xml:space="preserve"> of $3000 12-months after the tenancy is sustained in the same property.</w:t>
      </w:r>
    </w:p>
    <w:p w14:paraId="09D7F46D" w14:textId="77777777" w:rsidR="00275B09" w:rsidRDefault="00275B09" w:rsidP="00275B09">
      <w:pPr>
        <w:pStyle w:val="Heading4"/>
      </w:pPr>
      <w:r w:rsidRPr="000E79CF">
        <w:t>New Community Housing Allocations</w:t>
      </w:r>
    </w:p>
    <w:p w14:paraId="3CC8BB63" w14:textId="77777777" w:rsidR="00275B09" w:rsidRPr="000E79CF" w:rsidRDefault="00275B09" w:rsidP="00275B09">
      <w:pPr>
        <w:pStyle w:val="Body"/>
        <w:rPr>
          <w:rFonts w:eastAsia="Verdana" w:cs="Verdana"/>
        </w:rPr>
      </w:pPr>
      <w:r w:rsidRPr="000E79CF">
        <w:t xml:space="preserve">For </w:t>
      </w:r>
      <w:r w:rsidRPr="000E79CF">
        <w:rPr>
          <w:b/>
          <w:bCs/>
        </w:rPr>
        <w:t>new allocations</w:t>
      </w:r>
      <w:r w:rsidRPr="000E79CF">
        <w:t xml:space="preserve"> to community housing, tenancy management agencies (including and beyond H2H providers) will be offered two payments to support tenancy sustainment: </w:t>
      </w:r>
    </w:p>
    <w:p w14:paraId="7BC98ADF" w14:textId="77777777" w:rsidR="00275B09" w:rsidRDefault="00275B09" w:rsidP="00275B09">
      <w:pPr>
        <w:pStyle w:val="Bullet1"/>
        <w:rPr>
          <w:rFonts w:eastAsia="Verdana" w:cs="Verdana"/>
          <w:sz w:val="22"/>
          <w:szCs w:val="22"/>
        </w:rPr>
      </w:pPr>
      <w:r w:rsidRPr="000E79CF">
        <w:rPr>
          <w:b/>
          <w:bCs/>
        </w:rPr>
        <w:t>Establishment:</w:t>
      </w:r>
      <w:r w:rsidRPr="000E79CF">
        <w:t xml:space="preserve"> $2,500 the start of the tenancy; and </w:t>
      </w:r>
    </w:p>
    <w:p w14:paraId="7DE178E8" w14:textId="77777777" w:rsidR="00275B09" w:rsidRDefault="00275B09" w:rsidP="00275B09">
      <w:pPr>
        <w:pStyle w:val="Bullet1"/>
        <w:rPr>
          <w:rFonts w:ascii="Cambria" w:eastAsia="Times New Roman" w:hAnsi="Cambria"/>
          <w:sz w:val="22"/>
          <w:szCs w:val="22"/>
        </w:rPr>
      </w:pPr>
      <w:r w:rsidRPr="000E79CF">
        <w:rPr>
          <w:b/>
          <w:bCs/>
        </w:rPr>
        <w:t>Tenancy sustainment</w:t>
      </w:r>
      <w:r w:rsidRPr="000E79CF">
        <w:t xml:space="preserve">: $3,000 12-months after the start of the tenancy, where tenancies are sustained in the same property/housing channel.    </w:t>
      </w:r>
    </w:p>
    <w:p w14:paraId="4DE84BB3" w14:textId="77777777" w:rsidR="00275B09" w:rsidRDefault="00275B09" w:rsidP="00275B09">
      <w:pPr>
        <w:pStyle w:val="Body"/>
        <w:rPr>
          <w:sz w:val="22"/>
          <w:szCs w:val="22"/>
        </w:rPr>
      </w:pPr>
      <w:r w:rsidRPr="000E79CF">
        <w:t>Tenancy sustainment payments are only available where specific funding/support arrangements have not already been agreed with agencies (e.g. for specific clients or property sites).</w:t>
      </w:r>
    </w:p>
    <w:p w14:paraId="6159BF43" w14:textId="77777777" w:rsidR="00275B09" w:rsidRDefault="00275B09" w:rsidP="00275B09">
      <w:pPr>
        <w:pStyle w:val="Heading4"/>
      </w:pPr>
      <w:r>
        <w:t xml:space="preserve">Owners </w:t>
      </w:r>
      <w:r w:rsidRPr="00275B09">
        <w:t>Corporation</w:t>
      </w:r>
      <w:r>
        <w:t xml:space="preserve"> Fees </w:t>
      </w:r>
    </w:p>
    <w:p w14:paraId="4B0B5B42" w14:textId="77777777" w:rsidR="00275B09" w:rsidRPr="00916B96" w:rsidRDefault="00275B09" w:rsidP="00275B09">
      <w:pPr>
        <w:pStyle w:val="Body"/>
      </w:pPr>
      <w:r w:rsidRPr="00916B96">
        <w:t xml:space="preserve">Homes Victoria will cover the cost of Owners Corporation Fees for the newly purchased H2H General Leased properties for the </w:t>
      </w:r>
      <w:r>
        <w:t>initial term</w:t>
      </w:r>
      <w:r w:rsidRPr="00916B96">
        <w:t xml:space="preserve"> of the H2H pr</w:t>
      </w:r>
      <w:r w:rsidRPr="00D51C6B">
        <w:t xml:space="preserve">ogram. It is important </w:t>
      </w:r>
      <w:r w:rsidRPr="00916B96">
        <w:t xml:space="preserve">to note this is a departure from the normal General Lease arrangements where the Community Housing providers would normally pay all outgoings associated with a property including owners corporation fees for this program. </w:t>
      </w:r>
    </w:p>
    <w:p w14:paraId="0DB8DEBA" w14:textId="77777777" w:rsidR="00275B09" w:rsidRPr="00916B96" w:rsidRDefault="00275B09" w:rsidP="00275B09">
      <w:pPr>
        <w:pStyle w:val="Body"/>
      </w:pPr>
      <w:r w:rsidRPr="00916B96">
        <w:t>Homes Victoria reserve</w:t>
      </w:r>
      <w:r>
        <w:t>s</w:t>
      </w:r>
      <w:r w:rsidRPr="00916B96">
        <w:t xml:space="preserve"> the right to review and make changes to this arrangement beyond the initial period of the program regarding the management, owners corporation fees and transfer of this stock.</w:t>
      </w:r>
    </w:p>
    <w:p w14:paraId="084540B1" w14:textId="706DA038" w:rsidR="00275B09" w:rsidRPr="00916B96" w:rsidRDefault="00127723" w:rsidP="00275B09">
      <w:pPr>
        <w:pStyle w:val="Body"/>
      </w:pPr>
      <w:r>
        <w:t xml:space="preserve">At the </w:t>
      </w:r>
      <w:r w:rsidR="00D83839">
        <w:t>end of the H2H General Lease fixed term</w:t>
      </w:r>
      <w:r w:rsidR="003C3288">
        <w:t xml:space="preserve">, a Deed of Variation will be issued to move the </w:t>
      </w:r>
      <w:r w:rsidR="00FC6275">
        <w:t>property to the Interim General Lease until</w:t>
      </w:r>
      <w:r w:rsidR="000819BA">
        <w:t xml:space="preserve"> March 2024</w:t>
      </w:r>
      <w:r w:rsidR="00275B09" w:rsidRPr="00916B96">
        <w:t xml:space="preserve">. </w:t>
      </w:r>
    </w:p>
    <w:p w14:paraId="63CF85D7" w14:textId="77777777" w:rsidR="00275B09" w:rsidRPr="00916B96" w:rsidRDefault="00275B09" w:rsidP="00275B09">
      <w:pPr>
        <w:pStyle w:val="Heading4"/>
      </w:pPr>
      <w:r>
        <w:t>General Lease Agreements </w:t>
      </w:r>
    </w:p>
    <w:p w14:paraId="2B4E6425" w14:textId="77777777" w:rsidR="00275B09" w:rsidRPr="00275B09" w:rsidRDefault="00275B09" w:rsidP="00275B09">
      <w:pPr>
        <w:pStyle w:val="Body"/>
        <w:rPr>
          <w:rStyle w:val="normaltextrun"/>
          <w:rFonts w:eastAsia="MS Gothic" w:cs="Arial"/>
          <w:szCs w:val="21"/>
        </w:rPr>
      </w:pPr>
      <w:r w:rsidRPr="00275B09">
        <w:rPr>
          <w:rStyle w:val="normaltextrun"/>
          <w:rFonts w:eastAsia="MS Gothic" w:cs="Arial"/>
          <w:szCs w:val="21"/>
        </w:rPr>
        <w:t>Under section 12A of the Electronic Transaction (Victoria) Act 2000 (Act) a lease can be created, signed, and delivered by electronic communication.</w:t>
      </w:r>
    </w:p>
    <w:p w14:paraId="7964AD83" w14:textId="051ED8ED" w:rsidR="00275B09" w:rsidRPr="00275B09" w:rsidRDefault="00275B09" w:rsidP="00275B09">
      <w:pPr>
        <w:pStyle w:val="Body"/>
        <w:rPr>
          <w:rStyle w:val="normaltextrun"/>
          <w:rFonts w:eastAsia="MS Gothic" w:cs="Arial"/>
          <w:szCs w:val="21"/>
        </w:rPr>
      </w:pPr>
      <w:r w:rsidRPr="00275B09">
        <w:rPr>
          <w:rStyle w:val="normaltextrun"/>
          <w:rFonts w:eastAsia="MS Gothic" w:cs="Arial"/>
          <w:szCs w:val="21"/>
        </w:rPr>
        <w:t xml:space="preserve">Accordingly, General Lease Agreements can be signed by electronic communication but in doing so, the requirements of the Act must be complied with. The lease with electronic signatures and should be returned to Agency Leasing and Agreements at </w:t>
      </w:r>
      <w:hyperlink r:id="rId22" w:history="1">
        <w:r w:rsidRPr="00275B09">
          <w:rPr>
            <w:rStyle w:val="Hyperlink"/>
            <w:rFonts w:eastAsia="MS Gothic" w:cs="Arial"/>
            <w:szCs w:val="21"/>
          </w:rPr>
          <w:t>ala@homes.vic.gov.au</w:t>
        </w:r>
      </w:hyperlink>
      <w:r w:rsidRPr="00275B09">
        <w:rPr>
          <w:rStyle w:val="normaltextrun"/>
          <w:rFonts w:eastAsia="MS Gothic" w:cs="Arial"/>
          <w:szCs w:val="21"/>
        </w:rPr>
        <w:t xml:space="preserve"> for completion on behalf of Homes Victoria.</w:t>
      </w:r>
    </w:p>
    <w:p w14:paraId="063D3DA6" w14:textId="714975A8" w:rsidR="00275B09" w:rsidRPr="00275B09" w:rsidRDefault="00275B09" w:rsidP="00275B09">
      <w:pPr>
        <w:pStyle w:val="Body"/>
        <w:rPr>
          <w:szCs w:val="21"/>
          <w:highlight w:val="yellow"/>
        </w:rPr>
      </w:pPr>
      <w:r w:rsidRPr="00275B09">
        <w:rPr>
          <w:rStyle w:val="normaltextrun"/>
          <w:rFonts w:eastAsia="MS Gothic" w:cs="Arial"/>
          <w:szCs w:val="21"/>
        </w:rPr>
        <w:t>For any questions about a H2H General Lease Agreement or to send your electronic version please email: </w:t>
      </w:r>
      <w:hyperlink r:id="rId23">
        <w:r w:rsidRPr="00275B09">
          <w:rPr>
            <w:rStyle w:val="normaltextrun"/>
            <w:rFonts w:eastAsia="MS Gothic" w:cs="Arial"/>
            <w:color w:val="0074BC"/>
            <w:szCs w:val="21"/>
            <w:u w:val="single"/>
          </w:rPr>
          <w:t>ala@homes.vic.gov.au</w:t>
        </w:r>
      </w:hyperlink>
      <w:r w:rsidRPr="00275B09">
        <w:rPr>
          <w:rStyle w:val="normaltextrun"/>
          <w:rFonts w:eastAsia="MS Gothic" w:cs="Arial"/>
          <w:szCs w:val="21"/>
        </w:rPr>
        <w:t> (Attention: relevant team member in Leasing and Asset Management team).</w:t>
      </w:r>
      <w:r w:rsidRPr="00275B09">
        <w:rPr>
          <w:rStyle w:val="eop"/>
          <w:rFonts w:eastAsia="MS Mincho" w:cs="Arial"/>
          <w:szCs w:val="21"/>
        </w:rPr>
        <w:t> </w:t>
      </w:r>
    </w:p>
    <w:p w14:paraId="7672CA0A" w14:textId="77777777" w:rsidR="00275B09" w:rsidRPr="00916B96" w:rsidRDefault="00275B09" w:rsidP="00275B09">
      <w:pPr>
        <w:pStyle w:val="Heading4"/>
      </w:pPr>
      <w:r w:rsidRPr="00916B96">
        <w:t>Safety checks and mandatory disclosure </w:t>
      </w:r>
    </w:p>
    <w:p w14:paraId="2CBDDF70" w14:textId="38A8781C" w:rsidR="00275B09" w:rsidRPr="002105B7" w:rsidRDefault="00275B09" w:rsidP="00275B09">
      <w:pPr>
        <w:pStyle w:val="Body"/>
        <w:rPr>
          <w:szCs w:val="21"/>
        </w:rPr>
      </w:pPr>
      <w:r w:rsidRPr="002105B7">
        <w:rPr>
          <w:rStyle w:val="normaltextrun"/>
          <w:rFonts w:eastAsia="MS Gothic" w:cs="Arial"/>
          <w:szCs w:val="21"/>
        </w:rPr>
        <w:t>The information sheet (</w:t>
      </w:r>
      <w:r w:rsidRPr="002105B7">
        <w:rPr>
          <w:rStyle w:val="normaltextrun"/>
          <w:rFonts w:eastAsia="MS Gothic" w:cs="Arial"/>
          <w:b/>
          <w:bCs/>
          <w:i/>
          <w:iCs/>
          <w:szCs w:val="21"/>
        </w:rPr>
        <w:t>Appendix</w:t>
      </w:r>
      <w:r w:rsidRPr="002105B7" w:rsidDel="00E46E68">
        <w:rPr>
          <w:rStyle w:val="normaltextrun"/>
          <w:rFonts w:eastAsia="MS Gothic" w:cs="Arial"/>
          <w:b/>
          <w:i/>
          <w:szCs w:val="21"/>
        </w:rPr>
        <w:t xml:space="preserve"> </w:t>
      </w:r>
      <w:r w:rsidR="00AC4F89">
        <w:rPr>
          <w:rStyle w:val="normaltextrun"/>
          <w:rFonts w:eastAsia="MS Gothic" w:cs="Arial"/>
          <w:b/>
          <w:i/>
          <w:szCs w:val="21"/>
        </w:rPr>
        <w:t>4</w:t>
      </w:r>
      <w:r w:rsidRPr="002105B7">
        <w:rPr>
          <w:rStyle w:val="normaltextrun"/>
          <w:rFonts w:eastAsia="MS Gothic" w:cs="Arial"/>
          <w:szCs w:val="21"/>
        </w:rPr>
        <w:t xml:space="preserve">) has been prepared for agencies managing Homes Victoria owned dwellings under the General Lease or HPF (Option 2) outlining obligations regarding mandatory disclosures and safety checks following the recent changes to the </w:t>
      </w:r>
      <w:r w:rsidRPr="002105B7">
        <w:rPr>
          <w:rStyle w:val="normaltextrun"/>
          <w:rFonts w:eastAsia="MS Gothic" w:cs="Arial"/>
          <w:i/>
          <w:szCs w:val="21"/>
        </w:rPr>
        <w:t>Residential Tenancies Act 1997</w:t>
      </w:r>
      <w:r w:rsidRPr="002105B7">
        <w:rPr>
          <w:rStyle w:val="normaltextrun"/>
          <w:rFonts w:eastAsia="MS Gothic" w:cs="Arial"/>
          <w:szCs w:val="21"/>
        </w:rPr>
        <w:t>. </w:t>
      </w:r>
      <w:r w:rsidRPr="002105B7">
        <w:rPr>
          <w:rStyle w:val="eop"/>
          <w:rFonts w:eastAsia="MS Mincho" w:cs="Arial"/>
          <w:szCs w:val="21"/>
        </w:rPr>
        <w:t> </w:t>
      </w:r>
    </w:p>
    <w:p w14:paraId="0A857F45" w14:textId="22DD9F7E" w:rsidR="00275B09" w:rsidRPr="002105B7" w:rsidRDefault="00275B09" w:rsidP="00275B09">
      <w:pPr>
        <w:pStyle w:val="Body"/>
        <w:rPr>
          <w:szCs w:val="21"/>
        </w:rPr>
      </w:pPr>
      <w:r w:rsidRPr="002105B7">
        <w:rPr>
          <w:rStyle w:val="normaltextrun"/>
          <w:rFonts w:eastAsia="MS Gothic" w:cs="Arial"/>
          <w:szCs w:val="21"/>
        </w:rPr>
        <w:t>Questions should be directed to the Homes Victoria Leasing Team at </w:t>
      </w:r>
      <w:hyperlink r:id="rId24">
        <w:r w:rsidRPr="002105B7">
          <w:rPr>
            <w:rStyle w:val="normaltextrun"/>
            <w:rFonts w:eastAsia="MS Gothic" w:cs="Arial"/>
            <w:color w:val="0074BC"/>
            <w:szCs w:val="21"/>
            <w:u w:val="single"/>
          </w:rPr>
          <w:t>ala@homes.vic.gov.au</w:t>
        </w:r>
      </w:hyperlink>
      <w:r w:rsidRPr="002105B7">
        <w:rPr>
          <w:rStyle w:val="normaltextrun"/>
          <w:rFonts w:eastAsia="MS Gothic" w:cs="Arial"/>
          <w:color w:val="0074BC"/>
          <w:szCs w:val="21"/>
          <w:u w:val="single"/>
        </w:rPr>
        <w:t>.</w:t>
      </w:r>
      <w:r w:rsidRPr="002105B7">
        <w:rPr>
          <w:rStyle w:val="eop"/>
          <w:rFonts w:eastAsia="MS Mincho" w:cs="Arial"/>
          <w:color w:val="0074BC"/>
          <w:szCs w:val="21"/>
        </w:rPr>
        <w:t> </w:t>
      </w:r>
    </w:p>
    <w:p w14:paraId="3E70382F" w14:textId="77777777" w:rsidR="00275B09" w:rsidRPr="00916B96" w:rsidRDefault="00275B09" w:rsidP="00275B09">
      <w:pPr>
        <w:pStyle w:val="Heading4"/>
      </w:pPr>
      <w:r w:rsidRPr="00916B96">
        <w:rPr>
          <w:rStyle w:val="normaltextrun"/>
        </w:rPr>
        <w:lastRenderedPageBreak/>
        <w:t>Replacement keys and fobs</w:t>
      </w:r>
      <w:r w:rsidRPr="00916B96">
        <w:rPr>
          <w:rStyle w:val="eop"/>
        </w:rPr>
        <w:t> </w:t>
      </w:r>
    </w:p>
    <w:p w14:paraId="72282CCD" w14:textId="77777777" w:rsidR="00275B09" w:rsidRPr="002105B7" w:rsidRDefault="00275B09" w:rsidP="00275B09">
      <w:pPr>
        <w:pStyle w:val="Body"/>
        <w:rPr>
          <w:szCs w:val="21"/>
        </w:rPr>
      </w:pPr>
      <w:r w:rsidRPr="002105B7">
        <w:rPr>
          <w:rStyle w:val="normaltextrun"/>
          <w:rFonts w:eastAsia="MS Gothic" w:cs="Arial"/>
          <w:szCs w:val="21"/>
        </w:rPr>
        <w:t>Each Owners Corporation may have own arrangements regarding the appointment of a proxy to request replacement keys. If additional keys or fobs are required, a request must be made to the respective Owners Corporation for relevant form to be completed. If the form requires approval from Homes Victoria, it must be sent to </w:t>
      </w:r>
      <w:hyperlink r:id="rId25">
        <w:r w:rsidRPr="002105B7">
          <w:rPr>
            <w:rStyle w:val="normaltextrun"/>
            <w:rFonts w:eastAsia="MS Gothic" w:cs="Arial"/>
            <w:color w:val="0074BC"/>
            <w:szCs w:val="21"/>
            <w:u w:val="single"/>
          </w:rPr>
          <w:t>ala@homes.vic.gov.au</w:t>
        </w:r>
      </w:hyperlink>
      <w:r w:rsidRPr="002105B7">
        <w:rPr>
          <w:rStyle w:val="normaltextrun"/>
          <w:rFonts w:eastAsia="MS Gothic" w:cs="Arial"/>
          <w:szCs w:val="21"/>
        </w:rPr>
        <w:t>  who will ensure the forms are signed and returned to the requester. Homes Victoria must be advised if the request is to be actioned by Homes Victoria. </w:t>
      </w:r>
      <w:r w:rsidRPr="002105B7">
        <w:rPr>
          <w:rStyle w:val="eop"/>
          <w:rFonts w:eastAsia="MS Mincho" w:cs="Arial"/>
          <w:szCs w:val="21"/>
        </w:rPr>
        <w:t> </w:t>
      </w:r>
    </w:p>
    <w:p w14:paraId="4425CA2D" w14:textId="77777777" w:rsidR="00275B09" w:rsidRPr="0024309B" w:rsidRDefault="00275B09" w:rsidP="00275B09">
      <w:pPr>
        <w:pStyle w:val="Heading1"/>
      </w:pPr>
      <w:bookmarkStart w:id="57" w:name="_Toc88218376"/>
      <w:bookmarkStart w:id="58" w:name="_Toc88218848"/>
      <w:bookmarkStart w:id="59" w:name="_Toc121134081"/>
      <w:r w:rsidRPr="00B6787F">
        <w:t>Propert</w:t>
      </w:r>
      <w:r>
        <w:t>ies</w:t>
      </w:r>
      <w:bookmarkEnd w:id="57"/>
      <w:bookmarkEnd w:id="58"/>
      <w:bookmarkEnd w:id="59"/>
    </w:p>
    <w:p w14:paraId="78C9F7A3" w14:textId="77777777" w:rsidR="00275B09" w:rsidRDefault="00275B09" w:rsidP="00275B09">
      <w:pPr>
        <w:pStyle w:val="Heading2"/>
      </w:pPr>
      <w:bookmarkStart w:id="60" w:name="_Toc88218377"/>
      <w:bookmarkStart w:id="61" w:name="_Toc88218849"/>
      <w:bookmarkStart w:id="62" w:name="_Toc121134082"/>
      <w:r w:rsidRPr="2B649527">
        <w:t>Public Housing Proper</w:t>
      </w:r>
      <w:r>
        <w:t>ties</w:t>
      </w:r>
      <w:bookmarkEnd w:id="60"/>
      <w:bookmarkEnd w:id="61"/>
      <w:bookmarkEnd w:id="62"/>
      <w:r w:rsidRPr="2B649527">
        <w:t xml:space="preserve"> </w:t>
      </w:r>
    </w:p>
    <w:p w14:paraId="772E1981" w14:textId="77777777" w:rsidR="00275B09" w:rsidRDefault="00275B09" w:rsidP="00275B09">
      <w:pPr>
        <w:pStyle w:val="Body"/>
      </w:pPr>
      <w:r>
        <w:t xml:space="preserve">At the commencement of H2H there were 378 existing public housing dwellings allocated to the H2H program. Due to the reduction in spot purchased properties the number of public housing properties will increase. </w:t>
      </w:r>
    </w:p>
    <w:p w14:paraId="3E955C47" w14:textId="44244478" w:rsidR="00275B09" w:rsidRDefault="00275B09" w:rsidP="00275B09">
      <w:pPr>
        <w:pStyle w:val="Body"/>
      </w:pPr>
      <w:r>
        <w:t xml:space="preserve">As head lease terms expire, public housing is one of the </w:t>
      </w:r>
      <w:r w:rsidR="003421CB">
        <w:t>long-term</w:t>
      </w:r>
      <w:r>
        <w:t xml:space="preserve"> housing options for H2H households exiting head lease properties. The target date for transitioning clients from H2H head leases into long term housing is December 2023.  Public housing is one of the </w:t>
      </w:r>
      <w:r w:rsidR="003421CB">
        <w:t>long-term</w:t>
      </w:r>
      <w:r>
        <w:t xml:space="preserve"> options and around 70 allocations will be needed each quarter.  </w:t>
      </w:r>
    </w:p>
    <w:p w14:paraId="0301F7B9" w14:textId="77777777" w:rsidR="00275B09" w:rsidRDefault="00275B09" w:rsidP="00275B09">
      <w:pPr>
        <w:pStyle w:val="Heading2"/>
      </w:pPr>
      <w:bookmarkStart w:id="63" w:name="_Toc88218378"/>
      <w:bookmarkStart w:id="64" w:name="_Toc88218850"/>
      <w:bookmarkStart w:id="65" w:name="_Toc121134083"/>
      <w:r>
        <w:t>General Lease Properties</w:t>
      </w:r>
      <w:bookmarkEnd w:id="63"/>
      <w:bookmarkEnd w:id="64"/>
      <w:bookmarkEnd w:id="65"/>
      <w:r>
        <w:t xml:space="preserve"> </w:t>
      </w:r>
    </w:p>
    <w:p w14:paraId="7D892535" w14:textId="77777777" w:rsidR="00275B09" w:rsidRDefault="00275B09" w:rsidP="00275B09">
      <w:pPr>
        <w:pStyle w:val="Body"/>
      </w:pPr>
      <w:r>
        <w:t xml:space="preserve">Homes Victoria has spot </w:t>
      </w:r>
      <w:r w:rsidRPr="6C981D2D">
        <w:t>purchas</w:t>
      </w:r>
      <w:r>
        <w:t>ed</w:t>
      </w:r>
      <w:r w:rsidRPr="6C981D2D">
        <w:t xml:space="preserve"> </w:t>
      </w:r>
      <w:r>
        <w:t>around 5</w:t>
      </w:r>
      <w:r w:rsidRPr="6C981D2D">
        <w:t>96 properties</w:t>
      </w:r>
      <w:r>
        <w:t>. Many of these</w:t>
      </w:r>
      <w:r w:rsidRPr="6C981D2D">
        <w:t xml:space="preserve"> </w:t>
      </w:r>
      <w:r>
        <w:t xml:space="preserve">will be allocated </w:t>
      </w:r>
      <w:r w:rsidRPr="6C981D2D">
        <w:t xml:space="preserve">to </w:t>
      </w:r>
      <w:r>
        <w:t xml:space="preserve">the </w:t>
      </w:r>
      <w:r w:rsidRPr="6C981D2D">
        <w:t xml:space="preserve">H2H Property </w:t>
      </w:r>
      <w:r>
        <w:t>S</w:t>
      </w:r>
      <w:r w:rsidRPr="6C981D2D">
        <w:t xml:space="preserve">ervice Providers through </w:t>
      </w:r>
      <w:r>
        <w:t>G</w:t>
      </w:r>
      <w:r w:rsidRPr="6C981D2D">
        <w:t xml:space="preserve">eneral Lease arrangements. </w:t>
      </w:r>
      <w:r>
        <w:t>The</w:t>
      </w:r>
      <w:r w:rsidRPr="423BD7B2">
        <w:t xml:space="preserve"> H2H</w:t>
      </w:r>
      <w:r>
        <w:t xml:space="preserve"> l</w:t>
      </w:r>
      <w:r w:rsidRPr="6C981D2D">
        <w:t xml:space="preserve">ease </w:t>
      </w:r>
      <w:r w:rsidRPr="423BD7B2">
        <w:t xml:space="preserve">for </w:t>
      </w:r>
      <w:r w:rsidRPr="6C981D2D">
        <w:t xml:space="preserve">these properties is set for 18 months. </w:t>
      </w:r>
    </w:p>
    <w:p w14:paraId="11655A85" w14:textId="77777777" w:rsidR="00275B09" w:rsidRDefault="00275B09" w:rsidP="00275B09">
      <w:pPr>
        <w:pStyle w:val="Body"/>
      </w:pPr>
      <w:r w:rsidRPr="007C252C">
        <w:t>In respect of any spot purchase properties, once these are settled, safety checks have occurred, and the properties are made active (in Hi</w:t>
      </w:r>
      <w:r>
        <w:t>iP</w:t>
      </w:r>
      <w:r w:rsidRPr="007C252C">
        <w:t xml:space="preserve"> and </w:t>
      </w:r>
      <w:r>
        <w:t>Asset Maintenance team</w:t>
      </w:r>
      <w:r w:rsidRPr="007C252C">
        <w:t xml:space="preserve">) the properties will be leased to Property Service Providers under the </w:t>
      </w:r>
      <w:r w:rsidRPr="423BD7B2">
        <w:t xml:space="preserve">H2H </w:t>
      </w:r>
      <w:r w:rsidRPr="007C252C">
        <w:t>General Lease.</w:t>
      </w:r>
      <w:r w:rsidRPr="00C25C1E">
        <w:t xml:space="preserve"> </w:t>
      </w:r>
    </w:p>
    <w:p w14:paraId="784E58E2" w14:textId="77777777" w:rsidR="00275B09" w:rsidRPr="00A11B98" w:rsidRDefault="00275B09" w:rsidP="00275B09">
      <w:pPr>
        <w:pStyle w:val="Heading4"/>
      </w:pPr>
      <w:r w:rsidRPr="00A11B98">
        <w:t>Forecast of availability of General Lease Properties</w:t>
      </w:r>
    </w:p>
    <w:p w14:paraId="70B4DB9F" w14:textId="77777777" w:rsidR="00275B09" w:rsidRDefault="00275B09" w:rsidP="00275B09">
      <w:pPr>
        <w:pStyle w:val="Body"/>
      </w:pPr>
      <w:r>
        <w:t xml:space="preserve">The third quarter of 2020-21 has seen a fast-moving real estate market across Victoria. Other influences in accurately determining spot purchase numbers include: </w:t>
      </w:r>
    </w:p>
    <w:p w14:paraId="655A56F9" w14:textId="77777777" w:rsidR="00275B09" w:rsidRPr="00130B75" w:rsidRDefault="00275B09" w:rsidP="00275B09">
      <w:pPr>
        <w:pStyle w:val="Bullet1"/>
      </w:pPr>
      <w:r w:rsidRPr="00130B75">
        <w:t>Construction activity still being completed (as is the case in several large bulk purchases).</w:t>
      </w:r>
    </w:p>
    <w:p w14:paraId="55C7842B" w14:textId="77777777" w:rsidR="00275B09" w:rsidRPr="00130B75" w:rsidRDefault="00275B09" w:rsidP="00275B09">
      <w:pPr>
        <w:pStyle w:val="Bullet1"/>
      </w:pPr>
      <w:r w:rsidRPr="00130B75">
        <w:t>Prolonged contract negotiations with vendors and their solicitors.</w:t>
      </w:r>
    </w:p>
    <w:p w14:paraId="62264D2C" w14:textId="77777777" w:rsidR="00275B09" w:rsidRPr="00130B75" w:rsidRDefault="00275B09" w:rsidP="00275B09">
      <w:pPr>
        <w:pStyle w:val="Bullet1"/>
      </w:pPr>
      <w:r w:rsidRPr="00130B75">
        <w:t>Vic Gov Land Monitor and Independent Assessment Panel process varies; and</w:t>
      </w:r>
    </w:p>
    <w:p w14:paraId="726B6BDF" w14:textId="77777777" w:rsidR="00275B09" w:rsidRPr="00130B75" w:rsidRDefault="00275B09" w:rsidP="00275B09">
      <w:pPr>
        <w:pStyle w:val="Bullet1"/>
      </w:pPr>
      <w:r w:rsidRPr="00130B75">
        <w:t>State Revenue Office complex stamp duty assessment (for all transactions – which takes up to 40 days)</w:t>
      </w:r>
      <w:r>
        <w:t>.</w:t>
      </w:r>
    </w:p>
    <w:p w14:paraId="1E163084" w14:textId="73819550" w:rsidR="00275B09" w:rsidRDefault="00275B09" w:rsidP="00275B09">
      <w:pPr>
        <w:pStyle w:val="Body"/>
      </w:pPr>
      <w:r w:rsidRPr="6C981D2D">
        <w:t>Homes Victoria are reviewing spot purchase acquisitions monthly.</w:t>
      </w:r>
    </w:p>
    <w:p w14:paraId="544FFE03" w14:textId="2CF125A0" w:rsidR="00275B09" w:rsidRDefault="00275B09" w:rsidP="00275B09">
      <w:pPr>
        <w:pStyle w:val="Body"/>
      </w:pPr>
      <w:r w:rsidRPr="423BD7B2">
        <w:t xml:space="preserve">As the H2H 18-month General Leases come to an end, a new Deed of variation will be completed that will move the management arrangements to an Interim General Lease until 31 March 2024. These properties </w:t>
      </w:r>
      <w:r>
        <w:t xml:space="preserve">will become the long-term housing </w:t>
      </w:r>
      <w:r w:rsidRPr="423BD7B2">
        <w:t xml:space="preserve">option </w:t>
      </w:r>
      <w:r>
        <w:t xml:space="preserve">for the H2H household in that property. Homes Victoria will work with community partners to ensure that these properties </w:t>
      </w:r>
      <w:r w:rsidRPr="1E405685">
        <w:t xml:space="preserve">are </w:t>
      </w:r>
      <w:r>
        <w:t xml:space="preserve">updated in the Housing integrated information Program (HiiP) to be ‘in-scope’ for the VHR.  </w:t>
      </w:r>
    </w:p>
    <w:p w14:paraId="1BD08C90" w14:textId="77777777" w:rsidR="00275B09" w:rsidRDefault="00275B09" w:rsidP="00275B09">
      <w:pPr>
        <w:pStyle w:val="Body"/>
      </w:pPr>
      <w:r w:rsidRPr="3E9EFE11">
        <w:lastRenderedPageBreak/>
        <w:t xml:space="preserve">Once made in-scope, community partners will then formally allocate the property to the H2H household through the VHR. </w:t>
      </w:r>
    </w:p>
    <w:p w14:paraId="2AAD3121" w14:textId="77777777" w:rsidR="00275B09" w:rsidRDefault="00275B09" w:rsidP="00275B09">
      <w:pPr>
        <w:pStyle w:val="Body"/>
      </w:pPr>
      <w:r w:rsidRPr="3E9EFE11">
        <w:t xml:space="preserve">It is intended that these properties will form part of future Tranches </w:t>
      </w:r>
      <w:r>
        <w:t xml:space="preserve">of </w:t>
      </w:r>
      <w:r w:rsidRPr="3E9EFE11">
        <w:t xml:space="preserve">the Community Housing Placement Program of Big Housing Build properties to be managed by community housing for 30 years under a Management Services Agreement. At the end of the H2H General Lease period, they will move by Deed of Variation to the Interim General </w:t>
      </w:r>
      <w:r w:rsidRPr="01C4DDC1">
        <w:t>Lease</w:t>
      </w:r>
      <w:r w:rsidRPr="3E9EFE11">
        <w:t xml:space="preserve"> until they are placed with an agency. </w:t>
      </w:r>
    </w:p>
    <w:p w14:paraId="51427709" w14:textId="77777777" w:rsidR="00275B09" w:rsidRDefault="00275B09" w:rsidP="00275B09">
      <w:pPr>
        <w:pStyle w:val="Body"/>
      </w:pPr>
      <w:r w:rsidRPr="3E9EFE11">
        <w:t>A number of vacant public housing properties were also transferred to the H2H</w:t>
      </w:r>
      <w:r w:rsidRPr="3E9EFE11" w:rsidDel="4A54C112">
        <w:t xml:space="preserve"> </w:t>
      </w:r>
      <w:r w:rsidRPr="3E9EFE11">
        <w:t>General Lease. The future management arrangements for these properties is being determined and will be communicated to the relevant Property Service Providers.</w:t>
      </w:r>
    </w:p>
    <w:p w14:paraId="7DDD6903" w14:textId="77777777" w:rsidR="00275B09" w:rsidRDefault="00275B09" w:rsidP="00275B09">
      <w:pPr>
        <w:pStyle w:val="Heading2"/>
      </w:pPr>
      <w:bookmarkStart w:id="66" w:name="_Toc88218379"/>
      <w:bookmarkStart w:id="67" w:name="_Toc88218851"/>
      <w:bookmarkStart w:id="68" w:name="_Toc121134084"/>
      <w:r w:rsidRPr="00F53241">
        <w:t>Head-Leased/Owned Properties</w:t>
      </w:r>
      <w:bookmarkEnd w:id="66"/>
      <w:bookmarkEnd w:id="67"/>
      <w:bookmarkEnd w:id="68"/>
    </w:p>
    <w:p w14:paraId="321282A4" w14:textId="77777777" w:rsidR="00275B09" w:rsidRDefault="00275B09" w:rsidP="00275B09">
      <w:pPr>
        <w:pStyle w:val="Body"/>
      </w:pPr>
      <w:r w:rsidRPr="00CC3C6E">
        <w:t xml:space="preserve">Head-Leased/Owned properties refers to properties owned by the Registered Housing Provider and private rental properties head-leased by the Registered Housing Provider. Head leasing will be used as a rapid housing solution on a continuum of support from more intensive (to help a </w:t>
      </w:r>
      <w:r>
        <w:t>Client</w:t>
      </w:r>
      <w:r w:rsidRPr="00CC3C6E">
        <w:t xml:space="preserve"> maintain their housing while they await long term social housing options), to less intensive, including financial assistance to maintain housing that provides stability to enable the </w:t>
      </w:r>
      <w:r>
        <w:t>Client</w:t>
      </w:r>
      <w:r w:rsidRPr="00CC3C6E">
        <w:t xml:space="preserve"> to access private rental or other appropriate housing options.</w:t>
      </w:r>
    </w:p>
    <w:p w14:paraId="0B2A8C72" w14:textId="77777777" w:rsidR="00275B09" w:rsidRDefault="00275B09" w:rsidP="00275B09">
      <w:pPr>
        <w:pStyle w:val="Body"/>
        <w:rPr>
          <w:rFonts w:cs="Arial"/>
          <w:b/>
          <w:bCs/>
          <w:i/>
          <w:iCs/>
          <w:lang w:val="en-GB"/>
        </w:rPr>
      </w:pPr>
      <w:r w:rsidRPr="00CC5FD2">
        <w:rPr>
          <w:rFonts w:cs="Arial"/>
          <w:b/>
          <w:bCs/>
          <w:i/>
          <w:iCs/>
          <w:lang w:val="en-GB"/>
        </w:rPr>
        <w:t xml:space="preserve">Table </w:t>
      </w:r>
      <w:r>
        <w:rPr>
          <w:rFonts w:cs="Arial"/>
          <w:b/>
          <w:bCs/>
          <w:i/>
          <w:iCs/>
          <w:lang w:val="en-GB"/>
        </w:rPr>
        <w:t>2</w:t>
      </w:r>
      <w:r w:rsidRPr="00CC5FD2">
        <w:rPr>
          <w:rFonts w:cs="Arial"/>
          <w:b/>
          <w:bCs/>
          <w:i/>
          <w:iCs/>
          <w:lang w:val="en-GB"/>
        </w:rPr>
        <w:t xml:space="preserve">: Indicative </w:t>
      </w:r>
      <w:r>
        <w:rPr>
          <w:rFonts w:cs="Arial"/>
          <w:b/>
          <w:bCs/>
          <w:i/>
          <w:iCs/>
          <w:lang w:val="en-GB"/>
        </w:rPr>
        <w:t xml:space="preserve">Head and Owned Lease </w:t>
      </w:r>
      <w:r w:rsidRPr="00CC5FD2">
        <w:rPr>
          <w:rFonts w:cs="Arial"/>
          <w:b/>
          <w:bCs/>
          <w:i/>
          <w:iCs/>
          <w:lang w:val="en-GB"/>
        </w:rPr>
        <w:t>allocations</w:t>
      </w:r>
    </w:p>
    <w:tbl>
      <w:tblPr>
        <w:tblStyle w:val="TableGrid"/>
        <w:tblW w:w="9209" w:type="dxa"/>
        <w:tblLook w:val="04A0" w:firstRow="1" w:lastRow="0" w:firstColumn="1" w:lastColumn="0" w:noHBand="0" w:noVBand="1"/>
      </w:tblPr>
      <w:tblGrid>
        <w:gridCol w:w="6941"/>
        <w:gridCol w:w="2268"/>
      </w:tblGrid>
      <w:tr w:rsidR="00275B09" w:rsidRPr="003421CB" w14:paraId="3EAE4FC5" w14:textId="77777777" w:rsidTr="00275B09">
        <w:trPr>
          <w:cnfStyle w:val="100000000000" w:firstRow="1" w:lastRow="0" w:firstColumn="0" w:lastColumn="0" w:oddVBand="0" w:evenVBand="0" w:oddHBand="0" w:evenHBand="0" w:firstRowFirstColumn="0" w:firstRowLastColumn="0" w:lastRowFirstColumn="0" w:lastRowLastColumn="0"/>
        </w:trPr>
        <w:tc>
          <w:tcPr>
            <w:tcW w:w="6941" w:type="dxa"/>
          </w:tcPr>
          <w:p w14:paraId="7A5AB419" w14:textId="77777777" w:rsidR="00275B09" w:rsidRPr="003421CB" w:rsidRDefault="00275B09" w:rsidP="00275B09">
            <w:pPr>
              <w:pStyle w:val="Body"/>
              <w:rPr>
                <w:b/>
                <w:bCs/>
                <w:highlight w:val="black"/>
              </w:rPr>
            </w:pPr>
            <w:r w:rsidRPr="003421CB">
              <w:rPr>
                <w:b/>
                <w:bCs/>
                <w:highlight w:val="black"/>
                <w:lang w:eastAsia="en-AU"/>
              </w:rPr>
              <w:t>HEART Catchment</w:t>
            </w:r>
          </w:p>
        </w:tc>
        <w:tc>
          <w:tcPr>
            <w:tcW w:w="2268" w:type="dxa"/>
            <w:vAlign w:val="bottom"/>
          </w:tcPr>
          <w:p w14:paraId="04BC1640" w14:textId="77777777" w:rsidR="00275B09" w:rsidRPr="003421CB" w:rsidRDefault="00275B09" w:rsidP="00275B09">
            <w:pPr>
              <w:pStyle w:val="Body"/>
              <w:rPr>
                <w:b/>
                <w:bCs/>
                <w:color w:val="FFFFFF" w:themeColor="background1"/>
              </w:rPr>
            </w:pPr>
            <w:r w:rsidRPr="003421CB">
              <w:rPr>
                <w:b/>
                <w:bCs/>
                <w:highlight w:val="black"/>
                <w:lang w:eastAsia="en-AU"/>
              </w:rPr>
              <w:t>Packages</w:t>
            </w:r>
          </w:p>
        </w:tc>
      </w:tr>
      <w:tr w:rsidR="00275B09" w14:paraId="17B96A4C" w14:textId="77777777" w:rsidTr="00275B09">
        <w:tc>
          <w:tcPr>
            <w:tcW w:w="6941" w:type="dxa"/>
            <w:vAlign w:val="bottom"/>
          </w:tcPr>
          <w:p w14:paraId="40370D16" w14:textId="77777777" w:rsidR="00275B09" w:rsidRPr="004843B6" w:rsidRDefault="00275B09" w:rsidP="00275B09">
            <w:pPr>
              <w:pStyle w:val="Body"/>
            </w:pPr>
            <w:r w:rsidRPr="00C722E3">
              <w:rPr>
                <w:color w:val="000000"/>
                <w:lang w:eastAsia="en-AU"/>
              </w:rPr>
              <w:t>Barwon and South West District</w:t>
            </w:r>
          </w:p>
        </w:tc>
        <w:tc>
          <w:tcPr>
            <w:tcW w:w="2268" w:type="dxa"/>
            <w:vAlign w:val="bottom"/>
          </w:tcPr>
          <w:p w14:paraId="1AFDDAA3" w14:textId="77777777" w:rsidR="00275B09" w:rsidRPr="004843B6" w:rsidRDefault="00275B09" w:rsidP="006C5BEA">
            <w:pPr>
              <w:pStyle w:val="Body"/>
              <w:jc w:val="right"/>
            </w:pPr>
            <w:r>
              <w:t>65</w:t>
            </w:r>
          </w:p>
        </w:tc>
      </w:tr>
      <w:tr w:rsidR="00275B09" w14:paraId="182FD0EE" w14:textId="77777777" w:rsidTr="00275B09">
        <w:tc>
          <w:tcPr>
            <w:tcW w:w="6941" w:type="dxa"/>
            <w:vAlign w:val="bottom"/>
          </w:tcPr>
          <w:p w14:paraId="3F2F993C" w14:textId="77777777" w:rsidR="00275B09" w:rsidRPr="00C722E3" w:rsidRDefault="00275B09" w:rsidP="00275B09">
            <w:pPr>
              <w:pStyle w:val="Body"/>
              <w:rPr>
                <w:color w:val="000000"/>
                <w:lang w:eastAsia="en-AU"/>
              </w:rPr>
            </w:pPr>
            <w:proofErr w:type="spellStart"/>
            <w:r w:rsidRPr="00C722E3">
              <w:rPr>
                <w:color w:val="000000"/>
                <w:lang w:eastAsia="en-AU"/>
              </w:rPr>
              <w:t>Brimbank</w:t>
            </w:r>
            <w:proofErr w:type="spellEnd"/>
            <w:r w:rsidRPr="00C722E3">
              <w:rPr>
                <w:color w:val="000000"/>
                <w:lang w:eastAsia="en-AU"/>
              </w:rPr>
              <w:t xml:space="preserve"> Melton and Western Melbourne</w:t>
            </w:r>
          </w:p>
        </w:tc>
        <w:tc>
          <w:tcPr>
            <w:tcW w:w="2268" w:type="dxa"/>
            <w:vAlign w:val="bottom"/>
          </w:tcPr>
          <w:p w14:paraId="20167268" w14:textId="77777777" w:rsidR="00275B09" w:rsidRPr="004843B6" w:rsidRDefault="00275B09" w:rsidP="006C5BEA">
            <w:pPr>
              <w:pStyle w:val="Body"/>
              <w:jc w:val="right"/>
            </w:pPr>
            <w:r>
              <w:t>140</w:t>
            </w:r>
          </w:p>
        </w:tc>
      </w:tr>
      <w:tr w:rsidR="00275B09" w14:paraId="04995C43" w14:textId="77777777" w:rsidTr="00275B09">
        <w:tc>
          <w:tcPr>
            <w:tcW w:w="6941" w:type="dxa"/>
            <w:vAlign w:val="bottom"/>
          </w:tcPr>
          <w:p w14:paraId="7D6F096F" w14:textId="77777777" w:rsidR="00275B09" w:rsidRPr="004843B6" w:rsidRDefault="00275B09" w:rsidP="00275B09">
            <w:pPr>
              <w:pStyle w:val="Body"/>
            </w:pPr>
            <w:r w:rsidRPr="00C722E3">
              <w:rPr>
                <w:color w:val="000000"/>
                <w:lang w:eastAsia="en-AU"/>
              </w:rPr>
              <w:t>Central Highlands and Western District</w:t>
            </w:r>
            <w:r w:rsidRPr="00C722E3" w:rsidDel="009462EB">
              <w:rPr>
                <w:color w:val="000000"/>
                <w:lang w:eastAsia="en-AU"/>
              </w:rPr>
              <w:t xml:space="preserve"> </w:t>
            </w:r>
          </w:p>
        </w:tc>
        <w:tc>
          <w:tcPr>
            <w:tcW w:w="2268" w:type="dxa"/>
            <w:vAlign w:val="bottom"/>
          </w:tcPr>
          <w:p w14:paraId="27C9D266" w14:textId="77777777" w:rsidR="00275B09" w:rsidRPr="004843B6" w:rsidRDefault="00275B09" w:rsidP="006C5BEA">
            <w:pPr>
              <w:pStyle w:val="Body"/>
              <w:jc w:val="right"/>
            </w:pPr>
            <w:r>
              <w:t>35</w:t>
            </w:r>
          </w:p>
        </w:tc>
      </w:tr>
      <w:tr w:rsidR="00275B09" w14:paraId="6AD0B70E" w14:textId="77777777" w:rsidTr="00275B09">
        <w:tc>
          <w:tcPr>
            <w:tcW w:w="6941" w:type="dxa"/>
            <w:vAlign w:val="bottom"/>
          </w:tcPr>
          <w:p w14:paraId="0A753B94" w14:textId="77777777" w:rsidR="00275B09" w:rsidRPr="00C722E3" w:rsidRDefault="00275B09" w:rsidP="00275B09">
            <w:pPr>
              <w:pStyle w:val="Body"/>
              <w:rPr>
                <w:color w:val="000000"/>
                <w:lang w:eastAsia="en-AU"/>
              </w:rPr>
            </w:pPr>
            <w:r w:rsidRPr="00C722E3">
              <w:rPr>
                <w:color w:val="000000"/>
                <w:lang w:eastAsia="en-AU"/>
              </w:rPr>
              <w:t>Goulburn and Ovens Murray</w:t>
            </w:r>
          </w:p>
        </w:tc>
        <w:tc>
          <w:tcPr>
            <w:tcW w:w="2268" w:type="dxa"/>
            <w:vAlign w:val="bottom"/>
          </w:tcPr>
          <w:p w14:paraId="4E7B49F2" w14:textId="77777777" w:rsidR="00275B09" w:rsidRPr="004843B6" w:rsidRDefault="00275B09" w:rsidP="006C5BEA">
            <w:pPr>
              <w:pStyle w:val="Body"/>
              <w:jc w:val="right"/>
            </w:pPr>
            <w:r>
              <w:t>8</w:t>
            </w:r>
          </w:p>
        </w:tc>
      </w:tr>
      <w:tr w:rsidR="00275B09" w14:paraId="1A45F831" w14:textId="77777777" w:rsidTr="00275B09">
        <w:tc>
          <w:tcPr>
            <w:tcW w:w="6941" w:type="dxa"/>
            <w:vAlign w:val="bottom"/>
          </w:tcPr>
          <w:p w14:paraId="640B94BC" w14:textId="77777777" w:rsidR="00275B09" w:rsidRPr="004843B6" w:rsidRDefault="00275B09" w:rsidP="00275B09">
            <w:pPr>
              <w:pStyle w:val="Body"/>
            </w:pPr>
            <w:r w:rsidRPr="00C722E3">
              <w:rPr>
                <w:color w:val="000000"/>
                <w:lang w:eastAsia="en-AU"/>
              </w:rPr>
              <w:t>Hume and North Eastern Melb</w:t>
            </w:r>
            <w:r>
              <w:rPr>
                <w:color w:val="000000"/>
                <w:lang w:eastAsia="en-AU"/>
              </w:rPr>
              <w:t>ourne</w:t>
            </w:r>
            <w:r w:rsidRPr="00C722E3" w:rsidDel="009462EB">
              <w:rPr>
                <w:color w:val="000000"/>
                <w:lang w:eastAsia="en-AU"/>
              </w:rPr>
              <w:t xml:space="preserve"> </w:t>
            </w:r>
          </w:p>
        </w:tc>
        <w:tc>
          <w:tcPr>
            <w:tcW w:w="2268" w:type="dxa"/>
            <w:vAlign w:val="bottom"/>
          </w:tcPr>
          <w:p w14:paraId="2B55EBDB" w14:textId="77777777" w:rsidR="00275B09" w:rsidRPr="004843B6" w:rsidRDefault="00275B09" w:rsidP="006C5BEA">
            <w:pPr>
              <w:pStyle w:val="Body"/>
              <w:jc w:val="right"/>
            </w:pPr>
            <w:r>
              <w:t>311</w:t>
            </w:r>
          </w:p>
        </w:tc>
      </w:tr>
      <w:tr w:rsidR="00275B09" w14:paraId="4A4CFE52" w14:textId="77777777" w:rsidTr="00275B09">
        <w:tc>
          <w:tcPr>
            <w:tcW w:w="6941" w:type="dxa"/>
            <w:vAlign w:val="bottom"/>
          </w:tcPr>
          <w:p w14:paraId="094F3C28" w14:textId="77777777" w:rsidR="00275B09" w:rsidRPr="00C722E3" w:rsidRDefault="00275B09" w:rsidP="00275B09">
            <w:pPr>
              <w:pStyle w:val="Body"/>
              <w:rPr>
                <w:color w:val="000000"/>
                <w:lang w:eastAsia="en-AU"/>
              </w:rPr>
            </w:pPr>
            <w:r w:rsidRPr="00C722E3">
              <w:rPr>
                <w:color w:val="000000"/>
                <w:lang w:eastAsia="en-AU"/>
              </w:rPr>
              <w:t>Inner and Outer Gippsland</w:t>
            </w:r>
          </w:p>
        </w:tc>
        <w:tc>
          <w:tcPr>
            <w:tcW w:w="2268" w:type="dxa"/>
            <w:vAlign w:val="bottom"/>
          </w:tcPr>
          <w:p w14:paraId="3FC38187" w14:textId="77777777" w:rsidR="00275B09" w:rsidRPr="004843B6" w:rsidRDefault="00275B09" w:rsidP="006C5BEA">
            <w:pPr>
              <w:pStyle w:val="Body"/>
              <w:jc w:val="right"/>
            </w:pPr>
            <w:r>
              <w:t>0</w:t>
            </w:r>
          </w:p>
        </w:tc>
      </w:tr>
      <w:tr w:rsidR="00275B09" w14:paraId="7F6886AB" w14:textId="77777777" w:rsidTr="00275B09">
        <w:tc>
          <w:tcPr>
            <w:tcW w:w="6941" w:type="dxa"/>
            <w:vAlign w:val="bottom"/>
          </w:tcPr>
          <w:p w14:paraId="06C5674F" w14:textId="77777777" w:rsidR="00275B09" w:rsidRPr="004843B6" w:rsidRDefault="00275B09" w:rsidP="00275B09">
            <w:pPr>
              <w:pStyle w:val="Body"/>
            </w:pPr>
            <w:r w:rsidRPr="00C722E3">
              <w:rPr>
                <w:color w:val="000000"/>
                <w:lang w:eastAsia="en-AU"/>
              </w:rPr>
              <w:t>Inner Eastern and Outer Eastern Melb</w:t>
            </w:r>
            <w:r>
              <w:rPr>
                <w:color w:val="000000"/>
                <w:lang w:eastAsia="en-AU"/>
              </w:rPr>
              <w:t>ourne</w:t>
            </w:r>
            <w:r w:rsidRPr="00C722E3" w:rsidDel="009462EB">
              <w:rPr>
                <w:color w:val="000000"/>
                <w:lang w:eastAsia="en-AU"/>
              </w:rPr>
              <w:t xml:space="preserve"> </w:t>
            </w:r>
          </w:p>
        </w:tc>
        <w:tc>
          <w:tcPr>
            <w:tcW w:w="2268" w:type="dxa"/>
            <w:vAlign w:val="bottom"/>
          </w:tcPr>
          <w:p w14:paraId="5E18FB2B" w14:textId="77777777" w:rsidR="00275B09" w:rsidRPr="004843B6" w:rsidRDefault="00275B09" w:rsidP="006C5BEA">
            <w:pPr>
              <w:pStyle w:val="Body"/>
              <w:jc w:val="right"/>
            </w:pPr>
            <w:r>
              <w:t>65</w:t>
            </w:r>
          </w:p>
        </w:tc>
      </w:tr>
      <w:tr w:rsidR="00275B09" w14:paraId="03BFC0D5" w14:textId="77777777" w:rsidTr="00275B09">
        <w:tc>
          <w:tcPr>
            <w:tcW w:w="6941" w:type="dxa"/>
            <w:vAlign w:val="bottom"/>
          </w:tcPr>
          <w:p w14:paraId="68035D75" w14:textId="77777777" w:rsidR="00275B09" w:rsidRPr="00C722E3" w:rsidRDefault="00275B09" w:rsidP="00275B09">
            <w:pPr>
              <w:pStyle w:val="Body"/>
              <w:rPr>
                <w:color w:val="000000"/>
                <w:lang w:eastAsia="en-AU"/>
              </w:rPr>
            </w:pPr>
            <w:r w:rsidRPr="00C722E3">
              <w:rPr>
                <w:color w:val="000000"/>
                <w:lang w:eastAsia="en-AU"/>
              </w:rPr>
              <w:t>Loddon and Mallee</w:t>
            </w:r>
          </w:p>
        </w:tc>
        <w:tc>
          <w:tcPr>
            <w:tcW w:w="2268" w:type="dxa"/>
            <w:vAlign w:val="bottom"/>
          </w:tcPr>
          <w:p w14:paraId="64253DC6" w14:textId="77777777" w:rsidR="00275B09" w:rsidRPr="004843B6" w:rsidRDefault="00275B09" w:rsidP="006C5BEA">
            <w:pPr>
              <w:pStyle w:val="Body"/>
              <w:jc w:val="right"/>
            </w:pPr>
            <w:r>
              <w:t>53</w:t>
            </w:r>
          </w:p>
        </w:tc>
      </w:tr>
      <w:tr w:rsidR="00275B09" w14:paraId="0CAC0E78" w14:textId="77777777" w:rsidTr="00275B09">
        <w:tc>
          <w:tcPr>
            <w:tcW w:w="6941" w:type="dxa"/>
            <w:vAlign w:val="bottom"/>
          </w:tcPr>
          <w:p w14:paraId="6E554E11" w14:textId="77777777" w:rsidR="00275B09" w:rsidRPr="004843B6" w:rsidRDefault="00275B09" w:rsidP="00275B09">
            <w:pPr>
              <w:pStyle w:val="Body"/>
            </w:pPr>
            <w:r w:rsidRPr="00C722E3">
              <w:rPr>
                <w:color w:val="000000"/>
                <w:lang w:eastAsia="en-AU"/>
              </w:rPr>
              <w:t>Southern Melbourne Bayside Pen</w:t>
            </w:r>
            <w:r>
              <w:rPr>
                <w:color w:val="000000"/>
                <w:lang w:eastAsia="en-AU"/>
              </w:rPr>
              <w:t>insula</w:t>
            </w:r>
            <w:r w:rsidRPr="00C722E3" w:rsidDel="009462EB">
              <w:rPr>
                <w:color w:val="000000"/>
                <w:lang w:eastAsia="en-AU"/>
              </w:rPr>
              <w:t xml:space="preserve"> </w:t>
            </w:r>
          </w:p>
        </w:tc>
        <w:tc>
          <w:tcPr>
            <w:tcW w:w="2268" w:type="dxa"/>
            <w:vAlign w:val="bottom"/>
          </w:tcPr>
          <w:p w14:paraId="59A0E633" w14:textId="77777777" w:rsidR="00275B09" w:rsidRPr="004843B6" w:rsidRDefault="00275B09" w:rsidP="006C5BEA">
            <w:pPr>
              <w:pStyle w:val="Body"/>
              <w:jc w:val="right"/>
            </w:pPr>
            <w:r>
              <w:t>194</w:t>
            </w:r>
          </w:p>
        </w:tc>
      </w:tr>
      <w:tr w:rsidR="00275B09" w14:paraId="7505AF1C" w14:textId="77777777" w:rsidTr="00275B09">
        <w:tc>
          <w:tcPr>
            <w:tcW w:w="6941" w:type="dxa"/>
            <w:vAlign w:val="bottom"/>
          </w:tcPr>
          <w:p w14:paraId="3FB3C033" w14:textId="77777777" w:rsidR="00275B09" w:rsidRPr="00C722E3" w:rsidRDefault="00275B09" w:rsidP="00275B09">
            <w:pPr>
              <w:pStyle w:val="Body"/>
              <w:rPr>
                <w:color w:val="000000"/>
                <w:lang w:eastAsia="en-AU"/>
              </w:rPr>
            </w:pPr>
            <w:r w:rsidRPr="00A854C2">
              <w:rPr>
                <w:color w:val="000000"/>
                <w:lang w:eastAsia="en-AU"/>
              </w:rPr>
              <w:t>Total</w:t>
            </w:r>
          </w:p>
        </w:tc>
        <w:tc>
          <w:tcPr>
            <w:tcW w:w="2268" w:type="dxa"/>
            <w:vAlign w:val="bottom"/>
          </w:tcPr>
          <w:p w14:paraId="6DE13D9D" w14:textId="77777777" w:rsidR="00275B09" w:rsidRPr="004843B6" w:rsidRDefault="00275B09" w:rsidP="006C5BEA">
            <w:pPr>
              <w:pStyle w:val="Body"/>
              <w:jc w:val="right"/>
            </w:pPr>
            <w:r>
              <w:t>871</w:t>
            </w:r>
          </w:p>
        </w:tc>
      </w:tr>
    </w:tbl>
    <w:p w14:paraId="761BC7C5" w14:textId="77777777" w:rsidR="00275B09" w:rsidRDefault="00275B09" w:rsidP="00275B09">
      <w:pPr>
        <w:pStyle w:val="Heading2"/>
      </w:pPr>
      <w:bookmarkStart w:id="69" w:name="_Toc121134085"/>
      <w:r>
        <w:t>Head Lease Extensions</w:t>
      </w:r>
      <w:bookmarkEnd w:id="69"/>
    </w:p>
    <w:p w14:paraId="22CBC17C" w14:textId="77777777" w:rsidR="00275B09" w:rsidRDefault="00275B09" w:rsidP="00275B09">
      <w:pPr>
        <w:pStyle w:val="Body"/>
      </w:pPr>
      <w:r>
        <w:t>Additional funding for FY2022-23 includes a component to extend head leases where the renter is settled into their property and community, until long term housing becomes available at the earliest opportunity.</w:t>
      </w:r>
    </w:p>
    <w:p w14:paraId="7DCA81B1" w14:textId="77777777" w:rsidR="00275B09" w:rsidRDefault="00275B09" w:rsidP="00275B09">
      <w:pPr>
        <w:pStyle w:val="Body"/>
      </w:pPr>
      <w:r w:rsidRPr="00A63174">
        <w:t>Homes Victoria will process quarterly variations to funding and service agreements in advance of head lease renewals. Homes Victoria will work with agenc</w:t>
      </w:r>
      <w:r>
        <w:t>ies</w:t>
      </w:r>
      <w:r w:rsidRPr="00A63174">
        <w:t xml:space="preserve"> to confirm which head leases are being extended and any changes to the market rent. Based on this information, Homes Victoria will calculate the payments it will make to </w:t>
      </w:r>
      <w:r>
        <w:t xml:space="preserve">each </w:t>
      </w:r>
      <w:r w:rsidRPr="00A63174">
        <w:t xml:space="preserve">agency, monthly, to continue the head leases. </w:t>
      </w:r>
    </w:p>
    <w:p w14:paraId="5CDE66B9" w14:textId="77777777" w:rsidR="00275B09" w:rsidRPr="00870615" w:rsidRDefault="00275B09" w:rsidP="00275B09">
      <w:pPr>
        <w:pStyle w:val="Body"/>
      </w:pPr>
      <w:r w:rsidRPr="00A63174">
        <w:lastRenderedPageBreak/>
        <w:t xml:space="preserve">These payments will include net rent, tenancy management and asset management components and will be processed through a variation to </w:t>
      </w:r>
      <w:r>
        <w:t xml:space="preserve">the relevant </w:t>
      </w:r>
      <w:r w:rsidRPr="00A63174">
        <w:t>agency’s funding and services agreement</w:t>
      </w:r>
      <w:r>
        <w:t>.</w:t>
      </w:r>
    </w:p>
    <w:p w14:paraId="2B02664C" w14:textId="77777777" w:rsidR="001324DD" w:rsidRPr="00DB56FC" w:rsidRDefault="001324DD" w:rsidP="001324DD">
      <w:pPr>
        <w:pStyle w:val="Heading2"/>
        <w:rPr>
          <w:sz w:val="21"/>
          <w:szCs w:val="21"/>
        </w:rPr>
      </w:pPr>
      <w:bookmarkStart w:id="70" w:name="_Toc121134086"/>
      <w:r w:rsidRPr="00DB56FC">
        <w:rPr>
          <w:sz w:val="21"/>
          <w:szCs w:val="21"/>
        </w:rPr>
        <w:t>Allocations</w:t>
      </w:r>
      <w:bookmarkEnd w:id="70"/>
    </w:p>
    <w:p w14:paraId="161B2D08" w14:textId="70FC872D" w:rsidR="001324DD" w:rsidRPr="00DB56FC" w:rsidRDefault="001324DD" w:rsidP="001324DD">
      <w:pPr>
        <w:pStyle w:val="DHHSbody"/>
        <w:rPr>
          <w:rFonts w:ascii="Verdana" w:eastAsia="Arial" w:hAnsi="Verdana"/>
          <w:sz w:val="21"/>
          <w:szCs w:val="21"/>
        </w:rPr>
      </w:pPr>
      <w:bookmarkStart w:id="71" w:name="_Toc88218381"/>
      <w:r w:rsidRPr="00DB56FC">
        <w:rPr>
          <w:rFonts w:ascii="Verdana" w:hAnsi="Verdana"/>
          <w:sz w:val="21"/>
          <w:szCs w:val="21"/>
        </w:rPr>
        <w:t>As of June 2021, all support packages have been allocated and therefore going forward the below</w:t>
      </w:r>
      <w:r w:rsidR="00C70096">
        <w:rPr>
          <w:rFonts w:ascii="Verdana" w:hAnsi="Verdana"/>
          <w:sz w:val="21"/>
          <w:szCs w:val="21"/>
        </w:rPr>
        <w:t xml:space="preserve"> </w:t>
      </w:r>
      <w:r w:rsidRPr="00DB56FC">
        <w:rPr>
          <w:rFonts w:ascii="Verdana" w:hAnsi="Verdana"/>
          <w:sz w:val="21"/>
          <w:szCs w:val="21"/>
        </w:rPr>
        <w:t>“Support Reallocation” process should be followed for any support packages that become vacant.</w:t>
      </w:r>
      <w:bookmarkEnd w:id="71"/>
    </w:p>
    <w:p w14:paraId="01F250F7" w14:textId="77777777" w:rsidR="001324DD" w:rsidRDefault="001324DD" w:rsidP="001324DD">
      <w:pPr>
        <w:pStyle w:val="Heading3"/>
      </w:pPr>
      <w:bookmarkStart w:id="72" w:name="_Toc88218382"/>
      <w:bookmarkStart w:id="73" w:name="_Toc88218853"/>
      <w:r>
        <w:t>Support Reallocation</w:t>
      </w:r>
      <w:bookmarkEnd w:id="72"/>
      <w:bookmarkEnd w:id="73"/>
      <w:r>
        <w:t xml:space="preserve"> </w:t>
      </w:r>
    </w:p>
    <w:p w14:paraId="5F0D17DF" w14:textId="7C6DBC60" w:rsidR="001324DD" w:rsidRDefault="001324DD" w:rsidP="001324DD">
      <w:pPr>
        <w:pStyle w:val="Heading4"/>
        <w:rPr>
          <w:rFonts w:cs="Arial"/>
        </w:rPr>
      </w:pPr>
      <w:bookmarkStart w:id="74" w:name="_Toc88218383"/>
      <w:bookmarkStart w:id="75" w:name="_Toc88218854"/>
      <w:r>
        <w:t>Reallocation of Support Packages</w:t>
      </w:r>
      <w:bookmarkEnd w:id="74"/>
      <w:bookmarkEnd w:id="75"/>
    </w:p>
    <w:p w14:paraId="1459A83F" w14:textId="77777777" w:rsidR="001324DD" w:rsidRDefault="001324DD" w:rsidP="001324DD">
      <w:pPr>
        <w:pStyle w:val="Body"/>
        <w:rPr>
          <w:rFonts w:eastAsiaTheme="minorEastAsia"/>
        </w:rPr>
      </w:pPr>
      <w:r w:rsidRPr="7EC55D9E">
        <w:t xml:space="preserve">Based on </w:t>
      </w:r>
      <w:r w:rsidRPr="7EC55D9E">
        <w:rPr>
          <w:i/>
          <w:iCs/>
        </w:rPr>
        <w:t>Housing First Principles of Choice</w:t>
      </w:r>
      <w:r w:rsidRPr="7EC55D9E">
        <w:t xml:space="preserve"> and </w:t>
      </w:r>
      <w:r w:rsidRPr="7EC55D9E">
        <w:rPr>
          <w:i/>
          <w:iCs/>
        </w:rPr>
        <w:t>Self Determination</w:t>
      </w:r>
      <w:r w:rsidRPr="7EC55D9E">
        <w:t> and </w:t>
      </w:r>
      <w:r w:rsidRPr="7EC55D9E">
        <w:rPr>
          <w:i/>
          <w:iCs/>
        </w:rPr>
        <w:t>Flexible Support</w:t>
      </w:r>
      <w:r w:rsidRPr="7EC55D9E">
        <w:t>, H2H Community Partners must attempt to support the Client/households to realise their goals.</w:t>
      </w:r>
    </w:p>
    <w:p w14:paraId="4E983162" w14:textId="77777777" w:rsidR="001324DD" w:rsidRDefault="001324DD" w:rsidP="001324DD">
      <w:pPr>
        <w:pStyle w:val="Body"/>
      </w:pPr>
      <w:r w:rsidRPr="7EC55D9E">
        <w:t>Where a part package becomes available, the H2H Community Partners will determine the use of these funds to support H2H Clients. This will vary across a range of Client situations. For example, this may result in the pooling of unspent residue funds to create one complete support package or a part package where an H2H Client requires additional support once their package has concluded. Reallocation of a service package or part of a service package must occur within existing funding arrangements. </w:t>
      </w:r>
    </w:p>
    <w:p w14:paraId="3FAB54CB" w14:textId="77777777" w:rsidR="001324DD" w:rsidRDefault="001324DD" w:rsidP="001324DD">
      <w:pPr>
        <w:pStyle w:val="Body"/>
      </w:pPr>
      <w:r w:rsidRPr="7EC55D9E">
        <w:rPr>
          <w:lang w:val="en-US"/>
        </w:rPr>
        <w:t>Packages can be re-allocated if:</w:t>
      </w:r>
      <w:r w:rsidRPr="7EC55D9E">
        <w:t> </w:t>
      </w:r>
    </w:p>
    <w:p w14:paraId="2AE0C192" w14:textId="77777777" w:rsidR="001324DD" w:rsidRDefault="001324DD" w:rsidP="001324DD">
      <w:pPr>
        <w:pStyle w:val="Bullet1"/>
      </w:pPr>
      <w:r w:rsidRPr="7EC55D9E">
        <w:rPr>
          <w:lang w:val="en-US"/>
        </w:rPr>
        <w:t>A Client has declined housing and support through the H2H program. </w:t>
      </w:r>
      <w:r w:rsidRPr="7EC55D9E">
        <w:t> </w:t>
      </w:r>
    </w:p>
    <w:p w14:paraId="0B6EBF01" w14:textId="77777777" w:rsidR="001324DD" w:rsidRDefault="001324DD" w:rsidP="001324DD">
      <w:pPr>
        <w:pStyle w:val="Bullet1"/>
      </w:pPr>
      <w:r w:rsidRPr="7EC55D9E">
        <w:rPr>
          <w:lang w:val="en-US"/>
        </w:rPr>
        <w:t>A Client has disengaged from both housing and support.</w:t>
      </w:r>
      <w:r w:rsidRPr="7EC55D9E">
        <w:t> </w:t>
      </w:r>
    </w:p>
    <w:p w14:paraId="32A24F59" w14:textId="77777777" w:rsidR="001324DD" w:rsidRPr="00DB56FC" w:rsidRDefault="001324DD" w:rsidP="001324DD">
      <w:pPr>
        <w:pStyle w:val="Bullet1"/>
        <w:rPr>
          <w:rFonts w:cs="Arial"/>
        </w:rPr>
      </w:pPr>
      <w:r w:rsidRPr="00DB56FC">
        <w:rPr>
          <w:rFonts w:cs="Arial"/>
          <w:lang w:val="en-US"/>
        </w:rPr>
        <w:t>The remaining package of support period is sufficient to re-establish engagement and meet the support goals of a new H2H Client.</w:t>
      </w:r>
      <w:r w:rsidRPr="00DB56FC">
        <w:rPr>
          <w:rFonts w:cs="Arial"/>
        </w:rPr>
        <w:t> </w:t>
      </w:r>
    </w:p>
    <w:p w14:paraId="17CAD5D6" w14:textId="77777777" w:rsidR="001324DD" w:rsidRDefault="001324DD" w:rsidP="001324DD">
      <w:pPr>
        <w:pStyle w:val="Body"/>
      </w:pPr>
      <w:r w:rsidRPr="7EC55D9E">
        <w:rPr>
          <w:lang w:val="en-US"/>
        </w:rPr>
        <w:t>To maintain the integrity of the support model, a residue H2H package should not be allocated to someone who has high and complex needs that is likely to require longer-term support.</w:t>
      </w:r>
    </w:p>
    <w:p w14:paraId="7AB6C5E1" w14:textId="77777777" w:rsidR="001324DD" w:rsidRDefault="001324DD" w:rsidP="001324DD">
      <w:pPr>
        <w:pStyle w:val="Body"/>
        <w:rPr>
          <w:lang w:val="en-GB"/>
        </w:rPr>
      </w:pPr>
      <w:r w:rsidRPr="7EC55D9E">
        <w:rPr>
          <w:lang w:val="en-GB"/>
        </w:rPr>
        <w:t>Table 3. Suggested time periods remaining on packages to be reallocated (tenancy and support) </w:t>
      </w:r>
    </w:p>
    <w:tbl>
      <w:tblPr>
        <w:tblW w:w="0" w:type="auto"/>
        <w:tblInd w:w="113"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268"/>
        <w:gridCol w:w="1560"/>
        <w:gridCol w:w="1417"/>
        <w:gridCol w:w="1262"/>
        <w:gridCol w:w="3132"/>
      </w:tblGrid>
      <w:tr w:rsidR="003421CB" w:rsidRPr="003421CB" w14:paraId="7F46A9D1" w14:textId="77777777" w:rsidTr="003421CB">
        <w:trPr>
          <w:trHeight w:val="930"/>
        </w:trPr>
        <w:tc>
          <w:tcPr>
            <w:tcW w:w="2268" w:type="dxa"/>
            <w:tcBorders>
              <w:top w:val="single" w:sz="8" w:space="0" w:color="auto"/>
              <w:left w:val="single" w:sz="8" w:space="0" w:color="auto"/>
              <w:bottom w:val="single" w:sz="8" w:space="0" w:color="auto"/>
              <w:right w:val="single" w:sz="8" w:space="0" w:color="auto"/>
            </w:tcBorders>
            <w:shd w:val="clear" w:color="auto" w:fill="000000"/>
          </w:tcPr>
          <w:p w14:paraId="50D2475E" w14:textId="77777777" w:rsidR="001324DD" w:rsidRPr="003421CB" w:rsidRDefault="001324DD" w:rsidP="001324DD">
            <w:pPr>
              <w:pStyle w:val="Body"/>
              <w:rPr>
                <w:color w:val="FFFFFF" w:themeColor="background1"/>
              </w:rPr>
            </w:pPr>
            <w:r w:rsidRPr="003421CB">
              <w:rPr>
                <w:color w:val="FFFFFF" w:themeColor="background1"/>
              </w:rPr>
              <w:t> </w:t>
            </w:r>
          </w:p>
        </w:tc>
        <w:tc>
          <w:tcPr>
            <w:tcW w:w="1560" w:type="dxa"/>
            <w:tcBorders>
              <w:top w:val="single" w:sz="8" w:space="0" w:color="auto"/>
              <w:left w:val="nil"/>
              <w:bottom w:val="single" w:sz="8" w:space="0" w:color="auto"/>
              <w:right w:val="single" w:sz="8" w:space="0" w:color="auto"/>
            </w:tcBorders>
            <w:shd w:val="clear" w:color="auto" w:fill="000000"/>
          </w:tcPr>
          <w:p w14:paraId="2E08BA17" w14:textId="77777777" w:rsidR="001324DD" w:rsidRPr="003421CB" w:rsidRDefault="001324DD" w:rsidP="001324DD">
            <w:pPr>
              <w:pStyle w:val="Body"/>
              <w:rPr>
                <w:color w:val="FFFFFF" w:themeColor="background1"/>
                <w:highlight w:val="black"/>
              </w:rPr>
            </w:pPr>
            <w:r w:rsidRPr="003421CB">
              <w:rPr>
                <w:b/>
                <w:bCs/>
                <w:color w:val="FFFFFF" w:themeColor="background1"/>
                <w:highlight w:val="black"/>
                <w:lang w:val="en-US"/>
              </w:rPr>
              <w:t>Public Housing </w:t>
            </w:r>
            <w:r w:rsidRPr="003421CB">
              <w:rPr>
                <w:color w:val="FFFFFF" w:themeColor="background1"/>
                <w:highlight w:val="black"/>
              </w:rPr>
              <w:t> </w:t>
            </w:r>
          </w:p>
        </w:tc>
        <w:tc>
          <w:tcPr>
            <w:tcW w:w="1417" w:type="dxa"/>
            <w:tcBorders>
              <w:top w:val="single" w:sz="8" w:space="0" w:color="auto"/>
              <w:left w:val="nil"/>
              <w:bottom w:val="single" w:sz="8" w:space="0" w:color="auto"/>
              <w:right w:val="single" w:sz="8" w:space="0" w:color="auto"/>
            </w:tcBorders>
            <w:shd w:val="clear" w:color="auto" w:fill="000000"/>
          </w:tcPr>
          <w:p w14:paraId="1FD7CF23" w14:textId="77777777" w:rsidR="001324DD" w:rsidRPr="003421CB" w:rsidRDefault="001324DD" w:rsidP="001324DD">
            <w:pPr>
              <w:pStyle w:val="Body"/>
              <w:rPr>
                <w:color w:val="FFFFFF" w:themeColor="background1"/>
                <w:highlight w:val="black"/>
              </w:rPr>
            </w:pPr>
            <w:r w:rsidRPr="003421CB">
              <w:rPr>
                <w:b/>
                <w:bCs/>
                <w:color w:val="FFFFFF" w:themeColor="background1"/>
                <w:highlight w:val="black"/>
                <w:lang w:val="en-US"/>
              </w:rPr>
              <w:t>General Lease</w:t>
            </w:r>
            <w:r w:rsidRPr="003421CB">
              <w:rPr>
                <w:color w:val="FFFFFF" w:themeColor="background1"/>
                <w:highlight w:val="black"/>
              </w:rPr>
              <w:t> </w:t>
            </w:r>
          </w:p>
        </w:tc>
        <w:tc>
          <w:tcPr>
            <w:tcW w:w="1262" w:type="dxa"/>
            <w:tcBorders>
              <w:top w:val="single" w:sz="8" w:space="0" w:color="auto"/>
              <w:left w:val="nil"/>
              <w:bottom w:val="single" w:sz="8" w:space="0" w:color="auto"/>
              <w:right w:val="single" w:sz="8" w:space="0" w:color="auto"/>
            </w:tcBorders>
            <w:shd w:val="clear" w:color="auto" w:fill="000000"/>
          </w:tcPr>
          <w:p w14:paraId="35322FD5" w14:textId="77777777" w:rsidR="001324DD" w:rsidRPr="003421CB" w:rsidRDefault="001324DD" w:rsidP="001324DD">
            <w:pPr>
              <w:pStyle w:val="Body"/>
              <w:rPr>
                <w:color w:val="FFFFFF" w:themeColor="background1"/>
                <w:highlight w:val="black"/>
              </w:rPr>
            </w:pPr>
            <w:r w:rsidRPr="003421CB">
              <w:rPr>
                <w:b/>
                <w:bCs/>
                <w:color w:val="FFFFFF" w:themeColor="background1"/>
                <w:highlight w:val="black"/>
                <w:lang w:val="en-US"/>
              </w:rPr>
              <w:t>Head lease </w:t>
            </w:r>
            <w:r w:rsidRPr="003421CB">
              <w:rPr>
                <w:color w:val="FFFFFF" w:themeColor="background1"/>
                <w:highlight w:val="black"/>
              </w:rPr>
              <w:t> </w:t>
            </w:r>
          </w:p>
        </w:tc>
        <w:tc>
          <w:tcPr>
            <w:tcW w:w="3132" w:type="dxa"/>
            <w:tcBorders>
              <w:top w:val="single" w:sz="8" w:space="0" w:color="auto"/>
              <w:left w:val="nil"/>
              <w:bottom w:val="single" w:sz="8" w:space="0" w:color="auto"/>
              <w:right w:val="single" w:sz="8" w:space="0" w:color="auto"/>
            </w:tcBorders>
            <w:shd w:val="clear" w:color="auto" w:fill="000000"/>
          </w:tcPr>
          <w:p w14:paraId="6161C81B" w14:textId="77777777" w:rsidR="001324DD" w:rsidRPr="003421CB" w:rsidRDefault="001324DD" w:rsidP="001324DD">
            <w:pPr>
              <w:pStyle w:val="Body"/>
              <w:rPr>
                <w:color w:val="FFFFFF" w:themeColor="background1"/>
              </w:rPr>
            </w:pPr>
            <w:r w:rsidRPr="003421CB">
              <w:rPr>
                <w:b/>
                <w:bCs/>
                <w:color w:val="FFFFFF" w:themeColor="background1"/>
                <w:highlight w:val="black"/>
                <w:lang w:val="en-US"/>
              </w:rPr>
              <w:t>Can be reallocated if support and tenancy time remaining exceeds:</w:t>
            </w:r>
            <w:r w:rsidRPr="003421CB">
              <w:rPr>
                <w:color w:val="FFFFFF" w:themeColor="background1"/>
              </w:rPr>
              <w:t> </w:t>
            </w:r>
          </w:p>
        </w:tc>
      </w:tr>
      <w:tr w:rsidR="001324DD" w14:paraId="494286EC" w14:textId="77777777" w:rsidTr="003421CB">
        <w:tc>
          <w:tcPr>
            <w:tcW w:w="2268" w:type="dxa"/>
            <w:tcBorders>
              <w:top w:val="nil"/>
              <w:left w:val="single" w:sz="8" w:space="0" w:color="auto"/>
              <w:bottom w:val="single" w:sz="8" w:space="0" w:color="auto"/>
              <w:right w:val="single" w:sz="8" w:space="0" w:color="auto"/>
            </w:tcBorders>
            <w:shd w:val="clear" w:color="auto" w:fill="auto"/>
          </w:tcPr>
          <w:p w14:paraId="54EDBA59" w14:textId="77777777" w:rsidR="001324DD" w:rsidRDefault="001324DD" w:rsidP="001324DD">
            <w:pPr>
              <w:pStyle w:val="Body"/>
            </w:pPr>
            <w:r w:rsidRPr="7EC55D9E">
              <w:rPr>
                <w:b/>
                <w:bCs/>
                <w:color w:val="032833" w:themeColor="text1"/>
                <w:lang w:val="en-US"/>
              </w:rPr>
              <w:t>Tenancy period</w:t>
            </w:r>
            <w:r w:rsidRPr="7EC55D9E">
              <w:rPr>
                <w:color w:val="032833" w:themeColor="text1"/>
              </w:rPr>
              <w:t> </w:t>
            </w:r>
          </w:p>
        </w:tc>
        <w:tc>
          <w:tcPr>
            <w:tcW w:w="1560" w:type="dxa"/>
            <w:tcBorders>
              <w:top w:val="nil"/>
              <w:left w:val="nil"/>
              <w:bottom w:val="single" w:sz="8" w:space="0" w:color="auto"/>
              <w:right w:val="single" w:sz="8" w:space="0" w:color="auto"/>
            </w:tcBorders>
            <w:shd w:val="clear" w:color="auto" w:fill="auto"/>
          </w:tcPr>
          <w:p w14:paraId="3F12D940" w14:textId="77777777" w:rsidR="001324DD" w:rsidRDefault="001324DD" w:rsidP="001324DD">
            <w:pPr>
              <w:pStyle w:val="Body"/>
            </w:pPr>
            <w:r w:rsidRPr="7EC55D9E">
              <w:rPr>
                <w:lang w:val="en-US"/>
              </w:rPr>
              <w:t>Ongoing </w:t>
            </w:r>
            <w:r w:rsidRPr="7EC55D9E">
              <w:t> </w:t>
            </w:r>
          </w:p>
        </w:tc>
        <w:tc>
          <w:tcPr>
            <w:tcW w:w="1417" w:type="dxa"/>
            <w:tcBorders>
              <w:top w:val="nil"/>
              <w:left w:val="nil"/>
              <w:bottom w:val="single" w:sz="8" w:space="0" w:color="auto"/>
              <w:right w:val="single" w:sz="8" w:space="0" w:color="auto"/>
            </w:tcBorders>
            <w:shd w:val="clear" w:color="auto" w:fill="auto"/>
          </w:tcPr>
          <w:p w14:paraId="51253BD3" w14:textId="77777777" w:rsidR="001324DD" w:rsidRDefault="001324DD" w:rsidP="001324DD">
            <w:pPr>
              <w:pStyle w:val="Body"/>
            </w:pPr>
            <w:r w:rsidRPr="7EC55D9E">
              <w:rPr>
                <w:lang w:val="en-US"/>
              </w:rPr>
              <w:t>18 months</w:t>
            </w:r>
            <w:r w:rsidRPr="7EC55D9E">
              <w:t> </w:t>
            </w:r>
          </w:p>
        </w:tc>
        <w:tc>
          <w:tcPr>
            <w:tcW w:w="1262" w:type="dxa"/>
            <w:tcBorders>
              <w:top w:val="nil"/>
              <w:left w:val="nil"/>
              <w:bottom w:val="single" w:sz="8" w:space="0" w:color="auto"/>
              <w:right w:val="single" w:sz="8" w:space="0" w:color="auto"/>
            </w:tcBorders>
            <w:shd w:val="clear" w:color="auto" w:fill="auto"/>
          </w:tcPr>
          <w:p w14:paraId="1C74E3BF" w14:textId="77777777" w:rsidR="001324DD" w:rsidRDefault="001324DD" w:rsidP="001324DD">
            <w:pPr>
              <w:pStyle w:val="Body"/>
            </w:pPr>
            <w:r w:rsidRPr="7EC55D9E">
              <w:rPr>
                <w:lang w:val="en-US"/>
              </w:rPr>
              <w:t>18 months</w:t>
            </w:r>
            <w:r w:rsidRPr="7EC55D9E">
              <w:t> </w:t>
            </w:r>
          </w:p>
        </w:tc>
        <w:tc>
          <w:tcPr>
            <w:tcW w:w="3132" w:type="dxa"/>
            <w:tcBorders>
              <w:top w:val="nil"/>
              <w:left w:val="nil"/>
              <w:bottom w:val="single" w:sz="8" w:space="0" w:color="auto"/>
              <w:right w:val="single" w:sz="8" w:space="0" w:color="auto"/>
            </w:tcBorders>
            <w:shd w:val="clear" w:color="auto" w:fill="auto"/>
          </w:tcPr>
          <w:p w14:paraId="4B51E4E9" w14:textId="77777777" w:rsidR="001324DD" w:rsidRDefault="001324DD" w:rsidP="001324DD">
            <w:pPr>
              <w:pStyle w:val="Body"/>
            </w:pPr>
            <w:r w:rsidRPr="7EC55D9E">
              <w:rPr>
                <w:lang w:val="en-US"/>
              </w:rPr>
              <w:t>8 months T&amp;T GL</w:t>
            </w:r>
            <w:r w:rsidRPr="7EC55D9E">
              <w:t> </w:t>
            </w:r>
          </w:p>
          <w:p w14:paraId="1FC7A646" w14:textId="77777777" w:rsidR="001324DD" w:rsidRDefault="001324DD" w:rsidP="001324DD">
            <w:pPr>
              <w:pStyle w:val="Body"/>
            </w:pPr>
            <w:r w:rsidRPr="7EC55D9E">
              <w:rPr>
                <w:lang w:val="en-US"/>
              </w:rPr>
              <w:t>12 months Intensive HL and GL</w:t>
            </w:r>
            <w:r w:rsidRPr="7EC55D9E">
              <w:t> </w:t>
            </w:r>
          </w:p>
        </w:tc>
      </w:tr>
      <w:tr w:rsidR="001324DD" w14:paraId="5B7FAB4B" w14:textId="77777777" w:rsidTr="003421CB">
        <w:tc>
          <w:tcPr>
            <w:tcW w:w="2268" w:type="dxa"/>
            <w:tcBorders>
              <w:top w:val="nil"/>
              <w:left w:val="single" w:sz="8" w:space="0" w:color="auto"/>
              <w:bottom w:val="single" w:sz="8" w:space="0" w:color="auto"/>
              <w:right w:val="single" w:sz="8" w:space="0" w:color="auto"/>
            </w:tcBorders>
            <w:shd w:val="clear" w:color="auto" w:fill="auto"/>
          </w:tcPr>
          <w:p w14:paraId="183EEE1E" w14:textId="77777777" w:rsidR="001324DD" w:rsidRDefault="001324DD" w:rsidP="001324DD">
            <w:pPr>
              <w:pStyle w:val="Body"/>
            </w:pPr>
            <w:r w:rsidRPr="7EC55D9E">
              <w:rPr>
                <w:color w:val="032833" w:themeColor="text1"/>
              </w:rPr>
              <w:t> </w:t>
            </w:r>
          </w:p>
          <w:p w14:paraId="4141BB55" w14:textId="77777777" w:rsidR="001324DD" w:rsidRDefault="001324DD" w:rsidP="001324DD">
            <w:pPr>
              <w:pStyle w:val="Body"/>
            </w:pPr>
            <w:r w:rsidRPr="7EC55D9E">
              <w:rPr>
                <w:b/>
                <w:bCs/>
                <w:color w:val="032833" w:themeColor="text1"/>
                <w:lang w:val="en-US"/>
              </w:rPr>
              <w:t>Intensive</w:t>
            </w:r>
            <w:r w:rsidRPr="7EC55D9E">
              <w:rPr>
                <w:color w:val="032833" w:themeColor="text1"/>
              </w:rPr>
              <w:t> </w:t>
            </w:r>
          </w:p>
        </w:tc>
        <w:tc>
          <w:tcPr>
            <w:tcW w:w="1560" w:type="dxa"/>
            <w:tcBorders>
              <w:top w:val="nil"/>
              <w:left w:val="nil"/>
              <w:bottom w:val="single" w:sz="8" w:space="0" w:color="auto"/>
              <w:right w:val="single" w:sz="8" w:space="0" w:color="auto"/>
            </w:tcBorders>
            <w:shd w:val="clear" w:color="auto" w:fill="auto"/>
          </w:tcPr>
          <w:p w14:paraId="11BC7BD5" w14:textId="77777777" w:rsidR="001324DD" w:rsidRDefault="001324DD" w:rsidP="001324DD">
            <w:pPr>
              <w:pStyle w:val="Body"/>
            </w:pPr>
            <w:r w:rsidRPr="7EC55D9E">
              <w:t> </w:t>
            </w:r>
          </w:p>
          <w:p w14:paraId="06E74697" w14:textId="77777777" w:rsidR="001324DD" w:rsidRDefault="001324DD" w:rsidP="001324DD">
            <w:pPr>
              <w:pStyle w:val="Body"/>
            </w:pPr>
            <w:r w:rsidRPr="7EC55D9E">
              <w:rPr>
                <w:lang w:val="en-US"/>
              </w:rPr>
              <w:t>18 months</w:t>
            </w:r>
            <w:r w:rsidRPr="7EC55D9E">
              <w:t> </w:t>
            </w:r>
          </w:p>
        </w:tc>
        <w:tc>
          <w:tcPr>
            <w:tcW w:w="1417" w:type="dxa"/>
            <w:tcBorders>
              <w:top w:val="nil"/>
              <w:left w:val="nil"/>
              <w:bottom w:val="single" w:sz="8" w:space="0" w:color="auto"/>
              <w:right w:val="single" w:sz="8" w:space="0" w:color="auto"/>
            </w:tcBorders>
            <w:shd w:val="clear" w:color="auto" w:fill="auto"/>
          </w:tcPr>
          <w:p w14:paraId="718BC8C6" w14:textId="77777777" w:rsidR="001324DD" w:rsidRDefault="001324DD" w:rsidP="001324DD">
            <w:pPr>
              <w:pStyle w:val="Body"/>
            </w:pPr>
            <w:r w:rsidRPr="7EC55D9E">
              <w:t> </w:t>
            </w:r>
          </w:p>
          <w:p w14:paraId="1AA23D6E" w14:textId="77777777" w:rsidR="001324DD" w:rsidRDefault="001324DD" w:rsidP="001324DD">
            <w:pPr>
              <w:pStyle w:val="Body"/>
            </w:pPr>
            <w:r w:rsidRPr="7EC55D9E">
              <w:rPr>
                <w:lang w:val="en-US"/>
              </w:rPr>
              <w:t>18 months</w:t>
            </w:r>
            <w:r w:rsidRPr="7EC55D9E">
              <w:t> </w:t>
            </w:r>
          </w:p>
        </w:tc>
        <w:tc>
          <w:tcPr>
            <w:tcW w:w="1262" w:type="dxa"/>
            <w:tcBorders>
              <w:top w:val="nil"/>
              <w:left w:val="nil"/>
              <w:bottom w:val="single" w:sz="8" w:space="0" w:color="auto"/>
              <w:right w:val="single" w:sz="8" w:space="0" w:color="auto"/>
            </w:tcBorders>
            <w:shd w:val="clear" w:color="auto" w:fill="auto"/>
          </w:tcPr>
          <w:p w14:paraId="5D1B7535" w14:textId="77777777" w:rsidR="001324DD" w:rsidRDefault="001324DD" w:rsidP="001324DD">
            <w:pPr>
              <w:pStyle w:val="Body"/>
            </w:pPr>
            <w:r w:rsidRPr="7EC55D9E">
              <w:t> </w:t>
            </w:r>
          </w:p>
          <w:p w14:paraId="016C60B4" w14:textId="77777777" w:rsidR="001324DD" w:rsidRDefault="001324DD" w:rsidP="001324DD">
            <w:pPr>
              <w:pStyle w:val="Body"/>
            </w:pPr>
            <w:r w:rsidRPr="7EC55D9E">
              <w:rPr>
                <w:lang w:val="en-US"/>
              </w:rPr>
              <w:t>24 months</w:t>
            </w:r>
            <w:r w:rsidRPr="7EC55D9E">
              <w:t> </w:t>
            </w:r>
          </w:p>
        </w:tc>
        <w:tc>
          <w:tcPr>
            <w:tcW w:w="3132" w:type="dxa"/>
            <w:tcBorders>
              <w:top w:val="nil"/>
              <w:left w:val="nil"/>
              <w:bottom w:val="single" w:sz="8" w:space="0" w:color="auto"/>
              <w:right w:val="single" w:sz="8" w:space="0" w:color="auto"/>
            </w:tcBorders>
            <w:shd w:val="clear" w:color="auto" w:fill="auto"/>
          </w:tcPr>
          <w:p w14:paraId="35C682D4" w14:textId="77777777" w:rsidR="001324DD" w:rsidRDefault="001324DD" w:rsidP="001324DD">
            <w:pPr>
              <w:pStyle w:val="Body"/>
            </w:pPr>
            <w:r w:rsidRPr="7EC55D9E">
              <w:t> </w:t>
            </w:r>
          </w:p>
          <w:p w14:paraId="1B95C3A7" w14:textId="77777777" w:rsidR="001324DD" w:rsidRDefault="001324DD" w:rsidP="001324DD">
            <w:pPr>
              <w:pStyle w:val="Body"/>
            </w:pPr>
            <w:r w:rsidRPr="7EC55D9E">
              <w:rPr>
                <w:lang w:val="en-US"/>
              </w:rPr>
              <w:t>12 months</w:t>
            </w:r>
            <w:r w:rsidRPr="7EC55D9E">
              <w:t> </w:t>
            </w:r>
          </w:p>
        </w:tc>
      </w:tr>
      <w:tr w:rsidR="001324DD" w14:paraId="51566635" w14:textId="77777777" w:rsidTr="003421CB">
        <w:tc>
          <w:tcPr>
            <w:tcW w:w="2268" w:type="dxa"/>
            <w:tcBorders>
              <w:top w:val="nil"/>
              <w:left w:val="single" w:sz="8" w:space="0" w:color="auto"/>
              <w:bottom w:val="single" w:sz="8" w:space="0" w:color="auto"/>
              <w:right w:val="single" w:sz="8" w:space="0" w:color="auto"/>
            </w:tcBorders>
            <w:shd w:val="clear" w:color="auto" w:fill="auto"/>
          </w:tcPr>
          <w:p w14:paraId="4BDB3CFA" w14:textId="77777777" w:rsidR="001324DD" w:rsidRDefault="001324DD" w:rsidP="001324DD">
            <w:pPr>
              <w:pStyle w:val="Body"/>
            </w:pPr>
            <w:r w:rsidRPr="7EC55D9E">
              <w:rPr>
                <w:b/>
                <w:bCs/>
                <w:color w:val="032833" w:themeColor="text1"/>
                <w:lang w:val="en-US"/>
              </w:rPr>
              <w:t>Targeted and Tailored</w:t>
            </w:r>
            <w:r w:rsidRPr="7EC55D9E">
              <w:rPr>
                <w:color w:val="032833" w:themeColor="text1"/>
              </w:rPr>
              <w:t> </w:t>
            </w:r>
          </w:p>
        </w:tc>
        <w:tc>
          <w:tcPr>
            <w:tcW w:w="1560" w:type="dxa"/>
            <w:tcBorders>
              <w:top w:val="nil"/>
              <w:left w:val="nil"/>
              <w:bottom w:val="single" w:sz="8" w:space="0" w:color="auto"/>
              <w:right w:val="single" w:sz="8" w:space="0" w:color="auto"/>
            </w:tcBorders>
            <w:shd w:val="clear" w:color="auto" w:fill="auto"/>
          </w:tcPr>
          <w:p w14:paraId="34BF2FC4" w14:textId="77777777" w:rsidR="001324DD" w:rsidRDefault="001324DD" w:rsidP="001324DD">
            <w:pPr>
              <w:pStyle w:val="Body"/>
            </w:pPr>
            <w:r w:rsidRPr="7EC55D9E">
              <w:t> </w:t>
            </w:r>
          </w:p>
          <w:p w14:paraId="25985017" w14:textId="77777777" w:rsidR="001324DD" w:rsidRDefault="001324DD" w:rsidP="001324DD">
            <w:pPr>
              <w:pStyle w:val="Body"/>
            </w:pPr>
            <w:r w:rsidRPr="7EC55D9E">
              <w:rPr>
                <w:lang w:val="en-US"/>
              </w:rPr>
              <w:t>12 months</w:t>
            </w:r>
            <w:r w:rsidRPr="7EC55D9E">
              <w:t> </w:t>
            </w:r>
          </w:p>
        </w:tc>
        <w:tc>
          <w:tcPr>
            <w:tcW w:w="1417" w:type="dxa"/>
            <w:tcBorders>
              <w:top w:val="nil"/>
              <w:left w:val="nil"/>
              <w:bottom w:val="single" w:sz="8" w:space="0" w:color="auto"/>
              <w:right w:val="single" w:sz="8" w:space="0" w:color="auto"/>
            </w:tcBorders>
            <w:shd w:val="clear" w:color="auto" w:fill="auto"/>
          </w:tcPr>
          <w:p w14:paraId="5F454CAF" w14:textId="77777777" w:rsidR="001324DD" w:rsidRDefault="001324DD" w:rsidP="001324DD">
            <w:pPr>
              <w:pStyle w:val="Body"/>
            </w:pPr>
            <w:r w:rsidRPr="7EC55D9E">
              <w:t> </w:t>
            </w:r>
          </w:p>
          <w:p w14:paraId="009BB69C" w14:textId="77777777" w:rsidR="001324DD" w:rsidRDefault="001324DD" w:rsidP="001324DD">
            <w:pPr>
              <w:pStyle w:val="Body"/>
            </w:pPr>
            <w:r w:rsidRPr="7EC55D9E">
              <w:rPr>
                <w:lang w:val="en-US"/>
              </w:rPr>
              <w:t>12 months</w:t>
            </w:r>
            <w:r w:rsidRPr="7EC55D9E">
              <w:t> </w:t>
            </w:r>
          </w:p>
        </w:tc>
        <w:tc>
          <w:tcPr>
            <w:tcW w:w="1262" w:type="dxa"/>
            <w:tcBorders>
              <w:top w:val="nil"/>
              <w:left w:val="nil"/>
              <w:bottom w:val="single" w:sz="8" w:space="0" w:color="auto"/>
              <w:right w:val="single" w:sz="8" w:space="0" w:color="auto"/>
            </w:tcBorders>
            <w:shd w:val="clear" w:color="auto" w:fill="auto"/>
          </w:tcPr>
          <w:p w14:paraId="70B93AC3" w14:textId="77777777" w:rsidR="001324DD" w:rsidRDefault="001324DD" w:rsidP="001324DD">
            <w:pPr>
              <w:pStyle w:val="Body"/>
            </w:pPr>
            <w:r w:rsidRPr="7EC55D9E">
              <w:t> </w:t>
            </w:r>
          </w:p>
          <w:p w14:paraId="0D103E9C" w14:textId="77777777" w:rsidR="001324DD" w:rsidRDefault="001324DD" w:rsidP="001324DD">
            <w:pPr>
              <w:pStyle w:val="Body"/>
            </w:pPr>
            <w:r w:rsidRPr="7EC55D9E">
              <w:rPr>
                <w:lang w:val="en-US"/>
              </w:rPr>
              <w:t>24 months</w:t>
            </w:r>
            <w:r w:rsidRPr="7EC55D9E">
              <w:t> </w:t>
            </w:r>
          </w:p>
        </w:tc>
        <w:tc>
          <w:tcPr>
            <w:tcW w:w="3132" w:type="dxa"/>
            <w:tcBorders>
              <w:top w:val="nil"/>
              <w:left w:val="nil"/>
              <w:bottom w:val="single" w:sz="8" w:space="0" w:color="auto"/>
              <w:right w:val="single" w:sz="8" w:space="0" w:color="auto"/>
            </w:tcBorders>
            <w:shd w:val="clear" w:color="auto" w:fill="auto"/>
          </w:tcPr>
          <w:p w14:paraId="433E97C0" w14:textId="77777777" w:rsidR="001324DD" w:rsidRDefault="001324DD" w:rsidP="001324DD">
            <w:pPr>
              <w:pStyle w:val="Body"/>
            </w:pPr>
            <w:r w:rsidRPr="7EC55D9E">
              <w:rPr>
                <w:lang w:val="en-US"/>
              </w:rPr>
              <w:t>8 months (PH and GL)</w:t>
            </w:r>
            <w:r w:rsidRPr="7EC55D9E">
              <w:t> </w:t>
            </w:r>
          </w:p>
          <w:p w14:paraId="5350799D" w14:textId="77777777" w:rsidR="001324DD" w:rsidRDefault="001324DD" w:rsidP="001324DD">
            <w:pPr>
              <w:pStyle w:val="Body"/>
            </w:pPr>
            <w:r w:rsidRPr="7EC55D9E">
              <w:rPr>
                <w:lang w:val="en-US"/>
              </w:rPr>
              <w:t>12 months (HL)</w:t>
            </w:r>
            <w:r w:rsidRPr="7EC55D9E">
              <w:t> </w:t>
            </w:r>
          </w:p>
        </w:tc>
      </w:tr>
    </w:tbl>
    <w:p w14:paraId="7A9BE7DA" w14:textId="77777777" w:rsidR="001324DD" w:rsidRDefault="001324DD" w:rsidP="001324DD">
      <w:pPr>
        <w:rPr>
          <w:rFonts w:ascii="Arial" w:eastAsiaTheme="minorEastAsia" w:hAnsi="Arial" w:cs="Arial"/>
        </w:rPr>
      </w:pPr>
      <w:r w:rsidRPr="7EC55D9E">
        <w:rPr>
          <w:rFonts w:ascii="Arial" w:hAnsi="Arial" w:cs="Arial"/>
          <w:color w:val="032833" w:themeColor="text1"/>
        </w:rPr>
        <w:lastRenderedPageBreak/>
        <w:t> </w:t>
      </w:r>
    </w:p>
    <w:p w14:paraId="4A1A85EA" w14:textId="77777777" w:rsidR="001324DD" w:rsidRDefault="001324DD" w:rsidP="001324DD">
      <w:pPr>
        <w:pStyle w:val="Body"/>
      </w:pPr>
      <w:r w:rsidRPr="7EC55D9E">
        <w:t xml:space="preserve">H2H Community Partners will determine the use of resources if disengagement occurs outside of these timeframes. </w:t>
      </w:r>
    </w:p>
    <w:p w14:paraId="1557D0E3" w14:textId="49913623" w:rsidR="001324DD" w:rsidRDefault="001324DD" w:rsidP="001324DD">
      <w:pPr>
        <w:pStyle w:val="Heading1"/>
        <w:rPr>
          <w:rFonts w:eastAsia="Arial"/>
        </w:rPr>
      </w:pPr>
      <w:bookmarkStart w:id="76" w:name="_Toc88218385"/>
      <w:bookmarkStart w:id="77" w:name="_Toc88218856"/>
      <w:bookmarkStart w:id="78" w:name="_Toc121134087"/>
      <w:r>
        <w:t>Housing Allocations</w:t>
      </w:r>
      <w:bookmarkEnd w:id="76"/>
      <w:bookmarkEnd w:id="77"/>
      <w:bookmarkEnd w:id="78"/>
    </w:p>
    <w:p w14:paraId="64F55906" w14:textId="77777777" w:rsidR="001324DD" w:rsidRPr="00527D80" w:rsidRDefault="001324DD" w:rsidP="001324DD">
      <w:pPr>
        <w:pStyle w:val="Body"/>
      </w:pPr>
      <w:r w:rsidRPr="00190FE8">
        <w:t xml:space="preserve">Following </w:t>
      </w:r>
      <w:r w:rsidRPr="00916B96">
        <w:rPr>
          <w:i/>
          <w:iCs/>
        </w:rPr>
        <w:t>Housing First</w:t>
      </w:r>
      <w:r>
        <w:t xml:space="preserve"> </w:t>
      </w:r>
      <w:r w:rsidRPr="00916B96">
        <w:rPr>
          <w:i/>
          <w:iCs/>
        </w:rPr>
        <w:t>principles</w:t>
      </w:r>
      <w:r w:rsidRPr="00190FE8">
        <w:t>, the primary aim is to house people as quickly as possible to prevent further harm from sleeping rough or living in emergency accommodation.</w:t>
      </w:r>
      <w:r w:rsidRPr="00190FE8" w:rsidDel="00F154B5">
        <w:t xml:space="preserve"> </w:t>
      </w:r>
      <w:r w:rsidRPr="00190FE8">
        <w:t>Securing a safe place to live means recovery can start and further non housing needs can be met more effectively</w:t>
      </w:r>
      <w:r>
        <w:t xml:space="preserve">. </w:t>
      </w:r>
    </w:p>
    <w:p w14:paraId="33651CBD" w14:textId="77777777" w:rsidR="001324DD" w:rsidRDefault="001324DD" w:rsidP="001324DD">
      <w:pPr>
        <w:pStyle w:val="Body"/>
      </w:pPr>
      <w:r>
        <w:t xml:space="preserve">Each H2H Community Partner will establish a dedicated housing allocations procedure to match owned and leased properties to individuals to achieve the best outcome for the Client. Factors influencing matching of properties include, but are not limited to: </w:t>
      </w:r>
    </w:p>
    <w:p w14:paraId="490C452B" w14:textId="77777777" w:rsidR="001324DD" w:rsidRPr="00B04C5D" w:rsidRDefault="001324DD" w:rsidP="001324DD">
      <w:pPr>
        <w:pStyle w:val="Bullet1"/>
      </w:pPr>
      <w:r>
        <w:t>Client vulnerability and need; and</w:t>
      </w:r>
    </w:p>
    <w:p w14:paraId="76C65989" w14:textId="77777777" w:rsidR="001324DD" w:rsidRPr="00B04C5D" w:rsidRDefault="001324DD" w:rsidP="001324DD">
      <w:pPr>
        <w:pStyle w:val="Bullet1"/>
      </w:pPr>
      <w:r>
        <w:t>Suitability in terms of size, location, proximity to services (e.g., schools) and access requirements; and</w:t>
      </w:r>
    </w:p>
    <w:p w14:paraId="3265D195" w14:textId="77777777" w:rsidR="001324DD" w:rsidRPr="004843B6" w:rsidRDefault="001324DD" w:rsidP="001324DD">
      <w:pPr>
        <w:pStyle w:val="Bullet1"/>
      </w:pPr>
      <w:r>
        <w:t>Client preferences.</w:t>
      </w:r>
    </w:p>
    <w:p w14:paraId="072621DD" w14:textId="77777777" w:rsidR="001324DD" w:rsidRDefault="001324DD" w:rsidP="001324DD">
      <w:pPr>
        <w:pStyle w:val="Heading2"/>
      </w:pPr>
      <w:bookmarkStart w:id="79" w:name="_Toc121134088"/>
      <w:r>
        <w:t>Identification and securing of properties</w:t>
      </w:r>
      <w:bookmarkEnd w:id="79"/>
    </w:p>
    <w:p w14:paraId="5CEDE1DE" w14:textId="77777777" w:rsidR="001324DD" w:rsidRPr="00E84D91" w:rsidRDefault="001324DD" w:rsidP="001324DD">
      <w:pPr>
        <w:pStyle w:val="Body"/>
      </w:pPr>
      <w:r w:rsidRPr="00E84D91">
        <w:t xml:space="preserve">There </w:t>
      </w:r>
      <w:r w:rsidRPr="003C29F4">
        <w:t xml:space="preserve">are three types of housing stock being used for this </w:t>
      </w:r>
      <w:r>
        <w:t>Program</w:t>
      </w:r>
      <w:r w:rsidRPr="00E84D91">
        <w:t>, including:</w:t>
      </w:r>
    </w:p>
    <w:p w14:paraId="2CFEDF89" w14:textId="77777777" w:rsidR="001324DD" w:rsidRPr="00E84D91" w:rsidRDefault="001324DD" w:rsidP="001324DD">
      <w:pPr>
        <w:pStyle w:val="Bullet1"/>
      </w:pPr>
      <w:r w:rsidRPr="00E84D91">
        <w:t xml:space="preserve">Public </w:t>
      </w:r>
      <w:r>
        <w:t>h</w:t>
      </w:r>
      <w:r w:rsidRPr="00E84D91">
        <w:t xml:space="preserve">ousing properties </w:t>
      </w:r>
      <w:r w:rsidRPr="00EE7F8A">
        <w:t xml:space="preserve">which will be offered to </w:t>
      </w:r>
      <w:r>
        <w:t>Client</w:t>
      </w:r>
      <w:r w:rsidRPr="00EE7F8A">
        <w:t>s and will continue to be managed by the department</w:t>
      </w:r>
      <w:r w:rsidRPr="00E84D91">
        <w:t>.</w:t>
      </w:r>
    </w:p>
    <w:p w14:paraId="48D25519" w14:textId="77777777" w:rsidR="001324DD" w:rsidRPr="00E84D91" w:rsidRDefault="001324DD" w:rsidP="001324DD">
      <w:pPr>
        <w:pStyle w:val="Bullet1"/>
      </w:pPr>
      <w:r>
        <w:t>Spot purchased properties leased to a Property Service Provider through a H2H General Lease or Interim General Lease who will lease to Clients as residential rental provider.</w:t>
      </w:r>
    </w:p>
    <w:p w14:paraId="4817811D" w14:textId="77777777" w:rsidR="001324DD" w:rsidRPr="00E84D91" w:rsidRDefault="001324DD" w:rsidP="001324DD">
      <w:pPr>
        <w:pStyle w:val="Bullet1"/>
      </w:pPr>
      <w:r w:rsidRPr="00E84D91">
        <w:t xml:space="preserve">Property Service Provider owned, or </w:t>
      </w:r>
      <w:r>
        <w:t xml:space="preserve">head </w:t>
      </w:r>
      <w:r w:rsidRPr="00E84D91">
        <w:t>leased properties with tenancy and property management services delivered by</w:t>
      </w:r>
      <w:r>
        <w:t xml:space="preserve"> the Property Service Provider.</w:t>
      </w:r>
    </w:p>
    <w:p w14:paraId="01F1CA19" w14:textId="169959C0" w:rsidR="001324DD" w:rsidRPr="00047136" w:rsidRDefault="001324DD" w:rsidP="001324DD">
      <w:pPr>
        <w:pStyle w:val="Heading3"/>
      </w:pPr>
      <w:r>
        <w:t>Public Housing</w:t>
      </w:r>
    </w:p>
    <w:p w14:paraId="33E2CEB7" w14:textId="77777777" w:rsidR="001324DD" w:rsidRPr="00121661" w:rsidRDefault="001324DD" w:rsidP="001324DD">
      <w:pPr>
        <w:pStyle w:val="Body"/>
      </w:pPr>
      <w:r>
        <w:t>Homes Victoria</w:t>
      </w:r>
      <w:r w:rsidRPr="00121661">
        <w:t xml:space="preserve"> will lease </w:t>
      </w:r>
      <w:r>
        <w:t>p</w:t>
      </w:r>
      <w:r w:rsidRPr="00121661">
        <w:t xml:space="preserve">ublic </w:t>
      </w:r>
      <w:r>
        <w:t>h</w:t>
      </w:r>
      <w:r w:rsidRPr="00121661">
        <w:t xml:space="preserve">ousing to </w:t>
      </w:r>
      <w:r>
        <w:t>Client</w:t>
      </w:r>
      <w:r w:rsidRPr="00121661">
        <w:t xml:space="preserve">s. The department will provide </w:t>
      </w:r>
      <w:r>
        <w:t>p</w:t>
      </w:r>
      <w:r w:rsidRPr="00121661">
        <w:t xml:space="preserve">ublic </w:t>
      </w:r>
      <w:r>
        <w:t>h</w:t>
      </w:r>
      <w:r w:rsidRPr="00121661">
        <w:t>ousing in a good, lettable condition at lease commencement of a tenancy.</w:t>
      </w:r>
    </w:p>
    <w:p w14:paraId="1F210DB7" w14:textId="77777777" w:rsidR="001324DD" w:rsidRPr="00121661" w:rsidRDefault="001324DD" w:rsidP="001324DD">
      <w:pPr>
        <w:pStyle w:val="Body"/>
      </w:pPr>
      <w:r w:rsidRPr="00121661">
        <w:t xml:space="preserve">Homes Victoria will be responsible for asset management services in relation to </w:t>
      </w:r>
      <w:r>
        <w:t>p</w:t>
      </w:r>
      <w:r w:rsidRPr="00121661">
        <w:t xml:space="preserve">ublic </w:t>
      </w:r>
      <w:r>
        <w:t>h</w:t>
      </w:r>
      <w:r w:rsidRPr="00121661">
        <w:t xml:space="preserve">ousing. Homes Victoria will retain maximum rent paid by </w:t>
      </w:r>
      <w:r>
        <w:t>Client</w:t>
      </w:r>
      <w:r w:rsidRPr="00121661">
        <w:t xml:space="preserve">s placed in </w:t>
      </w:r>
      <w:r>
        <w:t>p</w:t>
      </w:r>
      <w:r w:rsidRPr="00121661">
        <w:t xml:space="preserve">ublic </w:t>
      </w:r>
      <w:r>
        <w:t>h</w:t>
      </w:r>
      <w:r w:rsidRPr="00121661">
        <w:t>ousing.</w:t>
      </w:r>
    </w:p>
    <w:p w14:paraId="5217D7AF" w14:textId="77777777" w:rsidR="001324DD" w:rsidRPr="00121661" w:rsidRDefault="001324DD" w:rsidP="001324DD">
      <w:pPr>
        <w:pStyle w:val="Body"/>
      </w:pPr>
      <w:r w:rsidRPr="00121661">
        <w:t xml:space="preserve">These properties will be provided on an ongoing </w:t>
      </w:r>
      <w:r>
        <w:t>periodic</w:t>
      </w:r>
      <w:r w:rsidRPr="00121661">
        <w:t xml:space="preserve"> lease arrangement with the </w:t>
      </w:r>
      <w:r>
        <w:t>renter</w:t>
      </w:r>
      <w:r w:rsidRPr="00121661">
        <w:t xml:space="preserve"> in accordance with the </w:t>
      </w:r>
      <w:r>
        <w:t>renter</w:t>
      </w:r>
      <w:r w:rsidRPr="00121661">
        <w:t xml:space="preserve"> being able to maintain the tenancy. </w:t>
      </w:r>
    </w:p>
    <w:p w14:paraId="77BA22DF" w14:textId="77777777" w:rsidR="001324DD" w:rsidRPr="00B765A6" w:rsidRDefault="001324DD" w:rsidP="001324DD">
      <w:pPr>
        <w:pStyle w:val="Heading3"/>
      </w:pPr>
      <w:r>
        <w:t>General Lease Properties</w:t>
      </w:r>
    </w:p>
    <w:p w14:paraId="3AD8BE19" w14:textId="77777777" w:rsidR="001324DD" w:rsidRDefault="001324DD" w:rsidP="001324DD">
      <w:pPr>
        <w:pStyle w:val="Body"/>
      </w:pPr>
      <w:r>
        <w:t>Homes Victoria will lease General Lease Properties to Property Service Providers on terms that are substantially the same as those in Homes Victoria’s standard General Lease.</w:t>
      </w:r>
    </w:p>
    <w:p w14:paraId="28018CF1" w14:textId="77777777" w:rsidR="001324DD" w:rsidRDefault="001324DD" w:rsidP="001324DD">
      <w:pPr>
        <w:pStyle w:val="Body"/>
      </w:pPr>
      <w:r>
        <w:t>The department will provide General Lease Properties in a good, lettable condition at lease commencement of a tenancy.</w:t>
      </w:r>
    </w:p>
    <w:p w14:paraId="5E88B471" w14:textId="77777777" w:rsidR="001324DD" w:rsidRPr="00C1679B" w:rsidRDefault="001324DD" w:rsidP="001324DD">
      <w:pPr>
        <w:pStyle w:val="Body"/>
      </w:pPr>
      <w:r w:rsidRPr="00C1679B">
        <w:t xml:space="preserve">The following guidance applies to </w:t>
      </w:r>
      <w:r w:rsidRPr="00C1679B">
        <w:rPr>
          <w:b/>
          <w:bCs/>
        </w:rPr>
        <w:t>General Lease Properties</w:t>
      </w:r>
      <w:r w:rsidRPr="00C1679B">
        <w:t>:</w:t>
      </w:r>
    </w:p>
    <w:p w14:paraId="3D7F4A69" w14:textId="77777777" w:rsidR="001324DD" w:rsidRPr="001B4986" w:rsidRDefault="001324DD" w:rsidP="001324DD">
      <w:pPr>
        <w:pStyle w:val="Bullet1"/>
      </w:pPr>
      <w:r w:rsidRPr="00C1679B">
        <w:lastRenderedPageBreak/>
        <w:t>Property Service Providers will be responsible for all maintenance and asset management services in relation</w:t>
      </w:r>
      <w:r>
        <w:t xml:space="preserve"> to General Lease Properties; and</w:t>
      </w:r>
    </w:p>
    <w:p w14:paraId="5756858B" w14:textId="77777777" w:rsidR="001324DD" w:rsidRDefault="001324DD" w:rsidP="001324DD">
      <w:pPr>
        <w:pStyle w:val="Bullet1"/>
      </w:pPr>
      <w:r>
        <w:t xml:space="preserve">Property Service Providers will retain the maximum rent paid by Clients placed in General Lease Properties to be applied in maintaining the General Lease Properties in accordance with the terms of the General Lease. </w:t>
      </w:r>
    </w:p>
    <w:p w14:paraId="2D4E18D0" w14:textId="77777777" w:rsidR="001324DD" w:rsidRPr="005F7D71" w:rsidRDefault="001324DD" w:rsidP="001324DD">
      <w:pPr>
        <w:pStyle w:val="Body"/>
      </w:pPr>
      <w:r w:rsidRPr="005F7D71">
        <w:t xml:space="preserve">Once leased to Property Service Providers the expectation and practice is to rapidly allocate properties with matched </w:t>
      </w:r>
      <w:r>
        <w:t>Client</w:t>
      </w:r>
      <w:r w:rsidRPr="005F7D71">
        <w:t xml:space="preserve">s that are supported by a Support Service Provider. To ensure suitable </w:t>
      </w:r>
      <w:r>
        <w:t>Client</w:t>
      </w:r>
      <w:r w:rsidRPr="005F7D71">
        <w:t xml:space="preserve"> allocation into these properties, the General Lease holder, H2H Support Providers and H2H Operations managers should meet to discuss risks of the property for the nominated </w:t>
      </w:r>
      <w:r>
        <w:t>Client</w:t>
      </w:r>
      <w:r w:rsidRPr="005F7D71">
        <w:t>.</w:t>
      </w:r>
    </w:p>
    <w:p w14:paraId="281AABF2" w14:textId="77777777" w:rsidR="001324DD" w:rsidRDefault="001324DD" w:rsidP="001324DD">
      <w:pPr>
        <w:pStyle w:val="Body"/>
      </w:pPr>
      <w:r>
        <w:t xml:space="preserve">H2H Community Partners should consider community engagement strategies where appropriate (for example, multiple dwellings in one building). Community engagement should be designed to improve community relations and support and assist successful tenancies. </w:t>
      </w:r>
    </w:p>
    <w:p w14:paraId="2243283A" w14:textId="77777777" w:rsidR="001324DD" w:rsidRPr="003A49F3" w:rsidRDefault="001324DD" w:rsidP="001324DD">
      <w:pPr>
        <w:pStyle w:val="Heading4"/>
      </w:pPr>
      <w:r>
        <w:t>Property Service P</w:t>
      </w:r>
      <w:r w:rsidRPr="003A49F3">
        <w:t xml:space="preserve">rovider owned properties and </w:t>
      </w:r>
      <w:r>
        <w:t xml:space="preserve">head </w:t>
      </w:r>
      <w:r w:rsidRPr="003A49F3">
        <w:t>leased properties</w:t>
      </w:r>
    </w:p>
    <w:p w14:paraId="056AED39" w14:textId="77777777" w:rsidR="001324DD" w:rsidRPr="008B25BC" w:rsidRDefault="001324DD" w:rsidP="001324DD">
      <w:pPr>
        <w:pStyle w:val="Bullet1"/>
      </w:pPr>
      <w:r w:rsidRPr="008B25BC">
        <w:t xml:space="preserve">Property Service Provider owned, and leased properties must comply with </w:t>
      </w:r>
      <w:r>
        <w:t xml:space="preserve">standards as outlined in the </w:t>
      </w:r>
      <w:r w:rsidRPr="00B613E5">
        <w:rPr>
          <w:i/>
          <w:iCs/>
        </w:rPr>
        <w:t>Residential Tenancies Act</w:t>
      </w:r>
      <w:r>
        <w:t xml:space="preserve"> </w:t>
      </w:r>
      <w:r w:rsidRPr="00E33E49">
        <w:rPr>
          <w:i/>
        </w:rPr>
        <w:t>1997</w:t>
      </w:r>
      <w:r>
        <w:t>.</w:t>
      </w:r>
    </w:p>
    <w:p w14:paraId="721B675D" w14:textId="77777777" w:rsidR="001324DD" w:rsidRPr="008B25BC" w:rsidRDefault="001324DD" w:rsidP="001324DD">
      <w:pPr>
        <w:pStyle w:val="Bullet1"/>
      </w:pPr>
      <w:r w:rsidRPr="008B25BC">
        <w:t>Property Service Providers are required to undertake asset management services on owned and leased properties.</w:t>
      </w:r>
    </w:p>
    <w:p w14:paraId="20595BD0" w14:textId="77777777" w:rsidR="001324DD" w:rsidRPr="008B25BC" w:rsidRDefault="001324DD" w:rsidP="001324DD">
      <w:pPr>
        <w:pStyle w:val="Bullet1"/>
      </w:pPr>
      <w:r w:rsidRPr="008B25BC">
        <w:t>The Property Service Provider will be responsible for any additional asset damage that is not fair wear and tear (for example</w:t>
      </w:r>
      <w:r>
        <w:t>,</w:t>
      </w:r>
      <w:r w:rsidRPr="008B25BC">
        <w:t xml:space="preserve"> </w:t>
      </w:r>
      <w:r>
        <w:t>renter</w:t>
      </w:r>
      <w:r w:rsidRPr="008B25BC">
        <w:t xml:space="preserve"> damage). </w:t>
      </w:r>
    </w:p>
    <w:p w14:paraId="1F240C50" w14:textId="77777777" w:rsidR="001324DD" w:rsidRPr="008B25BC" w:rsidRDefault="001324DD" w:rsidP="001324DD">
      <w:pPr>
        <w:pStyle w:val="Bullet1"/>
      </w:pPr>
      <w:r w:rsidRPr="008B25BC">
        <w:t>There will be differences in the way allocations will occur between public housing and head leased and owned properties. For example, head leased properties are more likely to have a have a fixed term.</w:t>
      </w:r>
    </w:p>
    <w:p w14:paraId="44F9130F" w14:textId="77777777" w:rsidR="001324DD" w:rsidRDefault="001324DD" w:rsidP="001324DD">
      <w:pPr>
        <w:pStyle w:val="Bullet1"/>
        <w:rPr>
          <w:rFonts w:eastAsia="Arial" w:cs="Arial"/>
        </w:rPr>
      </w:pPr>
      <w:r w:rsidRPr="793B0F4F">
        <w:t xml:space="preserve">Property Service Providers will need to provide the H2H Oversight Unit with details of each head lease property so it can be uploaded into </w:t>
      </w:r>
      <w:r w:rsidRPr="00EC4E23">
        <w:rPr>
          <w:i/>
          <w:iCs/>
        </w:rPr>
        <w:t>Housing integration information Platform</w:t>
      </w:r>
      <w:r w:rsidRPr="793B0F4F">
        <w:t xml:space="preserve"> (HiiP). This includes a copy of the lease that has been signed between the Property Service Provider and the real estate agent/landlord. </w:t>
      </w:r>
    </w:p>
    <w:p w14:paraId="225CF08E" w14:textId="77777777" w:rsidR="001324DD" w:rsidRDefault="001324DD" w:rsidP="001324DD">
      <w:pPr>
        <w:pStyle w:val="Bullet1"/>
        <w:rPr>
          <w:lang w:val="en-US"/>
        </w:rPr>
      </w:pPr>
      <w:r>
        <w:t>At the end of the term of a head leased property, the H2H Community Partners will work with the renter to transition into more permanent accommodation. If the housing pathway for the renter is into public housing, a new VHR application will be required to be submitted by the H2H Support Service Provider.</w:t>
      </w:r>
    </w:p>
    <w:p w14:paraId="1AFA81C8" w14:textId="77777777" w:rsidR="001324DD" w:rsidRPr="00FA3B61" w:rsidRDefault="001324DD" w:rsidP="001324DD">
      <w:pPr>
        <w:pStyle w:val="Heading3"/>
        <w:rPr>
          <w:highlight w:val="yellow"/>
        </w:rPr>
      </w:pPr>
      <w:bookmarkStart w:id="80" w:name="_Toc88218386"/>
      <w:bookmarkStart w:id="81" w:name="_Toc88218857"/>
      <w:r w:rsidRPr="005F7D71">
        <w:t xml:space="preserve">Guidance on </w:t>
      </w:r>
      <w:r>
        <w:t>U</w:t>
      </w:r>
      <w:r w:rsidRPr="005F7D71">
        <w:t>se of 2</w:t>
      </w:r>
      <w:r>
        <w:t>-B</w:t>
      </w:r>
      <w:r w:rsidRPr="005F7D71">
        <w:t xml:space="preserve">edroom </w:t>
      </w:r>
      <w:r>
        <w:t>D</w:t>
      </w:r>
      <w:r w:rsidRPr="00A376EA">
        <w:t xml:space="preserve">wellings for </w:t>
      </w:r>
      <w:r>
        <w:t>S</w:t>
      </w:r>
      <w:r w:rsidRPr="00A376EA">
        <w:t>ingle</w:t>
      </w:r>
      <w:r>
        <w:t xml:space="preserve"> H</w:t>
      </w:r>
      <w:r w:rsidRPr="00A376EA">
        <w:t>ouseholds</w:t>
      </w:r>
      <w:bookmarkEnd w:id="80"/>
      <w:bookmarkEnd w:id="81"/>
      <w:r w:rsidRPr="00FA3B61">
        <w:t xml:space="preserve"> </w:t>
      </w:r>
    </w:p>
    <w:p w14:paraId="17519ECA" w14:textId="77777777" w:rsidR="001324DD" w:rsidRDefault="001324DD" w:rsidP="001324DD">
      <w:pPr>
        <w:pStyle w:val="Heading4"/>
      </w:pPr>
      <w:r w:rsidRPr="6C981D2D">
        <w:t>For General Lease Properties</w:t>
      </w:r>
    </w:p>
    <w:p w14:paraId="314569A6" w14:textId="77777777" w:rsidR="001324DD" w:rsidRPr="00B6787F" w:rsidRDefault="001324DD" w:rsidP="001324DD">
      <w:pPr>
        <w:pStyle w:val="Body"/>
      </w:pPr>
      <w:r w:rsidRPr="00B6787F">
        <w:t>As a rule, 2</w:t>
      </w:r>
      <w:r>
        <w:t>-</w:t>
      </w:r>
      <w:r w:rsidRPr="00B6787F">
        <w:t>bedroom dwellings cannot be allocated to one person households except where:</w:t>
      </w:r>
    </w:p>
    <w:p w14:paraId="4EF2DCF8" w14:textId="77777777" w:rsidR="001324DD" w:rsidRPr="00B6787F" w:rsidRDefault="001324DD" w:rsidP="001324DD">
      <w:pPr>
        <w:pStyle w:val="Bullet1"/>
      </w:pPr>
      <w:r>
        <w:t>The Property Service Provider can clearly demonstrate that there are no single bedroom dwellings available for head leasing in the area.</w:t>
      </w:r>
    </w:p>
    <w:p w14:paraId="561403DD" w14:textId="77777777" w:rsidR="001324DD" w:rsidRPr="00B6787F" w:rsidRDefault="001324DD" w:rsidP="001324DD">
      <w:pPr>
        <w:pStyle w:val="Bullet1"/>
      </w:pPr>
      <w:r>
        <w:t>The proposed single household renter has special accommodation needs (e.g., Need for a second room for children’s access visits or for a carer); and/or</w:t>
      </w:r>
    </w:p>
    <w:p w14:paraId="58E51318" w14:textId="77777777" w:rsidR="001324DD" w:rsidRPr="00B6787F" w:rsidRDefault="001324DD" w:rsidP="001324DD">
      <w:pPr>
        <w:pStyle w:val="Bullet1"/>
      </w:pPr>
      <w:r>
        <w:t xml:space="preserve">The renter will be safe and not made more vulnerable with a two-bedroom property. The Property Service Provider must demonstrate measures that will be put in place to mitigate risks of anti-social </w:t>
      </w:r>
      <w:proofErr w:type="spellStart"/>
      <w:r>
        <w:t>behaviors</w:t>
      </w:r>
      <w:proofErr w:type="spellEnd"/>
      <w:r>
        <w:t xml:space="preserve"> that may be caused by individuals who are not engaged with the program residing at the property.</w:t>
      </w:r>
    </w:p>
    <w:p w14:paraId="7B4BF933" w14:textId="77493A27" w:rsidR="001324DD" w:rsidRPr="00130B75" w:rsidRDefault="001324DD" w:rsidP="001324DD">
      <w:pPr>
        <w:pStyle w:val="Body"/>
      </w:pPr>
      <w:r>
        <w:t xml:space="preserve">Where two-bedroom dwellings are being used for single person households Homes Victoria authorisation will be required. A written request with evidence in line with departmental </w:t>
      </w:r>
      <w:r>
        <w:lastRenderedPageBreak/>
        <w:t>Allocations Policy is required to be sent to the</w:t>
      </w:r>
      <w:r w:rsidRPr="2B649527">
        <w:rPr>
          <w:rStyle w:val="Hyperlink"/>
          <w:rFonts w:eastAsia="Arial" w:cs="Arial"/>
        </w:rPr>
        <w:t xml:space="preserve"> </w:t>
      </w:r>
      <w:hyperlink r:id="rId26" w:history="1">
        <w:r w:rsidR="00EA1BED" w:rsidRPr="002556EC">
          <w:rPr>
            <w:rStyle w:val="Hyperlink"/>
            <w:rFonts w:eastAsia="Arial" w:cs="Arial"/>
          </w:rPr>
          <w:t>hhs@homes.vic.gov.au</w:t>
        </w:r>
      </w:hyperlink>
      <w:r>
        <w:t xml:space="preserve"> inbox with agreement reached with Homes Victoria.</w:t>
      </w:r>
      <w:r w:rsidRPr="00186998">
        <w:t xml:space="preserve"> </w:t>
      </w:r>
      <w:r>
        <w:t>Establishment costs for two-bedroom properties allocated to a single person is $2000.</w:t>
      </w:r>
    </w:p>
    <w:p w14:paraId="2CA421F9" w14:textId="77777777" w:rsidR="001324DD" w:rsidRDefault="001324DD" w:rsidP="001324DD">
      <w:pPr>
        <w:pStyle w:val="Heading4"/>
      </w:pPr>
      <w:r w:rsidRPr="6C981D2D">
        <w:t xml:space="preserve">For </w:t>
      </w:r>
      <w:r>
        <w:t>H</w:t>
      </w:r>
      <w:r w:rsidRPr="6C981D2D">
        <w:t xml:space="preserve">ead </w:t>
      </w:r>
      <w:r>
        <w:t>L</w:t>
      </w:r>
      <w:r w:rsidRPr="6C981D2D">
        <w:t>eased properties</w:t>
      </w:r>
    </w:p>
    <w:p w14:paraId="2FB81E75" w14:textId="77777777" w:rsidR="001324DD" w:rsidRPr="00B6787F" w:rsidRDefault="001324DD" w:rsidP="001324DD">
      <w:pPr>
        <w:pStyle w:val="Body"/>
      </w:pPr>
      <w:r w:rsidRPr="00B6787F">
        <w:t>As a rule, 2</w:t>
      </w:r>
      <w:r>
        <w:t>-</w:t>
      </w:r>
      <w:r w:rsidRPr="00B6787F">
        <w:t>bedroom dwellings cannot be allocated to one person households except where:</w:t>
      </w:r>
    </w:p>
    <w:p w14:paraId="45752F8B" w14:textId="77777777" w:rsidR="001324DD" w:rsidRPr="00B6787F" w:rsidRDefault="001324DD" w:rsidP="001324DD">
      <w:pPr>
        <w:pStyle w:val="Bullet1"/>
      </w:pPr>
      <w:r w:rsidRPr="00B6787F">
        <w:t xml:space="preserve">The </w:t>
      </w:r>
      <w:r>
        <w:t>Property Service P</w:t>
      </w:r>
      <w:r w:rsidRPr="00B6787F">
        <w:t>rovider can clearly demonstrate that there are no single bedroom dwellings available for head leasing in the area</w:t>
      </w:r>
      <w:r>
        <w:t>.</w:t>
      </w:r>
    </w:p>
    <w:p w14:paraId="3BADB473" w14:textId="77777777" w:rsidR="001324DD" w:rsidRPr="00B6787F" w:rsidRDefault="001324DD" w:rsidP="001324DD">
      <w:pPr>
        <w:pStyle w:val="Bullet1"/>
      </w:pPr>
      <w:r w:rsidRPr="00B6787F">
        <w:t xml:space="preserve">The proposed single household </w:t>
      </w:r>
      <w:r>
        <w:t>renter</w:t>
      </w:r>
      <w:r w:rsidRPr="00B6787F">
        <w:t xml:space="preserve"> has special accommodation needs (e.g., </w:t>
      </w:r>
      <w:r>
        <w:t>n</w:t>
      </w:r>
      <w:r w:rsidRPr="00B6787F">
        <w:t>eed for a second room for children’s access visits or for a carer)</w:t>
      </w:r>
      <w:r>
        <w:t>.</w:t>
      </w:r>
    </w:p>
    <w:p w14:paraId="11F06829" w14:textId="77777777" w:rsidR="001324DD" w:rsidRPr="009B5B39" w:rsidRDefault="001324DD" w:rsidP="001324DD">
      <w:pPr>
        <w:pStyle w:val="Bullet1"/>
      </w:pPr>
      <w:r w:rsidRPr="00B6787F">
        <w:t xml:space="preserve">The </w:t>
      </w:r>
      <w:r>
        <w:t>renter</w:t>
      </w:r>
      <w:r w:rsidRPr="00B6787F">
        <w:t xml:space="preserve"> will be safe and not made more vulnerable with a two-bedroom property</w:t>
      </w:r>
      <w:r>
        <w:t>.</w:t>
      </w:r>
      <w:r w:rsidRPr="00B6787F">
        <w:t xml:space="preserve"> </w:t>
      </w:r>
      <w:r>
        <w:t xml:space="preserve">The </w:t>
      </w:r>
      <w:r w:rsidRPr="00F31503">
        <w:t xml:space="preserve">Property Service Provider </w:t>
      </w:r>
      <w:r w:rsidRPr="00B6787F">
        <w:t>must demonstrate measures that will be put in place to mitigate risks of anti-soci</w:t>
      </w:r>
      <w:r w:rsidRPr="009A0021">
        <w:t>al behaviours</w:t>
      </w:r>
      <w:r w:rsidRPr="00B6787F">
        <w:t xml:space="preserve"> </w:t>
      </w:r>
      <w:r w:rsidRPr="009B5B39">
        <w:t>that may be caused by individuals who are not engaged with the program residing at the property.</w:t>
      </w:r>
    </w:p>
    <w:p w14:paraId="4ED8B234" w14:textId="77777777" w:rsidR="001324DD" w:rsidRDefault="001324DD" w:rsidP="001324DD">
      <w:pPr>
        <w:pStyle w:val="Body"/>
      </w:pPr>
      <w:r>
        <w:t xml:space="preserve">Homes Victoria acknowledges that there is limited supply of one-bedroom properties, particularly in rural and regional locations. Where there is no other option available, consideration can be given by Homes Victoria to placing a single person household in a two-bedroom dwelling. In these circumstances, the lease must stipulate that the Client’s application for long-term housing will be reassessed once the head lease comes to an end and that the subsequent VHR application will be updated to reflect actual accommodation needs. Establishment costs for two-bedroom properties allocated to a single person is $2000. </w:t>
      </w:r>
    </w:p>
    <w:p w14:paraId="6A394F67" w14:textId="431AF01E" w:rsidR="001324DD" w:rsidRPr="00130B75" w:rsidRDefault="001324DD" w:rsidP="001324DD">
      <w:pPr>
        <w:pStyle w:val="Body"/>
      </w:pPr>
      <w:r>
        <w:t xml:space="preserve">Where two-bedroom dwellings are being used for single person households, Homes Victoria authorisation will be required. A written request to the </w:t>
      </w:r>
      <w:hyperlink r:id="rId27" w:history="1">
        <w:r w:rsidR="00EA1BED" w:rsidRPr="002556EC">
          <w:rPr>
            <w:rStyle w:val="Hyperlink"/>
            <w:rFonts w:eastAsia="Arial" w:cs="Arial"/>
          </w:rPr>
          <w:t>hhs@homes.vic.gov.au</w:t>
        </w:r>
      </w:hyperlink>
      <w:r>
        <w:t xml:space="preserve"> inbox is required, and agreement reached with Homes Victoria.</w:t>
      </w:r>
    </w:p>
    <w:p w14:paraId="33A80C71" w14:textId="1702C9A3" w:rsidR="001324DD" w:rsidRPr="009517E0" w:rsidRDefault="001324DD" w:rsidP="001324DD">
      <w:pPr>
        <w:pStyle w:val="Bullet1"/>
      </w:pPr>
      <w:r>
        <w:t xml:space="preserve">For rules on for public housing please see page </w:t>
      </w:r>
      <w:r w:rsidR="007D5F06">
        <w:t>34</w:t>
      </w:r>
      <w:r>
        <w:t>.</w:t>
      </w:r>
    </w:p>
    <w:p w14:paraId="50F225B7" w14:textId="77777777" w:rsidR="001324DD" w:rsidRPr="009517E0" w:rsidRDefault="001324DD" w:rsidP="001324DD">
      <w:pPr>
        <w:pStyle w:val="Bullet1"/>
      </w:pPr>
      <w:r w:rsidRPr="009517E0">
        <w:t>For H2H Community Housing Provider owned properties it is at the discretion of the H2H Community Housing Provider.</w:t>
      </w:r>
    </w:p>
    <w:p w14:paraId="42728B28" w14:textId="7F34EAA6" w:rsidR="001324DD" w:rsidRDefault="46E1615D" w:rsidP="001324DD">
      <w:pPr>
        <w:pStyle w:val="Heading3"/>
      </w:pPr>
      <w:bookmarkStart w:id="82" w:name="_Toc88218387"/>
      <w:bookmarkStart w:id="83" w:name="_Toc88218858"/>
      <w:r>
        <w:t>Cross Area Referral</w:t>
      </w:r>
      <w:bookmarkEnd w:id="82"/>
      <w:bookmarkEnd w:id="83"/>
    </w:p>
    <w:p w14:paraId="115AB85E" w14:textId="0681994E" w:rsidR="00970000" w:rsidRDefault="00970000" w:rsidP="004476FE">
      <w:pPr>
        <w:pStyle w:val="Body"/>
        <w:rPr>
          <w:rFonts w:ascii="Calibri" w:hAnsi="Calibri"/>
          <w:sz w:val="22"/>
        </w:rPr>
      </w:pPr>
      <w:r>
        <w:t>As clients</w:t>
      </w:r>
      <w:r w:rsidR="00D441E1">
        <w:t xml:space="preserve"> in head lease</w:t>
      </w:r>
      <w:r w:rsidR="00DE1648">
        <w:t>d</w:t>
      </w:r>
      <w:r w:rsidR="00D441E1">
        <w:t xml:space="preserve"> properties</w:t>
      </w:r>
      <w:r>
        <w:t xml:space="preserve"> transition to their long-term housing, their H2H support will continue at either Intensive or Targeted and Tailored level. Many clients will transition to homes within their current HEART Area, or nearby.  However, some clients have VHR location preferences that may make it difficult or cost prohibitive for </w:t>
      </w:r>
      <w:r w:rsidR="00C34316">
        <w:t>their current support provider</w:t>
      </w:r>
      <w:r>
        <w:t xml:space="preserve"> to provide that support.  If this is the case, </w:t>
      </w:r>
      <w:r w:rsidR="00C95F06">
        <w:t>Homes Victoria</w:t>
      </w:r>
      <w:r>
        <w:t xml:space="preserve"> will work with </w:t>
      </w:r>
      <w:r w:rsidR="00C95F06">
        <w:t xml:space="preserve">the Community Partner </w:t>
      </w:r>
      <w:r>
        <w:t>to identify the best options for the client to continue receiving support.</w:t>
      </w:r>
    </w:p>
    <w:p w14:paraId="747C5054" w14:textId="20C7CD55" w:rsidR="001324DD" w:rsidRPr="00777035" w:rsidRDefault="001324DD" w:rsidP="001324DD">
      <w:pPr>
        <w:pStyle w:val="Heading2"/>
        <w:rPr>
          <w:rFonts w:eastAsia="Arial"/>
        </w:rPr>
      </w:pPr>
      <w:bookmarkStart w:id="84" w:name="_Toc88218389"/>
      <w:bookmarkStart w:id="85" w:name="_Toc88218860"/>
      <w:bookmarkStart w:id="86" w:name="_Toc121134090"/>
      <w:r w:rsidRPr="00777035">
        <w:rPr>
          <w:rFonts w:eastAsia="Arial"/>
        </w:rPr>
        <w:t>Financial assistance in establishing a H2H tenancy</w:t>
      </w:r>
      <w:bookmarkEnd w:id="84"/>
      <w:bookmarkEnd w:id="85"/>
      <w:bookmarkEnd w:id="86"/>
    </w:p>
    <w:p w14:paraId="602297F5" w14:textId="77777777" w:rsidR="001324DD" w:rsidRPr="00F23727" w:rsidRDefault="001324DD" w:rsidP="001324DD">
      <w:pPr>
        <w:pStyle w:val="Body"/>
      </w:pPr>
      <w:r w:rsidRPr="00F23727">
        <w:t xml:space="preserve">There is a high likelihood that, where rent in advance is required, some H2H </w:t>
      </w:r>
      <w:r>
        <w:t>Client</w:t>
      </w:r>
      <w:r w:rsidRPr="00F23727">
        <w:t xml:space="preserve">s will not be able to financially establish the tenancy on their own limited income. In response to this identified issue, the H2H program will allow for changes to the use of HEF to support the establishment of public housing tenancies for H2H </w:t>
      </w:r>
      <w:r>
        <w:t>Client</w:t>
      </w:r>
      <w:r w:rsidRPr="00F23727">
        <w:t>s where two weeks rent in advance is required</w:t>
      </w:r>
      <w:r>
        <w:t>.</w:t>
      </w:r>
    </w:p>
    <w:p w14:paraId="2A2C6C25" w14:textId="77777777" w:rsidR="001324DD" w:rsidRPr="00F23727" w:rsidRDefault="001324DD" w:rsidP="001324DD">
      <w:pPr>
        <w:pStyle w:val="Body"/>
      </w:pPr>
      <w:r w:rsidRPr="00F23727">
        <w:t xml:space="preserve">In the case of Head Lease properties, where the H2H </w:t>
      </w:r>
      <w:r>
        <w:t>Client</w:t>
      </w:r>
      <w:r w:rsidRPr="00F23727">
        <w:t xml:space="preserve"> is unable to pay rent in advance, H2H Community Partners can use the Private Rental Assistance Package (PRAP). HEF cannot and should not be used in Head Leased properties.</w:t>
      </w:r>
    </w:p>
    <w:p w14:paraId="053D8EA1" w14:textId="77777777" w:rsidR="001324DD" w:rsidRPr="00273BB7" w:rsidRDefault="001324DD" w:rsidP="001324DD">
      <w:pPr>
        <w:pStyle w:val="Heading2"/>
        <w:rPr>
          <w:lang w:val="en-US"/>
        </w:rPr>
      </w:pPr>
      <w:bookmarkStart w:id="87" w:name="_Toc121134091"/>
      <w:r w:rsidRPr="00273BB7">
        <w:rPr>
          <w:lang w:val="en-US"/>
        </w:rPr>
        <w:lastRenderedPageBreak/>
        <w:t>Vacancy Management - Head Leased Properties</w:t>
      </w:r>
      <w:bookmarkEnd w:id="87"/>
      <w:r w:rsidRPr="00273BB7">
        <w:rPr>
          <w:lang w:val="en-US"/>
        </w:rPr>
        <w:t xml:space="preserve">  </w:t>
      </w:r>
    </w:p>
    <w:p w14:paraId="25955908" w14:textId="77777777" w:rsidR="001324DD" w:rsidRPr="00273BB7" w:rsidRDefault="001324DD" w:rsidP="001324DD">
      <w:pPr>
        <w:pStyle w:val="Body"/>
        <w:rPr>
          <w:rFonts w:eastAsia="Arial" w:cs="Arial"/>
          <w:lang w:val="en-US"/>
        </w:rPr>
      </w:pPr>
      <w:r w:rsidRPr="72AC916A">
        <w:rPr>
          <w:lang w:val="en-US"/>
        </w:rPr>
        <w:t xml:space="preserve">In the event of initial vacancy of a leased property, the department will pay H2H Partners a net rent to the value of market rent for up to 28 days. This reflects a period of up to 14 days to allocate a head leased (Leased) Property to a Client and a further 14 days before it is rented to account for time required for H2H Partners to furnish the property, complete necessary maintenance works and / or provide the Client sufficient notice to relocate. Where the Leased Property remains vacant after 28 days, H2H Partners will be liable to pay the Market Rent from that point until the Leased Property is rented by the H2H Client </w:t>
      </w:r>
    </w:p>
    <w:p w14:paraId="6D8557A1" w14:textId="77777777" w:rsidR="001324DD" w:rsidRPr="00273BB7" w:rsidRDefault="001324DD" w:rsidP="001324DD">
      <w:pPr>
        <w:pStyle w:val="Bullet1"/>
        <w:rPr>
          <w:rFonts w:eastAsia="Arial" w:cs="Arial"/>
          <w:lang w:val="en-US"/>
        </w:rPr>
      </w:pPr>
      <w:r w:rsidRPr="1B7F2FE3">
        <w:rPr>
          <w:lang w:val="en-US"/>
        </w:rPr>
        <w:t xml:space="preserve">If the property is rented after the 28-day period, the department will be liable to pay net rent from the point of the tenancy commencing, considering the maximum rent that is applied to that property.  </w:t>
      </w:r>
    </w:p>
    <w:p w14:paraId="2F7F9F85" w14:textId="77777777" w:rsidR="001324DD" w:rsidRPr="005F5493" w:rsidRDefault="001324DD" w:rsidP="001324DD">
      <w:pPr>
        <w:pStyle w:val="Bullet1"/>
        <w:rPr>
          <w:rFonts w:eastAsia="Arial" w:cs="Arial"/>
          <w:lang w:val="en-US"/>
        </w:rPr>
      </w:pPr>
      <w:r w:rsidRPr="1B7F2FE3">
        <w:rPr>
          <w:lang w:val="en-US"/>
        </w:rPr>
        <w:t>If maximum rent is not known at the point of tenancy commencement, the department will apply assumed maximum rent according to the below table.</w:t>
      </w:r>
    </w:p>
    <w:p w14:paraId="4E1777AC" w14:textId="77777777" w:rsidR="001324DD" w:rsidRPr="00273BB7" w:rsidRDefault="001324DD" w:rsidP="001324DD">
      <w:pPr>
        <w:pStyle w:val="DHHSbullet1"/>
        <w:spacing w:after="120"/>
        <w:ind w:left="720" w:firstLine="0"/>
        <w:rPr>
          <w:rFonts w:eastAsia="Arial" w:cs="Arial"/>
          <w:lang w:val="en-US"/>
        </w:rPr>
      </w:pPr>
    </w:p>
    <w:tbl>
      <w:tblPr>
        <w:tblStyle w:val="TableGrid1"/>
        <w:tblW w:w="722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4678"/>
      </w:tblGrid>
      <w:tr w:rsidR="003421CB" w:rsidRPr="003421CB" w14:paraId="79D0BEBC" w14:textId="77777777" w:rsidTr="00566C0C">
        <w:trPr>
          <w:cnfStyle w:val="100000000000" w:firstRow="1" w:lastRow="0" w:firstColumn="0" w:lastColumn="0" w:oddVBand="0" w:evenVBand="0" w:oddHBand="0" w:evenHBand="0" w:firstRowFirstColumn="0" w:firstRowLastColumn="0" w:lastRowFirstColumn="0" w:lastRowLastColumn="0"/>
        </w:trPr>
        <w:tc>
          <w:tcPr>
            <w:tcW w:w="2551" w:type="dxa"/>
            <w:shd w:val="clear" w:color="auto" w:fill="000000"/>
          </w:tcPr>
          <w:p w14:paraId="7556F0D3" w14:textId="77777777" w:rsidR="001324DD" w:rsidRPr="00566C0C" w:rsidRDefault="001324DD" w:rsidP="001324DD">
            <w:pPr>
              <w:pStyle w:val="Body"/>
              <w:rPr>
                <w:b/>
                <w:bCs/>
                <w:color w:val="FFFFFF" w:themeColor="background1"/>
              </w:rPr>
            </w:pPr>
            <w:r w:rsidRPr="00566C0C">
              <w:rPr>
                <w:b/>
                <w:bCs/>
                <w:color w:val="FFFFFF" w:themeColor="background1"/>
              </w:rPr>
              <w:t>Bedroom type</w:t>
            </w:r>
          </w:p>
        </w:tc>
        <w:tc>
          <w:tcPr>
            <w:tcW w:w="4678" w:type="dxa"/>
            <w:shd w:val="clear" w:color="auto" w:fill="000000"/>
          </w:tcPr>
          <w:p w14:paraId="2361CBB6" w14:textId="77777777" w:rsidR="001324DD" w:rsidRPr="00566C0C" w:rsidRDefault="001324DD" w:rsidP="001324DD">
            <w:pPr>
              <w:pStyle w:val="Body"/>
              <w:rPr>
                <w:b/>
                <w:bCs/>
                <w:color w:val="FFFFFF" w:themeColor="background1"/>
              </w:rPr>
            </w:pPr>
            <w:r w:rsidRPr="00566C0C">
              <w:rPr>
                <w:b/>
                <w:bCs/>
                <w:color w:val="FFFFFF" w:themeColor="background1"/>
              </w:rPr>
              <w:t>Maximum Rent assumed ($/week)</w:t>
            </w:r>
          </w:p>
        </w:tc>
      </w:tr>
      <w:tr w:rsidR="001324DD" w:rsidRPr="00273BB7" w14:paraId="1B314733" w14:textId="77777777" w:rsidTr="00566C0C">
        <w:tc>
          <w:tcPr>
            <w:tcW w:w="2551" w:type="dxa"/>
            <w:shd w:val="clear" w:color="auto" w:fill="auto"/>
          </w:tcPr>
          <w:p w14:paraId="58322649" w14:textId="77777777" w:rsidR="001324DD" w:rsidRPr="00273BB7" w:rsidRDefault="001324DD" w:rsidP="001324DD">
            <w:pPr>
              <w:pStyle w:val="Body"/>
              <w:rPr>
                <w:rFonts w:eastAsia="Arial" w:cs="Arial"/>
              </w:rPr>
            </w:pPr>
            <w:r w:rsidRPr="00273BB7">
              <w:t>1 Bed</w:t>
            </w:r>
          </w:p>
        </w:tc>
        <w:tc>
          <w:tcPr>
            <w:tcW w:w="4678" w:type="dxa"/>
            <w:shd w:val="clear" w:color="auto" w:fill="auto"/>
          </w:tcPr>
          <w:p w14:paraId="16F39F41" w14:textId="77777777" w:rsidR="001324DD" w:rsidRPr="00273BB7" w:rsidRDefault="001324DD" w:rsidP="001324DD">
            <w:pPr>
              <w:pStyle w:val="Body"/>
              <w:rPr>
                <w:rFonts w:eastAsia="Arial" w:cs="Arial"/>
              </w:rPr>
            </w:pPr>
            <w:r w:rsidRPr="00273BB7">
              <w:t>92.30</w:t>
            </w:r>
          </w:p>
        </w:tc>
      </w:tr>
      <w:tr w:rsidR="001324DD" w:rsidRPr="00273BB7" w14:paraId="1ACE1BC2" w14:textId="77777777" w:rsidTr="00566C0C">
        <w:tc>
          <w:tcPr>
            <w:tcW w:w="2551" w:type="dxa"/>
            <w:shd w:val="clear" w:color="auto" w:fill="auto"/>
          </w:tcPr>
          <w:p w14:paraId="4C85270C" w14:textId="77777777" w:rsidR="001324DD" w:rsidRPr="00273BB7" w:rsidRDefault="001324DD" w:rsidP="001324DD">
            <w:pPr>
              <w:pStyle w:val="Body"/>
              <w:rPr>
                <w:rFonts w:eastAsia="Arial" w:cs="Arial"/>
              </w:rPr>
            </w:pPr>
            <w:r w:rsidRPr="00273BB7">
              <w:t>2 Bed</w:t>
            </w:r>
          </w:p>
        </w:tc>
        <w:tc>
          <w:tcPr>
            <w:tcW w:w="4678" w:type="dxa"/>
            <w:shd w:val="clear" w:color="auto" w:fill="auto"/>
          </w:tcPr>
          <w:p w14:paraId="2B37E80E" w14:textId="77777777" w:rsidR="001324DD" w:rsidRPr="00273BB7" w:rsidRDefault="001324DD" w:rsidP="001324DD">
            <w:pPr>
              <w:pStyle w:val="Body"/>
              <w:rPr>
                <w:rFonts w:eastAsia="Arial" w:cs="Arial"/>
              </w:rPr>
            </w:pPr>
            <w:r w:rsidRPr="00273BB7">
              <w:t>120.30</w:t>
            </w:r>
          </w:p>
        </w:tc>
      </w:tr>
      <w:tr w:rsidR="001324DD" w:rsidRPr="00273BB7" w14:paraId="4B9235F4" w14:textId="77777777" w:rsidTr="00566C0C">
        <w:tc>
          <w:tcPr>
            <w:tcW w:w="2551" w:type="dxa"/>
            <w:shd w:val="clear" w:color="auto" w:fill="auto"/>
          </w:tcPr>
          <w:p w14:paraId="700B9D91" w14:textId="77777777" w:rsidR="001324DD" w:rsidRPr="00273BB7" w:rsidRDefault="001324DD" w:rsidP="001324DD">
            <w:pPr>
              <w:pStyle w:val="Body"/>
              <w:rPr>
                <w:rFonts w:eastAsia="Arial" w:cs="Arial"/>
              </w:rPr>
            </w:pPr>
            <w:r w:rsidRPr="00273BB7">
              <w:t>3 Bed</w:t>
            </w:r>
          </w:p>
        </w:tc>
        <w:tc>
          <w:tcPr>
            <w:tcW w:w="4678" w:type="dxa"/>
            <w:shd w:val="clear" w:color="auto" w:fill="auto"/>
          </w:tcPr>
          <w:p w14:paraId="08A8B772" w14:textId="77777777" w:rsidR="001324DD" w:rsidRPr="00273BB7" w:rsidRDefault="001324DD" w:rsidP="001324DD">
            <w:pPr>
              <w:pStyle w:val="Body"/>
              <w:rPr>
                <w:rFonts w:eastAsia="Arial" w:cs="Arial"/>
              </w:rPr>
            </w:pPr>
            <w:r w:rsidRPr="00273BB7">
              <w:t>130.30</w:t>
            </w:r>
          </w:p>
        </w:tc>
      </w:tr>
      <w:tr w:rsidR="001324DD" w:rsidRPr="00273BB7" w14:paraId="548C6956" w14:textId="77777777" w:rsidTr="00566C0C">
        <w:tc>
          <w:tcPr>
            <w:tcW w:w="2551" w:type="dxa"/>
            <w:shd w:val="clear" w:color="auto" w:fill="auto"/>
          </w:tcPr>
          <w:p w14:paraId="432CAB8E" w14:textId="77777777" w:rsidR="001324DD" w:rsidRPr="00273BB7" w:rsidRDefault="001324DD" w:rsidP="001324DD">
            <w:pPr>
              <w:pStyle w:val="Body"/>
              <w:rPr>
                <w:rFonts w:eastAsia="Arial" w:cs="Arial"/>
              </w:rPr>
            </w:pPr>
            <w:r w:rsidRPr="00273BB7">
              <w:t>4 Bed</w:t>
            </w:r>
          </w:p>
        </w:tc>
        <w:tc>
          <w:tcPr>
            <w:tcW w:w="4678" w:type="dxa"/>
            <w:shd w:val="clear" w:color="auto" w:fill="auto"/>
          </w:tcPr>
          <w:p w14:paraId="23BE3F3A" w14:textId="77777777" w:rsidR="001324DD" w:rsidRPr="00273BB7" w:rsidRDefault="001324DD" w:rsidP="001324DD">
            <w:pPr>
              <w:pStyle w:val="Body"/>
              <w:rPr>
                <w:rFonts w:eastAsia="Arial" w:cs="Arial"/>
              </w:rPr>
            </w:pPr>
            <w:r w:rsidRPr="00273BB7">
              <w:t>228.50</w:t>
            </w:r>
          </w:p>
        </w:tc>
      </w:tr>
    </w:tbl>
    <w:p w14:paraId="29B1FD35" w14:textId="77777777" w:rsidR="001324DD" w:rsidRPr="00273BB7" w:rsidRDefault="001324DD" w:rsidP="001324DD">
      <w:pPr>
        <w:pStyle w:val="Bullet1"/>
        <w:rPr>
          <w:rFonts w:eastAsia="Arial" w:cs="Arial"/>
          <w:lang w:val="en-US"/>
        </w:rPr>
      </w:pPr>
      <w:r>
        <w:rPr>
          <w:lang w:val="en-US"/>
        </w:rPr>
        <w:t>To avoid</w:t>
      </w:r>
      <w:r w:rsidRPr="1B7F2FE3">
        <w:rPr>
          <w:lang w:val="en-US"/>
        </w:rPr>
        <w:t xml:space="preserve"> doubt, the department will make no further adjustments to maximum Rent in the event of vacancy beyond the initial vacancy period (i.e., if a Leased property becomes vacant part way through the lease).</w:t>
      </w:r>
    </w:p>
    <w:p w14:paraId="2C4BA27C" w14:textId="77777777" w:rsidR="001324DD" w:rsidRPr="00273BB7" w:rsidRDefault="001324DD" w:rsidP="001324DD">
      <w:pPr>
        <w:pStyle w:val="Bullet1"/>
        <w:rPr>
          <w:rFonts w:eastAsia="Arial" w:cs="Arial"/>
          <w:lang w:val="en-US"/>
        </w:rPr>
      </w:pPr>
      <w:r w:rsidRPr="1B7F2FE3">
        <w:rPr>
          <w:lang w:val="en-US"/>
        </w:rPr>
        <w:t xml:space="preserve">The department will not </w:t>
      </w:r>
      <w:proofErr w:type="spellStart"/>
      <w:r w:rsidRPr="1B7F2FE3">
        <w:rPr>
          <w:lang w:val="en-US"/>
        </w:rPr>
        <w:t>recognise</w:t>
      </w:r>
      <w:proofErr w:type="spellEnd"/>
      <w:r w:rsidRPr="1B7F2FE3">
        <w:rPr>
          <w:lang w:val="en-US"/>
        </w:rPr>
        <w:t xml:space="preserve"> any initial vacancy period for owned properties. Owned properties are only to be reported as commenced when a lease with a Client has been entered into and the maximum rent is known. </w:t>
      </w:r>
    </w:p>
    <w:p w14:paraId="214E7F26" w14:textId="77777777" w:rsidR="001324DD" w:rsidRPr="00916B96" w:rsidRDefault="001324DD" w:rsidP="001324DD">
      <w:pPr>
        <w:pStyle w:val="Heading1"/>
      </w:pPr>
      <w:bookmarkStart w:id="88" w:name="_Toc88218390"/>
      <w:bookmarkStart w:id="89" w:name="_Toc88218861"/>
      <w:bookmarkStart w:id="90" w:name="_Toc121134092"/>
      <w:r>
        <w:t>Public Housing Allocations</w:t>
      </w:r>
      <w:bookmarkEnd w:id="88"/>
      <w:bookmarkEnd w:id="89"/>
      <w:bookmarkEnd w:id="90"/>
    </w:p>
    <w:p w14:paraId="40F46E97" w14:textId="77777777" w:rsidR="001324DD" w:rsidRDefault="001324DD" w:rsidP="001324DD">
      <w:pPr>
        <w:pStyle w:val="Heading2"/>
      </w:pPr>
      <w:bookmarkStart w:id="91" w:name="_Toc88218391"/>
      <w:bookmarkStart w:id="92" w:name="_Toc88218862"/>
      <w:bookmarkStart w:id="93" w:name="_Toc121134093"/>
      <w:r>
        <w:t>Agreed Policy Setting</w:t>
      </w:r>
      <w:bookmarkEnd w:id="91"/>
      <w:bookmarkEnd w:id="92"/>
      <w:bookmarkEnd w:id="93"/>
    </w:p>
    <w:p w14:paraId="7C43703E" w14:textId="77777777" w:rsidR="001324DD" w:rsidRDefault="001324DD" w:rsidP="001324DD">
      <w:pPr>
        <w:pStyle w:val="Body"/>
      </w:pPr>
      <w:r>
        <w:t xml:space="preserve">The allocation of eligible H2H Clients into public/social housing must follow the re-renting considerations as outlined in the </w:t>
      </w:r>
      <w:r w:rsidRPr="3C7E2EE1">
        <w:rPr>
          <w:i/>
          <w:iCs/>
        </w:rPr>
        <w:t>Highrise allocations and re-</w:t>
      </w:r>
      <w:r>
        <w:rPr>
          <w:i/>
          <w:iCs/>
        </w:rPr>
        <w:t>rent</w:t>
      </w:r>
      <w:r w:rsidRPr="3C7E2EE1">
        <w:rPr>
          <w:i/>
          <w:iCs/>
        </w:rPr>
        <w:t>ing operational policy position</w:t>
      </w:r>
      <w:r>
        <w:t xml:space="preserve">. The aim of avoiding further COVID-19 risk and to support public health prevention measures, the number of people residing in high density settings (excluding older persons high rise estates) is to be reduced. </w:t>
      </w:r>
    </w:p>
    <w:p w14:paraId="4235EF1D" w14:textId="77777777" w:rsidR="001324DD" w:rsidRDefault="001324DD" w:rsidP="001324DD">
      <w:pPr>
        <w:pStyle w:val="Body"/>
      </w:pPr>
      <w:r>
        <w:t>The following are the agreed policy settings:</w:t>
      </w:r>
    </w:p>
    <w:p w14:paraId="2A22F74A" w14:textId="33214D5C" w:rsidR="001324DD" w:rsidRDefault="001324DD" w:rsidP="00B037CC">
      <w:pPr>
        <w:pStyle w:val="Body"/>
        <w:numPr>
          <w:ilvl w:val="0"/>
          <w:numId w:val="19"/>
        </w:numPr>
      </w:pPr>
      <w:r>
        <w:t>Hotel Exit plans</w:t>
      </w:r>
    </w:p>
    <w:p w14:paraId="1A759DDD" w14:textId="77777777" w:rsidR="001324DD" w:rsidRDefault="001324DD" w:rsidP="001324DD">
      <w:pPr>
        <w:pStyle w:val="Body"/>
        <w:ind w:left="720"/>
      </w:pPr>
      <w:r>
        <w:t xml:space="preserve">To enable the successful transition into long term housing, Support Service Providers will work with property service provider to establish a long-term support plan to support the housing allocation for each Client. The </w:t>
      </w:r>
      <w:r w:rsidRPr="1E2622CE">
        <w:rPr>
          <w:rFonts w:eastAsia="Arial" w:cs="Arial"/>
        </w:rPr>
        <w:t xml:space="preserve">Support </w:t>
      </w:r>
      <w:r>
        <w:t xml:space="preserve">Service Provider must work with Clients once housed to integrate into the local community and reduce experiences of isolation and exclusion. </w:t>
      </w:r>
    </w:p>
    <w:p w14:paraId="2D35E1CE" w14:textId="7A382827" w:rsidR="001324DD" w:rsidRPr="00BA2EB5" w:rsidRDefault="001324DD" w:rsidP="00B037CC">
      <w:pPr>
        <w:pStyle w:val="Body"/>
        <w:numPr>
          <w:ilvl w:val="0"/>
          <w:numId w:val="19"/>
        </w:numPr>
      </w:pPr>
      <w:r w:rsidRPr="00BA2EB5">
        <w:lastRenderedPageBreak/>
        <w:t xml:space="preserve">Services under the H2H </w:t>
      </w:r>
      <w:r>
        <w:t>program</w:t>
      </w:r>
    </w:p>
    <w:p w14:paraId="0724705C" w14:textId="77777777" w:rsidR="001324DD" w:rsidRPr="005D0E25" w:rsidRDefault="001324DD" w:rsidP="001324DD">
      <w:pPr>
        <w:pStyle w:val="Body"/>
        <w:ind w:left="720"/>
      </w:pPr>
      <w:r>
        <w:t>Support Service Providers will provide either Targeted and Tailored Support packages or Intensive Support packages to Clients living in the properties leased to the Property Service Provider including public housing managed properties, for the duration of the supported tenancy period.</w:t>
      </w:r>
    </w:p>
    <w:p w14:paraId="1BF728B4" w14:textId="1C95D400" w:rsidR="001324DD" w:rsidRDefault="001324DD" w:rsidP="00B037CC">
      <w:pPr>
        <w:pStyle w:val="Body"/>
        <w:numPr>
          <w:ilvl w:val="0"/>
          <w:numId w:val="19"/>
        </w:numPr>
      </w:pPr>
      <w:r>
        <w:t>Application of Emergency Management Housing Category (COVID-19 priority reason) of the Victorian Housing Register:</w:t>
      </w:r>
    </w:p>
    <w:p w14:paraId="73E14C77" w14:textId="77777777" w:rsidR="001324DD" w:rsidRPr="00732403" w:rsidRDefault="001324DD" w:rsidP="00112C7C">
      <w:pPr>
        <w:pStyle w:val="Body"/>
        <w:ind w:left="720"/>
      </w:pPr>
      <w:r w:rsidRPr="00732403">
        <w:t>The Emergency Management priority access category of the Register has been enacted. Applications</w:t>
      </w:r>
      <w:r>
        <w:t xml:space="preserve"> </w:t>
      </w:r>
      <w:r w:rsidRPr="00732403">
        <w:t>for social housing</w:t>
      </w:r>
      <w:r>
        <w:t xml:space="preserve"> </w:t>
      </w:r>
      <w:r w:rsidRPr="00732403">
        <w:t xml:space="preserve">approved to this category will </w:t>
      </w:r>
      <w:r w:rsidRPr="00E97711">
        <w:t>appear</w:t>
      </w:r>
      <w:r>
        <w:t xml:space="preserve"> </w:t>
      </w:r>
      <w:r w:rsidRPr="00E97711">
        <w:t>at the top of the</w:t>
      </w:r>
      <w:r w:rsidRPr="00732403">
        <w:t xml:space="preserve"> Register reflecting the urgency placed on providing </w:t>
      </w:r>
      <w:r>
        <w:t>A</w:t>
      </w:r>
      <w:r w:rsidRPr="00732403">
        <w:t>ccommodation to these households as quickly as possible.</w:t>
      </w:r>
    </w:p>
    <w:p w14:paraId="253F7196" w14:textId="77777777" w:rsidR="001324DD" w:rsidRPr="005D4956" w:rsidRDefault="001324DD" w:rsidP="00112C7C">
      <w:pPr>
        <w:pStyle w:val="Body"/>
        <w:ind w:left="720"/>
      </w:pPr>
      <w:r w:rsidRPr="00560CBC">
        <w:t xml:space="preserve">Applications must be submitted under the COVID-19 priority reason by </w:t>
      </w:r>
      <w:r>
        <w:t>a</w:t>
      </w:r>
      <w:r w:rsidRPr="00560CBC">
        <w:t xml:space="preserve"> </w:t>
      </w:r>
      <w:r w:rsidRPr="00F15C5E">
        <w:t>H2H Community</w:t>
      </w:r>
      <w:r>
        <w:t xml:space="preserve"> Partner</w:t>
      </w:r>
      <w:r w:rsidRPr="00560CBC">
        <w:t xml:space="preserve"> </w:t>
      </w:r>
      <w:r w:rsidRPr="00BD5EAA">
        <w:t>to be considered for the Emergency Management</w:t>
      </w:r>
      <w:r>
        <w:t xml:space="preserve"> Housing</w:t>
      </w:r>
      <w:r w:rsidRPr="00BD5EAA">
        <w:t xml:space="preserve"> </w:t>
      </w:r>
      <w:r>
        <w:t>C</w:t>
      </w:r>
      <w:r w:rsidRPr="00BD5EAA">
        <w:t>ategory</w:t>
      </w:r>
      <w:r>
        <w:t xml:space="preserve"> (COVID-19 priority reason)</w:t>
      </w:r>
      <w:r w:rsidRPr="00BD5EAA">
        <w:t>.</w:t>
      </w:r>
      <w:r>
        <w:t xml:space="preserve"> </w:t>
      </w:r>
    </w:p>
    <w:p w14:paraId="0DF540D1" w14:textId="5584B979" w:rsidR="001324DD" w:rsidRDefault="001324DD" w:rsidP="00B037CC">
      <w:pPr>
        <w:pStyle w:val="Body"/>
        <w:numPr>
          <w:ilvl w:val="0"/>
          <w:numId w:val="19"/>
        </w:numPr>
      </w:pPr>
      <w:r w:rsidRPr="0082341F">
        <w:t>Eligibility</w:t>
      </w:r>
      <w:r>
        <w:t xml:space="preserve"> for the Emergency Management Housing Category (COVID-19 priority reason)</w:t>
      </w:r>
    </w:p>
    <w:p w14:paraId="14C443AE" w14:textId="77777777" w:rsidR="001324DD" w:rsidRDefault="001324DD" w:rsidP="00112C7C">
      <w:pPr>
        <w:pStyle w:val="Body"/>
        <w:ind w:left="720"/>
      </w:pPr>
      <w:r>
        <w:t>To be eligible for allocation into public housing, applicants must meet the following criteria:</w:t>
      </w:r>
    </w:p>
    <w:p w14:paraId="48653510" w14:textId="77777777" w:rsidR="001324DD" w:rsidRDefault="001324DD" w:rsidP="00112C7C">
      <w:pPr>
        <w:pStyle w:val="Bullet1"/>
        <w:ind w:left="993"/>
      </w:pPr>
      <w:r>
        <w:t xml:space="preserve">Eligibility for social housing as stated in the </w:t>
      </w:r>
      <w:proofErr w:type="spellStart"/>
      <w:r>
        <w:t>DoH’s</w:t>
      </w:r>
      <w:proofErr w:type="spellEnd"/>
      <w:r>
        <w:t xml:space="preserve"> Determinations and the </w:t>
      </w:r>
      <w:r w:rsidRPr="4320E16E">
        <w:rPr>
          <w:i/>
          <w:iCs/>
        </w:rPr>
        <w:t>Emergency Management Housing</w:t>
      </w:r>
      <w:r>
        <w:t xml:space="preserve"> operational guidelines (VHR).</w:t>
      </w:r>
    </w:p>
    <w:p w14:paraId="6DB19242" w14:textId="77777777" w:rsidR="001324DD" w:rsidRDefault="001324DD" w:rsidP="00112C7C">
      <w:pPr>
        <w:pStyle w:val="Bullet1"/>
        <w:ind w:left="993"/>
      </w:pPr>
      <w:r>
        <w:t>Has been assisted to stay in emergency accommodation (hotels, caravan parks etc.) prior to 6 December 2020 as an emergency response during the COVID-19 pandemic.</w:t>
      </w:r>
    </w:p>
    <w:p w14:paraId="5044D9F3" w14:textId="77777777" w:rsidR="001324DD" w:rsidRDefault="001324DD" w:rsidP="00112C7C">
      <w:pPr>
        <w:pStyle w:val="Bullet1"/>
        <w:ind w:left="993"/>
      </w:pPr>
      <w:r>
        <w:t>The H2H operational team has included the household in their program because they meet the H2H eligibility requirement.</w:t>
      </w:r>
    </w:p>
    <w:p w14:paraId="7C6A0F5F" w14:textId="77777777" w:rsidR="001324DD" w:rsidRDefault="001324DD" w:rsidP="00112C7C">
      <w:pPr>
        <w:pStyle w:val="Bullet1"/>
        <w:ind w:left="993"/>
      </w:pPr>
      <w:r>
        <w:t>Receives case managed support under the H2H program; and</w:t>
      </w:r>
    </w:p>
    <w:p w14:paraId="0BDCB663" w14:textId="77777777" w:rsidR="001324DD" w:rsidRPr="00585A64" w:rsidRDefault="001324DD" w:rsidP="00112C7C">
      <w:pPr>
        <w:pStyle w:val="Bullet1"/>
        <w:ind w:left="993"/>
      </w:pPr>
      <w:r>
        <w:t xml:space="preserve">Has demonstrated no other housing exits options are available based on a person’s housing history and level of support needs. </w:t>
      </w:r>
    </w:p>
    <w:p w14:paraId="2D4DA5A5" w14:textId="39AAB56A" w:rsidR="001324DD" w:rsidRDefault="001324DD" w:rsidP="00B037CC">
      <w:pPr>
        <w:pStyle w:val="Body"/>
        <w:numPr>
          <w:ilvl w:val="0"/>
          <w:numId w:val="19"/>
        </w:numPr>
      </w:pPr>
      <w:r>
        <w:t>Rent in advance</w:t>
      </w:r>
    </w:p>
    <w:p w14:paraId="16D86ED4" w14:textId="77777777" w:rsidR="001324DD" w:rsidRDefault="001324DD" w:rsidP="00112C7C">
      <w:pPr>
        <w:pStyle w:val="Body"/>
        <w:ind w:left="720"/>
      </w:pPr>
      <w:r w:rsidRPr="001E6903">
        <w:t xml:space="preserve">All public housing tenancies must commence with rent in advance paid at sign-up. As mentioned above in the section titled </w:t>
      </w:r>
      <w:r w:rsidRPr="001E6903">
        <w:rPr>
          <w:i/>
          <w:iCs/>
        </w:rPr>
        <w:t>Financial assistance in establishing a H2H tenancy</w:t>
      </w:r>
      <w:r>
        <w:t xml:space="preserve"> financial support can be made available to Clients.  Keys will be provided to the renter once rent in advance has been paid and a Residential Tenancies Agreement has been entered into. For public housing tenancies this is usually one or two weeks rent in advance, depending on when their Rent Deduction Service from Services Australia commences. Bond is not a requirement for public housing tenancies.</w:t>
      </w:r>
    </w:p>
    <w:p w14:paraId="08208439" w14:textId="77777777" w:rsidR="001324DD" w:rsidRDefault="001324DD" w:rsidP="00112C7C">
      <w:pPr>
        <w:pStyle w:val="Body"/>
        <w:ind w:left="720"/>
      </w:pPr>
      <w:r>
        <w:t>In circumstances where renters need assistance to ensure rent is paid in advance, the Property Services Provider will ensure that:</w:t>
      </w:r>
    </w:p>
    <w:p w14:paraId="627D43F0" w14:textId="77777777" w:rsidR="001324DD" w:rsidRDefault="001324DD" w:rsidP="00112C7C">
      <w:pPr>
        <w:pStyle w:val="Bullet1"/>
        <w:ind w:left="993"/>
      </w:pPr>
      <w:r>
        <w:t>The household are in receipt of their full Services Australia entitlement; and</w:t>
      </w:r>
    </w:p>
    <w:p w14:paraId="7AA44818" w14:textId="77777777" w:rsidR="001324DD" w:rsidRDefault="001324DD" w:rsidP="00112C7C">
      <w:pPr>
        <w:pStyle w:val="Bullet1"/>
        <w:ind w:left="993"/>
      </w:pPr>
      <w:r>
        <w:t xml:space="preserve">The household has access to the necessary funds to pay rent in advance (a payment plan can be put in place to assist with this). </w:t>
      </w:r>
    </w:p>
    <w:p w14:paraId="0B6EAEDE" w14:textId="1894A0D3" w:rsidR="001324DD" w:rsidRDefault="001324DD" w:rsidP="00B037CC">
      <w:pPr>
        <w:pStyle w:val="Body"/>
        <w:numPr>
          <w:ilvl w:val="0"/>
          <w:numId w:val="19"/>
        </w:numPr>
      </w:pPr>
      <w:r>
        <w:t>Reasonable offers</w:t>
      </w:r>
    </w:p>
    <w:p w14:paraId="30372EBA" w14:textId="77777777" w:rsidR="001324DD" w:rsidRPr="00C92735" w:rsidRDefault="001324DD" w:rsidP="00112C7C">
      <w:pPr>
        <w:pStyle w:val="Body"/>
        <w:ind w:left="720"/>
      </w:pPr>
      <w:r w:rsidRPr="00C92735">
        <w:t xml:space="preserve">Where an applicant is approved for </w:t>
      </w:r>
      <w:r>
        <w:t>Emergency Management Housing Category (COVID-19 priority reason)</w:t>
      </w:r>
      <w:r w:rsidRPr="00C92735">
        <w:t>, a maximum of two reasonable offers of housing can be made</w:t>
      </w:r>
      <w:r>
        <w:t xml:space="preserve"> under this category</w:t>
      </w:r>
      <w:r w:rsidRPr="00C92735">
        <w:t>.</w:t>
      </w:r>
    </w:p>
    <w:p w14:paraId="50085243" w14:textId="77777777" w:rsidR="001324DD" w:rsidRPr="00C92735" w:rsidRDefault="001324DD" w:rsidP="00112C7C">
      <w:pPr>
        <w:pStyle w:val="Body"/>
        <w:ind w:left="720"/>
      </w:pPr>
      <w:r w:rsidRPr="00C92735">
        <w:lastRenderedPageBreak/>
        <w:t>A reasonable offer needs to consider the following:</w:t>
      </w:r>
    </w:p>
    <w:p w14:paraId="6A48B31F" w14:textId="77777777" w:rsidR="001324DD" w:rsidRPr="00C92735" w:rsidRDefault="001324DD" w:rsidP="003B0C30">
      <w:pPr>
        <w:pStyle w:val="Bullet1"/>
        <w:ind w:left="993"/>
      </w:pPr>
      <w:r>
        <w:t xml:space="preserve">The number of bedrooms is matched in accordance with the housing size guidelines in the </w:t>
      </w:r>
      <w:hyperlink r:id="rId28">
        <w:r w:rsidRPr="72AC916A">
          <w:rPr>
            <w:rStyle w:val="Hyperlink"/>
            <w:color w:val="3366FF"/>
          </w:rPr>
          <w:t>Clients with special accommodation requirements operational guidelines</w:t>
        </w:r>
      </w:hyperlink>
      <w:r w:rsidRPr="72AC916A">
        <w:rPr>
          <w:color w:val="3366FF"/>
        </w:rPr>
        <w:t xml:space="preserve"> </w:t>
      </w:r>
      <w:hyperlink r:id="rId29">
        <w:r w:rsidRPr="72AC916A">
          <w:rPr>
            <w:rStyle w:val="Hyperlink"/>
          </w:rPr>
          <w:t>https://fac.dhhs.vic.gov.au/funded-agency-channel/Clients-special-accommodation-requirements</w:t>
        </w:r>
      </w:hyperlink>
      <w:r w:rsidRPr="72AC916A">
        <w:rPr>
          <w:rStyle w:val="Hyperlink"/>
        </w:rPr>
        <w:t>;</w:t>
      </w:r>
    </w:p>
    <w:p w14:paraId="020CA3DA" w14:textId="77777777" w:rsidR="001324DD" w:rsidRPr="00C92735" w:rsidRDefault="001324DD" w:rsidP="003B0C30">
      <w:pPr>
        <w:pStyle w:val="Bullet1"/>
        <w:ind w:left="993"/>
      </w:pPr>
      <w:r>
        <w:t>The area requested is in the preferred area and meets a household’s safety and access needs. The property may be in any suburb within the preferred area unless there is a location exemption. For example, a suburb within a preferred area is exempt due to family violence.</w:t>
      </w:r>
    </w:p>
    <w:p w14:paraId="39F691C7" w14:textId="77777777" w:rsidR="001324DD" w:rsidRDefault="001324DD" w:rsidP="003B0C30">
      <w:pPr>
        <w:pStyle w:val="Bullet1"/>
        <w:ind w:left="993"/>
      </w:pPr>
      <w:r>
        <w:t>The property meets the household's assessed need, for example, ongoing medical need or disability modification; and</w:t>
      </w:r>
    </w:p>
    <w:p w14:paraId="43433FE2" w14:textId="77777777" w:rsidR="001324DD" w:rsidRDefault="001324DD" w:rsidP="003B0C30">
      <w:pPr>
        <w:pStyle w:val="Bullet1"/>
        <w:ind w:left="993"/>
      </w:pPr>
      <w:r>
        <w:t>The household's circumstances that affect their housing outcome remains the same.</w:t>
      </w:r>
    </w:p>
    <w:p w14:paraId="05F6A19D" w14:textId="77777777" w:rsidR="001324DD" w:rsidRDefault="001324DD" w:rsidP="003B0C30">
      <w:pPr>
        <w:pStyle w:val="Body"/>
        <w:ind w:left="720"/>
      </w:pPr>
      <w:r>
        <w:t>If an applicant declines two reasonable offers of housing, their application will be removed from the Priority Access Category and they will be placed on the Register of Interest. Applicants will be eligible for a further two ROI offers. If these are refused the application will be removed from the VHR.</w:t>
      </w:r>
    </w:p>
    <w:p w14:paraId="0E6480AF" w14:textId="48A9D09A" w:rsidR="0E02A0D3" w:rsidRDefault="0E02A0D3" w:rsidP="00DB56FC">
      <w:pPr>
        <w:pStyle w:val="Bullet1"/>
        <w:numPr>
          <w:ilvl w:val="0"/>
          <w:numId w:val="1"/>
        </w:numPr>
      </w:pPr>
      <w:r>
        <w:t xml:space="preserve">If a client refuses two valid offers of Priority Housing and their Priority </w:t>
      </w:r>
      <w:r w:rsidR="20B231DD">
        <w:t>s</w:t>
      </w:r>
      <w:r>
        <w:t>tatus is removed, they will move to a ‘Support Only’ package</w:t>
      </w:r>
      <w:r w:rsidR="6772AF29">
        <w:t xml:space="preserve">. </w:t>
      </w:r>
    </w:p>
    <w:p w14:paraId="61A2B5B6" w14:textId="77777777" w:rsidR="001324DD" w:rsidRPr="00B52E81" w:rsidRDefault="001324DD" w:rsidP="001324DD">
      <w:pPr>
        <w:pStyle w:val="CommentText"/>
        <w:ind w:left="720"/>
        <w:rPr>
          <w:rFonts w:ascii="Arial" w:eastAsia="Times" w:hAnsi="Arial"/>
        </w:rPr>
      </w:pPr>
    </w:p>
    <w:p w14:paraId="3A21F15E" w14:textId="7913BB60" w:rsidR="001324DD" w:rsidRPr="00EB6D19" w:rsidRDefault="001324DD" w:rsidP="00B037CC">
      <w:pPr>
        <w:pStyle w:val="Body"/>
        <w:numPr>
          <w:ilvl w:val="0"/>
          <w:numId w:val="19"/>
        </w:numPr>
      </w:pPr>
      <w:r>
        <w:t>Allocation of properties</w:t>
      </w:r>
    </w:p>
    <w:p w14:paraId="43356C5A" w14:textId="77777777" w:rsidR="001324DD" w:rsidRDefault="001324DD" w:rsidP="003B0C30">
      <w:pPr>
        <w:pStyle w:val="Body"/>
        <w:ind w:left="720"/>
      </w:pPr>
      <w:r w:rsidRPr="00732403">
        <w:t>To reduce the risk of overcrowding</w:t>
      </w:r>
      <w:r>
        <w:t>,</w:t>
      </w:r>
      <w:r w:rsidRPr="00732403">
        <w:t xml:space="preserve"> the principle of one person (or a couple in a family group) per bedroom within a property is used. </w:t>
      </w:r>
    </w:p>
    <w:p w14:paraId="738AA44A" w14:textId="77777777" w:rsidR="001324DD" w:rsidRDefault="001324DD" w:rsidP="003B0C30">
      <w:pPr>
        <w:pStyle w:val="Body"/>
        <w:ind w:left="720"/>
        <w:rPr>
          <w:b/>
          <w:bCs/>
          <w:highlight w:val="yellow"/>
        </w:rPr>
      </w:pPr>
      <w:r>
        <w:t xml:space="preserve">Households may be allocated a property with an extra bedroom if there is a lack of available properties to match one person/couple per bedroom as outlined in the </w:t>
      </w:r>
      <w:r w:rsidRPr="2F750113">
        <w:rPr>
          <w:i/>
          <w:iCs/>
        </w:rPr>
        <w:t>High-rise allocations and re-entering operational policy position</w:t>
      </w:r>
      <w:r>
        <w:t xml:space="preserve"> and in the section above titled </w:t>
      </w:r>
      <w:r w:rsidRPr="2F750113">
        <w:rPr>
          <w:i/>
          <w:iCs/>
        </w:rPr>
        <w:t>Guidance on use of 2-bedroom dwellings for single households</w:t>
      </w:r>
      <w:r>
        <w:t>.</w:t>
      </w:r>
      <w:r w:rsidRPr="2F750113">
        <w:rPr>
          <w:b/>
          <w:bCs/>
        </w:rPr>
        <w:t xml:space="preserve"> </w:t>
      </w:r>
    </w:p>
    <w:p w14:paraId="28CDA4CB" w14:textId="59C89F81" w:rsidR="001324DD" w:rsidRDefault="001324DD" w:rsidP="00B037CC">
      <w:pPr>
        <w:pStyle w:val="Body"/>
        <w:numPr>
          <w:ilvl w:val="0"/>
          <w:numId w:val="19"/>
        </w:numPr>
      </w:pPr>
      <w:r>
        <w:t>Matching bedrooms</w:t>
      </w:r>
    </w:p>
    <w:p w14:paraId="7437C799" w14:textId="77777777" w:rsidR="001324DD" w:rsidRPr="003A0F04" w:rsidRDefault="001324DD" w:rsidP="003B0C30">
      <w:pPr>
        <w:pStyle w:val="Body"/>
        <w:ind w:left="720"/>
        <w:rPr>
          <w:i/>
          <w:iCs/>
        </w:rPr>
      </w:pPr>
      <w:r w:rsidRPr="00B6787F">
        <w:t xml:space="preserve">The </w:t>
      </w:r>
      <w:r>
        <w:t xml:space="preserve">renter should </w:t>
      </w:r>
      <w:r w:rsidRPr="00B6787F">
        <w:t xml:space="preserve">not </w:t>
      </w:r>
      <w:r>
        <w:t xml:space="preserve">be </w:t>
      </w:r>
      <w:r w:rsidRPr="00B6787F">
        <w:t xml:space="preserve">made more vulnerable </w:t>
      </w:r>
      <w:r>
        <w:t xml:space="preserve">if allocated </w:t>
      </w:r>
      <w:r w:rsidRPr="00B6787F">
        <w:t xml:space="preserve">a </w:t>
      </w:r>
      <w:r>
        <w:t>larger</w:t>
      </w:r>
      <w:r w:rsidRPr="00B6787F">
        <w:t xml:space="preserve"> property</w:t>
      </w:r>
      <w:r>
        <w:t xml:space="preserve">, as described above in </w:t>
      </w:r>
      <w:r w:rsidRPr="003A0F04">
        <w:rPr>
          <w:i/>
          <w:iCs/>
        </w:rPr>
        <w:t xml:space="preserve">Allocation of Properties. </w:t>
      </w:r>
    </w:p>
    <w:p w14:paraId="1AF14034" w14:textId="77777777" w:rsidR="001324DD" w:rsidRDefault="001324DD" w:rsidP="003B0C30">
      <w:pPr>
        <w:pStyle w:val="Body"/>
        <w:ind w:left="720"/>
      </w:pPr>
      <w:r>
        <w:t>To facilitate a successful tenancy, the Property Services P</w:t>
      </w:r>
      <w:r w:rsidRPr="00B6787F">
        <w:t>rovide</w:t>
      </w:r>
      <w:r>
        <w:t xml:space="preserve">r will </w:t>
      </w:r>
      <w:r w:rsidRPr="00B6787F">
        <w:t>demonstrate measures to mitigate</w:t>
      </w:r>
      <w:r>
        <w:t xml:space="preserve"> any</w:t>
      </w:r>
      <w:r w:rsidRPr="00B6787F">
        <w:t xml:space="preserve"> risks of anti-soci</w:t>
      </w:r>
      <w:r w:rsidRPr="009A0021">
        <w:t>al behaviours</w:t>
      </w:r>
      <w:r w:rsidRPr="00B6787F">
        <w:t xml:space="preserve"> that may be caused by individuals who are not engaged with the program residing at the property.</w:t>
      </w:r>
    </w:p>
    <w:p w14:paraId="3438DC0A" w14:textId="579971C7" w:rsidR="001324DD" w:rsidRDefault="001324DD" w:rsidP="00B037CC">
      <w:pPr>
        <w:pStyle w:val="Body"/>
        <w:numPr>
          <w:ilvl w:val="0"/>
          <w:numId w:val="19"/>
        </w:numPr>
      </w:pPr>
      <w:r>
        <w:t>Fixed term leases</w:t>
      </w:r>
    </w:p>
    <w:p w14:paraId="045E3A9C" w14:textId="77777777" w:rsidR="001324DD" w:rsidRDefault="001324DD" w:rsidP="003B0C30">
      <w:pPr>
        <w:pStyle w:val="Body"/>
        <w:ind w:left="720"/>
      </w:pPr>
      <w:r>
        <w:t xml:space="preserve">Fixed term leases may be considered appropriate in some circumstances as part of an emergency management response. This may occur where a fixed term lease supports the applicant’s/ Client’s circumstances. </w:t>
      </w:r>
    </w:p>
    <w:p w14:paraId="55305505" w14:textId="77777777" w:rsidR="003B0C30" w:rsidRPr="0020376E" w:rsidRDefault="003B0C30" w:rsidP="003B0C30">
      <w:pPr>
        <w:pStyle w:val="Heading2"/>
      </w:pPr>
      <w:bookmarkStart w:id="94" w:name="_Toc88218392"/>
      <w:bookmarkStart w:id="95" w:name="_Toc88218863"/>
      <w:bookmarkStart w:id="96" w:name="_Toc121134094"/>
      <w:r>
        <w:t>Criteria for Public Housing Allocations</w:t>
      </w:r>
      <w:bookmarkEnd w:id="94"/>
      <w:bookmarkEnd w:id="95"/>
      <w:bookmarkEnd w:id="96"/>
      <w:r w:rsidRPr="0020376E">
        <w:t xml:space="preserve"> </w:t>
      </w:r>
    </w:p>
    <w:p w14:paraId="3A3A733D" w14:textId="77777777" w:rsidR="003B0C30" w:rsidRDefault="003B0C30" w:rsidP="00537B40">
      <w:pPr>
        <w:pStyle w:val="Body"/>
      </w:pPr>
      <w:r>
        <w:t xml:space="preserve"> The allocation of H2H Clients into public housing is subject to the following:</w:t>
      </w:r>
    </w:p>
    <w:p w14:paraId="6F63BD81" w14:textId="77777777" w:rsidR="003B0C30" w:rsidRDefault="003B0C30" w:rsidP="00537B40">
      <w:pPr>
        <w:pStyle w:val="Bullet1"/>
      </w:pPr>
      <w:r>
        <w:t>Applicants are registered on the VHR and are eligible for the Emergency Management Housing Category (COVID-19 priority reason).</w:t>
      </w:r>
    </w:p>
    <w:p w14:paraId="6069EF9A" w14:textId="77777777" w:rsidR="003B0C30" w:rsidRDefault="003B0C30" w:rsidP="00537B40">
      <w:pPr>
        <w:pStyle w:val="Bullet1"/>
      </w:pPr>
      <w:r>
        <w:t>H2H Support Services are actively engaged and working with Clients to facilitate entry into a long-term tenancy.</w:t>
      </w:r>
    </w:p>
    <w:p w14:paraId="5B19DCF5" w14:textId="77777777" w:rsidR="003B0C30" w:rsidRDefault="003B0C30" w:rsidP="00537B40">
      <w:pPr>
        <w:pStyle w:val="Bullet1"/>
      </w:pPr>
      <w:r>
        <w:lastRenderedPageBreak/>
        <w:t>Housing plans are established between H2H Community Partners and the applicant, especially if a tenancy is subject to a fixed term tenancy. Exit planning is included as required to avoid exits into homelessness and/or poor housing outcomes, consistent with the H2H program guidelines.</w:t>
      </w:r>
    </w:p>
    <w:p w14:paraId="0A3E8012" w14:textId="77777777" w:rsidR="003B0C30" w:rsidRDefault="003B0C30" w:rsidP="00537B40">
      <w:pPr>
        <w:pStyle w:val="Bullet1"/>
      </w:pPr>
      <w:r>
        <w:t>In circumstances where H2H eligible individual has been housed before H2H Community Partners were in place, Support Service packages are still expected to be provided by the H2H Community Partners once established in the HEART area and as agreed by the applicant.</w:t>
      </w:r>
    </w:p>
    <w:p w14:paraId="1AC3D695" w14:textId="77777777" w:rsidR="003B0C30" w:rsidRDefault="003B0C30" w:rsidP="00537B40">
      <w:pPr>
        <w:pStyle w:val="Bullet1"/>
      </w:pPr>
      <w:r>
        <w:t xml:space="preserve">Arrangements for ongoing allocations of H2H applicants beyond 378 are yet to be resolved and will be reviewed. Additional public housing properties may need to be used to support the roll out of the H2H program. For example, where there are delays in procurement of the spot purchased properties or there is a lack of suitable properties for the H2H cohort within an area an option to use an existing public housing property can be considered. When this occurs, as the delayed spot purchase properties are made available, they will transfer over to become public housing properties on a one for one basis to meet the requirements of non-H2H Clients: and  </w:t>
      </w:r>
    </w:p>
    <w:p w14:paraId="660BD3C4" w14:textId="77777777" w:rsidR="003B0C30" w:rsidRDefault="003B0C30" w:rsidP="00537B40">
      <w:pPr>
        <w:pStyle w:val="Bullet1"/>
      </w:pPr>
      <w:r>
        <w:t xml:space="preserve">Where a H2H Community Partner is not able to secure an appropriate head leased property in the Client’s nominated area, the agency may apply to access a public housing property under a general lease, and on the basis that they will take a non-H2H priority applicant into a head leased property. Noting, this should only be explored when all other opportunities to house the H2H Client have been exhausted. In these cases, the Client will remain on the VHR until they are allocated a long-term property. </w:t>
      </w:r>
    </w:p>
    <w:p w14:paraId="0CFD58FB" w14:textId="77777777" w:rsidR="00C628A1" w:rsidRPr="0020376E" w:rsidRDefault="00C628A1" w:rsidP="00C628A1">
      <w:pPr>
        <w:pStyle w:val="Heading2"/>
      </w:pPr>
      <w:bookmarkStart w:id="97" w:name="_Toc88218393"/>
      <w:bookmarkStart w:id="98" w:name="_Toc88218864"/>
      <w:bookmarkStart w:id="99" w:name="_Toc121134095"/>
      <w:r w:rsidRPr="0020376E">
        <w:t xml:space="preserve">Operationalising </w:t>
      </w:r>
      <w:r>
        <w:t>the Agreed P</w:t>
      </w:r>
      <w:r w:rsidRPr="0020376E">
        <w:t>olicy</w:t>
      </w:r>
      <w:bookmarkEnd w:id="97"/>
      <w:bookmarkEnd w:id="98"/>
      <w:bookmarkEnd w:id="99"/>
      <w:r w:rsidRPr="0020376E">
        <w:t xml:space="preserve"> </w:t>
      </w:r>
    </w:p>
    <w:p w14:paraId="228E1BAE" w14:textId="77777777" w:rsidR="00C628A1" w:rsidRDefault="00C628A1" w:rsidP="00C628A1">
      <w:pPr>
        <w:pStyle w:val="Heading3"/>
      </w:pPr>
      <w:r>
        <w:t>Vacant properties</w:t>
      </w:r>
    </w:p>
    <w:p w14:paraId="40C89D68" w14:textId="77777777" w:rsidR="00C628A1" w:rsidRDefault="00C628A1" w:rsidP="00C628A1">
      <w:pPr>
        <w:pStyle w:val="Body"/>
        <w:rPr>
          <w:i/>
          <w:iCs/>
        </w:rPr>
      </w:pPr>
      <w:r>
        <w:t xml:space="preserve">The department will provide public housing properties in a good, lettable condition at lease commencement of a tenancy as required under </w:t>
      </w:r>
      <w:r w:rsidRPr="009D6F26">
        <w:t xml:space="preserve">the </w:t>
      </w:r>
      <w:r w:rsidRPr="009D6F26">
        <w:rPr>
          <w:rFonts w:cs="Arial"/>
          <w:i/>
          <w:iCs/>
        </w:rPr>
        <w:t>Residential Tenancies Amendment Act 2018</w:t>
      </w:r>
      <w:r w:rsidRPr="00AF5C03">
        <w:rPr>
          <w:rFonts w:cs="Arial"/>
          <w:i/>
          <w:iCs/>
        </w:rPr>
        <w:t xml:space="preserve"> </w:t>
      </w:r>
      <w:r>
        <w:rPr>
          <w:rFonts w:cs="Arial"/>
        </w:rPr>
        <w:t>(enacted on 29 March 2021)</w:t>
      </w:r>
      <w:r>
        <w:rPr>
          <w:i/>
          <w:iCs/>
        </w:rPr>
        <w:t>.</w:t>
      </w:r>
    </w:p>
    <w:p w14:paraId="6B4B6549" w14:textId="77777777" w:rsidR="00C628A1" w:rsidRPr="003276CA" w:rsidRDefault="00C628A1" w:rsidP="00C628A1">
      <w:pPr>
        <w:pStyle w:val="Heading3"/>
      </w:pPr>
      <w:r w:rsidRPr="003276CA">
        <w:t>Matching properties</w:t>
      </w:r>
    </w:p>
    <w:p w14:paraId="46799ECD" w14:textId="77777777" w:rsidR="00C628A1" w:rsidRPr="00B6787F" w:rsidRDefault="00C628A1" w:rsidP="00C628A1">
      <w:pPr>
        <w:pStyle w:val="Body"/>
      </w:pPr>
      <w:r>
        <w:t>Extra bedrooms in properties</w:t>
      </w:r>
      <w:r w:rsidRPr="00B6787F">
        <w:t xml:space="preserve"> can</w:t>
      </w:r>
      <w:r>
        <w:t xml:space="preserve"> </w:t>
      </w:r>
      <w:r w:rsidRPr="00B6787F">
        <w:t>be allocated to households where:</w:t>
      </w:r>
    </w:p>
    <w:p w14:paraId="42CDECEC" w14:textId="77777777" w:rsidR="00C628A1" w:rsidRPr="00DF65E8" w:rsidRDefault="00C628A1" w:rsidP="00C628A1">
      <w:pPr>
        <w:pStyle w:val="Bullet1"/>
      </w:pPr>
      <w:r>
        <w:t>There are no appropriately matched bedroom dwellings available in the area for the household.</w:t>
      </w:r>
    </w:p>
    <w:p w14:paraId="7106FA64" w14:textId="77777777" w:rsidR="00C628A1" w:rsidRPr="00DF65E8" w:rsidRDefault="00C628A1" w:rsidP="00C628A1">
      <w:pPr>
        <w:pStyle w:val="Bullet1"/>
      </w:pPr>
      <w:r>
        <w:t>The proposed household renter has special accommodation needs (e.g., Need for a second room for children’s access visits or for a career).</w:t>
      </w:r>
    </w:p>
    <w:p w14:paraId="33C0B44E" w14:textId="77777777" w:rsidR="00C628A1" w:rsidRDefault="00C628A1" w:rsidP="00C628A1">
      <w:pPr>
        <w:pStyle w:val="Bullet1"/>
      </w:pPr>
      <w:r>
        <w:t>Agreement has been reached between the allocating area, the support service, and the household; or</w:t>
      </w:r>
    </w:p>
    <w:p w14:paraId="02D1F66C" w14:textId="77777777" w:rsidR="00C628A1" w:rsidRPr="00DF65E8" w:rsidRDefault="00C628A1" w:rsidP="00C628A1">
      <w:pPr>
        <w:pStyle w:val="Bullet1"/>
      </w:pPr>
      <w:r>
        <w:t xml:space="preserve">Supports will mitigate any risks to vulnerable households that extra bedrooms may pose. </w:t>
      </w:r>
    </w:p>
    <w:p w14:paraId="2D583873" w14:textId="2FB7EBDF" w:rsidR="54375143" w:rsidRDefault="54375143" w:rsidP="54375143">
      <w:pPr>
        <w:pStyle w:val="Bullet1"/>
        <w:numPr>
          <w:ilvl w:val="0"/>
          <w:numId w:val="0"/>
        </w:numPr>
      </w:pPr>
    </w:p>
    <w:p w14:paraId="1C271E48" w14:textId="5EB2390D" w:rsidR="1889A3A3" w:rsidRDefault="1889A3A3" w:rsidP="008F58DC">
      <w:pPr>
        <w:pStyle w:val="Heading2"/>
        <w:rPr>
          <w:rFonts w:eastAsia="Verdana"/>
        </w:rPr>
      </w:pPr>
      <w:r w:rsidRPr="00DB56FC">
        <w:rPr>
          <w:rFonts w:eastAsia="Verdana"/>
        </w:rPr>
        <w:lastRenderedPageBreak/>
        <w:t>F</w:t>
      </w:r>
      <w:r w:rsidRPr="54375143">
        <w:rPr>
          <w:rFonts w:eastAsia="Verdana"/>
        </w:rPr>
        <w:t>requently Asked Questions</w:t>
      </w:r>
    </w:p>
    <w:p w14:paraId="432F55DD" w14:textId="60FE2C48" w:rsidR="6FC07E20" w:rsidRDefault="6FC07E20" w:rsidP="008F58DC">
      <w:pPr>
        <w:pStyle w:val="Heading3"/>
      </w:pPr>
      <w:r w:rsidRPr="00DB56FC">
        <w:t>Turnaround time for Public Housing offers</w:t>
      </w:r>
    </w:p>
    <w:p w14:paraId="2CA3D00D" w14:textId="47B4D1E7" w:rsidR="2E656352" w:rsidRPr="00DB56FC" w:rsidRDefault="2E656352" w:rsidP="00DB56FC">
      <w:pPr>
        <w:pStyle w:val="Body"/>
      </w:pPr>
      <w:r w:rsidRPr="00DB56FC">
        <w:t xml:space="preserve">Homes Victoria acknowledges that it can be challenging to engage some clients with their offer of housing. However, all efforts must be made by supports to engage the client with their housing offer. Due to the level of demand and the number of H2H clients needing long term housing, properties cannot be held indefinitely. Our local housing offices have indicated they are comfortable for clients to view and sign up to their properties within </w:t>
      </w:r>
      <w:r w:rsidR="005C0E96">
        <w:t>two</w:t>
      </w:r>
      <w:r w:rsidRPr="00DB56FC">
        <w:t xml:space="preserve"> weeks of offer, otherwise it will be removed.</w:t>
      </w:r>
    </w:p>
    <w:p w14:paraId="2EFB8829" w14:textId="7EE553AB" w:rsidR="79534329" w:rsidRDefault="79534329" w:rsidP="008F58DC">
      <w:pPr>
        <w:pStyle w:val="Heading3"/>
      </w:pPr>
      <w:r w:rsidRPr="54375143">
        <w:t>How many offers will H2H clients receive</w:t>
      </w:r>
      <w:r w:rsidR="00C10C66">
        <w:t>?</w:t>
      </w:r>
    </w:p>
    <w:p w14:paraId="11C69B14" w14:textId="7B2901E2" w:rsidR="54375143" w:rsidRPr="008F58DC" w:rsidRDefault="79534329" w:rsidP="008F58DC">
      <w:pPr>
        <w:pStyle w:val="Body"/>
      </w:pPr>
      <w:r w:rsidRPr="00DB56FC">
        <w:t xml:space="preserve">Clients currently in Head Leased properties will be eligible for two offers of long-term housing. Should clients refuse the </w:t>
      </w:r>
      <w:r w:rsidR="000D79C4" w:rsidRPr="3EF46BDF">
        <w:t>two</w:t>
      </w:r>
      <w:r w:rsidRPr="00DB56FC">
        <w:t xml:space="preserve"> reasonable offers, their priority housing status will be removed and they will move to a Register of Interest application and to a support only package</w:t>
      </w:r>
      <w:r w:rsidR="7DBA4B49" w:rsidRPr="3EF46BDF">
        <w:t>.</w:t>
      </w:r>
      <w:r w:rsidR="000720AC">
        <w:t xml:space="preserve"> </w:t>
      </w:r>
      <w:r w:rsidR="2982AD41" w:rsidRPr="1C588282">
        <w:t xml:space="preserve"> Also, </w:t>
      </w:r>
      <w:r w:rsidR="3B2531B3" w:rsidRPr="1C588282">
        <w:t>i</w:t>
      </w:r>
      <w:r w:rsidRPr="00DB56FC">
        <w:t xml:space="preserve">f a client has </w:t>
      </w:r>
      <w:r w:rsidR="4287B2F4" w:rsidRPr="1C588282">
        <w:t xml:space="preserve">received </w:t>
      </w:r>
      <w:r w:rsidRPr="00DB56FC">
        <w:t xml:space="preserve"> two offers</w:t>
      </w:r>
      <w:r w:rsidRPr="1C588282">
        <w:t xml:space="preserve"> </w:t>
      </w:r>
      <w:r w:rsidR="231F7D16" w:rsidRPr="1C588282">
        <w:t>and these are</w:t>
      </w:r>
      <w:r w:rsidR="4426B030" w:rsidRPr="00DB56FC">
        <w:t xml:space="preserve"> </w:t>
      </w:r>
      <w:r w:rsidRPr="00DB56FC">
        <w:t>removed due to non-engagement, they will be required to move to a support only package and their applications will be removed.</w:t>
      </w:r>
    </w:p>
    <w:p w14:paraId="689F2C45" w14:textId="0EF8F32B" w:rsidR="79534329" w:rsidRDefault="79534329" w:rsidP="008F58DC">
      <w:pPr>
        <w:pStyle w:val="Heading3"/>
      </w:pPr>
      <w:r w:rsidRPr="54375143">
        <w:t xml:space="preserve">H2H </w:t>
      </w:r>
      <w:r w:rsidR="001D2745">
        <w:t>c</w:t>
      </w:r>
      <w:r w:rsidRPr="54375143">
        <w:t>lients being offered community housing</w:t>
      </w:r>
      <w:r w:rsidR="00C10C66">
        <w:t>?</w:t>
      </w:r>
    </w:p>
    <w:p w14:paraId="2DB95CD2" w14:textId="0FE2E575" w:rsidR="54375143" w:rsidRDefault="79534329" w:rsidP="008F58DC">
      <w:pPr>
        <w:pStyle w:val="Body"/>
      </w:pPr>
      <w:r w:rsidRPr="00DB56FC">
        <w:t xml:space="preserve">All offers into community housing properties are to be recorded into the HiiP system, to ensure a correct history of events </w:t>
      </w:r>
      <w:r w:rsidR="0083175F">
        <w:t>and</w:t>
      </w:r>
      <w:r w:rsidR="0097138F">
        <w:t xml:space="preserve"> </w:t>
      </w:r>
      <w:r w:rsidRPr="00DB56FC">
        <w:t>how many offers</w:t>
      </w:r>
      <w:r w:rsidR="0083175F">
        <w:t xml:space="preserve"> have been made</w:t>
      </w:r>
      <w:r w:rsidRPr="00DB56FC">
        <w:t>.</w:t>
      </w:r>
    </w:p>
    <w:p w14:paraId="26935B88" w14:textId="17AB9907" w:rsidR="79534329" w:rsidRDefault="79534329" w:rsidP="008F58DC">
      <w:pPr>
        <w:pStyle w:val="Heading3"/>
      </w:pPr>
      <w:r w:rsidRPr="00DB56FC">
        <w:t>What happens if a suitable pr</w:t>
      </w:r>
      <w:r w:rsidR="2EDB5C5A" w:rsidRPr="54375143">
        <w:t>o</w:t>
      </w:r>
      <w:r w:rsidRPr="00DB56FC">
        <w:t xml:space="preserve">perty cannot be found for a current Head Lease client prior to their </w:t>
      </w:r>
      <w:r w:rsidR="00B80603">
        <w:t>l</w:t>
      </w:r>
      <w:r w:rsidRPr="00DB56FC">
        <w:t>ease finishing?</w:t>
      </w:r>
    </w:p>
    <w:p w14:paraId="20932EDD" w14:textId="77677ED4" w:rsidR="54375143" w:rsidRDefault="41A2DEC9" w:rsidP="008F58DC">
      <w:pPr>
        <w:pStyle w:val="Body"/>
        <w:rPr>
          <w:rFonts w:ascii="Calibri" w:eastAsia="Calibri" w:hAnsi="Calibri" w:cs="Calibri"/>
          <w:sz w:val="22"/>
          <w:szCs w:val="22"/>
        </w:rPr>
      </w:pPr>
      <w:r w:rsidRPr="00DB56FC">
        <w:t>Community Partners must follow the usual process as per VCAT and the Residential Tenancies Act</w:t>
      </w:r>
      <w:r w:rsidR="00C10C66">
        <w:t xml:space="preserve">. Community Partners should </w:t>
      </w:r>
      <w:r w:rsidRPr="00DB56FC">
        <w:t>consider every alternative housing option available for these clients.</w:t>
      </w:r>
    </w:p>
    <w:p w14:paraId="1B5DED1C" w14:textId="787725CB" w:rsidR="41A2DEC9" w:rsidRDefault="41A2DEC9" w:rsidP="008F58DC">
      <w:pPr>
        <w:pStyle w:val="Heading3"/>
        <w:rPr>
          <w:rFonts w:ascii="Calibri" w:eastAsia="Calibri" w:hAnsi="Calibri" w:cs="Calibri"/>
        </w:rPr>
      </w:pPr>
      <w:r w:rsidRPr="00DB56FC">
        <w:t xml:space="preserve">Will </w:t>
      </w:r>
      <w:r w:rsidR="001D2745">
        <w:t>clients</w:t>
      </w:r>
      <w:r w:rsidRPr="00DB56FC">
        <w:t xml:space="preserve"> remain a top priority if their lease ends before they are relocated?</w:t>
      </w:r>
      <w:r w:rsidRPr="00DB56FC">
        <w:rPr>
          <w:rFonts w:ascii="Calibri" w:eastAsia="Calibri" w:hAnsi="Calibri" w:cs="Calibri"/>
        </w:rPr>
        <w:t xml:space="preserve"> </w:t>
      </w:r>
    </w:p>
    <w:p w14:paraId="01873983" w14:textId="6532AEB7" w:rsidR="41A2DEC9" w:rsidRPr="009E707A" w:rsidRDefault="41A2DEC9" w:rsidP="00DB56FC">
      <w:pPr>
        <w:pStyle w:val="Body"/>
      </w:pPr>
      <w:r w:rsidRPr="00DB56FC">
        <w:t>If a H2H client residing in a head lease property does not receive an offer of housing prior to the end of their fixed term lease, they will remain on the VHR with their Emergency Management priority application. The Community Partners are encouraged to continue working with their local housing office to find long term housing for the client. This client will also remain on the Homes Victoria Head Lease transition list which is shared with our housing colleagues. Due to the high level of demand and constrained availability of Social Housing properties in certain areas, including but not limited to inner city suburbs, it is recommended that you discuss the implications for clients who are waiting for an offer of social housing in these suburbs widening preference areas</w:t>
      </w:r>
      <w:r w:rsidR="000E0689">
        <w:t>.</w:t>
      </w:r>
    </w:p>
    <w:p w14:paraId="02590129" w14:textId="454CA989" w:rsidR="02D7CF19" w:rsidRDefault="002B2ACE" w:rsidP="008F58DC">
      <w:pPr>
        <w:pStyle w:val="Heading3"/>
      </w:pPr>
      <w:r>
        <w:t>Funding for temporary accommodation</w:t>
      </w:r>
    </w:p>
    <w:p w14:paraId="397F598A" w14:textId="77777777" w:rsidR="00E406B0" w:rsidRDefault="00E406B0" w:rsidP="00E406B0">
      <w:pPr>
        <w:pStyle w:val="Body"/>
      </w:pPr>
      <w:r>
        <w:t xml:space="preserve">Agencies may apply for reimbursement for HEF for H2H approved Housing and Support clients whose fixed term headleases have finished and have a need for temporary accommodation and storage prior to moving into their long term housing. Agencies should continue to exhaust all other options including Crisis Housing and Transitional Housing before relocating a client into </w:t>
      </w:r>
      <w:r>
        <w:lastRenderedPageBreak/>
        <w:t>temporary accommodation. Clients are asked to co-contribute 30% of income to the cost of temporary accommodation.</w:t>
      </w:r>
    </w:p>
    <w:p w14:paraId="7E6A2D2A" w14:textId="77777777" w:rsidR="00E406B0" w:rsidRDefault="00E406B0" w:rsidP="00E406B0">
      <w:pPr>
        <w:pStyle w:val="Body"/>
      </w:pPr>
      <w:r>
        <w:t xml:space="preserve">For clients on support only packages, including those who have refused two reasonable offers of housing, community partners will need to access HEF outside of the H2H program.  </w:t>
      </w:r>
    </w:p>
    <w:p w14:paraId="0485E3E1" w14:textId="77777777" w:rsidR="00E406B0" w:rsidRDefault="00E406B0" w:rsidP="00E406B0">
      <w:pPr>
        <w:pStyle w:val="Body"/>
      </w:pPr>
      <w:r>
        <w:t>To make a claim for HEF funding from the H2H program please follow the below process:</w:t>
      </w:r>
    </w:p>
    <w:p w14:paraId="1F83DC4C" w14:textId="26FEC77A" w:rsidR="00E406B0" w:rsidRDefault="00E406B0" w:rsidP="00E406B0">
      <w:pPr>
        <w:pStyle w:val="Bullet1"/>
      </w:pPr>
      <w:r>
        <w:t xml:space="preserve">Complete a copy of the attached template, </w:t>
      </w:r>
      <w:r w:rsidRPr="00317888">
        <w:rPr>
          <w:i/>
          <w:iCs/>
        </w:rPr>
        <w:t>TEMPLATE – Homes VIC HEF Claim for H2H Clients</w:t>
      </w:r>
      <w:r>
        <w:t xml:space="preserve"> and submit to </w:t>
      </w:r>
      <w:hyperlink r:id="rId30" w:history="1">
        <w:r w:rsidR="00317888" w:rsidRPr="002556EC">
          <w:rPr>
            <w:rStyle w:val="Hyperlink"/>
          </w:rPr>
          <w:t>hhs@homes.vic.gov.au</w:t>
        </w:r>
      </w:hyperlink>
      <w:r>
        <w:t>.</w:t>
      </w:r>
    </w:p>
    <w:p w14:paraId="20A713DF" w14:textId="6F50B715" w:rsidR="00E406B0" w:rsidRDefault="00E406B0" w:rsidP="00E406B0">
      <w:pPr>
        <w:pStyle w:val="Bullet1"/>
      </w:pPr>
      <w:r>
        <w:t>Homes Victoria will respond to advise if the claim is approved or not approved.</w:t>
      </w:r>
    </w:p>
    <w:p w14:paraId="603518AB" w14:textId="1CE7EE53" w:rsidR="00E406B0" w:rsidRDefault="00E406B0" w:rsidP="00E406B0">
      <w:pPr>
        <w:pStyle w:val="Bullet1"/>
      </w:pPr>
      <w:r>
        <w:t xml:space="preserve">If approved, submit an itemised invoice to </w:t>
      </w:r>
      <w:hyperlink r:id="rId31" w:history="1">
        <w:r w:rsidR="00317888" w:rsidRPr="002556EC">
          <w:rPr>
            <w:rStyle w:val="Hyperlink"/>
          </w:rPr>
          <w:t>hhs@homes.vic.gov.au</w:t>
        </w:r>
      </w:hyperlink>
      <w:r>
        <w:t>. Invoices must be submitted by the end of the month to be paid the following month, for example an invoice submitted in January will be paid in February.</w:t>
      </w:r>
    </w:p>
    <w:p w14:paraId="09A3958B" w14:textId="7D2E9BB1" w:rsidR="4FFEE2C9" w:rsidRDefault="4FFEE2C9" w:rsidP="008F58DC">
      <w:pPr>
        <w:pStyle w:val="Heading3"/>
      </w:pPr>
      <w:r w:rsidRPr="00DB56FC">
        <w:t>Clients requesting transfers from their current long-term housing properties</w:t>
      </w:r>
    </w:p>
    <w:p w14:paraId="25F60A84" w14:textId="4A79B3AE" w:rsidR="4FFEE2C9" w:rsidRPr="009E707A" w:rsidRDefault="4FFEE2C9" w:rsidP="00DB56FC">
      <w:pPr>
        <w:pStyle w:val="Body"/>
      </w:pPr>
      <w:r w:rsidRPr="00DB56FC">
        <w:t xml:space="preserve">Once allocated their long-term housing property, should a client request to move, they will be required to lodge a transfer application. These will be assessed and managed by the local housing office, under </w:t>
      </w:r>
      <w:r w:rsidR="00A866F6">
        <w:t>b</w:t>
      </w:r>
      <w:r w:rsidRPr="00DB56FC">
        <w:t>usiness-as-</w:t>
      </w:r>
      <w:r w:rsidR="00A866F6">
        <w:t>u</w:t>
      </w:r>
      <w:r w:rsidRPr="00DB56FC">
        <w:t>sual processes and categories.</w:t>
      </w:r>
    </w:p>
    <w:p w14:paraId="6D06D63F" w14:textId="77777777" w:rsidR="00C628A1" w:rsidRDefault="00C628A1" w:rsidP="00C628A1">
      <w:pPr>
        <w:pStyle w:val="Heading2"/>
        <w:rPr>
          <w:rFonts w:cs="Arial"/>
          <w:color w:val="000000"/>
        </w:rPr>
      </w:pPr>
      <w:bookmarkStart w:id="100" w:name="_Toc88218394"/>
      <w:bookmarkStart w:id="101" w:name="_Toc88218865"/>
      <w:bookmarkStart w:id="102" w:name="_Toc121134096"/>
      <w:r>
        <w:t>Financial implications</w:t>
      </w:r>
      <w:bookmarkEnd w:id="100"/>
      <w:bookmarkEnd w:id="101"/>
      <w:bookmarkEnd w:id="102"/>
      <w:r>
        <w:t>  </w:t>
      </w:r>
    </w:p>
    <w:p w14:paraId="3A560DD2" w14:textId="77777777" w:rsidR="00C628A1" w:rsidRDefault="00C628A1" w:rsidP="00C628A1">
      <w:pPr>
        <w:pStyle w:val="Heading3"/>
        <w:rPr>
          <w:rFonts w:eastAsiaTheme="minorHAnsi"/>
        </w:rPr>
      </w:pPr>
      <w:r>
        <w:rPr>
          <w:lang w:val="en-US"/>
        </w:rPr>
        <w:t>Establishment Costs </w:t>
      </w:r>
      <w:r>
        <w:t> </w:t>
      </w:r>
    </w:p>
    <w:p w14:paraId="125D1087" w14:textId="79F5E8B9" w:rsidR="00C628A1" w:rsidRDefault="00C628A1" w:rsidP="00C628A1">
      <w:pPr>
        <w:pStyle w:val="Body"/>
      </w:pPr>
      <w:r>
        <w:t xml:space="preserve">The department will provide additional establishment funding if there is sufficient time for a new package to be reallocated. Community </w:t>
      </w:r>
      <w:r w:rsidR="001B6B65">
        <w:t>P</w:t>
      </w:r>
      <w:r>
        <w:t>artners should make a request to </w:t>
      </w:r>
      <w:hyperlink r:id="rId32" w:history="1">
        <w:r w:rsidR="00435AB7" w:rsidRPr="002556EC">
          <w:rPr>
            <w:rStyle w:val="Hyperlink"/>
            <w:rFonts w:ascii="Arial" w:hAnsi="Arial" w:cs="Arial"/>
          </w:rPr>
          <w:t>hhs@homes.vic.gov.au</w:t>
        </w:r>
      </w:hyperlink>
      <w:r>
        <w:rPr>
          <w:rStyle w:val="Hyperlink"/>
          <w:rFonts w:ascii="Arial" w:hAnsi="Arial" w:cs="Arial"/>
        </w:rPr>
        <w:t xml:space="preserve">. </w:t>
      </w:r>
    </w:p>
    <w:p w14:paraId="174FB95A" w14:textId="77777777" w:rsidR="00C628A1" w:rsidRDefault="00C628A1" w:rsidP="00C628A1">
      <w:pPr>
        <w:pStyle w:val="Heading3"/>
        <w:rPr>
          <w:sz w:val="22"/>
          <w:szCs w:val="22"/>
        </w:rPr>
      </w:pPr>
      <w:r>
        <w:rPr>
          <w:lang w:val="en-US"/>
        </w:rPr>
        <w:t>Brokerage</w:t>
      </w:r>
      <w:r>
        <w:t> </w:t>
      </w:r>
    </w:p>
    <w:p w14:paraId="68866EE9" w14:textId="77777777" w:rsidR="00C628A1" w:rsidRPr="00DB56FC" w:rsidRDefault="00C628A1" w:rsidP="00C628A1">
      <w:pPr>
        <w:spacing w:line="270" w:lineRule="exact"/>
        <w:textAlignment w:val="baseline"/>
        <w:rPr>
          <w:rFonts w:eastAsia="Times"/>
        </w:rPr>
      </w:pPr>
      <w:r w:rsidRPr="00DB56FC">
        <w:rPr>
          <w:rFonts w:eastAsia="Times"/>
        </w:rPr>
        <w:t xml:space="preserve">Provision of additional brokerage for new H2H Client will be considered where all previous brokerage provided to H2H Client who has disengaged has been fully spent or is inadequate. </w:t>
      </w:r>
    </w:p>
    <w:p w14:paraId="0859C9D9" w14:textId="77777777" w:rsidR="00C628A1" w:rsidRDefault="00C628A1" w:rsidP="00C628A1">
      <w:pPr>
        <w:pStyle w:val="Heading3"/>
        <w:rPr>
          <w:sz w:val="22"/>
          <w:szCs w:val="22"/>
        </w:rPr>
      </w:pPr>
      <w:r>
        <w:rPr>
          <w:lang w:val="en-US"/>
        </w:rPr>
        <w:t>Rent Gap for Head Lease properties where the H2H Client has disengaged from housing</w:t>
      </w:r>
      <w:r>
        <w:t> </w:t>
      </w:r>
    </w:p>
    <w:p w14:paraId="77A13E34" w14:textId="26C5EDD9" w:rsidR="00C628A1" w:rsidRDefault="00C628A1" w:rsidP="00C628A1">
      <w:pPr>
        <w:pStyle w:val="Body"/>
      </w:pPr>
      <w:r>
        <w:t xml:space="preserve">When a Client disengages from a Head </w:t>
      </w:r>
      <w:r w:rsidR="00045A85">
        <w:t>L</w:t>
      </w:r>
      <w:r>
        <w:t>ease property, the remaining funding can be retained by the H2H Community Partner and used as a contingency to pay rent until the head lease arrangements can be concluded. </w:t>
      </w:r>
    </w:p>
    <w:p w14:paraId="7FDC4FD1" w14:textId="77777777" w:rsidR="00C628A1" w:rsidRDefault="00C628A1" w:rsidP="00C628A1">
      <w:pPr>
        <w:pStyle w:val="Heading3"/>
        <w:rPr>
          <w:sz w:val="22"/>
          <w:szCs w:val="22"/>
        </w:rPr>
      </w:pPr>
      <w:r>
        <w:rPr>
          <w:lang w:val="en-US"/>
        </w:rPr>
        <w:t>Remaining Support and Property Funding post reallocation  </w:t>
      </w:r>
      <w:r>
        <w:t> </w:t>
      </w:r>
    </w:p>
    <w:p w14:paraId="41EEF9BD" w14:textId="77777777" w:rsidR="00C628A1" w:rsidRDefault="00C628A1" w:rsidP="00C628A1">
      <w:pPr>
        <w:pStyle w:val="Body"/>
      </w:pPr>
      <w:r>
        <w:rPr>
          <w:lang w:val="en-US"/>
        </w:rPr>
        <w:t>Where a package ends before the end of the program, community partners can retain funding to cover:</w:t>
      </w:r>
      <w:r>
        <w:t> </w:t>
      </w:r>
    </w:p>
    <w:p w14:paraId="07EFA865" w14:textId="77777777" w:rsidR="00C628A1" w:rsidRDefault="00C628A1" w:rsidP="00C628A1">
      <w:pPr>
        <w:pStyle w:val="Bullet1"/>
        <w:rPr>
          <w:lang w:eastAsia="en-AU"/>
        </w:rPr>
      </w:pPr>
      <w:r w:rsidRPr="755AA332">
        <w:rPr>
          <w:lang w:val="en-US" w:eastAsia="en-AU"/>
        </w:rPr>
        <w:t>staff employment costs.</w:t>
      </w:r>
      <w:r w:rsidRPr="755AA332">
        <w:rPr>
          <w:lang w:eastAsia="en-AU"/>
        </w:rPr>
        <w:t> </w:t>
      </w:r>
    </w:p>
    <w:p w14:paraId="101BF147" w14:textId="77777777" w:rsidR="00C628A1" w:rsidRDefault="00C628A1" w:rsidP="00C628A1">
      <w:pPr>
        <w:pStyle w:val="Bullet1"/>
        <w:rPr>
          <w:lang w:eastAsia="en-AU"/>
        </w:rPr>
      </w:pPr>
      <w:r w:rsidRPr="755AA332">
        <w:rPr>
          <w:lang w:val="en-US" w:eastAsia="en-AU"/>
        </w:rPr>
        <w:t>Provide additional capacity to </w:t>
      </w:r>
      <w:proofErr w:type="spellStart"/>
      <w:r w:rsidRPr="755AA332">
        <w:rPr>
          <w:lang w:val="en-US" w:eastAsia="en-AU"/>
        </w:rPr>
        <w:t>subsidise</w:t>
      </w:r>
      <w:proofErr w:type="spellEnd"/>
      <w:r w:rsidRPr="755AA332">
        <w:rPr>
          <w:lang w:val="en-US" w:eastAsia="en-AU"/>
        </w:rPr>
        <w:t> rent for H2H Clients who require short absences from general lease or head lease housing due to residential rehabilitation, incarceration, etc.</w:t>
      </w:r>
      <w:r w:rsidRPr="755AA332">
        <w:rPr>
          <w:lang w:eastAsia="en-AU"/>
        </w:rPr>
        <w:t> </w:t>
      </w:r>
    </w:p>
    <w:p w14:paraId="1B03E851" w14:textId="12426EFC" w:rsidR="00C628A1" w:rsidRDefault="00C628A1" w:rsidP="00C628A1">
      <w:pPr>
        <w:pStyle w:val="Bullet1"/>
        <w:rPr>
          <w:lang w:eastAsia="en-AU"/>
        </w:rPr>
      </w:pPr>
      <w:r w:rsidRPr="755AA332">
        <w:rPr>
          <w:lang w:val="en-US" w:eastAsia="en-AU"/>
        </w:rPr>
        <w:t>if there are ongoing costs associated with maintaining head lease properties. </w:t>
      </w:r>
      <w:r w:rsidRPr="755AA332">
        <w:rPr>
          <w:lang w:eastAsia="en-AU"/>
        </w:rPr>
        <w:t> </w:t>
      </w:r>
    </w:p>
    <w:p w14:paraId="7FF435C0" w14:textId="77777777" w:rsidR="00C628A1" w:rsidRDefault="00C628A1" w:rsidP="00C628A1">
      <w:pPr>
        <w:pStyle w:val="Body"/>
        <w:rPr>
          <w:rFonts w:eastAsiaTheme="minorHAnsi"/>
          <w:lang w:eastAsia="en-AU"/>
        </w:rPr>
      </w:pPr>
      <w:r>
        <w:rPr>
          <w:lang w:val="en-US"/>
        </w:rPr>
        <w:lastRenderedPageBreak/>
        <w:t xml:space="preserve">These funds will need to be accounted for through the six-monthly financial report and should align with the relevant activity code. </w:t>
      </w:r>
    </w:p>
    <w:p w14:paraId="56BF0E25" w14:textId="6BCA839A" w:rsidR="00C628A1" w:rsidRDefault="00C628A1" w:rsidP="00C628A1">
      <w:pPr>
        <w:pStyle w:val="Heading3"/>
      </w:pPr>
      <w:r>
        <w:rPr>
          <w:lang w:val="en-US"/>
        </w:rPr>
        <w:t xml:space="preserve">Where </w:t>
      </w:r>
      <w:r w:rsidR="00805D6E">
        <w:rPr>
          <w:lang w:val="en-US"/>
        </w:rPr>
        <w:t>n</w:t>
      </w:r>
      <w:r>
        <w:rPr>
          <w:lang w:val="en-US"/>
        </w:rPr>
        <w:t xml:space="preserve">o further </w:t>
      </w:r>
      <w:r w:rsidR="00805D6E">
        <w:rPr>
          <w:lang w:val="en-US"/>
        </w:rPr>
        <w:t>a</w:t>
      </w:r>
      <w:r>
        <w:rPr>
          <w:lang w:val="en-US"/>
        </w:rPr>
        <w:t>llocations occur</w:t>
      </w:r>
      <w:r>
        <w:t> </w:t>
      </w:r>
    </w:p>
    <w:p w14:paraId="7A8E83F8" w14:textId="77777777" w:rsidR="00C628A1" w:rsidRPr="001723FE" w:rsidRDefault="00C628A1" w:rsidP="00C628A1">
      <w:pPr>
        <w:pStyle w:val="Bullet1"/>
        <w:rPr>
          <w:lang w:val="en-US" w:eastAsia="en-AU"/>
        </w:rPr>
      </w:pPr>
      <w:r w:rsidRPr="755AA332">
        <w:rPr>
          <w:lang w:val="en-US" w:eastAsia="en-AU"/>
        </w:rPr>
        <w:t>Residue support funding for these packages is retained by the H2H provider and can be used as described above. Use of these funds will need to be accounted for through the six-monthly financial report.</w:t>
      </w:r>
    </w:p>
    <w:p w14:paraId="387FE17F" w14:textId="77777777" w:rsidR="00C628A1" w:rsidRDefault="00C628A1" w:rsidP="00C628A1">
      <w:pPr>
        <w:pStyle w:val="Heading1"/>
      </w:pPr>
      <w:bookmarkStart w:id="103" w:name="_Toc88218395"/>
      <w:bookmarkStart w:id="104" w:name="_Toc88218866"/>
      <w:bookmarkStart w:id="105" w:name="_Toc121134097"/>
      <w:r>
        <w:t>Movement between Level of Support and between Geographical Areas</w:t>
      </w:r>
      <w:bookmarkEnd w:id="103"/>
      <w:bookmarkEnd w:id="104"/>
      <w:bookmarkEnd w:id="105"/>
    </w:p>
    <w:p w14:paraId="5283BD1E" w14:textId="77777777" w:rsidR="00C628A1" w:rsidRDefault="00C628A1" w:rsidP="00C628A1">
      <w:pPr>
        <w:pStyle w:val="Heading2"/>
        <w:rPr>
          <w:rFonts w:cs="Arial"/>
        </w:rPr>
      </w:pPr>
      <w:bookmarkStart w:id="106" w:name="_Toc88218396"/>
      <w:bookmarkStart w:id="107" w:name="_Toc88218867"/>
      <w:bookmarkStart w:id="108" w:name="_Toc121134098"/>
      <w:r>
        <w:t xml:space="preserve">Client Movement between Levels of </w:t>
      </w:r>
      <w:r w:rsidRPr="00C628A1">
        <w:t>Support</w:t>
      </w:r>
      <w:bookmarkEnd w:id="106"/>
      <w:bookmarkEnd w:id="107"/>
      <w:bookmarkEnd w:id="108"/>
    </w:p>
    <w:p w14:paraId="7FE2B979" w14:textId="77777777" w:rsidR="00C628A1" w:rsidRDefault="00C628A1" w:rsidP="00C628A1">
      <w:pPr>
        <w:pStyle w:val="Body"/>
        <w:rPr>
          <w:rFonts w:eastAsiaTheme="minorHAnsi"/>
        </w:rPr>
      </w:pPr>
      <w:r>
        <w:t>In some circumstances Clients may be supported to move between package types if this is required to meet their needs (Targeted and Tailored and Intensive). Flexibility should not be hampered by appropriate package availability from H2H Community Partners but by assessment of Client needs. Where this occurs, it must be met within the contracted funding arrangements. There is to be no variation in the overall contracted type or number of service packages by H2H Community Partners.</w:t>
      </w:r>
    </w:p>
    <w:p w14:paraId="37F265C5" w14:textId="77777777" w:rsidR="00C628A1" w:rsidRDefault="00C628A1" w:rsidP="00C628A1">
      <w:pPr>
        <w:pStyle w:val="Body"/>
      </w:pPr>
      <w:r w:rsidRPr="1B7F2FE3">
        <w:t xml:space="preserve">When transfer between package types occurs, H2H Community Partners are to report this in the </w:t>
      </w:r>
      <w:r>
        <w:t xml:space="preserve">Monthly </w:t>
      </w:r>
      <w:r w:rsidRPr="1B7F2FE3">
        <w:t>C</w:t>
      </w:r>
      <w:r>
        <w:t xml:space="preserve">lient Data </w:t>
      </w:r>
      <w:r w:rsidRPr="1B7F2FE3">
        <w:t>R</w:t>
      </w:r>
      <w:r>
        <w:t>eporting (CDR)</w:t>
      </w:r>
      <w:r w:rsidRPr="1B7F2FE3">
        <w:t xml:space="preserve">. </w:t>
      </w:r>
    </w:p>
    <w:p w14:paraId="6937187F" w14:textId="77777777" w:rsidR="00C628A1" w:rsidRDefault="00C628A1" w:rsidP="00C628A1">
      <w:pPr>
        <w:pStyle w:val="Heading2"/>
        <w:rPr>
          <w:rFonts w:cs="Arial"/>
        </w:rPr>
      </w:pPr>
      <w:bookmarkStart w:id="109" w:name="_Toc88218397"/>
      <w:bookmarkStart w:id="110" w:name="_Toc88218868"/>
      <w:bookmarkStart w:id="111" w:name="_Toc121134099"/>
      <w:r>
        <w:t xml:space="preserve">Movement </w:t>
      </w:r>
      <w:r w:rsidRPr="00C628A1">
        <w:t>between</w:t>
      </w:r>
      <w:r>
        <w:t xml:space="preserve"> Geographical Areas</w:t>
      </w:r>
      <w:bookmarkEnd w:id="109"/>
      <w:bookmarkEnd w:id="110"/>
      <w:bookmarkEnd w:id="111"/>
    </w:p>
    <w:p w14:paraId="01B3A97D" w14:textId="77777777" w:rsidR="00C628A1" w:rsidRDefault="00C628A1" w:rsidP="00C628A1">
      <w:pPr>
        <w:pStyle w:val="Body"/>
        <w:rPr>
          <w:rFonts w:eastAsiaTheme="minorEastAsia"/>
        </w:rPr>
      </w:pPr>
      <w:r w:rsidRPr="1B7F2FE3">
        <w:t>Movement of packages between geographical areas and H2H Community Partners may occur where there may be risks and/or safety issues for Clients. Packages may also be moved across areas if providers have capacity to do so.   </w:t>
      </w:r>
    </w:p>
    <w:p w14:paraId="6479E2B8" w14:textId="77777777" w:rsidR="00C628A1" w:rsidRDefault="00C628A1" w:rsidP="00C628A1">
      <w:pPr>
        <w:pStyle w:val="Body"/>
      </w:pPr>
      <w:r>
        <w:t>Following principles of the Housing First model, H2H Clients ought to be able to access flexibility with their housing and support package where the Client wants to move to another area. Where this can be facilitated and supported, it should occur. The funding and contract arrangements as well as providers’ staffing models will be impacted by movement of packages so will require negotiation between providers and Homes Victoria.   </w:t>
      </w:r>
    </w:p>
    <w:p w14:paraId="32FBA389" w14:textId="77777777" w:rsidR="00C628A1" w:rsidRDefault="00C628A1" w:rsidP="00C628A1">
      <w:pPr>
        <w:pStyle w:val="Body"/>
      </w:pPr>
      <w:r>
        <w:t>Several H2H Community Partners have indicated there is nominal capability to subcontract to a Community Partner in another area, whilst still counting the Client within contracted numbers. The reported threshold however is quite low i.e., one or two H2H Clients before it impacts on Community Partners financial and service delivery model.</w:t>
      </w:r>
    </w:p>
    <w:p w14:paraId="193D83D7" w14:textId="77777777" w:rsidR="00C628A1" w:rsidRDefault="00C628A1">
      <w:pPr>
        <w:spacing w:after="0" w:line="240" w:lineRule="auto"/>
        <w:rPr>
          <w:rFonts w:cs="Arial"/>
          <w:bCs/>
          <w:color w:val="032833" w:themeColor="text1"/>
          <w:kern w:val="32"/>
          <w:sz w:val="44"/>
          <w:szCs w:val="44"/>
        </w:rPr>
      </w:pPr>
      <w:bookmarkStart w:id="112" w:name="_Toc88218398"/>
      <w:bookmarkStart w:id="113" w:name="_Toc88218869"/>
      <w:r>
        <w:br w:type="page"/>
      </w:r>
    </w:p>
    <w:p w14:paraId="0D252B8F" w14:textId="43DD3B6C" w:rsidR="00C628A1" w:rsidRDefault="00C628A1" w:rsidP="00C628A1">
      <w:pPr>
        <w:pStyle w:val="Heading1"/>
        <w:spacing w:before="480"/>
        <w:rPr>
          <w:rFonts w:eastAsia="Times New Roman"/>
        </w:rPr>
      </w:pPr>
      <w:bookmarkStart w:id="114" w:name="_Toc121134100"/>
      <w:r>
        <w:rPr>
          <w:rFonts w:eastAsia="Times New Roman"/>
        </w:rPr>
        <w:lastRenderedPageBreak/>
        <w:t>Client Engagement and Disengagement</w:t>
      </w:r>
      <w:bookmarkEnd w:id="112"/>
      <w:bookmarkEnd w:id="113"/>
      <w:bookmarkEnd w:id="114"/>
      <w:r>
        <w:rPr>
          <w:rFonts w:eastAsia="Times New Roman"/>
        </w:rPr>
        <w:t xml:space="preserve"> </w:t>
      </w:r>
    </w:p>
    <w:p w14:paraId="6604CBAA" w14:textId="77777777" w:rsidR="00C628A1" w:rsidRDefault="00C628A1" w:rsidP="00C628A1">
      <w:pPr>
        <w:pStyle w:val="Heading2"/>
      </w:pPr>
      <w:bookmarkStart w:id="115" w:name="_Toc88218399"/>
      <w:bookmarkStart w:id="116" w:name="_Toc88218870"/>
      <w:bookmarkStart w:id="117" w:name="_Toc121134101"/>
      <w:r>
        <w:t>Client Engagement</w:t>
      </w:r>
      <w:bookmarkEnd w:id="115"/>
      <w:bookmarkEnd w:id="116"/>
      <w:bookmarkEnd w:id="117"/>
    </w:p>
    <w:p w14:paraId="610613DE" w14:textId="77777777" w:rsidR="00C628A1" w:rsidRDefault="00C628A1" w:rsidP="00C628A1">
      <w:pPr>
        <w:pStyle w:val="Body"/>
      </w:pPr>
      <w:r w:rsidRPr="1B7F2FE3">
        <w:t>Many of the H2H eligible Clients may have complex needs</w:t>
      </w:r>
      <w:r>
        <w:t>. T</w:t>
      </w:r>
      <w:r w:rsidRPr="1B7F2FE3">
        <w:t>herefore</w:t>
      </w:r>
      <w:r>
        <w:t>,</w:t>
      </w:r>
      <w:r w:rsidRPr="1B7F2FE3">
        <w:t xml:space="preserve"> a level of flexibility may be required to ensure every opportunity is provided for Clients to engage and re-engage safely and successfully. </w:t>
      </w:r>
      <w:r w:rsidRPr="00186998">
        <w:t xml:space="preserve">Where </w:t>
      </w:r>
      <w:r>
        <w:t>need</w:t>
      </w:r>
      <w:r w:rsidRPr="00186998">
        <w:t xml:space="preserve">ed, multiple attempts of engagement of a minimum of </w:t>
      </w:r>
      <w:r>
        <w:t>three</w:t>
      </w:r>
      <w:r w:rsidRPr="00186998">
        <w:t xml:space="preserve"> times a week should occur via SMS texts, phone calls, letter</w:t>
      </w:r>
      <w:r>
        <w:t>s</w:t>
      </w:r>
      <w:r w:rsidRPr="00186998">
        <w:t>, or home visits. This threshold should be established on a case-by-case basis and reviewed after one month.</w:t>
      </w:r>
    </w:p>
    <w:p w14:paraId="4135270E" w14:textId="77777777" w:rsidR="00C628A1" w:rsidRDefault="00C628A1" w:rsidP="00C628A1">
      <w:pPr>
        <w:pStyle w:val="Body"/>
      </w:pPr>
      <w:r w:rsidRPr="1B7F2FE3">
        <w:rPr>
          <w:color w:val="032833" w:themeColor="text1"/>
        </w:rPr>
        <w:t xml:space="preserve">All engagement strategies and approaches should be accurately recorded </w:t>
      </w:r>
      <w:r w:rsidRPr="1B7F2FE3">
        <w:t>in the Client’s case file. Engagement may fluctuate throughout the support period.</w:t>
      </w:r>
      <w:r w:rsidRPr="005D286D">
        <w:t xml:space="preserve"> </w:t>
      </w:r>
    </w:p>
    <w:p w14:paraId="2F282425" w14:textId="77777777" w:rsidR="00C628A1" w:rsidRDefault="00C628A1" w:rsidP="00C628A1">
      <w:pPr>
        <w:pStyle w:val="Body"/>
      </w:pPr>
      <w:r>
        <w:t>Support must include:</w:t>
      </w:r>
    </w:p>
    <w:p w14:paraId="31FF7409" w14:textId="77777777" w:rsidR="00C628A1" w:rsidRDefault="00C628A1" w:rsidP="00C628A1">
      <w:pPr>
        <w:pStyle w:val="Bullet1"/>
      </w:pPr>
      <w:r>
        <w:t>active engagement of the Client: using persistence, compassion, flexibility, and an understanding of trauma to build trust and maintain a relationship.</w:t>
      </w:r>
    </w:p>
    <w:p w14:paraId="301359E2" w14:textId="77777777" w:rsidR="00C628A1" w:rsidRDefault="00C628A1" w:rsidP="00C628A1">
      <w:pPr>
        <w:pStyle w:val="Bullet1"/>
      </w:pPr>
      <w:r>
        <w:t>strength based planning that reflects the Client’s goals, is holistic and follows the Client.</w:t>
      </w:r>
    </w:p>
    <w:p w14:paraId="716BFA0E" w14:textId="77777777" w:rsidR="00C628A1" w:rsidRDefault="00C628A1" w:rsidP="00C628A1">
      <w:pPr>
        <w:pStyle w:val="Bullet1"/>
      </w:pPr>
      <w:r>
        <w:t>coordination of appointments including support to attend appointments.</w:t>
      </w:r>
    </w:p>
    <w:p w14:paraId="5664EBD0" w14:textId="77777777" w:rsidR="00C628A1" w:rsidRDefault="00C628A1" w:rsidP="00C628A1">
      <w:pPr>
        <w:pStyle w:val="Bullet1"/>
      </w:pPr>
      <w:r>
        <w:t xml:space="preserve">practical assistance and case coordination to help navigate the service system and co-ordinate supports. </w:t>
      </w:r>
    </w:p>
    <w:p w14:paraId="78B766CC" w14:textId="77777777" w:rsidR="00C628A1" w:rsidRDefault="00C628A1" w:rsidP="00C628A1">
      <w:pPr>
        <w:pStyle w:val="Bullet1"/>
      </w:pPr>
      <w:r>
        <w:t>planning to more independent living leveraging community-based health and social supports; and</w:t>
      </w:r>
    </w:p>
    <w:p w14:paraId="2EEF90F4" w14:textId="77777777" w:rsidR="00C628A1" w:rsidRDefault="00C628A1" w:rsidP="00C628A1">
      <w:pPr>
        <w:pStyle w:val="Bullet1"/>
      </w:pPr>
      <w:r>
        <w:t>at conclusion of any H2H support package all Clients will be provided an exit plan and pathway to meet their individual/ household needs.</w:t>
      </w:r>
    </w:p>
    <w:p w14:paraId="3798A966" w14:textId="77777777" w:rsidR="00C628A1" w:rsidRDefault="00C628A1" w:rsidP="00C628A1">
      <w:pPr>
        <w:pStyle w:val="Body"/>
      </w:pPr>
      <w:r>
        <w:t>This support will involve advocacy and liaison to assist Clients to access the right services; safety planning and immediate accommodation; and continuing to monitor the individual to ensure their situation is resolved.</w:t>
      </w:r>
    </w:p>
    <w:p w14:paraId="76A76FD7" w14:textId="77777777" w:rsidR="00C628A1" w:rsidRDefault="00C628A1" w:rsidP="00C628A1">
      <w:pPr>
        <w:pStyle w:val="Body"/>
      </w:pPr>
      <w:r>
        <w:t>A long-term housing plan will be developed with each Client, including a VHR application for all eligible Clients (as a requirement at the earliest and most appropriate stage of engagement). The Support Service Provider must work with Clients once housed to integrate into the local community and reduce experiences of isolation and exclusion.</w:t>
      </w:r>
    </w:p>
    <w:p w14:paraId="107A7761" w14:textId="77777777" w:rsidR="00C628A1" w:rsidRDefault="00C628A1" w:rsidP="00C628A1">
      <w:pPr>
        <w:pStyle w:val="Heading2"/>
        <w:rPr>
          <w:rFonts w:cs="Arial"/>
        </w:rPr>
      </w:pPr>
      <w:bookmarkStart w:id="118" w:name="_Toc88218400"/>
      <w:bookmarkStart w:id="119" w:name="_Toc88218871"/>
      <w:bookmarkStart w:id="120" w:name="_Toc121134102"/>
      <w:r>
        <w:t>Expectations on initial engagement</w:t>
      </w:r>
      <w:bookmarkEnd w:id="118"/>
      <w:bookmarkEnd w:id="119"/>
      <w:bookmarkEnd w:id="120"/>
      <w:r>
        <w:t> </w:t>
      </w:r>
    </w:p>
    <w:p w14:paraId="454289D9" w14:textId="77777777" w:rsidR="00C628A1" w:rsidRDefault="00C628A1" w:rsidP="00C628A1">
      <w:pPr>
        <w:pStyle w:val="Body"/>
        <w:rPr>
          <w:rFonts w:eastAsiaTheme="minorEastAsia"/>
        </w:rPr>
      </w:pPr>
      <w:r w:rsidRPr="1B7F2FE3">
        <w:t>It is expected that support workers will attempt to contact their H2H Clients at a minimum of</w:t>
      </w:r>
      <w:r>
        <w:t xml:space="preserve"> four times weekly in the </w:t>
      </w:r>
      <w:r w:rsidRPr="1B7F2FE3" w:rsidDel="00D146FB">
        <w:t>initial</w:t>
      </w:r>
      <w:r w:rsidRPr="1B7F2FE3">
        <w:t xml:space="preserve"> weeks of the H2H Clients being provided with support provision and more frequently whilst settling into their homes. Community Partners are expected to document all attempts of contact and engagement, including </w:t>
      </w:r>
      <w:r w:rsidRPr="00F53241">
        <w:t>persistent outreach, contacting known services and multiple communication methods with the H2H Client (for example,</w:t>
      </w:r>
      <w:r>
        <w:t xml:space="preserve"> </w:t>
      </w:r>
      <w:r w:rsidRPr="1B7F2FE3">
        <w:t>SMS</w:t>
      </w:r>
      <w:r w:rsidRPr="00F53241">
        <w:t xml:space="preserve"> text message, letters, and phone calls)</w:t>
      </w:r>
      <w:r w:rsidRPr="1B7F2FE3">
        <w:t>. </w:t>
      </w:r>
    </w:p>
    <w:p w14:paraId="24AF19DC" w14:textId="77777777" w:rsidR="00C628A1" w:rsidRDefault="00C628A1" w:rsidP="00C628A1">
      <w:pPr>
        <w:pStyle w:val="Heading2"/>
        <w:rPr>
          <w:rFonts w:cs="Arial"/>
        </w:rPr>
      </w:pPr>
      <w:bookmarkStart w:id="121" w:name="_Toc121134103"/>
      <w:r>
        <w:t>Client Disengagement</w:t>
      </w:r>
      <w:bookmarkEnd w:id="121"/>
      <w:r>
        <w:t xml:space="preserve"> </w:t>
      </w:r>
    </w:p>
    <w:p w14:paraId="6C7FC018" w14:textId="77777777" w:rsidR="00C628A1" w:rsidRPr="00DB56FC" w:rsidRDefault="00C628A1" w:rsidP="00C628A1">
      <w:pPr>
        <w:pStyle w:val="Body"/>
      </w:pPr>
      <w:r w:rsidRPr="006717E0">
        <w:t>Prior to determining that a H2H Client has disengaged, appropriate documentation of attempted contacts and a clear statement of the Client’s reasons for no longer wanting/requiring a H2H (or part of a H2H) package must be accurately recorded in H2H Client’s case file and recorded in the H2H Monthly Client Data Reporting (CDR) or subsequent reporting arrangements</w:t>
      </w:r>
      <w:r>
        <w:t xml:space="preserve">. </w:t>
      </w:r>
      <w:r w:rsidRPr="00DB56FC">
        <w:t xml:space="preserve">A proportion of Clients will likely disengage during their recovery journey. Disengagement may </w:t>
      </w:r>
      <w:r w:rsidRPr="00DB56FC">
        <w:lastRenderedPageBreak/>
        <w:t>happen in the early stages of allocation or during the support period. Disengagement may occur from support, housing, or both.  </w:t>
      </w:r>
    </w:p>
    <w:p w14:paraId="7BF95B3E" w14:textId="6918DDE9" w:rsidR="00C628A1" w:rsidRPr="00DB56FC" w:rsidRDefault="00C628A1" w:rsidP="00C628A1">
      <w:pPr>
        <w:pStyle w:val="Body"/>
      </w:pPr>
      <w:r w:rsidRPr="00DB56FC">
        <w:t>Where a H2H Client has not accepted support or housing after eight weeks of </w:t>
      </w:r>
      <w:r w:rsidR="003421CB" w:rsidRPr="00DB56FC">
        <w:t>initial</w:t>
      </w:r>
      <w:r w:rsidRPr="00DB56FC">
        <w:t xml:space="preserve"> attempted engagement, the support period can be concluded. receivedH2H Community Partners will be the best judge and may determine a longer period of disengagement before reallocating the package. As a rule, if a Client has not accepted housing and/or support after an eight-week attempted engagement, the support period can be concluded, this should include multiple attempts to contact to reengage with the Client before closing the case file.  Community partners must allow for clients to return to the program, for the duration that they are receiving funding to support the client, should the client choose to re-engage.</w:t>
      </w:r>
    </w:p>
    <w:p w14:paraId="282E438C" w14:textId="77777777" w:rsidR="00C628A1" w:rsidRPr="00DB56FC" w:rsidRDefault="00C628A1" w:rsidP="00C628A1">
      <w:pPr>
        <w:pStyle w:val="Body"/>
      </w:pPr>
      <w:r w:rsidRPr="00DB56FC">
        <w:t>Prior to determining that a H2H Client has disengaged, appropriate documentation of attempted contacts and a clear statement of the Client’s reasons for no longer wanting/requiring a H2H (or part of a H2H) package must be accurately recorded in H2H Client’s case file and recorded in the H2H Monthly Client Data Reporting (CDR) or subsequent reporting arrangements. </w:t>
      </w:r>
    </w:p>
    <w:p w14:paraId="11E22C9A" w14:textId="1FB4D40B" w:rsidR="00C628A1" w:rsidRPr="00DB56FC" w:rsidRDefault="00C628A1" w:rsidP="00C628A1">
      <w:pPr>
        <w:pStyle w:val="Body"/>
      </w:pPr>
      <w:r w:rsidRPr="00DB56FC">
        <w:t>A safety and welfare check must be undertaken as part of the exit process before formalising that a Client has disengaged from the program. In addition, standard exit processes for people experiencing homelessness should be adhered to.</w:t>
      </w:r>
    </w:p>
    <w:p w14:paraId="2CD5C226" w14:textId="77777777" w:rsidR="00C628A1" w:rsidRDefault="00C628A1" w:rsidP="00C628A1">
      <w:pPr>
        <w:pStyle w:val="Heading2"/>
        <w:rPr>
          <w:rFonts w:cs="Arial"/>
        </w:rPr>
      </w:pPr>
      <w:bookmarkStart w:id="122" w:name="_Toc121134104"/>
      <w:r>
        <w:t>Expectations after 8-weeks of initial engagement</w:t>
      </w:r>
      <w:bookmarkEnd w:id="122"/>
      <w:r>
        <w:t> </w:t>
      </w:r>
    </w:p>
    <w:p w14:paraId="1F85FA1B" w14:textId="77777777" w:rsidR="00C628A1" w:rsidRPr="00C93D56" w:rsidRDefault="00C628A1" w:rsidP="00E47345">
      <w:pPr>
        <w:pStyle w:val="Body"/>
        <w:rPr>
          <w:rFonts w:eastAsiaTheme="minorHAnsi"/>
        </w:rPr>
      </w:pPr>
      <w:r>
        <w:t xml:space="preserve">Where a H2H Client has disengaged in support and/or housing after an initial period of engagement, it is expected that H2H Community Partners will do what is possible to understand why the Client has disengaged. H2H Partners should, where appropriate, contact next of kin and other services to seek additional information that may assist in re-engagement.  H2H Providers should seek to understand what can be put in place to address </w:t>
      </w:r>
      <w:r w:rsidRPr="00747539">
        <w:t>barriers to engagement</w:t>
      </w:r>
      <w:r>
        <w:t xml:space="preserve"> and it is expected that H2H Providers will continually attempt to engage hard to reach Clients throughout the support period. </w:t>
      </w:r>
      <w:r w:rsidRPr="00F625C3">
        <w:t>Support intensity can rise and fall, so services need to respond positively when people require more or less support.</w:t>
      </w:r>
    </w:p>
    <w:p w14:paraId="71D8B087" w14:textId="77777777" w:rsidR="00C628A1" w:rsidRDefault="00C628A1" w:rsidP="00E47345">
      <w:pPr>
        <w:pStyle w:val="Body"/>
      </w:pPr>
      <w:r>
        <w:t>Where the H2H Client wants to remain in the housing but disengages from support, existing </w:t>
      </w:r>
      <w:r w:rsidRPr="00F53241">
        <w:rPr>
          <w:i/>
          <w:iCs/>
        </w:rPr>
        <w:t>Residential Tenancies Act (RTA)</w:t>
      </w:r>
      <w:r>
        <w:t> </w:t>
      </w:r>
      <w:r>
        <w:rPr>
          <w:i/>
          <w:iCs/>
        </w:rPr>
        <w:t>1997</w:t>
      </w:r>
      <w:r>
        <w:t xml:space="preserve"> rules continue to apply for the tenancy. </w:t>
      </w:r>
    </w:p>
    <w:p w14:paraId="20F91944" w14:textId="77777777" w:rsidR="00C628A1" w:rsidRDefault="00C628A1" w:rsidP="00E47345">
      <w:pPr>
        <w:pStyle w:val="Body"/>
      </w:pPr>
      <w:r>
        <w:t>Where the H2H Client has abandoned the property and is still accepting support, the H2H Community Partner will work with the Client to determine why the H2H Client has left the property. Community partners should encourage and support the H2H Client to return and move back into the property unless there are psychological, environmental and or physical safety concerns. </w:t>
      </w:r>
      <w:r w:rsidDel="00DE1BDE">
        <w:t xml:space="preserve"> </w:t>
      </w:r>
    </w:p>
    <w:p w14:paraId="0F4B00AD" w14:textId="77777777" w:rsidR="00C628A1" w:rsidRDefault="00C628A1" w:rsidP="00E47345">
      <w:pPr>
        <w:pStyle w:val="Body"/>
      </w:pPr>
      <w:r w:rsidRPr="0CDAF79E">
        <w:t>Whe</w:t>
      </w:r>
      <w:r>
        <w:t>n a</w:t>
      </w:r>
      <w:r w:rsidRPr="0CDAF79E">
        <w:t xml:space="preserve"> Client remains engaged in support but cannot return </w:t>
      </w:r>
      <w:r>
        <w:t>to their property</w:t>
      </w:r>
      <w:r w:rsidRPr="0CDAF79E">
        <w:t xml:space="preserve">, support does not </w:t>
      </w:r>
      <w:r w:rsidRPr="0CDAF79E" w:rsidDel="001C43FC">
        <w:t>cease</w:t>
      </w:r>
      <w:r>
        <w:t>. Community partners should provide alternative accommodation where appropriate. If a Client is evicted due to severe damage or violent behaviour, Community partners can offer Clients emergency accommodation. For public housing, the H2H Community Partner will work closely with the local housing office to assess whether a priority transfer is an option.  </w:t>
      </w:r>
    </w:p>
    <w:p w14:paraId="4B659E73" w14:textId="77777777" w:rsidR="00C628A1" w:rsidRDefault="00C628A1" w:rsidP="00E47345">
      <w:pPr>
        <w:pStyle w:val="Body"/>
      </w:pPr>
      <w:r>
        <w:t>P</w:t>
      </w:r>
      <w:r w:rsidRPr="0CDAF79E">
        <w:t>ayment to providers will not cease</w:t>
      </w:r>
      <w:r>
        <w:t xml:space="preserve">. </w:t>
      </w:r>
    </w:p>
    <w:p w14:paraId="22B73A00" w14:textId="77777777" w:rsidR="00E47345" w:rsidRDefault="00E47345">
      <w:pPr>
        <w:spacing w:after="0" w:line="240" w:lineRule="auto"/>
        <w:rPr>
          <w:b/>
          <w:color w:val="032833" w:themeColor="text1"/>
          <w:sz w:val="32"/>
          <w:szCs w:val="28"/>
        </w:rPr>
      </w:pPr>
      <w:r>
        <w:br w:type="page"/>
      </w:r>
    </w:p>
    <w:p w14:paraId="1C1966EC" w14:textId="77777777" w:rsidR="00E47345" w:rsidRDefault="00E47345" w:rsidP="00E47345">
      <w:pPr>
        <w:pStyle w:val="Heading1"/>
      </w:pPr>
      <w:bookmarkStart w:id="123" w:name="_Toc88218403"/>
      <w:bookmarkStart w:id="124" w:name="_Toc88218874"/>
      <w:bookmarkStart w:id="125" w:name="_Toc121134105"/>
      <w:r>
        <w:lastRenderedPageBreak/>
        <w:t>Temporary Absence, Incident Reporting, and Financial Implications</w:t>
      </w:r>
      <w:bookmarkEnd w:id="123"/>
      <w:bookmarkEnd w:id="124"/>
      <w:bookmarkEnd w:id="125"/>
    </w:p>
    <w:p w14:paraId="158E2E59" w14:textId="77777777" w:rsidR="00E47345" w:rsidRDefault="00E47345" w:rsidP="00E47345">
      <w:pPr>
        <w:pStyle w:val="Heading2"/>
        <w:rPr>
          <w:rFonts w:cs="Arial"/>
        </w:rPr>
      </w:pPr>
      <w:bookmarkStart w:id="126" w:name="_Toc88218404"/>
      <w:bookmarkStart w:id="127" w:name="_Toc88218875"/>
      <w:bookmarkStart w:id="128" w:name="_Toc121134106"/>
      <w:r>
        <w:t>Temporary Absence</w:t>
      </w:r>
      <w:bookmarkEnd w:id="126"/>
      <w:bookmarkEnd w:id="127"/>
      <w:bookmarkEnd w:id="128"/>
      <w:r>
        <w:t xml:space="preserve"> </w:t>
      </w:r>
    </w:p>
    <w:p w14:paraId="0A94D22B" w14:textId="77777777" w:rsidR="00E47345" w:rsidRDefault="00E47345" w:rsidP="00E47345">
      <w:pPr>
        <w:pStyle w:val="Body"/>
        <w:rPr>
          <w:sz w:val="22"/>
          <w:szCs w:val="22"/>
        </w:rPr>
      </w:pPr>
      <w:r w:rsidRPr="2FB20AC5">
        <w:t>In some cases, H2H Clients may require a temporary absence from rent payments due to incarceration, or a stay in hospital., rehabilitation, detox, mental health, or respite facility. </w:t>
      </w:r>
      <w:r w:rsidRPr="004D7E35">
        <w:t>It is expected that the support will continue if required during this period</w:t>
      </w:r>
      <w:r w:rsidRPr="2FB20AC5">
        <w:t xml:space="preserve">. </w:t>
      </w:r>
      <w:r w:rsidRPr="2FB20AC5">
        <w:rPr>
          <w:lang w:val="en-US"/>
        </w:rPr>
        <w:t>Special circumstances include:</w:t>
      </w:r>
      <w:r w:rsidRPr="2FB20AC5">
        <w:t> </w:t>
      </w:r>
    </w:p>
    <w:p w14:paraId="0A4F7A31" w14:textId="77777777" w:rsidR="00E47345" w:rsidRDefault="00E47345" w:rsidP="00E47345">
      <w:pPr>
        <w:pStyle w:val="Bullet1"/>
        <w:rPr>
          <w:lang w:eastAsia="en-AU"/>
        </w:rPr>
      </w:pPr>
      <w:r w:rsidRPr="755AA332">
        <w:rPr>
          <w:lang w:val="en-US" w:eastAsia="en-AU"/>
        </w:rPr>
        <w:t>psychiatric, physical or drug or alcohol rehabilitation treatment.</w:t>
      </w:r>
      <w:r w:rsidRPr="755AA332">
        <w:rPr>
          <w:lang w:eastAsia="en-AU"/>
        </w:rPr>
        <w:t> </w:t>
      </w:r>
    </w:p>
    <w:p w14:paraId="260F509E" w14:textId="77777777" w:rsidR="00E47345" w:rsidRDefault="00E47345" w:rsidP="00E47345">
      <w:pPr>
        <w:pStyle w:val="Bullet1"/>
        <w:rPr>
          <w:lang w:eastAsia="en-AU"/>
        </w:rPr>
      </w:pPr>
      <w:r w:rsidRPr="755AA332">
        <w:rPr>
          <w:lang w:eastAsia="en-AU"/>
        </w:rPr>
        <w:t>respite care due to unforeseen emergencies, for example an elderly renter who has been admitted for medical treatment for an extended period, or </w:t>
      </w:r>
    </w:p>
    <w:p w14:paraId="34947452" w14:textId="77777777" w:rsidR="00E47345" w:rsidRPr="00387DA3" w:rsidRDefault="00E47345" w:rsidP="00E47345">
      <w:pPr>
        <w:pStyle w:val="Bullet1"/>
        <w:rPr>
          <w:rFonts w:eastAsiaTheme="minorHAnsi"/>
          <w:lang w:eastAsia="en-AU"/>
        </w:rPr>
      </w:pPr>
      <w:r w:rsidRPr="755AA332">
        <w:rPr>
          <w:lang w:eastAsia="en-AU"/>
        </w:rPr>
        <w:t>remand or incarceration for a period up to six months. In the event the remand and/or incarceration is for longer than six months, the renter may submit a request for an extension to the department for consideration.  </w:t>
      </w:r>
    </w:p>
    <w:p w14:paraId="3E3F4D19" w14:textId="77777777" w:rsidR="00E47345" w:rsidRDefault="00E47345" w:rsidP="00E47345">
      <w:pPr>
        <w:pStyle w:val="Heading2"/>
      </w:pPr>
      <w:bookmarkStart w:id="129" w:name="_Toc88218405"/>
      <w:bookmarkStart w:id="130" w:name="_Toc88218876"/>
      <w:bookmarkStart w:id="131" w:name="_Toc121134107"/>
      <w:r>
        <w:rPr>
          <w:lang w:val="en-US"/>
        </w:rPr>
        <w:t xml:space="preserve">Temporary Absence for </w:t>
      </w:r>
      <w:r>
        <w:t>Public Housing Properties</w:t>
      </w:r>
      <w:bookmarkEnd w:id="129"/>
      <w:bookmarkEnd w:id="130"/>
      <w:bookmarkEnd w:id="131"/>
      <w:r>
        <w:t xml:space="preserve"> </w:t>
      </w:r>
    </w:p>
    <w:p w14:paraId="1D7D93B9" w14:textId="77777777" w:rsidR="00E47345" w:rsidRDefault="00E47345" w:rsidP="00E47345">
      <w:pPr>
        <w:pStyle w:val="Body"/>
      </w:pPr>
      <w:r w:rsidRPr="2FB20AC5">
        <w:rPr>
          <w:lang w:val="en-US"/>
        </w:rPr>
        <w:t>The Department of Families, Fairness and Housing (DFFH) </w:t>
      </w:r>
      <w:proofErr w:type="spellStart"/>
      <w:r w:rsidRPr="2FB20AC5">
        <w:rPr>
          <w:lang w:val="en-US"/>
        </w:rPr>
        <w:t>recognises</w:t>
      </w:r>
      <w:proofErr w:type="spellEnd"/>
      <w:r w:rsidRPr="2FB20AC5">
        <w:rPr>
          <w:lang w:val="en-US"/>
        </w:rPr>
        <w:t xml:space="preserve"> that public housing </w:t>
      </w:r>
      <w:r>
        <w:rPr>
          <w:lang w:val="en-US"/>
        </w:rPr>
        <w:t>renters</w:t>
      </w:r>
      <w:r w:rsidRPr="2FB20AC5">
        <w:rPr>
          <w:lang w:val="en-US"/>
        </w:rPr>
        <w:t xml:space="preserve"> may be absent from their property for periods of time. </w:t>
      </w:r>
      <w:r>
        <w:rPr>
          <w:lang w:val="en-US"/>
        </w:rPr>
        <w:t>Homes Victoria</w:t>
      </w:r>
      <w:r w:rsidRPr="2FB20AC5">
        <w:rPr>
          <w:lang w:val="en-US"/>
        </w:rPr>
        <w:t xml:space="preserve"> accepts periods of temporary absence of up to six months. </w:t>
      </w:r>
      <w:r>
        <w:rPr>
          <w:lang w:val="en-US"/>
        </w:rPr>
        <w:t>Homes Victoria</w:t>
      </w:r>
      <w:r w:rsidRPr="2FB20AC5">
        <w:rPr>
          <w:lang w:val="en-US"/>
        </w:rPr>
        <w:t xml:space="preserve"> also </w:t>
      </w:r>
      <w:proofErr w:type="spellStart"/>
      <w:r w:rsidRPr="2FB20AC5">
        <w:rPr>
          <w:lang w:val="en-US"/>
        </w:rPr>
        <w:t>recognises</w:t>
      </w:r>
      <w:proofErr w:type="spellEnd"/>
      <w:r w:rsidRPr="2FB20AC5">
        <w:rPr>
          <w:lang w:val="en-US"/>
        </w:rPr>
        <w:t> the level of demand for limited public housing resources and therefore does not generally approve temporary absences for longer periods of time. Temporary absence in excess of six months will only be granted in special circumstances.</w:t>
      </w:r>
      <w:r w:rsidRPr="2FB20AC5">
        <w:t> </w:t>
      </w:r>
    </w:p>
    <w:p w14:paraId="7598D94D" w14:textId="77777777" w:rsidR="00E47345" w:rsidRDefault="00E47345" w:rsidP="00E47345">
      <w:pPr>
        <w:pStyle w:val="Body"/>
        <w:rPr>
          <w:sz w:val="22"/>
          <w:szCs w:val="22"/>
        </w:rPr>
      </w:pPr>
      <w:r>
        <w:rPr>
          <w:lang w:val="en-US"/>
        </w:rPr>
        <w:t>Homes Victoria’s objectives in managing temporary absences from public housing properties are to:</w:t>
      </w:r>
      <w:r>
        <w:t> </w:t>
      </w:r>
    </w:p>
    <w:p w14:paraId="03D5488D" w14:textId="77777777" w:rsidR="00E47345" w:rsidRDefault="00E47345" w:rsidP="00E47345">
      <w:pPr>
        <w:pStyle w:val="Bullet1"/>
        <w:rPr>
          <w:lang w:eastAsia="en-AU"/>
        </w:rPr>
      </w:pPr>
      <w:r w:rsidRPr="755AA332">
        <w:rPr>
          <w:lang w:val="en-US" w:eastAsia="en-AU"/>
        </w:rPr>
        <w:t>work with vulnerable renters and households to sustain their tenancies, and</w:t>
      </w:r>
      <w:r w:rsidRPr="755AA332">
        <w:rPr>
          <w:lang w:eastAsia="en-AU"/>
        </w:rPr>
        <w:t> </w:t>
      </w:r>
    </w:p>
    <w:p w14:paraId="284CFA27" w14:textId="77777777" w:rsidR="00E47345" w:rsidRDefault="00E47345" w:rsidP="00E47345">
      <w:pPr>
        <w:pStyle w:val="Bullet1"/>
        <w:rPr>
          <w:lang w:eastAsia="en-AU"/>
        </w:rPr>
      </w:pPr>
      <w:r w:rsidRPr="755AA332">
        <w:rPr>
          <w:lang w:val="en-US" w:eastAsia="en-AU"/>
        </w:rPr>
        <w:t>re-let properties to eligible applicants in a timely manner as they become vacant. </w:t>
      </w:r>
      <w:r w:rsidRPr="755AA332">
        <w:rPr>
          <w:lang w:eastAsia="en-AU"/>
        </w:rPr>
        <w:t> </w:t>
      </w:r>
    </w:p>
    <w:p w14:paraId="2C257519" w14:textId="77777777" w:rsidR="00E47345" w:rsidRDefault="00E47345" w:rsidP="00E47345">
      <w:pPr>
        <w:pStyle w:val="Body"/>
      </w:pPr>
      <w:r>
        <w:rPr>
          <w:lang w:val="en-US"/>
        </w:rPr>
        <w:t>It is the responsibility of the renter and/or household members to inform the department if they are going to be temporarily absent from the public housing property. Temporary absence also applies when a sole renter is absent due to special circumstances and is living in the property for less than three nights a week. </w:t>
      </w:r>
      <w:r>
        <w:t> </w:t>
      </w:r>
    </w:p>
    <w:p w14:paraId="00805C35" w14:textId="77777777" w:rsidR="00E47345" w:rsidRDefault="00E47345" w:rsidP="00E47345">
      <w:pPr>
        <w:pStyle w:val="Body"/>
      </w:pPr>
      <w:r>
        <w:rPr>
          <w:lang w:val="en-US"/>
        </w:rPr>
        <w:t>Where a H2H Client is in public housing, standard process applies</w:t>
      </w:r>
      <w:r>
        <w:t xml:space="preserve">. </w:t>
      </w:r>
      <w:r>
        <w:rPr>
          <w:lang w:val="en-US"/>
        </w:rPr>
        <w:t>The Temporary Absence Policy applies to all people living in public housing who require their rent temporarily reduced due to special circumstances.</w:t>
      </w:r>
      <w:r>
        <w:t> See special circumstance above.</w:t>
      </w:r>
    </w:p>
    <w:p w14:paraId="4D4A77E7" w14:textId="77777777" w:rsidR="00E47345" w:rsidRDefault="00E47345" w:rsidP="00E47345">
      <w:pPr>
        <w:pStyle w:val="Body"/>
      </w:pPr>
      <w:r>
        <w:t>Please refer to the DFFH Temporary Absence Policy in relation to public housing</w:t>
      </w:r>
    </w:p>
    <w:p w14:paraId="3CE6ABF0" w14:textId="08FECB64" w:rsidR="00E47345" w:rsidRDefault="00000000" w:rsidP="00E47345">
      <w:pPr>
        <w:pStyle w:val="Body"/>
        <w:rPr>
          <w:sz w:val="22"/>
          <w:szCs w:val="22"/>
          <w:lang w:eastAsia="en-AU"/>
        </w:rPr>
      </w:pPr>
      <w:hyperlink r:id="rId33" w:anchor=":~:text=The%20Temporary%20absence%20operational%20guidelines,sole%20tenant%20who%20is%20absent" w:history="1">
        <w:r w:rsidR="00E47345" w:rsidRPr="00A376EA">
          <w:rPr>
            <w:rStyle w:val="Hyperlink"/>
            <w:rFonts w:ascii="Arial" w:hAnsi="Arial" w:cs="Arial"/>
          </w:rPr>
          <w:t>https://providers.dffh.vic.gov.au/tenancy-management-manual-temporary-absence-operational-guidelines-word#:~:text=The%20Temporary%20absence%20operational%20guidelines,sole%20tenant%20who%20is%20absent</w:t>
        </w:r>
      </w:hyperlink>
      <w:r w:rsidR="00E47345">
        <w:rPr>
          <w:sz w:val="22"/>
          <w:szCs w:val="22"/>
          <w:lang w:eastAsia="en-AU"/>
        </w:rPr>
        <w:t>.</w:t>
      </w:r>
    </w:p>
    <w:p w14:paraId="785EF9EA" w14:textId="77777777" w:rsidR="00E47345" w:rsidRDefault="00E47345" w:rsidP="00E47345">
      <w:pPr>
        <w:pStyle w:val="Heading2"/>
        <w:rPr>
          <w:lang w:val="en-US"/>
        </w:rPr>
      </w:pPr>
      <w:bookmarkStart w:id="132" w:name="_Toc88218406"/>
      <w:bookmarkStart w:id="133" w:name="_Toc88218877"/>
      <w:bookmarkStart w:id="134" w:name="_Toc121134108"/>
      <w:r>
        <w:rPr>
          <w:lang w:val="en-US"/>
        </w:rPr>
        <w:lastRenderedPageBreak/>
        <w:t>Temporary Absence for General Lease or Head Leased Properties</w:t>
      </w:r>
      <w:bookmarkEnd w:id="132"/>
      <w:bookmarkEnd w:id="133"/>
      <w:bookmarkEnd w:id="134"/>
      <w:r>
        <w:rPr>
          <w:lang w:val="en-US"/>
        </w:rPr>
        <w:t> </w:t>
      </w:r>
    </w:p>
    <w:p w14:paraId="6EA67D24" w14:textId="77777777" w:rsidR="00E47345" w:rsidRDefault="00E47345" w:rsidP="00E47345">
      <w:pPr>
        <w:pStyle w:val="Body"/>
      </w:pPr>
      <w:r>
        <w:t>Where a Client residing in a General Lease or a Head Lease private rental property is incarcerated, the H2H Community Partner determines the time which the property remains vacant. Community Partners will be responsible for the costs associated with temporary absence in these types of properties.</w:t>
      </w:r>
    </w:p>
    <w:p w14:paraId="041BC717" w14:textId="77777777" w:rsidR="00E47345" w:rsidRDefault="00E47345" w:rsidP="00E47345">
      <w:pPr>
        <w:pStyle w:val="Body"/>
      </w:pPr>
      <w:r>
        <w:t>If a H2H Client is incarcerated, the H2H Community Partner should attempt to ascertain the sentencing outcome before ending or continuing the lease considering financial implications.    </w:t>
      </w:r>
    </w:p>
    <w:p w14:paraId="38B17E52" w14:textId="77777777" w:rsidR="00E47345" w:rsidRDefault="00E47345" w:rsidP="00E47345">
      <w:pPr>
        <w:pStyle w:val="Body"/>
      </w:pPr>
      <w:r>
        <w:t>The Community Partner will determine the period after which a package is closed. The support and housing package can be reallocated to another H2H eligible Client. After</w:t>
      </w:r>
      <w:r w:rsidRPr="001B34CA">
        <w:t xml:space="preserve"> release from prison, the person can reapply </w:t>
      </w:r>
      <w:r>
        <w:t>for H2H support if they are still eligible and available support packages. </w:t>
      </w:r>
    </w:p>
    <w:p w14:paraId="0C47D5C7" w14:textId="77777777" w:rsidR="00E47345" w:rsidRDefault="00E47345" w:rsidP="00E47345">
      <w:pPr>
        <w:pStyle w:val="Body"/>
      </w:pPr>
      <w:r>
        <w:t>In the case of a person incarcerated for a period longer than one month after accepting H2H support, the support period will be closed, and the support and housing will be reallocated to another H2H eligible Client. After the incarcerated person is released from prison, they can reapply for H2H if they are still eligible and if packages are available.</w:t>
      </w:r>
    </w:p>
    <w:p w14:paraId="3AE0D96F" w14:textId="77777777" w:rsidR="00E47345" w:rsidRDefault="00E47345" w:rsidP="00E47345">
      <w:pPr>
        <w:pStyle w:val="Heading2"/>
      </w:pPr>
      <w:bookmarkStart w:id="135" w:name="_Toc88218407"/>
      <w:bookmarkStart w:id="136" w:name="_Toc88218878"/>
      <w:bookmarkStart w:id="137" w:name="_Toc121134109"/>
      <w:r>
        <w:t>Incident Reporting</w:t>
      </w:r>
      <w:bookmarkEnd w:id="135"/>
      <w:bookmarkEnd w:id="136"/>
      <w:bookmarkEnd w:id="137"/>
    </w:p>
    <w:p w14:paraId="5F023C42" w14:textId="77777777" w:rsidR="00E47345" w:rsidRDefault="00E47345" w:rsidP="00E47345">
      <w:pPr>
        <w:pStyle w:val="Body"/>
        <w:rPr>
          <w:rFonts w:eastAsiaTheme="minorHAnsi"/>
        </w:rPr>
      </w:pPr>
      <w:r>
        <w:t xml:space="preserve">All Client incidents, including the management of serious and major incidents within General lease and Head lease properties, are the responsibility of the H2H Community Partners. However, at times incidents such as Category One incidents can get escalated directly to the department for a response or action. </w:t>
      </w:r>
    </w:p>
    <w:p w14:paraId="73CE8E02" w14:textId="31CD5F72" w:rsidR="00E47345" w:rsidRDefault="00E47345" w:rsidP="00E47345">
      <w:pPr>
        <w:pStyle w:val="Body"/>
      </w:pPr>
      <w:r>
        <w:t xml:space="preserve">To enable Homes Victoria and DFFH to best support Community Partners to manage these incidents and issues, Community Partners should alert the department by providing a copy of the report that was submitted in Client Incident Management System (CIMS) to: </w:t>
      </w:r>
      <w:hyperlink r:id="rId34" w:history="1">
        <w:r w:rsidRPr="005D595F">
          <w:rPr>
            <w:rStyle w:val="Hyperlink"/>
            <w:rFonts w:ascii="Arial" w:hAnsi="Arial" w:cs="Arial"/>
          </w:rPr>
          <w:t>HomelessnessToHome@homes.vic.gov.au</w:t>
        </w:r>
      </w:hyperlink>
      <w:r>
        <w:t xml:space="preserve">.  </w:t>
      </w:r>
    </w:p>
    <w:p w14:paraId="562AE15B" w14:textId="77777777" w:rsidR="00E47345" w:rsidRDefault="00E47345" w:rsidP="00E47345">
      <w:pPr>
        <w:pStyle w:val="Body"/>
      </w:pPr>
      <w:r>
        <w:t>H2H agencies not in scope for CIMS (Client Incident Management System) can report on the Victorian Health Incident Management System (VHIMS) for reporting. </w:t>
      </w:r>
    </w:p>
    <w:p w14:paraId="26D15323" w14:textId="77777777" w:rsidR="00E47345" w:rsidRDefault="00E47345" w:rsidP="00E47345">
      <w:pPr>
        <w:pStyle w:val="Heading1"/>
      </w:pPr>
      <w:bookmarkStart w:id="138" w:name="_Toc88218408"/>
      <w:bookmarkStart w:id="139" w:name="_Toc88218879"/>
      <w:bookmarkStart w:id="140" w:name="_Toc121134110"/>
      <w:r>
        <w:t>Governance</w:t>
      </w:r>
      <w:bookmarkEnd w:id="138"/>
      <w:bookmarkEnd w:id="139"/>
      <w:bookmarkEnd w:id="140"/>
      <w:r>
        <w:t xml:space="preserve"> </w:t>
      </w:r>
    </w:p>
    <w:p w14:paraId="476F343D" w14:textId="248C2B07" w:rsidR="00E47345" w:rsidRPr="00DB56FC" w:rsidRDefault="009129CC" w:rsidP="00E47345">
      <w:pPr>
        <w:pStyle w:val="DHHSbody"/>
        <w:jc w:val="both"/>
        <w:rPr>
          <w:rFonts w:ascii="Verdana" w:hAnsi="Verdana"/>
          <w:i/>
          <w:iCs/>
          <w:sz w:val="21"/>
          <w:szCs w:val="21"/>
        </w:rPr>
      </w:pPr>
      <w:r>
        <w:rPr>
          <w:rFonts w:ascii="Verdana" w:hAnsi="Verdana"/>
          <w:sz w:val="21"/>
          <w:szCs w:val="21"/>
        </w:rPr>
        <w:t>Diagram 4 below</w:t>
      </w:r>
      <w:r w:rsidR="00E47345" w:rsidRPr="00DB56FC">
        <w:rPr>
          <w:rFonts w:ascii="Verdana" w:hAnsi="Verdana"/>
          <w:sz w:val="21"/>
          <w:szCs w:val="21"/>
        </w:rPr>
        <w:t xml:space="preserve"> is the governance framework for the H2H program. </w:t>
      </w:r>
      <w:r w:rsidR="00E47345" w:rsidRPr="00DB56FC">
        <w:rPr>
          <w:rFonts w:ascii="Verdana" w:hAnsi="Verdana"/>
          <w:i/>
          <w:iCs/>
          <w:sz w:val="21"/>
          <w:szCs w:val="21"/>
        </w:rPr>
        <w:t>Note: modifications and changes may be made to structure during the program according to program requirements.</w:t>
      </w:r>
    </w:p>
    <w:p w14:paraId="738FD2E1" w14:textId="28FD2C21" w:rsidR="001324DD" w:rsidRDefault="001324DD" w:rsidP="00E47345">
      <w:pPr>
        <w:pStyle w:val="Body"/>
        <w:rPr>
          <w:rFonts w:eastAsia="MS Gothic" w:cs="Arial"/>
          <w:kern w:val="32"/>
          <w:sz w:val="44"/>
          <w:szCs w:val="44"/>
        </w:rPr>
      </w:pPr>
    </w:p>
    <w:p w14:paraId="04262740" w14:textId="702F287C" w:rsidR="00466829" w:rsidRDefault="00807461" w:rsidP="00E47345">
      <w:pPr>
        <w:pStyle w:val="Body"/>
        <w:rPr>
          <w:rFonts w:eastAsia="MS Gothic" w:cs="Arial"/>
          <w:kern w:val="32"/>
          <w:sz w:val="44"/>
          <w:szCs w:val="44"/>
        </w:rPr>
      </w:pPr>
      <w:r w:rsidRPr="00807461">
        <w:rPr>
          <w:rFonts w:eastAsia="MS Gothic" w:cs="Arial"/>
          <w:noProof/>
          <w:kern w:val="32"/>
          <w:sz w:val="44"/>
          <w:szCs w:val="44"/>
        </w:rPr>
        <w:lastRenderedPageBreak/>
        <w:drawing>
          <wp:inline distT="0" distB="0" distL="0" distR="0" wp14:anchorId="5C311FF2" wp14:editId="0EB86192">
            <wp:extent cx="4627544" cy="2390775"/>
            <wp:effectExtent l="0" t="0" r="1905" b="0"/>
            <wp:docPr id="1" name="Picture 1" descr="H2H Program Governance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2H Program Governance Structure"/>
                    <pic:cNvPicPr/>
                  </pic:nvPicPr>
                  <pic:blipFill>
                    <a:blip r:embed="rId35"/>
                    <a:stretch>
                      <a:fillRect/>
                    </a:stretch>
                  </pic:blipFill>
                  <pic:spPr>
                    <a:xfrm>
                      <a:off x="0" y="0"/>
                      <a:ext cx="4632501" cy="2393336"/>
                    </a:xfrm>
                    <a:prstGeom prst="rect">
                      <a:avLst/>
                    </a:prstGeom>
                  </pic:spPr>
                </pic:pic>
              </a:graphicData>
            </a:graphic>
          </wp:inline>
        </w:drawing>
      </w:r>
    </w:p>
    <w:p w14:paraId="472B2F0B" w14:textId="77777777" w:rsidR="00E47345" w:rsidRDefault="00E47345" w:rsidP="00E47345">
      <w:pPr>
        <w:pStyle w:val="DHHSbullet1"/>
        <w:spacing w:after="120"/>
        <w:jc w:val="center"/>
        <w:rPr>
          <w:b/>
        </w:rPr>
      </w:pPr>
      <w:r w:rsidRPr="007677CE">
        <w:rPr>
          <w:b/>
          <w:bCs/>
        </w:rPr>
        <w:t>Diagram 4</w:t>
      </w:r>
      <w:r>
        <w:t>: H2H Program Governance Structure</w:t>
      </w:r>
    </w:p>
    <w:p w14:paraId="65D35252" w14:textId="3A70C27C" w:rsidR="00E47345" w:rsidRDefault="00E47345" w:rsidP="00E47345">
      <w:pPr>
        <w:pStyle w:val="Heading2"/>
      </w:pPr>
      <w:bookmarkStart w:id="141" w:name="_Toc121134111"/>
      <w:r>
        <w:t>IHR Steering Committee</w:t>
      </w:r>
      <w:bookmarkEnd w:id="141"/>
    </w:p>
    <w:p w14:paraId="770A0407" w14:textId="53DDB1A6" w:rsidR="00E47345" w:rsidRDefault="00E47345" w:rsidP="00E47345">
      <w:pPr>
        <w:pStyle w:val="Body"/>
      </w:pPr>
      <w:r>
        <w:t xml:space="preserve">The IHR Steering Committee is a strategic internal decision-making group accountable for the overall success of the H2H Program. This group is meeting fortnightly for 30 minutes. The Executive Director of </w:t>
      </w:r>
      <w:r w:rsidR="5A94E17E">
        <w:t xml:space="preserve">Housing and Homelessness Support </w:t>
      </w:r>
      <w:r>
        <w:t>is chairing this meeting.</w:t>
      </w:r>
    </w:p>
    <w:p w14:paraId="5649847E" w14:textId="77777777" w:rsidR="00E47345" w:rsidRDefault="00E47345" w:rsidP="00E47345">
      <w:pPr>
        <w:pStyle w:val="Body"/>
        <w:rPr>
          <w:b/>
        </w:rPr>
      </w:pPr>
      <w:r>
        <w:rPr>
          <w:b/>
        </w:rPr>
        <w:t>H2H Program Evaluation Governance Group (PEGG)</w:t>
      </w:r>
    </w:p>
    <w:p w14:paraId="5D6CAAAA" w14:textId="6DC1FB78" w:rsidR="00E47345" w:rsidRDefault="00E47345" w:rsidP="00E47345">
      <w:pPr>
        <w:pStyle w:val="Body"/>
        <w:rPr>
          <w:bCs/>
        </w:rPr>
      </w:pPr>
      <w:r>
        <w:rPr>
          <w:bCs/>
        </w:rPr>
        <w:t>The purpose of the H2H PEGG is to support the monitoring and implementation of the H2H Evaluation project plan. In addition, the group will identify any risks and issues and propose mitigation strategies and actions (including risks and/or issues to be escalated) for decision making at the IHR Steering Committee.</w:t>
      </w:r>
    </w:p>
    <w:p w14:paraId="2CDC343E" w14:textId="45D915F7" w:rsidR="00E47345" w:rsidRDefault="00E47345" w:rsidP="00E47345">
      <w:pPr>
        <w:pStyle w:val="Body"/>
        <w:rPr>
          <w:bCs/>
        </w:rPr>
      </w:pPr>
      <w:r>
        <w:rPr>
          <w:bCs/>
        </w:rPr>
        <w:t>The Group consists of representatives from homelessness units, Aboriginal Housing Unit in Homes Victoria, Community Operations and Practice Leadership (COPL), Centre for Evidence and Research Evaluation (CERE), Community Housing Industry Association (CHIA) Victoria, Aboriginal Housing Board Victoria (AHV), Council to Homeless Persons (CHP) and the H2H Community Partner groups.</w:t>
      </w:r>
    </w:p>
    <w:p w14:paraId="16CD0B5D" w14:textId="77376A48" w:rsidR="00E47345" w:rsidRDefault="00E47345" w:rsidP="00E47345">
      <w:pPr>
        <w:pStyle w:val="Heading2"/>
      </w:pPr>
      <w:bookmarkStart w:id="142" w:name="_Toc121134112"/>
      <w:r>
        <w:t xml:space="preserve">Housing </w:t>
      </w:r>
      <w:r w:rsidRPr="00A47891">
        <w:t>Interdepartmental Committee</w:t>
      </w:r>
      <w:bookmarkEnd w:id="142"/>
    </w:p>
    <w:p w14:paraId="5339A448" w14:textId="77777777" w:rsidR="00E47345" w:rsidRDefault="00E47345" w:rsidP="00E47345">
      <w:pPr>
        <w:pStyle w:val="Body"/>
      </w:pPr>
      <w:r w:rsidRPr="00A376EA">
        <w:t>The Housing Interdepartmental Committee (IDC) will coordinate Whole of Victorian Government efforts across the spectrum of housing policy, comprising market housing, affordable housing (as</w:t>
      </w:r>
      <w:r>
        <w:t xml:space="preserve"> </w:t>
      </w:r>
      <w:r w:rsidRPr="00A376EA">
        <w:t xml:space="preserve">defined in the </w:t>
      </w:r>
      <w:r w:rsidRPr="00A376EA">
        <w:rPr>
          <w:i/>
          <w:iCs/>
        </w:rPr>
        <w:t>Planning and Environment Act 1987</w:t>
      </w:r>
      <w:r w:rsidRPr="00A376EA">
        <w:t>),</w:t>
      </w:r>
      <w:r>
        <w:t xml:space="preserve"> </w:t>
      </w:r>
      <w:r w:rsidRPr="00A376EA">
        <w:t>social housing and homelessness.</w:t>
      </w:r>
    </w:p>
    <w:p w14:paraId="65605285" w14:textId="77777777" w:rsidR="00E47345" w:rsidRPr="00A376EA" w:rsidRDefault="00E47345" w:rsidP="00E47345">
      <w:pPr>
        <w:pStyle w:val="Body"/>
      </w:pPr>
      <w:r>
        <w:t xml:space="preserve">This group is meeting monthly, </w:t>
      </w:r>
      <w:r w:rsidRPr="003C0038">
        <w:t>with meeting frequency to be subject to review and consideration by the</w:t>
      </w:r>
      <w:r>
        <w:t xml:space="preserve"> </w:t>
      </w:r>
      <w:r w:rsidRPr="003C0038">
        <w:t>Co-Chairs</w:t>
      </w:r>
      <w:r>
        <w:t>.</w:t>
      </w:r>
    </w:p>
    <w:p w14:paraId="3B4A9587" w14:textId="23F54684" w:rsidR="00E47345" w:rsidRPr="00A31E4A" w:rsidRDefault="00E47345" w:rsidP="00E47345">
      <w:pPr>
        <w:pStyle w:val="Heading2"/>
      </w:pPr>
      <w:bookmarkStart w:id="143" w:name="_Toc121134113"/>
      <w:r>
        <w:t>IHR CEO Forum</w:t>
      </w:r>
      <w:bookmarkEnd w:id="143"/>
    </w:p>
    <w:p w14:paraId="37573462" w14:textId="4C3AFE35" w:rsidR="00E47345" w:rsidRPr="001204E5" w:rsidRDefault="00E47345" w:rsidP="00E47345">
      <w:pPr>
        <w:pStyle w:val="DHHSbody"/>
      </w:pPr>
      <w:r>
        <w:t xml:space="preserve">This </w:t>
      </w:r>
      <w:r w:rsidRPr="755AA332">
        <w:rPr>
          <w:rStyle w:val="BodyChar"/>
        </w:rPr>
        <w:t>forum has been established as an active engagement with the CEO</w:t>
      </w:r>
      <w:r w:rsidR="72FCEBA5" w:rsidRPr="755AA332">
        <w:rPr>
          <w:rStyle w:val="BodyChar"/>
        </w:rPr>
        <w:t>’s</w:t>
      </w:r>
      <w:r w:rsidRPr="755AA332">
        <w:rPr>
          <w:rStyle w:val="BodyChar"/>
        </w:rPr>
        <w:t xml:space="preserve"> of Community Partners to ensure dialogues and collaborations occur so that the H2H program will be delivered appropriately, effectively, and efficiently across Victoria from its commencement to the next 24 months. Membership of this forum consists of </w:t>
      </w:r>
      <w:r w:rsidR="609E1860" w:rsidRPr="755AA332">
        <w:rPr>
          <w:rStyle w:val="BodyChar"/>
        </w:rPr>
        <w:t xml:space="preserve">the </w:t>
      </w:r>
      <w:r w:rsidRPr="755AA332">
        <w:rPr>
          <w:rStyle w:val="BodyChar"/>
        </w:rPr>
        <w:t>CEO of each Community Partner and representative</w:t>
      </w:r>
      <w:r w:rsidR="12E86676" w:rsidRPr="755AA332">
        <w:rPr>
          <w:rStyle w:val="BodyChar"/>
        </w:rPr>
        <w:t>s</w:t>
      </w:r>
      <w:r w:rsidRPr="755AA332">
        <w:rPr>
          <w:rStyle w:val="BodyChar"/>
        </w:rPr>
        <w:t xml:space="preserve"> of IHR. The CEO of Homes Victoria is chairing this forum.</w:t>
      </w:r>
    </w:p>
    <w:p w14:paraId="2781735D" w14:textId="77777777" w:rsidR="00E47345" w:rsidRPr="00275A7B" w:rsidRDefault="00E47345" w:rsidP="00E47345">
      <w:pPr>
        <w:pStyle w:val="Heading2"/>
      </w:pPr>
      <w:bookmarkStart w:id="144" w:name="_Toc121134114"/>
      <w:r>
        <w:lastRenderedPageBreak/>
        <w:t>IHR</w:t>
      </w:r>
      <w:r w:rsidRPr="00275A7B">
        <w:t xml:space="preserve"> Senior Leadership Forum</w:t>
      </w:r>
      <w:bookmarkEnd w:id="144"/>
    </w:p>
    <w:p w14:paraId="2C336F82" w14:textId="77777777" w:rsidR="00E47345" w:rsidRPr="00275A7B" w:rsidRDefault="00E47345" w:rsidP="00E47345">
      <w:pPr>
        <w:pStyle w:val="Body"/>
      </w:pPr>
      <w:r w:rsidRPr="00275A7B">
        <w:t xml:space="preserve">This forum is accountable to ensure that the H2H program remains on course operationally to deliver its expected outcomes and meets government commitments on time. Membership of this forum consists of representatives from senior management of the </w:t>
      </w:r>
      <w:r>
        <w:t>Community Partner</w:t>
      </w:r>
      <w:r w:rsidRPr="00275A7B">
        <w:t>s, CO</w:t>
      </w:r>
      <w:r>
        <w:t>PL</w:t>
      </w:r>
      <w:r w:rsidRPr="00275A7B">
        <w:t xml:space="preserve">, and </w:t>
      </w:r>
      <w:r>
        <w:t>IHR</w:t>
      </w:r>
      <w:r w:rsidRPr="00275A7B">
        <w:t>. The Director</w:t>
      </w:r>
      <w:r>
        <w:t xml:space="preserve"> of IHR</w:t>
      </w:r>
      <w:r w:rsidRPr="00275A7B">
        <w:t xml:space="preserve"> is chairing this forum.  </w:t>
      </w:r>
    </w:p>
    <w:p w14:paraId="4C4994F5" w14:textId="77777777" w:rsidR="00E47345" w:rsidRPr="00A31E4A" w:rsidRDefault="00E47345" w:rsidP="00E47345">
      <w:pPr>
        <w:pStyle w:val="Heading2"/>
      </w:pPr>
      <w:bookmarkStart w:id="145" w:name="_Toc121134115"/>
      <w:r>
        <w:t>IHR</w:t>
      </w:r>
      <w:r w:rsidRPr="00A31E4A">
        <w:t xml:space="preserve"> – CO</w:t>
      </w:r>
      <w:r>
        <w:t>PL</w:t>
      </w:r>
      <w:r w:rsidRPr="00A31E4A">
        <w:t xml:space="preserve"> Project Control Group</w:t>
      </w:r>
      <w:bookmarkEnd w:id="145"/>
      <w:r>
        <w:t xml:space="preserve"> </w:t>
      </w:r>
    </w:p>
    <w:p w14:paraId="3DE466D3" w14:textId="77777777" w:rsidR="00E47345" w:rsidRDefault="00E47345" w:rsidP="00E47345">
      <w:pPr>
        <w:pStyle w:val="Body"/>
      </w:pPr>
      <w:r>
        <w:t>This working group is established as the i</w:t>
      </w:r>
      <w:r w:rsidRPr="00BE6B07">
        <w:t xml:space="preserve">nternal decision-making group to facilitate </w:t>
      </w:r>
      <w:r>
        <w:t>Clients</w:t>
      </w:r>
      <w:r w:rsidRPr="00BE6B07">
        <w:t xml:space="preserve"> exits to current </w:t>
      </w:r>
      <w:r>
        <w:t>public housing</w:t>
      </w:r>
      <w:r w:rsidRPr="00BE6B07">
        <w:t xml:space="preserve"> dwellings</w:t>
      </w:r>
      <w:r>
        <w:t>.</w:t>
      </w:r>
    </w:p>
    <w:p w14:paraId="7E499519" w14:textId="139F0142" w:rsidR="00E47345" w:rsidRPr="008F235D" w:rsidRDefault="00E47345" w:rsidP="00E47345">
      <w:pPr>
        <w:pStyle w:val="Body"/>
      </w:pPr>
      <w:r>
        <w:t xml:space="preserve">Membership of this PCG consists of representatives from COPL and IHR. This PCG meets fortnightly for 60 minutes on Tuesday. </w:t>
      </w:r>
    </w:p>
    <w:p w14:paraId="33700AA7" w14:textId="56000982" w:rsidR="00E47345" w:rsidRDefault="00E47345" w:rsidP="0057158A">
      <w:pPr>
        <w:pStyle w:val="Heading1"/>
      </w:pPr>
      <w:bookmarkStart w:id="146" w:name="_Toc88218409"/>
      <w:bookmarkStart w:id="147" w:name="_Toc88218880"/>
      <w:bookmarkStart w:id="148" w:name="_Toc121134116"/>
      <w:r w:rsidRPr="00416166">
        <w:t xml:space="preserve">Performance Monitoring </w:t>
      </w:r>
      <w:r w:rsidRPr="0057158A">
        <w:t>and</w:t>
      </w:r>
      <w:r w:rsidRPr="00416166">
        <w:t xml:space="preserve"> Reporting</w:t>
      </w:r>
      <w:bookmarkEnd w:id="146"/>
      <w:bookmarkEnd w:id="147"/>
      <w:bookmarkEnd w:id="148"/>
    </w:p>
    <w:p w14:paraId="6C557AF0" w14:textId="77777777" w:rsidR="00E47345" w:rsidRPr="00A376EA" w:rsidRDefault="00E47345" w:rsidP="00E47345">
      <w:pPr>
        <w:pStyle w:val="Heading2"/>
        <w:rPr>
          <w:rFonts w:eastAsia="MS Gothic"/>
        </w:rPr>
      </w:pPr>
      <w:bookmarkStart w:id="149" w:name="_Toc88218410"/>
      <w:bookmarkStart w:id="150" w:name="_Toc88218881"/>
      <w:bookmarkStart w:id="151" w:name="_Toc121134117"/>
      <w:r w:rsidRPr="00A376EA">
        <w:t>Overview</w:t>
      </w:r>
      <w:bookmarkEnd w:id="149"/>
      <w:bookmarkEnd w:id="150"/>
      <w:bookmarkEnd w:id="151"/>
    </w:p>
    <w:p w14:paraId="265A33F6" w14:textId="49AC9913" w:rsidR="00E47345" w:rsidRDefault="00E47345" w:rsidP="00E47345">
      <w:pPr>
        <w:pStyle w:val="Body"/>
      </w:pPr>
      <w:r>
        <w:t xml:space="preserve">The </w:t>
      </w:r>
      <w:r w:rsidRPr="00015E48">
        <w:t xml:space="preserve">H2H Performance Monitoring </w:t>
      </w:r>
      <w:r w:rsidRPr="009844C1">
        <w:t>and Reporting</w:t>
      </w:r>
      <w:r>
        <w:t xml:space="preserve"> </w:t>
      </w:r>
      <w:r w:rsidRPr="00015E48">
        <w:t xml:space="preserve">Framework is a </w:t>
      </w:r>
      <w:r w:rsidRPr="00DF3D3F">
        <w:t xml:space="preserve">strategic approach to </w:t>
      </w:r>
      <w:r>
        <w:t>manage the H2H Program</w:t>
      </w:r>
      <w:r w:rsidRPr="00DF3D3F">
        <w:t xml:space="preserve">, which equips </w:t>
      </w:r>
      <w:r w:rsidR="008207AF">
        <w:t>Homes Victoria</w:t>
      </w:r>
      <w:r>
        <w:t xml:space="preserve"> and other stakeholders </w:t>
      </w:r>
      <w:r w:rsidRPr="00DF3D3F">
        <w:t xml:space="preserve">with a set of tools and techniques to regularly plan, continuously monitor, periodically measure and review performance of the </w:t>
      </w:r>
      <w:r>
        <w:t>program delivery</w:t>
      </w:r>
      <w:r w:rsidRPr="00DF3D3F">
        <w:t xml:space="preserve"> in terms of indicators and targets for efficiency, effectiveness and impact</w:t>
      </w:r>
      <w:r>
        <w:t>.</w:t>
      </w:r>
    </w:p>
    <w:p w14:paraId="6D88380F" w14:textId="44B7F3D8" w:rsidR="00E47345" w:rsidRDefault="00E47345" w:rsidP="00E47345">
      <w:pPr>
        <w:pStyle w:val="Body"/>
        <w:rPr>
          <w:b/>
          <w:i/>
        </w:rPr>
      </w:pPr>
      <w:r w:rsidRPr="006A5A38">
        <w:rPr>
          <w:b/>
          <w:i/>
        </w:rPr>
        <w:t>Diagram 6. H2H Performance Monitoring and Reporting Framework</w:t>
      </w:r>
    </w:p>
    <w:p w14:paraId="60128899" w14:textId="77777777" w:rsidR="00E47345" w:rsidRPr="006A5A38" w:rsidRDefault="00E47345" w:rsidP="00E47345">
      <w:pPr>
        <w:pStyle w:val="Body"/>
        <w:rPr>
          <w:b/>
          <w:i/>
        </w:rPr>
      </w:pPr>
    </w:p>
    <w:p w14:paraId="5D641F58" w14:textId="77777777" w:rsidR="00E47345" w:rsidRDefault="00E47345" w:rsidP="00E47345">
      <w:pPr>
        <w:pStyle w:val="Body"/>
      </w:pPr>
      <w:r>
        <w:rPr>
          <w:noProof/>
        </w:rPr>
        <w:drawing>
          <wp:inline distT="0" distB="0" distL="0" distR="0" wp14:anchorId="557A476C" wp14:editId="53A89F56">
            <wp:extent cx="5148000" cy="2952750"/>
            <wp:effectExtent l="0" t="12700" r="0" b="6350"/>
            <wp:docPr id="9" name="Diagram 9" descr="H2H Performance Monitoring and Reporting Framework. Planning, Implementation, Monitoring, Evaluation, Continuous Improvement.">
              <a:extLst xmlns:a="http://schemas.openxmlformats.org/drawingml/2006/main">
                <a:ext uri="{FF2B5EF4-FFF2-40B4-BE49-F238E27FC236}">
                  <a16:creationId xmlns:a16="http://schemas.microsoft.com/office/drawing/2014/main" id="{9F09E008-931A-4356-9AF7-0A5E27714ED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2FEF58F3" w14:textId="77777777" w:rsidR="00E47345" w:rsidRDefault="00E47345" w:rsidP="00E47345">
      <w:pPr>
        <w:pStyle w:val="Body"/>
      </w:pPr>
    </w:p>
    <w:p w14:paraId="42F40229" w14:textId="77777777" w:rsidR="00E47345" w:rsidRDefault="00E47345" w:rsidP="00E47345">
      <w:pPr>
        <w:pStyle w:val="Heading2"/>
      </w:pPr>
      <w:bookmarkStart w:id="152" w:name="_Toc88218411"/>
      <w:bookmarkStart w:id="153" w:name="_Toc88218882"/>
      <w:bookmarkStart w:id="154" w:name="_Toc121134118"/>
      <w:r>
        <w:lastRenderedPageBreak/>
        <w:t>Guiding Principles</w:t>
      </w:r>
      <w:bookmarkEnd w:id="152"/>
      <w:bookmarkEnd w:id="153"/>
      <w:bookmarkEnd w:id="154"/>
    </w:p>
    <w:p w14:paraId="2603BC08" w14:textId="77777777" w:rsidR="00E47345" w:rsidRDefault="00E47345" w:rsidP="00E47345">
      <w:pPr>
        <w:pStyle w:val="BodyText"/>
        <w:jc w:val="both"/>
      </w:pPr>
      <w:r>
        <w:t>The program monitoring and reporting framework is designed to the following.</w:t>
      </w:r>
    </w:p>
    <w:p w14:paraId="78515046" w14:textId="77777777" w:rsidR="00E47345" w:rsidRDefault="00E47345" w:rsidP="00E47345">
      <w:pPr>
        <w:pStyle w:val="Bullet1"/>
      </w:pPr>
      <w:r w:rsidRPr="755AA332">
        <w:rPr>
          <w:b/>
          <w:bCs/>
        </w:rPr>
        <w:t>Strengthen accountability</w:t>
      </w:r>
      <w:r>
        <w:t xml:space="preserve"> for the achievement of Client and system outcomes and efficient use of public funding.</w:t>
      </w:r>
    </w:p>
    <w:p w14:paraId="628197AC" w14:textId="77777777" w:rsidR="00E47345" w:rsidRPr="00C92A73" w:rsidRDefault="00E47345" w:rsidP="00E47345">
      <w:pPr>
        <w:pStyle w:val="Bullet1"/>
        <w:rPr>
          <w:rStyle w:val="Hyperlink"/>
        </w:rPr>
      </w:pPr>
      <w:r w:rsidRPr="755AA332">
        <w:rPr>
          <w:b/>
          <w:bCs/>
        </w:rPr>
        <w:t xml:space="preserve">Be aligned with the policy and strategic directions </w:t>
      </w:r>
      <w:r>
        <w:t xml:space="preserve">identified in the </w:t>
      </w:r>
      <w:r w:rsidRPr="755AA332">
        <w:rPr>
          <w:rStyle w:val="Hyperlink"/>
          <w:rFonts w:cs="Arial"/>
        </w:rPr>
        <w:t>Homelessness Services Guidelines and Conditions of Funding May 2014</w:t>
      </w:r>
      <w:r w:rsidRPr="755AA332">
        <w:rPr>
          <w:rFonts w:cs="Arial"/>
        </w:rPr>
        <w:t xml:space="preserve">, and the </w:t>
      </w:r>
      <w:r w:rsidRPr="755AA332">
        <w:rPr>
          <w:rStyle w:val="Hyperlink"/>
          <w:rFonts w:cs="Arial"/>
        </w:rPr>
        <w:t>COVID-19 Amendment to Homelessness Services Guidelines and Conditions of Funding.</w:t>
      </w:r>
    </w:p>
    <w:p w14:paraId="20A48045" w14:textId="77777777" w:rsidR="00E47345" w:rsidRDefault="00E47345" w:rsidP="00E47345">
      <w:pPr>
        <w:pStyle w:val="Bullet1"/>
      </w:pPr>
      <w:r>
        <w:t xml:space="preserve">Drive </w:t>
      </w:r>
      <w:r w:rsidRPr="755AA332">
        <w:rPr>
          <w:b/>
          <w:bCs/>
        </w:rPr>
        <w:t xml:space="preserve">consistency and comparability </w:t>
      </w:r>
      <w:r>
        <w:t>in performance management across funded providers.</w:t>
      </w:r>
    </w:p>
    <w:p w14:paraId="61D9A849" w14:textId="77777777" w:rsidR="00E47345" w:rsidRDefault="00E47345" w:rsidP="00E47345">
      <w:pPr>
        <w:pStyle w:val="Bullet1"/>
      </w:pPr>
      <w:r>
        <w:t xml:space="preserve">Facilitate </w:t>
      </w:r>
      <w:r w:rsidRPr="755AA332">
        <w:rPr>
          <w:b/>
          <w:bCs/>
        </w:rPr>
        <w:t>robust whole-of-program and agency-level performance monitoring and management</w:t>
      </w:r>
      <w:r>
        <w:t xml:space="preserve"> by the department.</w:t>
      </w:r>
    </w:p>
    <w:p w14:paraId="7619F4D3" w14:textId="77777777" w:rsidR="00E47345" w:rsidRDefault="00E47345" w:rsidP="00E47345">
      <w:pPr>
        <w:pStyle w:val="Bullet1"/>
      </w:pPr>
      <w:r w:rsidRPr="755AA332">
        <w:rPr>
          <w:b/>
          <w:bCs/>
        </w:rPr>
        <w:t>Foster funded providers’ capacity</w:t>
      </w:r>
      <w:r>
        <w:t xml:space="preserve"> to measure, understand, and continuously improve the quality of their service delivery.</w:t>
      </w:r>
    </w:p>
    <w:p w14:paraId="5CD2299A" w14:textId="77777777" w:rsidR="00E47345" w:rsidRPr="007C226C" w:rsidRDefault="00E47345" w:rsidP="00E47345">
      <w:pPr>
        <w:pStyle w:val="Bullet1"/>
      </w:pPr>
      <w:r>
        <w:t xml:space="preserve">Be </w:t>
      </w:r>
      <w:r w:rsidRPr="755AA332">
        <w:rPr>
          <w:b/>
          <w:bCs/>
        </w:rPr>
        <w:t xml:space="preserve">practical </w:t>
      </w:r>
      <w:r>
        <w:t xml:space="preserve">to implement and </w:t>
      </w:r>
      <w:r w:rsidRPr="755AA332">
        <w:rPr>
          <w:b/>
          <w:bCs/>
        </w:rPr>
        <w:t xml:space="preserve">evidence based. </w:t>
      </w:r>
    </w:p>
    <w:p w14:paraId="0592E8F8" w14:textId="77777777" w:rsidR="00E47345" w:rsidRDefault="00E47345" w:rsidP="00E47345">
      <w:pPr>
        <w:pStyle w:val="Bullet1"/>
      </w:pPr>
      <w:r w:rsidRPr="755AA332">
        <w:rPr>
          <w:b/>
          <w:bCs/>
        </w:rPr>
        <w:t>Complement</w:t>
      </w:r>
      <w:r>
        <w:t xml:space="preserve"> existing data collections with outcome measurement approaches and allow for data linkage with other social services data.</w:t>
      </w:r>
    </w:p>
    <w:p w14:paraId="70001469" w14:textId="77777777" w:rsidR="00E47345" w:rsidRDefault="00E47345" w:rsidP="00E47345">
      <w:pPr>
        <w:pStyle w:val="Bullet1"/>
      </w:pPr>
      <w:r>
        <w:t>Assist to drive</w:t>
      </w:r>
      <w:r w:rsidRPr="755AA332">
        <w:rPr>
          <w:b/>
          <w:bCs/>
        </w:rPr>
        <w:t xml:space="preserve"> improved and sustained outcomes</w:t>
      </w:r>
      <w:r>
        <w:t xml:space="preserve"> for Clients</w:t>
      </w:r>
    </w:p>
    <w:p w14:paraId="4E1BE153" w14:textId="77777777" w:rsidR="00E47345" w:rsidRDefault="00E47345" w:rsidP="00E47345">
      <w:pPr>
        <w:pStyle w:val="Body"/>
      </w:pPr>
      <w:r>
        <w:t>The program’s performance monitoring and reporting of H2H services will follow processes set out in the Monitoring and Reporting Framework section of this document. This includes:</w:t>
      </w:r>
    </w:p>
    <w:p w14:paraId="1EA01D9F" w14:textId="77777777" w:rsidR="00E47345" w:rsidRPr="006F4428" w:rsidRDefault="00E47345" w:rsidP="00E47345">
      <w:pPr>
        <w:pStyle w:val="Bullet1"/>
        <w:rPr>
          <w:rFonts w:cs="Arial"/>
        </w:rPr>
      </w:pPr>
      <w:r w:rsidRPr="755AA332">
        <w:rPr>
          <w:rFonts w:cs="Arial"/>
        </w:rPr>
        <w:t xml:space="preserve">H2H Community Partners will be required to complete and submit a </w:t>
      </w:r>
      <w:r>
        <w:t>Monthly Client Data Report through a H2H Secure Data Exchange (SDE). Details on these reporting requirements are outlined below, this includes</w:t>
      </w:r>
      <w:r w:rsidRPr="755AA332">
        <w:rPr>
          <w:rFonts w:cs="Arial"/>
        </w:rPr>
        <w:t xml:space="preserve"> reporting on deidentified Client data, support types and housing status.</w:t>
      </w:r>
    </w:p>
    <w:p w14:paraId="7F9D28E3" w14:textId="7AF5057E" w:rsidR="00E47345" w:rsidRDefault="00E47345" w:rsidP="00E47345">
      <w:pPr>
        <w:pStyle w:val="Bullet1"/>
        <w:rPr>
          <w:rFonts w:cs="Arial"/>
        </w:rPr>
      </w:pPr>
      <w:r>
        <w:t xml:space="preserve">H2H Community Partners will be required to complete and submit a Six-Monthly Funding Reconciliation Report to the H2H Program in DFFH as per the schedule outlined in Appendix </w:t>
      </w:r>
      <w:r w:rsidR="009E70A1">
        <w:t>1</w:t>
      </w:r>
      <w:r>
        <w:t xml:space="preserve">, for the duration of the program. </w:t>
      </w:r>
    </w:p>
    <w:p w14:paraId="4B367B49" w14:textId="77777777" w:rsidR="00E47345" w:rsidRPr="006F4428" w:rsidRDefault="00E47345" w:rsidP="00E47345">
      <w:pPr>
        <w:pStyle w:val="Bullet1"/>
      </w:pPr>
      <w:r w:rsidRPr="755AA332">
        <w:rPr>
          <w:rFonts w:cs="Arial"/>
        </w:rPr>
        <w:t>Current homelessness data reporting against funded activities (existing) on a quarterly basis and (new) data reporting on Client support package outcomes (under development).</w:t>
      </w:r>
    </w:p>
    <w:p w14:paraId="04246BE0" w14:textId="77777777" w:rsidR="00E47345" w:rsidRDefault="00E47345" w:rsidP="00E47345">
      <w:pPr>
        <w:pStyle w:val="Body"/>
      </w:pPr>
      <w:r>
        <w:t>Please note</w:t>
      </w:r>
      <w:r w:rsidRPr="00355331">
        <w:t>: H2H Community Partners may</w:t>
      </w:r>
      <w:r>
        <w:t xml:space="preserve"> be required to provide ad hoc data on request and for input to the H2H Program evaluation and other reporting purposes.</w:t>
      </w:r>
    </w:p>
    <w:p w14:paraId="044B2760" w14:textId="77777777" w:rsidR="00E47345" w:rsidRDefault="00E47345" w:rsidP="00E47345">
      <w:pPr>
        <w:pStyle w:val="Heading2"/>
      </w:pPr>
      <w:bookmarkStart w:id="155" w:name="_Toc88218412"/>
      <w:bookmarkStart w:id="156" w:name="_Toc88218883"/>
      <w:bookmarkStart w:id="157" w:name="_Toc121134119"/>
      <w:r>
        <w:t>Key Features</w:t>
      </w:r>
      <w:bookmarkEnd w:id="155"/>
      <w:bookmarkEnd w:id="156"/>
      <w:bookmarkEnd w:id="157"/>
    </w:p>
    <w:p w14:paraId="52324DCA" w14:textId="77777777" w:rsidR="00E47345" w:rsidRPr="00794F1C" w:rsidRDefault="00E47345" w:rsidP="00E47345">
      <w:pPr>
        <w:pStyle w:val="Body"/>
        <w:rPr>
          <w:szCs w:val="21"/>
        </w:rPr>
      </w:pPr>
      <w:r w:rsidRPr="00794F1C">
        <w:rPr>
          <w:szCs w:val="21"/>
        </w:rPr>
        <w:t>The framework has the following key features:</w:t>
      </w:r>
    </w:p>
    <w:p w14:paraId="6EDF15E6" w14:textId="77777777" w:rsidR="00E47345" w:rsidRPr="00B72CFA" w:rsidRDefault="00E47345" w:rsidP="00E47345">
      <w:pPr>
        <w:pStyle w:val="Bullet1"/>
        <w:rPr>
          <w:szCs w:val="21"/>
        </w:rPr>
      </w:pPr>
      <w:r w:rsidRPr="0032019A">
        <w:rPr>
          <w:szCs w:val="21"/>
        </w:rPr>
        <w:t xml:space="preserve">The use of </w:t>
      </w:r>
      <w:r w:rsidRPr="005F13EC">
        <w:rPr>
          <w:b/>
          <w:bCs/>
          <w:szCs w:val="21"/>
        </w:rPr>
        <w:t>multiple data sources</w:t>
      </w:r>
      <w:r w:rsidRPr="00C6100F">
        <w:rPr>
          <w:szCs w:val="21"/>
        </w:rPr>
        <w:t>, including outcome measurement, activity-based data and qualitative information that can be used to monitor and assess provider performance over time.</w:t>
      </w:r>
    </w:p>
    <w:p w14:paraId="7F57F862" w14:textId="77777777" w:rsidR="00E47345" w:rsidRPr="00DB56FC" w:rsidRDefault="00E47345" w:rsidP="00E47345">
      <w:pPr>
        <w:pStyle w:val="Bullet1"/>
        <w:rPr>
          <w:szCs w:val="21"/>
        </w:rPr>
      </w:pPr>
      <w:r w:rsidRPr="00DB56FC">
        <w:rPr>
          <w:szCs w:val="21"/>
        </w:rPr>
        <w:t xml:space="preserve">Inclusion of </w:t>
      </w:r>
      <w:r w:rsidRPr="00DB56FC">
        <w:rPr>
          <w:b/>
          <w:bCs/>
          <w:szCs w:val="21"/>
        </w:rPr>
        <w:t>Client voice data</w:t>
      </w:r>
      <w:r w:rsidRPr="00DB56FC">
        <w:rPr>
          <w:szCs w:val="21"/>
        </w:rPr>
        <w:t xml:space="preserve"> as part of the support packages outcomes data, that supports the monitoring and assessment of service access, effectiveness, safety, responsiveness, and continuity, and provides a genuine and meaningful opportunity for Client involvement in quality improvement.</w:t>
      </w:r>
    </w:p>
    <w:p w14:paraId="6CE0D417" w14:textId="77777777" w:rsidR="00E47345" w:rsidRPr="00B72CFA" w:rsidRDefault="00E47345" w:rsidP="00E47345">
      <w:pPr>
        <w:pStyle w:val="Bullet1"/>
        <w:rPr>
          <w:szCs w:val="21"/>
        </w:rPr>
      </w:pPr>
      <w:r w:rsidRPr="00794F1C">
        <w:rPr>
          <w:szCs w:val="21"/>
        </w:rPr>
        <w:t xml:space="preserve">A focus on enabling the measurement to </w:t>
      </w:r>
      <w:r w:rsidRPr="00794F1C">
        <w:rPr>
          <w:b/>
          <w:bCs/>
          <w:szCs w:val="21"/>
        </w:rPr>
        <w:t>Client and system level outcomes</w:t>
      </w:r>
      <w:r w:rsidRPr="0032019A">
        <w:rPr>
          <w:szCs w:val="21"/>
        </w:rPr>
        <w:t>, including the extent to which the H2H</w:t>
      </w:r>
      <w:r w:rsidRPr="005F13EC">
        <w:rPr>
          <w:i/>
          <w:iCs/>
          <w:szCs w:val="21"/>
        </w:rPr>
        <w:t xml:space="preserve"> </w:t>
      </w:r>
      <w:r w:rsidRPr="00C6100F">
        <w:rPr>
          <w:szCs w:val="21"/>
        </w:rPr>
        <w:t>program contributes to:</w:t>
      </w:r>
    </w:p>
    <w:p w14:paraId="08356661" w14:textId="77777777" w:rsidR="00E47345" w:rsidRPr="00DB56FC" w:rsidRDefault="00E47345" w:rsidP="00E47345">
      <w:pPr>
        <w:pStyle w:val="Bulletpoints"/>
        <w:rPr>
          <w:rFonts w:ascii="Verdana" w:hAnsi="Verdana"/>
          <w:szCs w:val="21"/>
        </w:rPr>
      </w:pPr>
      <w:r w:rsidRPr="00DB56FC">
        <w:rPr>
          <w:rFonts w:ascii="Verdana" w:hAnsi="Verdana"/>
          <w:szCs w:val="21"/>
        </w:rPr>
        <w:t>sustained housing outcomes</w:t>
      </w:r>
    </w:p>
    <w:p w14:paraId="03A539A2" w14:textId="77777777" w:rsidR="00E47345" w:rsidRPr="00DB56FC" w:rsidRDefault="00E47345" w:rsidP="00E47345">
      <w:pPr>
        <w:pStyle w:val="Bulletpoints"/>
        <w:rPr>
          <w:rFonts w:ascii="Verdana" w:hAnsi="Verdana"/>
          <w:szCs w:val="21"/>
        </w:rPr>
      </w:pPr>
      <w:r w:rsidRPr="00DB56FC">
        <w:rPr>
          <w:rFonts w:ascii="Verdana" w:hAnsi="Verdana"/>
          <w:szCs w:val="21"/>
        </w:rPr>
        <w:lastRenderedPageBreak/>
        <w:t>achievement of key social determinants such as improved physical and mental health, improved housing security, social connectedness, and engagement, and</w:t>
      </w:r>
    </w:p>
    <w:p w14:paraId="74A0BDA3" w14:textId="77777777" w:rsidR="00E47345" w:rsidRPr="00DB56FC" w:rsidRDefault="00E47345" w:rsidP="00E47345">
      <w:pPr>
        <w:pStyle w:val="Bulletpoints"/>
        <w:rPr>
          <w:rFonts w:ascii="Verdana" w:hAnsi="Verdana"/>
          <w:szCs w:val="21"/>
        </w:rPr>
      </w:pPr>
      <w:r w:rsidRPr="00DB56FC">
        <w:rPr>
          <w:rFonts w:ascii="Verdana" w:hAnsi="Verdana"/>
          <w:szCs w:val="21"/>
        </w:rPr>
        <w:t>reducing the rates of representation and chronic homelessness.</w:t>
      </w:r>
    </w:p>
    <w:p w14:paraId="5598027C" w14:textId="77777777" w:rsidR="00E47345" w:rsidRPr="003421CB" w:rsidRDefault="00E47345" w:rsidP="003421CB">
      <w:pPr>
        <w:pStyle w:val="Heading2"/>
      </w:pPr>
      <w:bookmarkStart w:id="158" w:name="_Toc121134120"/>
      <w:r w:rsidRPr="003421CB">
        <w:t>Client Data Reporting Additional reporting requirements for Emergency Management</w:t>
      </w:r>
      <w:bookmarkEnd w:id="158"/>
    </w:p>
    <w:p w14:paraId="43A43B05" w14:textId="77777777" w:rsidR="00E47345" w:rsidRDefault="00E47345" w:rsidP="00E47345">
      <w:pPr>
        <w:pStyle w:val="Body"/>
      </w:pPr>
      <w:r w:rsidRPr="00B6787F">
        <w:t xml:space="preserve">As this project </w:t>
      </w:r>
      <w:r>
        <w:t xml:space="preserve">is being </w:t>
      </w:r>
      <w:r w:rsidRPr="00B6787F">
        <w:t xml:space="preserve">delivered under Emergency Management COVID-19 arrangements additional data </w:t>
      </w:r>
      <w:r>
        <w:t>may</w:t>
      </w:r>
      <w:r w:rsidRPr="00B6787F">
        <w:t xml:space="preserve"> be required </w:t>
      </w:r>
      <w:r>
        <w:t>from time to time monthly</w:t>
      </w:r>
      <w:r w:rsidRPr="00B6787F">
        <w:t>. Using an emergency management</w:t>
      </w:r>
      <w:r>
        <w:t xml:space="preserve"> approach</w:t>
      </w:r>
      <w:r w:rsidRPr="00B6787F">
        <w:t xml:space="preserve"> will drive performance and provide </w:t>
      </w:r>
      <w:r>
        <w:t>up to date</w:t>
      </w:r>
      <w:r w:rsidRPr="00B6787F">
        <w:t xml:space="preserve"> reporting to key governance structures and the Minister. The specific reporting requirements are in development and build on existing weekly reporting content provided by the HEARTS. The new data </w:t>
      </w:r>
      <w:r>
        <w:t>was distributed in</w:t>
      </w:r>
      <w:r w:rsidRPr="00B6787F">
        <w:t xml:space="preserve"> February 2021.</w:t>
      </w:r>
    </w:p>
    <w:p w14:paraId="0E78FED8" w14:textId="7D794245" w:rsidR="00E47345" w:rsidRDefault="00E47345" w:rsidP="00E47345">
      <w:pPr>
        <w:pStyle w:val="Body"/>
      </w:pPr>
      <w:r>
        <w:t xml:space="preserve">A H2H SDE has been established in SharePoint for this purpose and all </w:t>
      </w:r>
      <w:r w:rsidRPr="004F0586">
        <w:t>H2H Community Partners</w:t>
      </w:r>
      <w:r>
        <w:t xml:space="preserve"> have been onboarded to submit monthly Client Data Report using the approved reporting template.</w:t>
      </w:r>
    </w:p>
    <w:p w14:paraId="52D557A5" w14:textId="253CB56A" w:rsidR="00E47345" w:rsidRDefault="00E47345" w:rsidP="00E47345">
      <w:pPr>
        <w:pStyle w:val="Body"/>
      </w:pPr>
      <w:r>
        <w:t xml:space="preserve">For assistance and clarification </w:t>
      </w:r>
      <w:r w:rsidRPr="004F0586">
        <w:t>H2H Community Partners</w:t>
      </w:r>
      <w:r>
        <w:t xml:space="preserve"> are asked to s</w:t>
      </w:r>
      <w:r w:rsidRPr="00CF36A5">
        <w:t xml:space="preserve">end </w:t>
      </w:r>
      <w:r>
        <w:t xml:space="preserve">an </w:t>
      </w:r>
      <w:r w:rsidRPr="00CF36A5">
        <w:t xml:space="preserve">email to the </w:t>
      </w:r>
      <w:r w:rsidR="00435AB7">
        <w:t>s</w:t>
      </w:r>
      <w:r w:rsidRPr="00CF36A5">
        <w:t>hared inbox</w:t>
      </w:r>
      <w:r w:rsidRPr="5EF3E4E3">
        <w:rPr>
          <w:rFonts w:eastAsia="Arial" w:cs="Arial"/>
          <w:color w:val="032833" w:themeColor="text1"/>
          <w:sz w:val="22"/>
          <w:szCs w:val="22"/>
        </w:rPr>
        <w:t xml:space="preserve"> </w:t>
      </w:r>
      <w:hyperlink r:id="rId41" w:history="1">
        <w:r w:rsidR="00435AB7" w:rsidRPr="002556EC">
          <w:rPr>
            <w:rStyle w:val="Hyperlink"/>
            <w:rFonts w:eastAsia="Arial" w:cs="Arial"/>
            <w:b/>
            <w:bCs/>
          </w:rPr>
          <w:t>hhs@homes.vic.gov.au</w:t>
        </w:r>
      </w:hyperlink>
      <w:r w:rsidRPr="5EF3E4E3">
        <w:rPr>
          <w:rFonts w:eastAsia="Arial" w:cs="Arial"/>
          <w:color w:val="032833" w:themeColor="text1"/>
          <w:sz w:val="22"/>
          <w:szCs w:val="22"/>
        </w:rPr>
        <w:t xml:space="preserve"> </w:t>
      </w:r>
      <w:r w:rsidRPr="00CF36A5">
        <w:t xml:space="preserve">and mark </w:t>
      </w:r>
      <w:r>
        <w:t>in the subject line</w:t>
      </w:r>
      <w:r w:rsidRPr="00CF36A5">
        <w:t xml:space="preserve"> </w:t>
      </w:r>
      <w:r>
        <w:t>“</w:t>
      </w:r>
      <w:r w:rsidRPr="00CF36A5">
        <w:t>ATTN H2H Reporting</w:t>
      </w:r>
      <w:r>
        <w:t xml:space="preserve">”. This email address is not for submission of data. </w:t>
      </w:r>
      <w:r w:rsidR="008207AF">
        <w:t>Homes Victoria</w:t>
      </w:r>
      <w:r>
        <w:t xml:space="preserve"> </w:t>
      </w:r>
      <w:r w:rsidRPr="009A7293">
        <w:t xml:space="preserve">will access the secure data exchange (link below) to review your file/s (please submit </w:t>
      </w:r>
      <w:r>
        <w:t xml:space="preserve">data </w:t>
      </w:r>
      <w:r w:rsidRPr="00E47345">
        <w:t>files</w:t>
      </w:r>
      <w:r w:rsidRPr="009A7293">
        <w:t xml:space="preserve"> before contacting </w:t>
      </w:r>
      <w:r>
        <w:t>the</w:t>
      </w:r>
      <w:r w:rsidRPr="009A7293">
        <w:t xml:space="preserve"> inbox)</w:t>
      </w:r>
      <w:r>
        <w:t xml:space="preserve">. </w:t>
      </w:r>
      <w:r w:rsidRPr="00AA1C25">
        <w:t>Do not send submission files to this email address</w:t>
      </w:r>
      <w:r>
        <w:t>.</w:t>
      </w:r>
    </w:p>
    <w:p w14:paraId="5D90311A" w14:textId="77777777" w:rsidR="00E47345" w:rsidRPr="00A376EA" w:rsidRDefault="00E47345" w:rsidP="00E47345">
      <w:pPr>
        <w:pStyle w:val="Heading3"/>
        <w:rPr>
          <w:b/>
        </w:rPr>
      </w:pPr>
      <w:r>
        <w:t>D</w:t>
      </w:r>
      <w:r w:rsidRPr="00FA3B61">
        <w:t>ata collection process</w:t>
      </w:r>
    </w:p>
    <w:p w14:paraId="7FB89C51" w14:textId="77777777" w:rsidR="00E47345" w:rsidRPr="00AA1C25" w:rsidRDefault="00E47345" w:rsidP="00E47345">
      <w:pPr>
        <w:pStyle w:val="Body"/>
      </w:pPr>
      <w:r>
        <w:t xml:space="preserve">This report is due at 12pm (midday) on the first Thursday of each month. Where a Thursday falls on a Public Holiday, the report will be due at 12pm (midday) on the preceding working day. </w:t>
      </w:r>
    </w:p>
    <w:p w14:paraId="6851C283" w14:textId="77777777" w:rsidR="00E47345" w:rsidRDefault="00E47345" w:rsidP="00E47345">
      <w:pPr>
        <w:pStyle w:val="Body"/>
        <w:rPr>
          <w:rStyle w:val="Hyperlink"/>
          <w:rFonts w:eastAsia="Arial" w:cs="Arial"/>
          <w:b/>
          <w:bCs/>
          <w:sz w:val="22"/>
          <w:szCs w:val="22"/>
        </w:rPr>
      </w:pPr>
      <w:r w:rsidRPr="00AA1C25">
        <w:t>Submissions will only be accepted via upload to this secure data exchange</w:t>
      </w:r>
      <w:r>
        <w:t xml:space="preserve">: </w:t>
      </w:r>
      <w:r w:rsidRPr="00AA1C25">
        <w:t xml:space="preserve"> </w:t>
      </w:r>
      <w:r w:rsidRPr="002C4AEE">
        <w:t>https://dhhsvicgovau.sharepoint.com/sites/H2H/</w:t>
      </w:r>
    </w:p>
    <w:p w14:paraId="23A01BCB" w14:textId="77777777" w:rsidR="00E47345" w:rsidRPr="00AA1C25" w:rsidRDefault="00E47345" w:rsidP="00E47345">
      <w:pPr>
        <w:pStyle w:val="Body"/>
        <w:rPr>
          <w:rFonts w:eastAsia="Arial" w:cs="Arial"/>
          <w:color w:val="032833" w:themeColor="text1"/>
        </w:rPr>
      </w:pPr>
      <w:r w:rsidRPr="00AA1C25">
        <w:rPr>
          <w:rFonts w:eastAsia="Arial" w:cs="Arial"/>
          <w:color w:val="032833" w:themeColor="text1"/>
        </w:rPr>
        <w:t xml:space="preserve">Please only submit .xlsx files for </w:t>
      </w:r>
      <w:r>
        <w:rPr>
          <w:rFonts w:eastAsia="Arial" w:cs="Arial"/>
          <w:color w:val="032833" w:themeColor="text1"/>
        </w:rPr>
        <w:t xml:space="preserve">monthly </w:t>
      </w:r>
      <w:r w:rsidRPr="00AA1C25">
        <w:rPr>
          <w:rFonts w:eastAsia="Arial" w:cs="Arial"/>
          <w:color w:val="032833" w:themeColor="text1"/>
        </w:rPr>
        <w:t>reporting (do not convert this into PDF or CSV). Keep all sheets intact.</w:t>
      </w:r>
    </w:p>
    <w:p w14:paraId="50570C6B" w14:textId="0465D93B" w:rsidR="00E47345" w:rsidRPr="00AA1C25" w:rsidRDefault="00E47345" w:rsidP="00E47345">
      <w:pPr>
        <w:pStyle w:val="Body"/>
        <w:rPr>
          <w:rFonts w:eastAsia="Arial" w:cs="Arial"/>
          <w:color w:val="032833" w:themeColor="text1"/>
        </w:rPr>
      </w:pPr>
      <w:r w:rsidRPr="00AA1C25">
        <w:rPr>
          <w:rFonts w:eastAsia="Arial" w:cs="Arial"/>
          <w:color w:val="032833" w:themeColor="text1"/>
        </w:rPr>
        <w:t xml:space="preserve">A submission is considered accepted only once it has passed data validation checks. </w:t>
      </w:r>
      <w:r w:rsidR="008207AF">
        <w:rPr>
          <w:rFonts w:eastAsia="Arial" w:cs="Arial"/>
          <w:color w:val="032833" w:themeColor="text1"/>
        </w:rPr>
        <w:t>Homes Victoria</w:t>
      </w:r>
      <w:r w:rsidRPr="00AA1C25">
        <w:rPr>
          <w:rFonts w:eastAsia="Arial" w:cs="Arial"/>
          <w:color w:val="032833" w:themeColor="text1"/>
        </w:rPr>
        <w:t xml:space="preserve"> may require further corrections, amendments, and resubmission in the same day to correct any errors.</w:t>
      </w:r>
    </w:p>
    <w:p w14:paraId="36843E43" w14:textId="77777777" w:rsidR="00E47345" w:rsidRPr="00AA1C25" w:rsidRDefault="00E47345" w:rsidP="00E47345">
      <w:pPr>
        <w:pStyle w:val="Body"/>
        <w:rPr>
          <w:rFonts w:eastAsia="Arial" w:cs="Arial"/>
          <w:color w:val="032833" w:themeColor="text1"/>
        </w:rPr>
      </w:pPr>
      <w:r w:rsidRPr="004F0586">
        <w:rPr>
          <w:rFonts w:eastAsia="Arial" w:cs="Arial"/>
          <w:color w:val="032833" w:themeColor="text1"/>
        </w:rPr>
        <w:t>H2H Community Partners</w:t>
      </w:r>
      <w:r w:rsidRPr="00AA1C25">
        <w:rPr>
          <w:rFonts w:eastAsia="Arial" w:cs="Arial"/>
          <w:color w:val="032833" w:themeColor="text1"/>
        </w:rPr>
        <w:t xml:space="preserve"> must provide at least 2 key contacts who will receive logins to the </w:t>
      </w:r>
      <w:r>
        <w:rPr>
          <w:rFonts w:eastAsia="Arial" w:cs="Arial"/>
          <w:color w:val="032833" w:themeColor="text1"/>
        </w:rPr>
        <w:t>H2H SDE</w:t>
      </w:r>
      <w:r w:rsidRPr="00AA1C25">
        <w:rPr>
          <w:rFonts w:eastAsia="Arial" w:cs="Arial"/>
          <w:color w:val="032833" w:themeColor="text1"/>
        </w:rPr>
        <w:t>.</w:t>
      </w:r>
    </w:p>
    <w:p w14:paraId="0A555E92" w14:textId="77777777" w:rsidR="00E47345" w:rsidRDefault="00E47345" w:rsidP="00E47345">
      <w:pPr>
        <w:pStyle w:val="Body"/>
        <w:rPr>
          <w:color w:val="032833" w:themeColor="text1"/>
        </w:rPr>
      </w:pPr>
      <w:r w:rsidRPr="004F0586">
        <w:rPr>
          <w:rFonts w:eastAsia="Arial" w:cs="Arial"/>
          <w:color w:val="032833" w:themeColor="text1"/>
        </w:rPr>
        <w:t>H2H Community Partners</w:t>
      </w:r>
      <w:r w:rsidRPr="00AA1C25">
        <w:rPr>
          <w:rFonts w:eastAsia="Arial" w:cs="Arial"/>
          <w:color w:val="032833" w:themeColor="text1"/>
        </w:rPr>
        <w:t xml:space="preserve"> are responsible for ensuring </w:t>
      </w:r>
      <w:r>
        <w:rPr>
          <w:rFonts w:eastAsia="Arial" w:cs="Arial"/>
          <w:color w:val="032833" w:themeColor="text1"/>
        </w:rPr>
        <w:t>monthly</w:t>
      </w:r>
      <w:r w:rsidRPr="00AA1C25">
        <w:rPr>
          <w:rFonts w:eastAsia="Arial" w:cs="Arial"/>
          <w:color w:val="032833" w:themeColor="text1"/>
        </w:rPr>
        <w:t xml:space="preserve"> reporting submission occurs even in the event of </w:t>
      </w:r>
      <w:r>
        <w:rPr>
          <w:rFonts w:eastAsia="Arial" w:cs="Arial"/>
          <w:color w:val="032833" w:themeColor="text1"/>
        </w:rPr>
        <w:t>their staff being away from office for any reasons</w:t>
      </w:r>
      <w:r w:rsidRPr="00AA1C25">
        <w:rPr>
          <w:rFonts w:eastAsia="Arial" w:cs="Arial"/>
          <w:color w:val="032833" w:themeColor="text1"/>
        </w:rPr>
        <w:t>.</w:t>
      </w:r>
    </w:p>
    <w:p w14:paraId="0819AC6F" w14:textId="77777777" w:rsidR="00E47345" w:rsidRPr="00AA1C25" w:rsidRDefault="00E47345" w:rsidP="00E47345">
      <w:pPr>
        <w:pStyle w:val="Body"/>
        <w:rPr>
          <w:rFonts w:eastAsia="Arial" w:cs="Arial"/>
          <w:b/>
          <w:bCs/>
          <w:color w:val="032833" w:themeColor="text1"/>
        </w:rPr>
      </w:pPr>
      <w:r w:rsidRPr="00AA1C25">
        <w:rPr>
          <w:rFonts w:eastAsia="Arial" w:cs="Arial"/>
          <w:b/>
          <w:bCs/>
          <w:color w:val="032833" w:themeColor="text1"/>
        </w:rPr>
        <w:t xml:space="preserve">Checklist for every </w:t>
      </w:r>
      <w:r>
        <w:rPr>
          <w:rFonts w:eastAsia="Arial" w:cs="Arial"/>
          <w:b/>
          <w:bCs/>
          <w:color w:val="032833" w:themeColor="text1"/>
        </w:rPr>
        <w:t>monthly</w:t>
      </w:r>
      <w:r w:rsidRPr="00AA1C25">
        <w:rPr>
          <w:rFonts w:eastAsia="Arial" w:cs="Arial"/>
          <w:b/>
          <w:bCs/>
          <w:color w:val="032833" w:themeColor="text1"/>
        </w:rPr>
        <w:t xml:space="preserve"> data submission</w:t>
      </w:r>
    </w:p>
    <w:p w14:paraId="5BF8C3F0" w14:textId="77777777" w:rsidR="00E47345" w:rsidRPr="00EA7A6C" w:rsidRDefault="00E47345" w:rsidP="00E47345">
      <w:pPr>
        <w:pStyle w:val="Bullet1"/>
      </w:pPr>
      <w:r>
        <w:t>Only one file per H2H Community Partners (please consolidate prior to submission).</w:t>
      </w:r>
    </w:p>
    <w:p w14:paraId="7181AF11" w14:textId="77777777" w:rsidR="00E47345" w:rsidRPr="00EA7A6C" w:rsidRDefault="00E47345" w:rsidP="00E47345">
      <w:pPr>
        <w:pStyle w:val="Bullet1"/>
      </w:pPr>
      <w:r>
        <w:t xml:space="preserve">Filename format is YYYYMMDD_H2H_Daily_Report.xlsx  </w:t>
      </w:r>
      <w:r w:rsidRPr="755AA332">
        <w:rPr>
          <w:i/>
          <w:iCs/>
        </w:rPr>
        <w:t>e.g. For 6 October 2022 the filename will be 20221006_H2H_Monthly_Report.xlsx</w:t>
      </w:r>
    </w:p>
    <w:p w14:paraId="17261A10" w14:textId="77777777" w:rsidR="00E47345" w:rsidRPr="00EA7A6C" w:rsidRDefault="00E47345" w:rsidP="00E47345">
      <w:pPr>
        <w:pStyle w:val="Bullet1"/>
      </w:pPr>
      <w:r>
        <w:t>The H2H Partner must be filled out (cell D5) of H2H Reporting Template sheet.</w:t>
      </w:r>
    </w:p>
    <w:p w14:paraId="2BC28718" w14:textId="77777777" w:rsidR="00E47345" w:rsidRPr="00EA7A6C" w:rsidRDefault="00E47345" w:rsidP="00E47345">
      <w:pPr>
        <w:pStyle w:val="Bullet1"/>
      </w:pPr>
      <w:r>
        <w:t>The correct date must be entered in cell D7 of H2H Reporting Template sheet.</w:t>
      </w:r>
    </w:p>
    <w:p w14:paraId="60C56ECC" w14:textId="77777777" w:rsidR="00E47345" w:rsidRPr="00EA7A6C" w:rsidRDefault="00E47345" w:rsidP="00E47345">
      <w:pPr>
        <w:pStyle w:val="Bullet1"/>
      </w:pPr>
      <w:r>
        <w:t>One row per individual Client.</w:t>
      </w:r>
    </w:p>
    <w:p w14:paraId="1138621A" w14:textId="77777777" w:rsidR="00E47345" w:rsidRPr="00EA7A6C" w:rsidRDefault="00E47345" w:rsidP="00E47345">
      <w:pPr>
        <w:pStyle w:val="Bullet1"/>
      </w:pPr>
      <w:r>
        <w:lastRenderedPageBreak/>
        <w:t>No gaps or empty spaced rows.</w:t>
      </w:r>
    </w:p>
    <w:p w14:paraId="3B1838B1" w14:textId="77777777" w:rsidR="00E47345" w:rsidRDefault="00E47345" w:rsidP="00E47345">
      <w:pPr>
        <w:pStyle w:val="Bullet1"/>
      </w:pPr>
      <w:r>
        <w:t>There is allowance for up to 800 rows (individuals) in this sheet but please contact H2H Operations Team if you think you're remotely likely to exceed this row count.</w:t>
      </w:r>
    </w:p>
    <w:p w14:paraId="2B43AF73" w14:textId="77777777" w:rsidR="00E47345" w:rsidRPr="005D4708" w:rsidRDefault="00E47345" w:rsidP="00E47345">
      <w:pPr>
        <w:pStyle w:val="Bullet1"/>
      </w:pPr>
      <w:r>
        <w:t>Include a household ID to group individuals. All individuals must have a household ID even if they are a household of 1.</w:t>
      </w:r>
    </w:p>
    <w:p w14:paraId="5EAE9DC0" w14:textId="77777777" w:rsidR="00E47345" w:rsidRPr="005D4708" w:rsidRDefault="00E47345" w:rsidP="00E47345">
      <w:pPr>
        <w:pStyle w:val="Bullet1"/>
      </w:pPr>
      <w:r>
        <w:t>Household IDs must be unique across all agencies/organisations within a single H2H Community Partners.</w:t>
      </w:r>
    </w:p>
    <w:p w14:paraId="6BE6B9D2" w14:textId="77777777" w:rsidR="00E47345" w:rsidRPr="005D4708" w:rsidRDefault="00E47345" w:rsidP="00E47345">
      <w:pPr>
        <w:pStyle w:val="Bullet1"/>
      </w:pPr>
      <w:r>
        <w:t>Age can only be a whole integer above 0 (children under 1 should be entered as 0).</w:t>
      </w:r>
    </w:p>
    <w:p w14:paraId="0D739CC9" w14:textId="77777777" w:rsidR="00E47345" w:rsidRPr="005D4708" w:rsidRDefault="00E47345" w:rsidP="00E47345">
      <w:pPr>
        <w:pStyle w:val="Bullet1"/>
      </w:pPr>
      <w:r>
        <w:t>Please enter fields requiring a date in the format of DD/MM/YYYY e.g., 31/03/2021.  Ensure you do not enter unrealistic dates e.g., 30 February, 31 June etc.</w:t>
      </w:r>
    </w:p>
    <w:p w14:paraId="27528949" w14:textId="0749C093" w:rsidR="00E47345" w:rsidRPr="005D4708" w:rsidRDefault="00E47345" w:rsidP="00E47345">
      <w:pPr>
        <w:pStyle w:val="Bullet1"/>
      </w:pPr>
      <w:r>
        <w:t xml:space="preserve">If a hotel/motel is not in the pull-down list, please select "000 Hotel/Motel Accommodation Not in List".  Please email </w:t>
      </w:r>
      <w:hyperlink r:id="rId42" w:history="1">
        <w:r w:rsidR="00823D91" w:rsidRPr="002556EC">
          <w:rPr>
            <w:rStyle w:val="Hyperlink"/>
            <w:rFonts w:eastAsia="Arial" w:cs="Arial"/>
            <w:b/>
            <w:bCs/>
          </w:rPr>
          <w:t>hhs@homes.vic.gov.au</w:t>
        </w:r>
      </w:hyperlink>
      <w:r w:rsidRPr="755AA332">
        <w:rPr>
          <w:rStyle w:val="Hyperlink"/>
          <w:rFonts w:eastAsia="Arial" w:cs="Arial"/>
          <w:b/>
          <w:bCs/>
        </w:rPr>
        <w:t xml:space="preserve"> </w:t>
      </w:r>
      <w:r>
        <w:t>with details of this hotel not in the list.</w:t>
      </w:r>
    </w:p>
    <w:p w14:paraId="24698D30" w14:textId="77777777" w:rsidR="00E47345" w:rsidRPr="005D4708" w:rsidRDefault="00E47345" w:rsidP="00E47345">
      <w:pPr>
        <w:pStyle w:val="Bullet1"/>
      </w:pPr>
      <w:r>
        <w:t>If an individual is successfully contacted, both 'Last Attempted Contact Date' and 'Last Successful Contact Date' must be the same.</w:t>
      </w:r>
    </w:p>
    <w:p w14:paraId="005A31D9" w14:textId="77777777" w:rsidR="00E47345" w:rsidRDefault="00E47345" w:rsidP="00E47345">
      <w:pPr>
        <w:pStyle w:val="Bullet1"/>
        <w:rPr>
          <w:b/>
          <w:bCs/>
          <w:sz w:val="22"/>
          <w:szCs w:val="22"/>
          <w:u w:val="single"/>
        </w:rPr>
      </w:pPr>
      <w:r w:rsidRPr="755AA332">
        <w:rPr>
          <w:b/>
          <w:bCs/>
        </w:rPr>
        <w:t>Privacy and security considerations</w:t>
      </w:r>
    </w:p>
    <w:p w14:paraId="1F370948" w14:textId="77777777" w:rsidR="00E47345" w:rsidRDefault="00E47345" w:rsidP="00E47345">
      <w:pPr>
        <w:pStyle w:val="Bullet1"/>
      </w:pPr>
      <w:r>
        <w:t>Please provide a collection notice to each Client, in such a manner to ensure there is a reasonable expectation that H2H Client data will be disclosed to the department.</w:t>
      </w:r>
    </w:p>
    <w:p w14:paraId="1D6BD285" w14:textId="77777777" w:rsidR="00E47345" w:rsidRPr="00E109B2" w:rsidRDefault="00E47345" w:rsidP="00E47345">
      <w:pPr>
        <w:pStyle w:val="Bullet1"/>
      </w:pPr>
      <w:r>
        <w:t>Please ensure Client data is only stored on organisational devices (e.g., Computers), network servers and cloud drives.</w:t>
      </w:r>
    </w:p>
    <w:p w14:paraId="4C78057E" w14:textId="77777777" w:rsidR="00E47345" w:rsidRPr="00E109B2" w:rsidRDefault="00E47345" w:rsidP="00E47345">
      <w:pPr>
        <w:pStyle w:val="Bullet1"/>
      </w:pPr>
      <w:r>
        <w:t>No H2H Client data should be on any personal device or cloud service.</w:t>
      </w:r>
    </w:p>
    <w:p w14:paraId="3377900F" w14:textId="77777777" w:rsidR="00E47345" w:rsidRPr="00E109B2" w:rsidRDefault="00E47345" w:rsidP="00E47345">
      <w:pPr>
        <w:pStyle w:val="Bullet1"/>
      </w:pPr>
      <w:r>
        <w:t>All access to Client data must be password protected at some level (this can be to the device, the file, or the server/cloud drive).</w:t>
      </w:r>
    </w:p>
    <w:p w14:paraId="0CDE6EC3" w14:textId="77777777" w:rsidR="00E47345" w:rsidRPr="00E109B2" w:rsidRDefault="00E47345" w:rsidP="00E47345">
      <w:pPr>
        <w:pStyle w:val="Bullet1"/>
      </w:pPr>
      <w:r>
        <w:t>While it is understood that some data sharing will be required within a H2H Community Partners this must always be secure through authenticated means.</w:t>
      </w:r>
    </w:p>
    <w:p w14:paraId="4C4BE41D" w14:textId="77777777" w:rsidR="00E47345" w:rsidRPr="00E109B2" w:rsidRDefault="00E47345" w:rsidP="00E47345">
      <w:pPr>
        <w:pStyle w:val="Bullet1"/>
      </w:pPr>
      <w:r>
        <w:t>No shared files may have a URL link that does not require authentication.</w:t>
      </w:r>
    </w:p>
    <w:p w14:paraId="167B0BFF" w14:textId="1EE167DB" w:rsidR="00E47345" w:rsidRPr="00E109B2" w:rsidRDefault="00E47345" w:rsidP="00E47345">
      <w:pPr>
        <w:pStyle w:val="Bullet1"/>
      </w:pPr>
      <w:r>
        <w:t xml:space="preserve">Please notify </w:t>
      </w:r>
      <w:hyperlink r:id="rId43" w:history="1">
        <w:r w:rsidR="00823D91" w:rsidRPr="002556EC">
          <w:rPr>
            <w:rStyle w:val="Hyperlink"/>
          </w:rPr>
          <w:t>hhs@homes.vic.gov.au</w:t>
        </w:r>
      </w:hyperlink>
      <w:r w:rsidR="00823D91">
        <w:t xml:space="preserve"> </w:t>
      </w:r>
      <w:r>
        <w:t>in the event of any key reporting contacts leaving your organisation (so that their access to the secure data exchange is disabled).</w:t>
      </w:r>
    </w:p>
    <w:p w14:paraId="0987F8DA" w14:textId="77777777" w:rsidR="00E47345" w:rsidRPr="00A376EA" w:rsidRDefault="00E47345" w:rsidP="00E47345">
      <w:pPr>
        <w:pStyle w:val="Heading3"/>
        <w:rPr>
          <w:color w:val="C00000"/>
        </w:rPr>
      </w:pPr>
      <w:r>
        <w:rPr>
          <w:color w:val="C00000"/>
        </w:rPr>
        <w:t xml:space="preserve">Six Monthly Finance Report: </w:t>
      </w:r>
      <w:r w:rsidRPr="00A376EA">
        <w:rPr>
          <w:color w:val="C00000"/>
        </w:rPr>
        <w:t xml:space="preserve">Funding Reconciliation </w:t>
      </w:r>
      <w:r>
        <w:rPr>
          <w:color w:val="C00000"/>
        </w:rPr>
        <w:t>R</w:t>
      </w:r>
      <w:r w:rsidRPr="00A376EA">
        <w:rPr>
          <w:color w:val="C00000"/>
        </w:rPr>
        <w:t>eporting</w:t>
      </w:r>
    </w:p>
    <w:p w14:paraId="4062740D" w14:textId="2E18575B" w:rsidR="00E47345" w:rsidRDefault="00E47345" w:rsidP="00E47345">
      <w:pPr>
        <w:pStyle w:val="Body"/>
      </w:pPr>
      <w:r>
        <w:t xml:space="preserve">H2H Community Partners must also complete and submit the H2H Six-Monthly Funding Reconciliation Report, to fulfil the program’s funding reconciliation process as described in </w:t>
      </w:r>
      <w:r w:rsidRPr="1B7F2FE3">
        <w:rPr>
          <w:b/>
          <w:bCs/>
        </w:rPr>
        <w:t xml:space="preserve">Appendix </w:t>
      </w:r>
      <w:r w:rsidR="009E70A1">
        <w:rPr>
          <w:b/>
          <w:bCs/>
        </w:rPr>
        <w:t>1</w:t>
      </w:r>
      <w:r>
        <w:t xml:space="preserve">. The Six-Monthly Funding Reconciliation Report is required to be submitted to Homes Victoria via upload to the H2H SDE: </w:t>
      </w:r>
      <w:hyperlink r:id="rId44" w:history="1">
        <w:r w:rsidRPr="00384B5D">
          <w:rPr>
            <w:rStyle w:val="Hyperlink"/>
            <w:rFonts w:eastAsia="Arial" w:cs="Arial"/>
            <w:b/>
            <w:bCs/>
          </w:rPr>
          <w:t>https://dhhsvicgovau.sharepoint.com/sites/SDE3-H2H/</w:t>
        </w:r>
      </w:hyperlink>
      <w:r>
        <w:t>.</w:t>
      </w:r>
    </w:p>
    <w:p w14:paraId="1C0ADAAF" w14:textId="77777777" w:rsidR="00E47345" w:rsidRPr="00A376EA" w:rsidRDefault="00E47345" w:rsidP="00E47345">
      <w:pPr>
        <w:pStyle w:val="Heading3"/>
        <w:rPr>
          <w:color w:val="C00000"/>
        </w:rPr>
      </w:pPr>
      <w:r w:rsidRPr="00A376EA">
        <w:rPr>
          <w:color w:val="C00000"/>
        </w:rPr>
        <w:t>Quarterly Performance reporting</w:t>
      </w:r>
    </w:p>
    <w:p w14:paraId="67743BBF" w14:textId="77777777" w:rsidR="00E47345" w:rsidRPr="00B6787F" w:rsidRDefault="00E47345" w:rsidP="00E47345">
      <w:pPr>
        <w:pStyle w:val="Heading4"/>
      </w:pPr>
      <w:r w:rsidRPr="00E47345">
        <w:t>Purpose</w:t>
      </w:r>
    </w:p>
    <w:p w14:paraId="7124F5DC" w14:textId="77777777" w:rsidR="00E47345" w:rsidRPr="003E5158" w:rsidRDefault="00E47345" w:rsidP="00E47345">
      <w:pPr>
        <w:pStyle w:val="Body"/>
      </w:pPr>
      <w:r w:rsidRPr="003E5158">
        <w:t>The H2H quarterly performance reporting aims to assess the program’s progress and impact throughout its implementation. It will encompass two levels of reporting as the following.</w:t>
      </w:r>
    </w:p>
    <w:p w14:paraId="31F8F335" w14:textId="5AF278C9" w:rsidR="00E47345" w:rsidRPr="003E5158" w:rsidRDefault="00E47345" w:rsidP="00B037CC">
      <w:pPr>
        <w:pStyle w:val="Body"/>
        <w:numPr>
          <w:ilvl w:val="0"/>
          <w:numId w:val="22"/>
        </w:numPr>
      </w:pPr>
      <w:r w:rsidRPr="003E5158">
        <w:t>Activity-based targets (against three funded activities under this program)</w:t>
      </w:r>
    </w:p>
    <w:p w14:paraId="3696FC84" w14:textId="77777777" w:rsidR="00E47345" w:rsidRPr="00DB56FC" w:rsidRDefault="00E47345" w:rsidP="00E47345">
      <w:pPr>
        <w:pStyle w:val="Bulletpoints"/>
        <w:rPr>
          <w:rFonts w:ascii="Verdana" w:hAnsi="Verdana"/>
        </w:rPr>
      </w:pPr>
      <w:r w:rsidRPr="00DB56FC">
        <w:rPr>
          <w:rFonts w:ascii="Verdana" w:hAnsi="Verdana"/>
        </w:rPr>
        <w:t>Housing Assistance</w:t>
      </w:r>
      <w:r w:rsidRPr="00DB56FC">
        <w:rPr>
          <w:rFonts w:ascii="Verdana" w:hAnsi="Verdana"/>
          <w:caps/>
        </w:rPr>
        <w:t xml:space="preserve"> </w:t>
      </w:r>
      <w:r w:rsidRPr="00DB56FC">
        <w:rPr>
          <w:rFonts w:ascii="Verdana" w:hAnsi="Verdana"/>
        </w:rPr>
        <w:t>94843 Homelessness housing and tenancy administration</w:t>
      </w:r>
    </w:p>
    <w:p w14:paraId="596219A3" w14:textId="66772726" w:rsidR="00E47345" w:rsidRPr="003E5158" w:rsidRDefault="00E47345" w:rsidP="00B037CC">
      <w:pPr>
        <w:pStyle w:val="Body"/>
        <w:numPr>
          <w:ilvl w:val="0"/>
          <w:numId w:val="22"/>
        </w:numPr>
      </w:pPr>
      <w:r w:rsidRPr="003E5158">
        <w:t>Support packages outcomes data to understand the program and H2H Community Partner’s contribution towards the achievement of Client and system-level outcomes.</w:t>
      </w:r>
    </w:p>
    <w:p w14:paraId="237E5935" w14:textId="77777777" w:rsidR="00E47345" w:rsidRPr="003E5158" w:rsidRDefault="00E47345" w:rsidP="00E47345">
      <w:pPr>
        <w:pStyle w:val="Body"/>
      </w:pPr>
      <w:r w:rsidRPr="003E5158">
        <w:t>Explanation of those funded activities can be found below.</w:t>
      </w:r>
    </w:p>
    <w:p w14:paraId="41311BAC" w14:textId="77777777" w:rsidR="00E47345" w:rsidRPr="003E5158" w:rsidRDefault="00E47345" w:rsidP="00E47345">
      <w:pPr>
        <w:pStyle w:val="Bullet1"/>
      </w:pPr>
      <w:r w:rsidRPr="003E5158">
        <w:lastRenderedPageBreak/>
        <w:t>Homelessness Client support (activity 94842).</w:t>
      </w:r>
    </w:p>
    <w:p w14:paraId="13FF7206" w14:textId="77777777" w:rsidR="00E47345" w:rsidRPr="003E5158" w:rsidRDefault="00E47345" w:rsidP="00E47345">
      <w:pPr>
        <w:pStyle w:val="Body"/>
        <w:ind w:firstLine="284"/>
      </w:pPr>
      <w:r w:rsidRPr="003E5158">
        <w:t>Delivery of support services have been split as follows:</w:t>
      </w:r>
    </w:p>
    <w:p w14:paraId="49C6102B" w14:textId="77777777" w:rsidR="00E47345" w:rsidRPr="00DB56FC" w:rsidRDefault="00E47345" w:rsidP="00E47345">
      <w:pPr>
        <w:pStyle w:val="Bulletpoints"/>
        <w:rPr>
          <w:rFonts w:ascii="Verdana" w:hAnsi="Verdana"/>
        </w:rPr>
      </w:pPr>
      <w:r w:rsidRPr="00DB56FC">
        <w:rPr>
          <w:rFonts w:ascii="Verdana" w:hAnsi="Verdana"/>
          <w:i/>
          <w:iCs/>
        </w:rPr>
        <w:t>Stream 2 - Targeted and Tailored Support</w:t>
      </w:r>
      <w:r w:rsidRPr="00DB56FC">
        <w:rPr>
          <w:rFonts w:ascii="Verdana" w:hAnsi="Verdana"/>
        </w:rPr>
        <w:t>: people who have increased vulnerabilities and risks who are experiencing homelessness and require ongoing housing such as social housing to resolve their homelessness. People are also likely to need a time limited support from specialist homelessness, and health and human services; and</w:t>
      </w:r>
    </w:p>
    <w:p w14:paraId="4E67201B" w14:textId="77777777" w:rsidR="00E47345" w:rsidRPr="00DB56FC" w:rsidRDefault="00E47345" w:rsidP="00E47345">
      <w:pPr>
        <w:pStyle w:val="Bulletpoints"/>
        <w:rPr>
          <w:rFonts w:ascii="Verdana" w:hAnsi="Verdana"/>
        </w:rPr>
      </w:pPr>
      <w:r w:rsidRPr="00DB56FC">
        <w:rPr>
          <w:rFonts w:ascii="Verdana" w:hAnsi="Verdana"/>
          <w:i/>
          <w:iCs/>
        </w:rPr>
        <w:t>Stream 3 - Intensive Support</w:t>
      </w:r>
      <w:r w:rsidRPr="00DB56FC">
        <w:rPr>
          <w:rFonts w:ascii="Verdana" w:hAnsi="Verdana"/>
        </w:rPr>
        <w:t>: people who have multiple support needs such as mental or physical health issues, alcohol or drug use, or other trauma. People will often have experienced chronic homelessness and rough sleeping. People are likely to require persistent housing support from specialist homelessness, health, and human services.</w:t>
      </w:r>
    </w:p>
    <w:p w14:paraId="65478785" w14:textId="77777777" w:rsidR="00E47345" w:rsidRPr="003E5158" w:rsidRDefault="00E47345" w:rsidP="00E47345">
      <w:pPr>
        <w:pStyle w:val="Bullet1"/>
      </w:pPr>
      <w:r w:rsidRPr="003E5158">
        <w:t>Homelessness housing and tenancy administration (activity 94843)</w:t>
      </w:r>
    </w:p>
    <w:p w14:paraId="0426DFBF" w14:textId="77777777" w:rsidR="00E47345" w:rsidRPr="003E5158" w:rsidRDefault="00E47345" w:rsidP="00E47345">
      <w:pPr>
        <w:pStyle w:val="Bullet1"/>
      </w:pPr>
      <w:r w:rsidRPr="003E5158">
        <w:t>Homelessness flexible funding (activity 94844)</w:t>
      </w:r>
    </w:p>
    <w:p w14:paraId="62626179" w14:textId="77777777" w:rsidR="00E47345" w:rsidRPr="00FF220A" w:rsidRDefault="00E47345" w:rsidP="00E47345">
      <w:pPr>
        <w:pStyle w:val="Heading4"/>
      </w:pPr>
      <w:r w:rsidRPr="00FF220A">
        <w:t>Process</w:t>
      </w:r>
    </w:p>
    <w:p w14:paraId="73425CE9" w14:textId="77777777" w:rsidR="00E47345" w:rsidRPr="00E90BC6" w:rsidRDefault="00E47345" w:rsidP="00E47345">
      <w:pPr>
        <w:pStyle w:val="Body"/>
      </w:pPr>
      <w:r w:rsidRPr="00E90BC6">
        <w:rPr>
          <w:b/>
          <w:bCs/>
        </w:rPr>
        <w:t>Performance monitoring</w:t>
      </w:r>
      <w:r w:rsidRPr="00E90BC6">
        <w:t xml:space="preserve"> </w:t>
      </w:r>
      <w:r w:rsidRPr="00425BBF">
        <w:rPr>
          <w:b/>
          <w:bCs/>
        </w:rPr>
        <w:t>and reporting</w:t>
      </w:r>
      <w:r w:rsidRPr="00425BBF">
        <w:t xml:space="preserve"> </w:t>
      </w:r>
      <w:r w:rsidRPr="00E90BC6">
        <w:t xml:space="preserve">of activity-based targets (on a </w:t>
      </w:r>
      <w:r>
        <w:t>H2H Community Partner</w:t>
      </w:r>
      <w:r w:rsidRPr="00E90BC6">
        <w:t xml:space="preserve"> bas</w:t>
      </w:r>
      <w:r>
        <w:t>i</w:t>
      </w:r>
      <w:r w:rsidRPr="00E90BC6">
        <w:t xml:space="preserve">s) will be managed by </w:t>
      </w:r>
      <w:r>
        <w:t>Homes Victoria</w:t>
      </w:r>
      <w:r w:rsidRPr="00E90BC6">
        <w:t>.</w:t>
      </w:r>
    </w:p>
    <w:p w14:paraId="53F33D72" w14:textId="77777777" w:rsidR="00E47345" w:rsidRPr="00E90BC6" w:rsidRDefault="00E47345" w:rsidP="00E47345">
      <w:pPr>
        <w:pStyle w:val="Body"/>
      </w:pPr>
      <w:r w:rsidRPr="00E90BC6">
        <w:rPr>
          <w:b/>
          <w:bCs/>
        </w:rPr>
        <w:t>Program monitoring</w:t>
      </w:r>
      <w:r w:rsidRPr="00E90BC6">
        <w:t xml:space="preserve"> </w:t>
      </w:r>
      <w:r w:rsidRPr="00E90BC6">
        <w:rPr>
          <w:b/>
          <w:bCs/>
        </w:rPr>
        <w:t>and implementation</w:t>
      </w:r>
      <w:r w:rsidRPr="00E90BC6">
        <w:t xml:space="preserve"> oversee activity-based targets </w:t>
      </w:r>
      <w:r w:rsidRPr="00E90BC6">
        <w:rPr>
          <w:i/>
          <w:iCs/>
        </w:rPr>
        <w:t>and</w:t>
      </w:r>
      <w:r w:rsidRPr="00E90BC6">
        <w:t xml:space="preserve"> monitors support packages outcomes data. It will be managed centrally by the H2H Program Manager </w:t>
      </w:r>
      <w:r>
        <w:t>in POU</w:t>
      </w:r>
      <w:r w:rsidRPr="00E90BC6" w:rsidDel="003518CE">
        <w:t xml:space="preserve"> </w:t>
      </w:r>
      <w:r w:rsidRPr="00E90BC6">
        <w:t>with assistance from the LASN/HEART Coordinators.</w:t>
      </w:r>
    </w:p>
    <w:p w14:paraId="35892059" w14:textId="77777777" w:rsidR="00E47345" w:rsidRPr="00FF220A" w:rsidRDefault="00E47345" w:rsidP="00E47345">
      <w:pPr>
        <w:pStyle w:val="Heading4"/>
      </w:pPr>
      <w:r w:rsidRPr="00FF220A">
        <w:t>Data</w:t>
      </w:r>
    </w:p>
    <w:p w14:paraId="68AAB951" w14:textId="77777777" w:rsidR="00E47345" w:rsidRPr="00E90BC6" w:rsidRDefault="00E47345" w:rsidP="00E47345">
      <w:pPr>
        <w:pStyle w:val="Body"/>
      </w:pPr>
      <w:r w:rsidRPr="00E90BC6">
        <w:t>The Homelessness Data Collection (</w:t>
      </w:r>
      <w:r>
        <w:t>activities 94842 and 94844) and Service Delivery Tracking (activity 94843) will</w:t>
      </w:r>
      <w:r w:rsidRPr="00E90BC6">
        <w:t xml:space="preserve"> provide key evidence of program implementation, as will outcome measurement to better understand service impact upon </w:t>
      </w:r>
      <w:r>
        <w:t>Client</w:t>
      </w:r>
      <w:r w:rsidRPr="00E90BC6">
        <w:t xml:space="preserve"> and </w:t>
      </w:r>
      <w:r>
        <w:t xml:space="preserve">the service </w:t>
      </w:r>
      <w:r w:rsidRPr="00E90BC6">
        <w:t>systems.</w:t>
      </w:r>
      <w:r w:rsidRPr="005D1891">
        <w:t xml:space="preserve"> </w:t>
      </w:r>
      <w:r>
        <w:t>Service Delivery Tracking will be used for the tenancy administration activity-based targets.</w:t>
      </w:r>
    </w:p>
    <w:p w14:paraId="78944119" w14:textId="77777777" w:rsidR="00E47345" w:rsidRDefault="00E47345" w:rsidP="00E47345">
      <w:pPr>
        <w:pStyle w:val="Body"/>
      </w:pPr>
      <w:r w:rsidRPr="00E90BC6">
        <w:t>Data will be reported by funded agencies, as per specifications in their service agreement</w:t>
      </w:r>
      <w:r>
        <w:t>. Still, they</w:t>
      </w:r>
      <w:r w:rsidRPr="00E90BC6">
        <w:t xml:space="preserve"> will be made available to APSS </w:t>
      </w:r>
      <w:r>
        <w:t xml:space="preserve">(Agency Performance and Systems Support) </w:t>
      </w:r>
      <w:r w:rsidRPr="00E90BC6">
        <w:t xml:space="preserve">staff and the H2H Program Manager via a </w:t>
      </w:r>
      <w:r>
        <w:t xml:space="preserve">HEART </w:t>
      </w:r>
      <w:proofErr w:type="spellStart"/>
      <w:r>
        <w:t>PowerBI</w:t>
      </w:r>
      <w:proofErr w:type="spellEnd"/>
      <w:r>
        <w:t xml:space="preserve"> application</w:t>
      </w:r>
      <w:r w:rsidRPr="00E90BC6">
        <w:t xml:space="preserve">. The </w:t>
      </w:r>
      <w:r>
        <w:t xml:space="preserve">HEART </w:t>
      </w:r>
      <w:proofErr w:type="spellStart"/>
      <w:r>
        <w:t>PowerBI</w:t>
      </w:r>
      <w:proofErr w:type="spellEnd"/>
      <w:r>
        <w:t xml:space="preserve"> application</w:t>
      </w:r>
      <w:r w:rsidRPr="00E90BC6">
        <w:t xml:space="preserve"> will also facilitate data-sharing with </w:t>
      </w:r>
      <w:r>
        <w:t>H2H Community Partners</w:t>
      </w:r>
      <w:r w:rsidRPr="00E90BC6">
        <w:t>, increasing feedback to providers that support service improvement.</w:t>
      </w:r>
    </w:p>
    <w:p w14:paraId="6A9252C4" w14:textId="77777777" w:rsidR="00E47345" w:rsidRPr="008B52AC" w:rsidRDefault="00E47345" w:rsidP="00E47345">
      <w:pPr>
        <w:pStyle w:val="Heading4"/>
      </w:pPr>
      <w:bookmarkStart w:id="159" w:name="_Toc56612603"/>
      <w:bookmarkStart w:id="160" w:name="_Toc57111854"/>
      <w:bookmarkStart w:id="161" w:name="_Toc57819635"/>
      <w:r w:rsidRPr="008B52AC">
        <w:t>Data reporting</w:t>
      </w:r>
    </w:p>
    <w:p w14:paraId="0A7E1E9F" w14:textId="77777777" w:rsidR="00E47345" w:rsidRDefault="00E47345" w:rsidP="00E47345">
      <w:pPr>
        <w:pStyle w:val="Body"/>
      </w:pPr>
      <w:r w:rsidRPr="009C100A">
        <w:t>H2H Community Partners will</w:t>
      </w:r>
      <w:r>
        <w:t xml:space="preserve"> report program monitoring data according to the requirements, platforms, and cycles in their service agreements. Below is an overview of these requirements:</w:t>
      </w:r>
    </w:p>
    <w:p w14:paraId="23695F14" w14:textId="77777777" w:rsidR="00E47345" w:rsidRDefault="00E47345" w:rsidP="00E47345">
      <w:pPr>
        <w:pStyle w:val="Bullet1"/>
      </w:pPr>
      <w:r>
        <w:t xml:space="preserve">For </w:t>
      </w:r>
      <w:r w:rsidRPr="755AA332">
        <w:rPr>
          <w:b/>
          <w:bCs/>
        </w:rPr>
        <w:t>Client support</w:t>
      </w:r>
      <w:r>
        <w:t xml:space="preserve"> </w:t>
      </w:r>
      <w:r w:rsidRPr="755AA332">
        <w:rPr>
          <w:b/>
          <w:bCs/>
        </w:rPr>
        <w:t>activity-based targets</w:t>
      </w:r>
      <w:r>
        <w:t xml:space="preserve">, key performance measures will derive from the Homelessness Data Collection (HDC), based on standard monthly submissions of specialist homelessness services Client data.  </w:t>
      </w:r>
    </w:p>
    <w:p w14:paraId="1C714747" w14:textId="77777777" w:rsidR="00E47345" w:rsidRDefault="00E47345" w:rsidP="00E47345">
      <w:pPr>
        <w:pStyle w:val="Bullet1"/>
      </w:pPr>
      <w:r>
        <w:t xml:space="preserve">For </w:t>
      </w:r>
      <w:r w:rsidRPr="755AA332">
        <w:rPr>
          <w:b/>
          <w:bCs/>
        </w:rPr>
        <w:t>housing and tenancy administration activity-based targets</w:t>
      </w:r>
      <w:r>
        <w:t>, key performance measures will derive from what agencies self-report via Service Delivery Tracking (SDT).</w:t>
      </w:r>
    </w:p>
    <w:p w14:paraId="40C82D6F" w14:textId="77777777" w:rsidR="00E47345" w:rsidRDefault="00E47345" w:rsidP="00E47345">
      <w:pPr>
        <w:pStyle w:val="Bullet1"/>
      </w:pPr>
      <w:r>
        <w:t xml:space="preserve">For </w:t>
      </w:r>
      <w:r w:rsidRPr="755AA332">
        <w:rPr>
          <w:b/>
          <w:bCs/>
        </w:rPr>
        <w:t>flexible funding</w:t>
      </w:r>
      <w:r>
        <w:t xml:space="preserve"> </w:t>
      </w:r>
      <w:r w:rsidRPr="755AA332">
        <w:rPr>
          <w:b/>
          <w:bCs/>
        </w:rPr>
        <w:t>activity targets</w:t>
      </w:r>
      <w:r>
        <w:t>, key performance measures will derive from the HDC as per standard monthly submissions of specialist homelessness services Client data. The six-monthly financial attestation of brokerage expenditure will be used only for the program’s evaluation.</w:t>
      </w:r>
    </w:p>
    <w:p w14:paraId="5A83CF78" w14:textId="77777777" w:rsidR="00E47345" w:rsidRDefault="00E47345" w:rsidP="00E47345">
      <w:pPr>
        <w:pStyle w:val="Bullet1"/>
      </w:pPr>
      <w:r>
        <w:t xml:space="preserve">H2H Community Partners must also complete and submit a </w:t>
      </w:r>
      <w:r w:rsidRPr="755AA332">
        <w:rPr>
          <w:b/>
          <w:bCs/>
        </w:rPr>
        <w:t>Six</w:t>
      </w:r>
      <w:r>
        <w:t>-</w:t>
      </w:r>
      <w:r w:rsidRPr="755AA332">
        <w:rPr>
          <w:b/>
          <w:bCs/>
        </w:rPr>
        <w:t>Monthly Funding Reconciliation</w:t>
      </w:r>
      <w:r>
        <w:t xml:space="preserve"> </w:t>
      </w:r>
      <w:r w:rsidRPr="755AA332">
        <w:rPr>
          <w:b/>
          <w:bCs/>
        </w:rPr>
        <w:t>Report</w:t>
      </w:r>
      <w:r>
        <w:t xml:space="preserve"> – a manual template in MS Excel, during the term of this program. </w:t>
      </w:r>
      <w:r>
        <w:lastRenderedPageBreak/>
        <w:t>Instructions on how to populate the Six-Monthly Service Provider Report are provided in the template.</w:t>
      </w:r>
    </w:p>
    <w:p w14:paraId="0DBB07C3" w14:textId="77777777" w:rsidR="00E47345" w:rsidRDefault="00E47345" w:rsidP="00E47345">
      <w:pPr>
        <w:pStyle w:val="Bullet1"/>
      </w:pPr>
      <w:r>
        <w:t xml:space="preserve">For Emergency Management reporting, each Community Partner must complete and submit </w:t>
      </w:r>
      <w:r w:rsidRPr="755AA332">
        <w:rPr>
          <w:b/>
          <w:bCs/>
        </w:rPr>
        <w:t>H2H Client Report</w:t>
      </w:r>
      <w:r>
        <w:t xml:space="preserve"> using a manual template in MS Excel via H2H (SDE) before 12pm (midday) on the first Thursday of each month. Where a Thursday falls on a Public Holiday, the report will be due at 12pm (midday) on the preceding working day. Instructions on how to populate the monthly Client Data Report are provided in the template.</w:t>
      </w:r>
    </w:p>
    <w:p w14:paraId="5B257D29" w14:textId="77777777" w:rsidR="00E47345" w:rsidRDefault="00E47345" w:rsidP="00E47345">
      <w:pPr>
        <w:pStyle w:val="Bullet1"/>
      </w:pPr>
      <w:r>
        <w:t xml:space="preserve">For </w:t>
      </w:r>
      <w:r w:rsidRPr="755AA332">
        <w:rPr>
          <w:b/>
          <w:bCs/>
        </w:rPr>
        <w:t>support packages outcomes data</w:t>
      </w:r>
      <w:r>
        <w:t>, data shall be reported quarterly and shared by providers with DFFH Central.</w:t>
      </w:r>
    </w:p>
    <w:p w14:paraId="483F6603" w14:textId="77777777" w:rsidR="00E47345" w:rsidRPr="008B52AC" w:rsidRDefault="00E47345" w:rsidP="00E47345">
      <w:pPr>
        <w:pStyle w:val="Heading4"/>
      </w:pPr>
      <w:r w:rsidRPr="008B52AC">
        <w:t xml:space="preserve">Homelessness Data Collection </w:t>
      </w:r>
      <w:r>
        <w:t xml:space="preserve">(HDC) </w:t>
      </w:r>
      <w:r w:rsidRPr="008B52AC">
        <w:t>reporting – technicalities</w:t>
      </w:r>
    </w:p>
    <w:p w14:paraId="43394BF1" w14:textId="77777777" w:rsidR="00E47345" w:rsidRDefault="00E47345" w:rsidP="00E47345">
      <w:pPr>
        <w:pStyle w:val="Body"/>
      </w:pPr>
      <w:r>
        <w:t>As the department will be using the HDC as the main program monitoring tool for the H2H program – and focused on understanding the impact of the Program across service systems – there is a need to track Clients over time. To implement such processes, some technical elements have been added to how Clients are categorised and linked through the reporting systems:</w:t>
      </w:r>
    </w:p>
    <w:p w14:paraId="08234800" w14:textId="77777777" w:rsidR="00E47345" w:rsidRDefault="00E47345" w:rsidP="00E47345">
      <w:pPr>
        <w:pStyle w:val="Bullet1"/>
      </w:pPr>
      <w:r>
        <w:t>Providers will be tracked in the HDC based on Client’s Statistical Linkage Key (SLK), connected to a Homelessness Emergency Accommodation Response Team (HEART). The provider will be apparent in that all H2H Clients will be in an existing ORG ID belonging to an auspice and area.</w:t>
      </w:r>
    </w:p>
    <w:p w14:paraId="4C8DED9C" w14:textId="77777777" w:rsidR="00E47345" w:rsidRDefault="00E47345" w:rsidP="00E47345">
      <w:pPr>
        <w:pStyle w:val="Bullet1"/>
      </w:pPr>
      <w:r>
        <w:t xml:space="preserve">Each Client supported by the program will have an individual SLK (developed based on the Client’s alpha code, gender, and their date of birth). </w:t>
      </w:r>
    </w:p>
    <w:p w14:paraId="7BE149B1" w14:textId="77777777" w:rsidR="00E47345" w:rsidRDefault="00E47345" w:rsidP="00E47345">
      <w:pPr>
        <w:pStyle w:val="Bullet1"/>
      </w:pPr>
      <w:r>
        <w:t xml:space="preserve">Providers shall create an SLK for each Client supported by the program (using the SLK generator provided by the department) and share it with the department by secure upload.  </w:t>
      </w:r>
    </w:p>
    <w:p w14:paraId="0CD50B35" w14:textId="77777777" w:rsidR="00E47345" w:rsidRDefault="00E47345" w:rsidP="00E47345">
      <w:pPr>
        <w:pStyle w:val="Bullet1"/>
      </w:pPr>
      <w:r>
        <w:t>Each SLK will be also connected to one of the HEARTs, and therefore be easily linked to its local area (and provider).</w:t>
      </w:r>
    </w:p>
    <w:p w14:paraId="641BA620" w14:textId="77777777" w:rsidR="00E47345" w:rsidRDefault="00E47345" w:rsidP="00E47345">
      <w:pPr>
        <w:pStyle w:val="Body"/>
      </w:pPr>
      <w:r>
        <w:t xml:space="preserve">Please note because the H2H Client group is static and finite across the lifespan of the program. Because of the static Client population, each </w:t>
      </w:r>
      <w:r w:rsidRPr="00355331">
        <w:t>H2H Community Partner</w:t>
      </w:r>
      <w:r>
        <w:t xml:space="preserve"> will see a decrease in Client number due to attrition as people’s circumstances are resolved. </w:t>
      </w:r>
    </w:p>
    <w:p w14:paraId="13C10A78" w14:textId="77777777" w:rsidR="00E47345" w:rsidRPr="005D0FC5" w:rsidRDefault="00E47345" w:rsidP="00E47345">
      <w:pPr>
        <w:pStyle w:val="Heading4"/>
      </w:pPr>
      <w:r w:rsidRPr="005D0FC5">
        <w:t xml:space="preserve">Homelessness </w:t>
      </w:r>
      <w:r>
        <w:t>Client</w:t>
      </w:r>
      <w:r w:rsidRPr="005D0FC5">
        <w:t xml:space="preserve"> support and Homelessness flexible funding data access</w:t>
      </w:r>
    </w:p>
    <w:p w14:paraId="6FBB6632" w14:textId="77777777" w:rsidR="00E47345" w:rsidRDefault="00E47345" w:rsidP="00E47345">
      <w:pPr>
        <w:pStyle w:val="Body"/>
      </w:pPr>
      <w:r w:rsidRPr="0048273A">
        <w:rPr>
          <w:rFonts w:eastAsia="Arial" w:cs="Arial"/>
          <w:color w:val="032833" w:themeColor="text1"/>
        </w:rPr>
        <w:t>Agency Performance and Systems Support</w:t>
      </w:r>
      <w:r>
        <w:rPr>
          <w:rFonts w:eastAsia="Arial" w:cs="Arial"/>
          <w:color w:val="032833" w:themeColor="text1"/>
        </w:rPr>
        <w:t xml:space="preserve"> (APPS</w:t>
      </w:r>
      <w:r w:rsidRPr="0048273A">
        <w:rPr>
          <w:rFonts w:eastAsia="Arial" w:cs="Arial"/>
          <w:color w:val="032833" w:themeColor="text1"/>
        </w:rPr>
        <w:t>)</w:t>
      </w:r>
      <w:r>
        <w:t xml:space="preserve"> staff will be able to access data on the key performance measures for two activities (94842 – Homelessness Client Support; and 94844 – Homelessness Flexible Funding) for their areas/providers on </w:t>
      </w:r>
      <w:r w:rsidRPr="522EE447">
        <w:rPr>
          <w:b/>
          <w:bCs/>
        </w:rPr>
        <w:t xml:space="preserve">HEART </w:t>
      </w:r>
      <w:proofErr w:type="spellStart"/>
      <w:r w:rsidRPr="522EE447">
        <w:rPr>
          <w:b/>
          <w:bCs/>
        </w:rPr>
        <w:t>PowerBI</w:t>
      </w:r>
      <w:proofErr w:type="spellEnd"/>
      <w:r w:rsidRPr="522EE447">
        <w:rPr>
          <w:b/>
          <w:bCs/>
        </w:rPr>
        <w:t xml:space="preserve"> app</w:t>
      </w:r>
      <w:r>
        <w:t xml:space="preserve">. </w:t>
      </w:r>
    </w:p>
    <w:p w14:paraId="034C8CBF" w14:textId="77777777" w:rsidR="00E47345" w:rsidRDefault="00E47345" w:rsidP="00E47345">
      <w:pPr>
        <w:pStyle w:val="Body"/>
      </w:pPr>
      <w:r>
        <w:t>Homelessness Data Collection access includes the following.</w:t>
      </w:r>
    </w:p>
    <w:p w14:paraId="2AC0232D" w14:textId="52EE6730" w:rsidR="00E47345" w:rsidRPr="00566C0C" w:rsidRDefault="00E47345" w:rsidP="00566C0C">
      <w:pPr>
        <w:pStyle w:val="Body"/>
        <w:numPr>
          <w:ilvl w:val="0"/>
          <w:numId w:val="34"/>
        </w:numPr>
      </w:pPr>
      <w:r w:rsidRPr="00566C0C">
        <w:t xml:space="preserve">Data for the program’s key performance measures will be available to DFFH local areas via HEART </w:t>
      </w:r>
      <w:proofErr w:type="spellStart"/>
      <w:r w:rsidRPr="00566C0C">
        <w:t>PowerBI</w:t>
      </w:r>
      <w:proofErr w:type="spellEnd"/>
      <w:r w:rsidRPr="00566C0C">
        <w:t xml:space="preserve"> app. The platform will be simple, secure, and interactive, allowing users to export data.</w:t>
      </w:r>
    </w:p>
    <w:p w14:paraId="28123A23" w14:textId="60D51253" w:rsidR="00E47345" w:rsidRPr="00566C0C" w:rsidRDefault="00E47345" w:rsidP="00566C0C">
      <w:pPr>
        <w:pStyle w:val="Body"/>
        <w:numPr>
          <w:ilvl w:val="0"/>
          <w:numId w:val="34"/>
        </w:numPr>
      </w:pPr>
      <w:r w:rsidRPr="00566C0C">
        <w:t xml:space="preserve">DFFH central </w:t>
      </w:r>
      <w:proofErr w:type="spellStart"/>
      <w:r w:rsidRPr="00566C0C">
        <w:t>HaAS</w:t>
      </w:r>
      <w:proofErr w:type="spellEnd"/>
      <w:r w:rsidRPr="00566C0C">
        <w:t xml:space="preserve"> staff will need to access HEART </w:t>
      </w:r>
      <w:proofErr w:type="spellStart"/>
      <w:r w:rsidRPr="00566C0C">
        <w:t>PowerBI</w:t>
      </w:r>
      <w:proofErr w:type="spellEnd"/>
      <w:r w:rsidRPr="00566C0C">
        <w:t xml:space="preserve"> app to monitor performance of H2H Community Partners.</w:t>
      </w:r>
    </w:p>
    <w:p w14:paraId="5E4D1174" w14:textId="76DBF80D" w:rsidR="00E47345" w:rsidRDefault="00E47345" w:rsidP="00E47345">
      <w:pPr>
        <w:pStyle w:val="Body"/>
      </w:pPr>
      <w:r>
        <w:t xml:space="preserve">Based on the HDC reporting schedule, data will only be available </w:t>
      </w:r>
      <w:r w:rsidRPr="522EE447">
        <w:rPr>
          <w:u w:val="single"/>
        </w:rPr>
        <w:t>6 weeks after the data is due</w:t>
      </w:r>
      <w:r>
        <w:t xml:space="preserve"> – e.g., data for the month of November data will not be visible until beginning of January the following year. A Gantt chart with the key activities under this program monitoring framework (including schedule for data reporting, sharing and analysis) can be found in </w:t>
      </w:r>
      <w:r w:rsidRPr="00E95AD0">
        <w:rPr>
          <w:b/>
        </w:rPr>
        <w:t xml:space="preserve">Appendix </w:t>
      </w:r>
      <w:r w:rsidR="009E70A1">
        <w:rPr>
          <w:b/>
        </w:rPr>
        <w:t>2</w:t>
      </w:r>
      <w:r>
        <w:t xml:space="preserve"> – Gantt chart – expected timeframe of key activities of the H2H program monitoring framework.</w:t>
      </w:r>
    </w:p>
    <w:p w14:paraId="4DA36695" w14:textId="77777777" w:rsidR="00E47345" w:rsidRPr="005D0FC5" w:rsidRDefault="00E47345" w:rsidP="00E47345">
      <w:pPr>
        <w:pStyle w:val="Heading4"/>
      </w:pPr>
      <w:r w:rsidRPr="004843B6">
        <w:lastRenderedPageBreak/>
        <w:t>Housing and tenancy administration data access</w:t>
      </w:r>
    </w:p>
    <w:p w14:paraId="10A33AFF" w14:textId="77777777" w:rsidR="00E47345" w:rsidRDefault="00E47345" w:rsidP="00E47345">
      <w:pPr>
        <w:pStyle w:val="Body"/>
      </w:pPr>
      <w:r w:rsidRPr="00D41163">
        <w:t xml:space="preserve">Agency Performance and Systems Support (APPS) </w:t>
      </w:r>
      <w:r>
        <w:t>staff will be able to access the key performance measures from the SDT for the activity 94843 – Homelessness Housing and Tenancy Administration for their areas/ providers via the standard Service Delivery Tracking Tool.</w:t>
      </w:r>
    </w:p>
    <w:p w14:paraId="611B0C72" w14:textId="77777777" w:rsidR="00E47345" w:rsidRPr="005D0FC5" w:rsidRDefault="00E47345" w:rsidP="00E47345">
      <w:pPr>
        <w:pStyle w:val="Heading4"/>
      </w:pPr>
      <w:r w:rsidRPr="004843B6">
        <w:t xml:space="preserve">Support </w:t>
      </w:r>
      <w:r w:rsidRPr="005D0FC5">
        <w:t>Service packages outcomes data access</w:t>
      </w:r>
    </w:p>
    <w:p w14:paraId="65B95A03" w14:textId="77777777" w:rsidR="00E47345" w:rsidRDefault="00E47345" w:rsidP="00E47345">
      <w:pPr>
        <w:pStyle w:val="Body"/>
      </w:pPr>
      <w:r>
        <w:t xml:space="preserve">Support Service packages outcomes data will be received by DFFH Central from each consortium. The data will be processed and made available to DFFH local areas via HEART </w:t>
      </w:r>
      <w:proofErr w:type="spellStart"/>
      <w:r>
        <w:t>PowerBI</w:t>
      </w:r>
      <w:proofErr w:type="spellEnd"/>
      <w:r>
        <w:t xml:space="preserve"> app, together with the HDC data.</w:t>
      </w:r>
    </w:p>
    <w:p w14:paraId="12BF14D0" w14:textId="77777777" w:rsidR="00E47345" w:rsidRDefault="00E47345" w:rsidP="00E47345">
      <w:pPr>
        <w:pStyle w:val="Body"/>
      </w:pPr>
      <w:r>
        <w:t>Please note: Daily data and Monthly Financial Reconciliation reporting are outlined below.</w:t>
      </w:r>
    </w:p>
    <w:p w14:paraId="478E1C5F" w14:textId="77777777" w:rsidR="00E47345" w:rsidRPr="008B52AC" w:rsidRDefault="00E47345" w:rsidP="00E47345">
      <w:pPr>
        <w:pStyle w:val="Heading4"/>
      </w:pPr>
      <w:r w:rsidRPr="008B52AC">
        <w:t>Data sharing</w:t>
      </w:r>
    </w:p>
    <w:p w14:paraId="31E333D1" w14:textId="77777777" w:rsidR="00E47345" w:rsidRDefault="00E47345" w:rsidP="00E47345">
      <w:pPr>
        <w:pStyle w:val="Bullet1"/>
        <w:rPr>
          <w:b/>
        </w:rPr>
      </w:pPr>
      <w:r>
        <w:t xml:space="preserve">Homelessness Client support and Homelessness flexible funding data available through HEART </w:t>
      </w:r>
      <w:proofErr w:type="spellStart"/>
      <w:r>
        <w:t>PowerBI</w:t>
      </w:r>
      <w:proofErr w:type="spellEnd"/>
      <w:r>
        <w:t xml:space="preserve"> app shall be extracted from the platform by the H2H Program Manager, for sharing with consortium/ providers in each local area.</w:t>
      </w:r>
    </w:p>
    <w:p w14:paraId="7447A174" w14:textId="77777777" w:rsidR="00E47345" w:rsidRDefault="00E47345" w:rsidP="00E47345">
      <w:pPr>
        <w:pStyle w:val="Bullet1"/>
      </w:pPr>
      <w:r>
        <w:t>Data should be shared with H2H Community Partners as soon as practicable, so providers have sufficient time to identify immediate areas for service improvement and conduct their own analysis if desired.</w:t>
      </w:r>
    </w:p>
    <w:p w14:paraId="7B09D8BF" w14:textId="77777777" w:rsidR="00E47345" w:rsidRDefault="00E47345" w:rsidP="00E47345">
      <w:pPr>
        <w:pStyle w:val="Bullet1"/>
      </w:pPr>
      <w:r w:rsidRPr="755AA332">
        <w:rPr>
          <w:b/>
          <w:bCs/>
        </w:rPr>
        <w:t>Housing and tenancy administration data</w:t>
      </w:r>
      <w:r>
        <w:t xml:space="preserve"> may be re-shared with H2H Community Partners, based on the H2H Program Manager’s discretion.</w:t>
      </w:r>
    </w:p>
    <w:p w14:paraId="43CD1019" w14:textId="77777777" w:rsidR="00E47345" w:rsidRPr="00FF220A" w:rsidRDefault="00E47345" w:rsidP="00E47345">
      <w:pPr>
        <w:pStyle w:val="Heading2"/>
      </w:pPr>
      <w:bookmarkStart w:id="162" w:name="_Toc88218413"/>
      <w:bookmarkStart w:id="163" w:name="_Toc88218884"/>
      <w:bookmarkStart w:id="164" w:name="_Toc121134121"/>
      <w:bookmarkEnd w:id="159"/>
      <w:bookmarkEnd w:id="160"/>
      <w:bookmarkEnd w:id="161"/>
      <w:r>
        <w:t>Data Collection and Program Monitoring Process</w:t>
      </w:r>
      <w:bookmarkEnd w:id="162"/>
      <w:bookmarkEnd w:id="163"/>
      <w:bookmarkEnd w:id="164"/>
    </w:p>
    <w:p w14:paraId="2CEF5A89" w14:textId="77777777" w:rsidR="00E47345" w:rsidRDefault="00E47345" w:rsidP="00E47345">
      <w:pPr>
        <w:pStyle w:val="Body"/>
      </w:pPr>
      <w:r>
        <w:t>The H2H quarterly performance and outcomes monitoring aims to assess the program’s progress and impact throughout its implementation. The program monitoring cycle will encompass two types of reporting: activity-based targets and support packages outcomes.</w:t>
      </w:r>
    </w:p>
    <w:p w14:paraId="7571103C" w14:textId="77777777" w:rsidR="00E47345" w:rsidRPr="00A376EA" w:rsidRDefault="00E47345" w:rsidP="00E47345">
      <w:pPr>
        <w:pStyle w:val="Heading3"/>
        <w:rPr>
          <w:rStyle w:val="Heading2Char"/>
          <w:b w:val="0"/>
          <w:color w:val="auto"/>
          <w:sz w:val="24"/>
          <w:szCs w:val="26"/>
        </w:rPr>
      </w:pPr>
      <w:bookmarkStart w:id="165" w:name="_Toc56612607"/>
      <w:bookmarkStart w:id="166" w:name="_Toc57111858"/>
      <w:bookmarkStart w:id="167" w:name="_Toc57819639"/>
      <w:bookmarkStart w:id="168" w:name="_Toc88218414"/>
      <w:bookmarkStart w:id="169" w:name="_Toc88218885"/>
      <w:bookmarkStart w:id="170" w:name="_Toc121134122"/>
      <w:r w:rsidRPr="00A376EA">
        <w:rPr>
          <w:rStyle w:val="Heading2Char"/>
          <w:color w:val="auto"/>
          <w:sz w:val="24"/>
          <w:szCs w:val="26"/>
        </w:rPr>
        <w:t>Activity-based targets</w:t>
      </w:r>
      <w:bookmarkEnd w:id="165"/>
      <w:bookmarkEnd w:id="166"/>
      <w:bookmarkEnd w:id="167"/>
      <w:bookmarkEnd w:id="168"/>
      <w:bookmarkEnd w:id="169"/>
      <w:bookmarkEnd w:id="170"/>
    </w:p>
    <w:p w14:paraId="0D88BF2B" w14:textId="77777777" w:rsidR="00E47345" w:rsidRPr="007514C7" w:rsidRDefault="00E47345" w:rsidP="00E47345">
      <w:pPr>
        <w:pStyle w:val="Body"/>
      </w:pPr>
      <w:r>
        <w:t xml:space="preserve">The </w:t>
      </w:r>
      <w:r w:rsidRPr="00355331">
        <w:t>H2H Community Partners</w:t>
      </w:r>
      <w:r w:rsidRPr="00336A68">
        <w:t xml:space="preserve"> </w:t>
      </w:r>
      <w:r>
        <w:t>must</w:t>
      </w:r>
      <w:r w:rsidRPr="00336A68">
        <w:t xml:space="preserve"> acquit against </w:t>
      </w:r>
      <w:r>
        <w:t xml:space="preserve">only one of the three </w:t>
      </w:r>
      <w:r w:rsidRPr="00336A68">
        <w:t>activity-based targets</w:t>
      </w:r>
      <w:r>
        <w:t xml:space="preserve"> for </w:t>
      </w:r>
      <w:r w:rsidRPr="00336A68">
        <w:t xml:space="preserve">the delivery of </w:t>
      </w:r>
      <w:r>
        <w:t>Client support (</w:t>
      </w:r>
      <w:r w:rsidRPr="000114BD">
        <w:t>activity 94842</w:t>
      </w:r>
      <w:r>
        <w:t>); housing and tenancy administration (</w:t>
      </w:r>
      <w:r w:rsidRPr="000114BD">
        <w:t>activity 94843</w:t>
      </w:r>
      <w:r>
        <w:t>); and flexible funding (</w:t>
      </w:r>
      <w:r w:rsidRPr="000114BD">
        <w:t>activity 94844</w:t>
      </w:r>
      <w:r>
        <w:t xml:space="preserve">), as established in their Service Agreement. </w:t>
      </w:r>
      <w:r w:rsidRPr="00336A68">
        <w:t xml:space="preserve">These targets constitute the expected service delivery </w:t>
      </w:r>
      <w:r>
        <w:t xml:space="preserve">for the </w:t>
      </w:r>
      <w:r w:rsidRPr="00355331">
        <w:t>H2H Community Partners,</w:t>
      </w:r>
      <w:r w:rsidRPr="00336A68">
        <w:t xml:space="preserve"> stating the quantity of the output units to be delivered yearly. </w:t>
      </w:r>
      <w:r w:rsidRPr="007514C7">
        <w:t>Data reporting schedules should follow requirements stated in the service agreement, activity descriptors and program guidelines.</w:t>
      </w:r>
    </w:p>
    <w:p w14:paraId="521A815A" w14:textId="77777777" w:rsidR="00E47345" w:rsidRPr="00AD1223" w:rsidRDefault="00E47345" w:rsidP="00E47345">
      <w:pPr>
        <w:pStyle w:val="Heading4"/>
      </w:pPr>
      <w:r w:rsidRPr="004843B6">
        <w:t>Quarter</w:t>
      </w:r>
      <w:r w:rsidRPr="00AD1223">
        <w:t xml:space="preserve">ly Performance Monitoring </w:t>
      </w:r>
    </w:p>
    <w:p w14:paraId="5DE14464" w14:textId="77777777" w:rsidR="00E47345" w:rsidRDefault="00E47345" w:rsidP="00E47345">
      <w:pPr>
        <w:pStyle w:val="Body"/>
      </w:pPr>
      <w:r>
        <w:t xml:space="preserve">The activity-based targets and support package outcomes data reporting will be conducted </w:t>
      </w:r>
      <w:r w:rsidRPr="00BF1A9B">
        <w:rPr>
          <w:b/>
          <w:bCs/>
        </w:rPr>
        <w:t>quarterly</w:t>
      </w:r>
      <w:r>
        <w:t>, using both the HDC, SDT and the support package outcomes data. Below illustrates schedule of the H2H quarterly performance monitoring cycle.</w:t>
      </w:r>
    </w:p>
    <w:p w14:paraId="2609A358" w14:textId="77777777" w:rsidR="00E47345" w:rsidRDefault="00E47345" w:rsidP="00E47345">
      <w:pPr>
        <w:pStyle w:val="DHHSbody"/>
      </w:pPr>
    </w:p>
    <w:p w14:paraId="5ACC39D7" w14:textId="77777777" w:rsidR="00E47345" w:rsidRPr="002957A8" w:rsidRDefault="00E47345" w:rsidP="00E47345">
      <w:pPr>
        <w:pStyle w:val="Body"/>
      </w:pPr>
      <w:r w:rsidRPr="00E32D4C">
        <w:t xml:space="preserve">Table </w:t>
      </w:r>
      <w:r>
        <w:t>4</w:t>
      </w:r>
      <w:r w:rsidRPr="00E32D4C">
        <w:t>: Example of the H2H quarterly performance and outcome monitoring cycle – areas marked with ‘</w:t>
      </w:r>
      <w:r w:rsidRPr="00E32D4C">
        <w:rPr>
          <w:color w:val="19ABD7" w:themeColor="accent5" w:themeShade="BF"/>
        </w:rPr>
        <w:t>α</w:t>
      </w:r>
      <w:r w:rsidRPr="00E32D4C">
        <w:t>’</w:t>
      </w:r>
    </w:p>
    <w:tbl>
      <w:tblPr>
        <w:tblStyle w:val="TableGrid"/>
        <w:tblW w:w="0" w:type="auto"/>
        <w:tblLook w:val="06A0" w:firstRow="1" w:lastRow="0" w:firstColumn="1" w:lastColumn="0" w:noHBand="1" w:noVBand="1"/>
      </w:tblPr>
      <w:tblGrid>
        <w:gridCol w:w="4464"/>
        <w:gridCol w:w="955"/>
        <w:gridCol w:w="955"/>
        <w:gridCol w:w="955"/>
        <w:gridCol w:w="955"/>
        <w:gridCol w:w="955"/>
        <w:gridCol w:w="955"/>
      </w:tblGrid>
      <w:tr w:rsidR="00E47345" w:rsidRPr="003421CB" w14:paraId="0CAC1D4E" w14:textId="77777777" w:rsidTr="007516E6">
        <w:trPr>
          <w:cnfStyle w:val="100000000000" w:firstRow="1" w:lastRow="0" w:firstColumn="0" w:lastColumn="0" w:oddVBand="0" w:evenVBand="0" w:oddHBand="0" w:evenHBand="0" w:firstRowFirstColumn="0" w:firstRowLastColumn="0" w:lastRowFirstColumn="0" w:lastRowLastColumn="0"/>
          <w:trHeight w:val="231"/>
        </w:trPr>
        <w:tc>
          <w:tcPr>
            <w:tcW w:w="4990" w:type="dxa"/>
            <w:vAlign w:val="center"/>
          </w:tcPr>
          <w:p w14:paraId="67D3C2E5" w14:textId="77777777" w:rsidR="00E47345" w:rsidRPr="003421CB" w:rsidRDefault="00E47345" w:rsidP="00E47345">
            <w:pPr>
              <w:pStyle w:val="Body"/>
              <w:rPr>
                <w:b/>
                <w:bCs/>
                <w:szCs w:val="21"/>
              </w:rPr>
            </w:pPr>
            <w:r w:rsidRPr="003421CB">
              <w:rPr>
                <w:b/>
                <w:bCs/>
                <w:szCs w:val="21"/>
              </w:rPr>
              <w:t>Activity</w:t>
            </w:r>
          </w:p>
        </w:tc>
        <w:tc>
          <w:tcPr>
            <w:tcW w:w="851" w:type="dxa"/>
            <w:vAlign w:val="center"/>
          </w:tcPr>
          <w:p w14:paraId="41E8CA92" w14:textId="77777777" w:rsidR="00E47345" w:rsidRPr="003421CB" w:rsidRDefault="00E47345" w:rsidP="00E47345">
            <w:pPr>
              <w:pStyle w:val="Body"/>
              <w:rPr>
                <w:b/>
                <w:bCs/>
                <w:szCs w:val="21"/>
              </w:rPr>
            </w:pPr>
            <w:r w:rsidRPr="003421CB">
              <w:rPr>
                <w:b/>
                <w:bCs/>
                <w:szCs w:val="21"/>
              </w:rPr>
              <w:t>Month 1</w:t>
            </w:r>
          </w:p>
        </w:tc>
        <w:tc>
          <w:tcPr>
            <w:tcW w:w="850" w:type="dxa"/>
            <w:vAlign w:val="center"/>
          </w:tcPr>
          <w:p w14:paraId="1AB014CA" w14:textId="77777777" w:rsidR="00E47345" w:rsidRPr="003421CB" w:rsidRDefault="00E47345" w:rsidP="00E47345">
            <w:pPr>
              <w:pStyle w:val="Body"/>
              <w:rPr>
                <w:b/>
                <w:bCs/>
                <w:szCs w:val="21"/>
              </w:rPr>
            </w:pPr>
            <w:r w:rsidRPr="003421CB">
              <w:rPr>
                <w:b/>
                <w:bCs/>
                <w:szCs w:val="21"/>
              </w:rPr>
              <w:t>Month 2</w:t>
            </w:r>
          </w:p>
        </w:tc>
        <w:tc>
          <w:tcPr>
            <w:tcW w:w="851" w:type="dxa"/>
            <w:vAlign w:val="center"/>
          </w:tcPr>
          <w:p w14:paraId="701A4360" w14:textId="77777777" w:rsidR="00E47345" w:rsidRPr="003421CB" w:rsidRDefault="00E47345" w:rsidP="00E47345">
            <w:pPr>
              <w:pStyle w:val="Body"/>
              <w:rPr>
                <w:b/>
                <w:bCs/>
                <w:szCs w:val="21"/>
              </w:rPr>
            </w:pPr>
            <w:r w:rsidRPr="003421CB">
              <w:rPr>
                <w:b/>
                <w:bCs/>
                <w:szCs w:val="21"/>
              </w:rPr>
              <w:t>Month 3</w:t>
            </w:r>
          </w:p>
        </w:tc>
        <w:tc>
          <w:tcPr>
            <w:tcW w:w="850" w:type="dxa"/>
            <w:vAlign w:val="center"/>
          </w:tcPr>
          <w:p w14:paraId="3A97AA58" w14:textId="77777777" w:rsidR="00E47345" w:rsidRPr="003421CB" w:rsidRDefault="00E47345" w:rsidP="00E47345">
            <w:pPr>
              <w:pStyle w:val="Body"/>
              <w:rPr>
                <w:b/>
                <w:bCs/>
                <w:szCs w:val="21"/>
              </w:rPr>
            </w:pPr>
            <w:r w:rsidRPr="003421CB">
              <w:rPr>
                <w:b/>
                <w:bCs/>
                <w:szCs w:val="21"/>
              </w:rPr>
              <w:t>Month 4</w:t>
            </w:r>
          </w:p>
        </w:tc>
        <w:tc>
          <w:tcPr>
            <w:tcW w:w="851" w:type="dxa"/>
            <w:vAlign w:val="center"/>
          </w:tcPr>
          <w:p w14:paraId="676EBE2B" w14:textId="77777777" w:rsidR="00E47345" w:rsidRPr="003421CB" w:rsidRDefault="00E47345" w:rsidP="00E47345">
            <w:pPr>
              <w:pStyle w:val="Body"/>
              <w:rPr>
                <w:b/>
                <w:bCs/>
                <w:szCs w:val="21"/>
              </w:rPr>
            </w:pPr>
            <w:r w:rsidRPr="003421CB">
              <w:rPr>
                <w:b/>
                <w:bCs/>
                <w:szCs w:val="21"/>
              </w:rPr>
              <w:t>Month 5</w:t>
            </w:r>
          </w:p>
        </w:tc>
        <w:tc>
          <w:tcPr>
            <w:tcW w:w="843" w:type="dxa"/>
            <w:vAlign w:val="center"/>
          </w:tcPr>
          <w:p w14:paraId="1E826D69" w14:textId="77777777" w:rsidR="00E47345" w:rsidRPr="003421CB" w:rsidRDefault="00E47345" w:rsidP="00E47345">
            <w:pPr>
              <w:pStyle w:val="Body"/>
              <w:rPr>
                <w:b/>
                <w:bCs/>
                <w:szCs w:val="21"/>
              </w:rPr>
            </w:pPr>
            <w:r w:rsidRPr="003421CB">
              <w:rPr>
                <w:b/>
                <w:bCs/>
                <w:szCs w:val="21"/>
              </w:rPr>
              <w:t>Month 6</w:t>
            </w:r>
          </w:p>
        </w:tc>
      </w:tr>
      <w:tr w:rsidR="00E47345" w14:paraId="11F118A0" w14:textId="77777777" w:rsidTr="007516E6">
        <w:trPr>
          <w:trHeight w:val="610"/>
        </w:trPr>
        <w:tc>
          <w:tcPr>
            <w:tcW w:w="4990" w:type="dxa"/>
            <w:shd w:val="clear" w:color="auto" w:fill="EFE5DC" w:themeFill="background2"/>
            <w:vAlign w:val="center"/>
          </w:tcPr>
          <w:p w14:paraId="41ECE9BD" w14:textId="77777777" w:rsidR="00E47345" w:rsidRPr="00E41B6E" w:rsidRDefault="00E47345" w:rsidP="00E47345">
            <w:pPr>
              <w:pStyle w:val="Body"/>
              <w:rPr>
                <w:bCs/>
              </w:rPr>
            </w:pPr>
            <w:r w:rsidRPr="00E41B6E">
              <w:rPr>
                <w:bCs/>
              </w:rPr>
              <w:lastRenderedPageBreak/>
              <w:t xml:space="preserve">Data reporting </w:t>
            </w:r>
            <w:r w:rsidRPr="008E3BE9">
              <w:t xml:space="preserve">– </w:t>
            </w:r>
            <w:r>
              <w:t>Client</w:t>
            </w:r>
            <w:r w:rsidRPr="008E3BE9">
              <w:t xml:space="preserve"> support (activity 94842)</w:t>
            </w:r>
          </w:p>
        </w:tc>
        <w:tc>
          <w:tcPr>
            <w:tcW w:w="851" w:type="dxa"/>
            <w:shd w:val="clear" w:color="auto" w:fill="E7D8CB" w:themeFill="background2" w:themeFillShade="F2"/>
            <w:vAlign w:val="center"/>
          </w:tcPr>
          <w:p w14:paraId="38CFDE8A" w14:textId="77777777" w:rsidR="00E47345" w:rsidRPr="004324F0" w:rsidRDefault="00E47345" w:rsidP="00E47345">
            <w:pPr>
              <w:pStyle w:val="Body"/>
              <w:rPr>
                <w:sz w:val="28"/>
                <w:szCs w:val="28"/>
              </w:rPr>
            </w:pPr>
            <w:r w:rsidRPr="004324F0">
              <w:rPr>
                <w:color w:val="19ABD7" w:themeColor="accent5" w:themeShade="BF"/>
                <w:sz w:val="28"/>
                <w:szCs w:val="28"/>
              </w:rPr>
              <w:t>α</w:t>
            </w:r>
          </w:p>
        </w:tc>
        <w:tc>
          <w:tcPr>
            <w:tcW w:w="850" w:type="dxa"/>
            <w:shd w:val="clear" w:color="auto" w:fill="E7D8CB" w:themeFill="background2" w:themeFillShade="F2"/>
            <w:vAlign w:val="center"/>
          </w:tcPr>
          <w:p w14:paraId="199916AC" w14:textId="77777777" w:rsidR="00E47345" w:rsidRPr="004324F0" w:rsidRDefault="00E47345" w:rsidP="00E47345">
            <w:pPr>
              <w:pStyle w:val="Body"/>
              <w:rPr>
                <w:sz w:val="28"/>
                <w:szCs w:val="28"/>
              </w:rPr>
            </w:pPr>
            <w:r w:rsidRPr="004324F0">
              <w:rPr>
                <w:color w:val="19ABD7" w:themeColor="accent5" w:themeShade="BF"/>
                <w:sz w:val="28"/>
                <w:szCs w:val="28"/>
              </w:rPr>
              <w:t>α</w:t>
            </w:r>
          </w:p>
        </w:tc>
        <w:tc>
          <w:tcPr>
            <w:tcW w:w="851" w:type="dxa"/>
            <w:shd w:val="clear" w:color="auto" w:fill="E7D8CB" w:themeFill="background2" w:themeFillShade="F2"/>
            <w:vAlign w:val="center"/>
          </w:tcPr>
          <w:p w14:paraId="2107835A" w14:textId="77777777" w:rsidR="00E47345" w:rsidRPr="004324F0" w:rsidRDefault="00E47345" w:rsidP="00E47345">
            <w:pPr>
              <w:pStyle w:val="Body"/>
              <w:rPr>
                <w:color w:val="0F8194" w:themeColor="accent1"/>
                <w:sz w:val="28"/>
                <w:szCs w:val="28"/>
              </w:rPr>
            </w:pPr>
            <w:r w:rsidRPr="004324F0">
              <w:rPr>
                <w:color w:val="19ABD7" w:themeColor="accent5" w:themeShade="BF"/>
                <w:sz w:val="28"/>
                <w:szCs w:val="28"/>
              </w:rPr>
              <w:t>α</w:t>
            </w:r>
          </w:p>
        </w:tc>
        <w:tc>
          <w:tcPr>
            <w:tcW w:w="850" w:type="dxa"/>
            <w:vAlign w:val="center"/>
          </w:tcPr>
          <w:p w14:paraId="3846D662" w14:textId="77777777" w:rsidR="00E47345" w:rsidRPr="004324F0" w:rsidRDefault="00E47345" w:rsidP="00E47345">
            <w:pPr>
              <w:pStyle w:val="Body"/>
              <w:rPr>
                <w:color w:val="0F8194" w:themeColor="accent1"/>
                <w:sz w:val="28"/>
                <w:szCs w:val="28"/>
              </w:rPr>
            </w:pPr>
            <w:r w:rsidRPr="004324F0">
              <w:rPr>
                <w:rFonts w:cs="Arial"/>
                <w:color w:val="DC6426" w:themeColor="accent4"/>
                <w:sz w:val="28"/>
                <w:szCs w:val="28"/>
              </w:rPr>
              <w:t>β</w:t>
            </w:r>
          </w:p>
        </w:tc>
        <w:tc>
          <w:tcPr>
            <w:tcW w:w="851" w:type="dxa"/>
            <w:vAlign w:val="center"/>
          </w:tcPr>
          <w:p w14:paraId="109B3A68" w14:textId="77777777" w:rsidR="00E47345" w:rsidRDefault="00E47345" w:rsidP="00E47345">
            <w:pPr>
              <w:pStyle w:val="Body"/>
              <w:rPr>
                <w:color w:val="0F8194" w:themeColor="accent1"/>
                <w:sz w:val="28"/>
                <w:szCs w:val="28"/>
              </w:rPr>
            </w:pPr>
            <w:r w:rsidRPr="6C981D2D">
              <w:rPr>
                <w:rFonts w:cs="Arial"/>
                <w:color w:val="DC6426" w:themeColor="accent4"/>
                <w:sz w:val="28"/>
                <w:szCs w:val="28"/>
              </w:rPr>
              <w:t>β</w:t>
            </w:r>
          </w:p>
        </w:tc>
        <w:tc>
          <w:tcPr>
            <w:tcW w:w="843" w:type="dxa"/>
            <w:vAlign w:val="center"/>
          </w:tcPr>
          <w:p w14:paraId="2E1C623A" w14:textId="77777777" w:rsidR="00E47345" w:rsidRPr="004324F0" w:rsidRDefault="00E47345" w:rsidP="00E47345">
            <w:pPr>
              <w:pStyle w:val="Body"/>
              <w:rPr>
                <w:color w:val="0F8194" w:themeColor="accent1"/>
                <w:sz w:val="28"/>
                <w:szCs w:val="28"/>
              </w:rPr>
            </w:pPr>
            <w:r w:rsidRPr="004324F0">
              <w:rPr>
                <w:rFonts w:cs="Arial"/>
                <w:color w:val="DC6426" w:themeColor="accent4"/>
                <w:sz w:val="28"/>
                <w:szCs w:val="28"/>
              </w:rPr>
              <w:t>β</w:t>
            </w:r>
          </w:p>
        </w:tc>
      </w:tr>
      <w:tr w:rsidR="00E47345" w14:paraId="7AE50FC4" w14:textId="77777777" w:rsidTr="007516E6">
        <w:trPr>
          <w:trHeight w:val="610"/>
        </w:trPr>
        <w:tc>
          <w:tcPr>
            <w:tcW w:w="4990" w:type="dxa"/>
            <w:vAlign w:val="center"/>
          </w:tcPr>
          <w:p w14:paraId="694A6586" w14:textId="77777777" w:rsidR="00E47345" w:rsidRPr="00474C57" w:rsidRDefault="00E47345" w:rsidP="00E47345">
            <w:pPr>
              <w:pStyle w:val="Body"/>
              <w:rPr>
                <w:b/>
                <w:bCs/>
              </w:rPr>
            </w:pPr>
            <w:r w:rsidRPr="00E41B6E">
              <w:rPr>
                <w:b/>
                <w:bCs/>
              </w:rPr>
              <w:t xml:space="preserve">Data reporting </w:t>
            </w:r>
            <w:r w:rsidRPr="008E3BE9">
              <w:t>– Housing and tenancy administration (activity 94843)</w:t>
            </w:r>
          </w:p>
        </w:tc>
        <w:tc>
          <w:tcPr>
            <w:tcW w:w="851" w:type="dxa"/>
            <w:shd w:val="clear" w:color="auto" w:fill="E7D8CB" w:themeFill="background2" w:themeFillShade="F2"/>
            <w:vAlign w:val="center"/>
          </w:tcPr>
          <w:p w14:paraId="6625B6BF" w14:textId="77777777" w:rsidR="00E47345" w:rsidRPr="004324F0" w:rsidRDefault="00E47345" w:rsidP="00E47345">
            <w:pPr>
              <w:pStyle w:val="Body"/>
              <w:rPr>
                <w:b/>
                <w:sz w:val="28"/>
                <w:szCs w:val="28"/>
              </w:rPr>
            </w:pPr>
            <w:r w:rsidRPr="004324F0">
              <w:rPr>
                <w:b/>
                <w:color w:val="19ABD7" w:themeColor="accent5" w:themeShade="BF"/>
                <w:sz w:val="28"/>
                <w:szCs w:val="28"/>
              </w:rPr>
              <w:t>α</w:t>
            </w:r>
          </w:p>
        </w:tc>
        <w:tc>
          <w:tcPr>
            <w:tcW w:w="850" w:type="dxa"/>
            <w:shd w:val="clear" w:color="auto" w:fill="E7D8CB" w:themeFill="background2" w:themeFillShade="F2"/>
            <w:vAlign w:val="center"/>
          </w:tcPr>
          <w:p w14:paraId="4FE09AE6" w14:textId="77777777" w:rsidR="00E47345" w:rsidRPr="004324F0" w:rsidRDefault="00E47345" w:rsidP="00E47345">
            <w:pPr>
              <w:pStyle w:val="Body"/>
              <w:rPr>
                <w:b/>
                <w:i/>
                <w:iCs/>
                <w:sz w:val="28"/>
                <w:szCs w:val="28"/>
              </w:rPr>
            </w:pPr>
            <w:r w:rsidRPr="004324F0">
              <w:rPr>
                <w:b/>
                <w:color w:val="19ABD7" w:themeColor="accent5" w:themeShade="BF"/>
                <w:sz w:val="28"/>
                <w:szCs w:val="28"/>
              </w:rPr>
              <w:t>α</w:t>
            </w:r>
          </w:p>
        </w:tc>
        <w:tc>
          <w:tcPr>
            <w:tcW w:w="851" w:type="dxa"/>
            <w:shd w:val="clear" w:color="auto" w:fill="E7D8CB" w:themeFill="background2" w:themeFillShade="F2"/>
            <w:vAlign w:val="center"/>
          </w:tcPr>
          <w:p w14:paraId="76A33767" w14:textId="77777777" w:rsidR="00E47345" w:rsidRPr="004324F0" w:rsidRDefault="00E47345" w:rsidP="00E47345">
            <w:pPr>
              <w:pStyle w:val="Body"/>
              <w:rPr>
                <w:b/>
                <w:sz w:val="28"/>
                <w:szCs w:val="28"/>
              </w:rPr>
            </w:pPr>
            <w:r w:rsidRPr="004324F0">
              <w:rPr>
                <w:b/>
                <w:color w:val="19ABD7" w:themeColor="accent5" w:themeShade="BF"/>
                <w:sz w:val="28"/>
                <w:szCs w:val="28"/>
              </w:rPr>
              <w:t>α</w:t>
            </w:r>
          </w:p>
        </w:tc>
        <w:tc>
          <w:tcPr>
            <w:tcW w:w="850" w:type="dxa"/>
            <w:vAlign w:val="center"/>
          </w:tcPr>
          <w:p w14:paraId="6E91600E" w14:textId="77777777" w:rsidR="00E47345" w:rsidRPr="004324F0" w:rsidRDefault="00E47345" w:rsidP="00E47345">
            <w:pPr>
              <w:pStyle w:val="Body"/>
              <w:rPr>
                <w:b/>
                <w:sz w:val="28"/>
                <w:szCs w:val="28"/>
              </w:rPr>
            </w:pPr>
            <w:r w:rsidRPr="004324F0">
              <w:rPr>
                <w:rFonts w:cs="Arial"/>
                <w:b/>
                <w:color w:val="DC6426" w:themeColor="accent4"/>
                <w:sz w:val="28"/>
                <w:szCs w:val="28"/>
              </w:rPr>
              <w:t>β</w:t>
            </w:r>
          </w:p>
        </w:tc>
        <w:tc>
          <w:tcPr>
            <w:tcW w:w="851" w:type="dxa"/>
            <w:vAlign w:val="center"/>
          </w:tcPr>
          <w:p w14:paraId="5A1ED9D1" w14:textId="77777777" w:rsidR="00E47345" w:rsidRDefault="00E47345" w:rsidP="00E47345">
            <w:pPr>
              <w:pStyle w:val="Body"/>
              <w:rPr>
                <w:b/>
                <w:bCs/>
                <w:sz w:val="28"/>
                <w:szCs w:val="28"/>
              </w:rPr>
            </w:pPr>
            <w:r w:rsidRPr="6C981D2D">
              <w:rPr>
                <w:rFonts w:cs="Arial"/>
                <w:b/>
                <w:bCs/>
                <w:color w:val="DC6426" w:themeColor="accent4"/>
                <w:sz w:val="28"/>
                <w:szCs w:val="28"/>
              </w:rPr>
              <w:t>β</w:t>
            </w:r>
          </w:p>
        </w:tc>
        <w:tc>
          <w:tcPr>
            <w:tcW w:w="843" w:type="dxa"/>
            <w:vAlign w:val="center"/>
          </w:tcPr>
          <w:p w14:paraId="6C9713F2" w14:textId="77777777" w:rsidR="00E47345" w:rsidRPr="004324F0" w:rsidRDefault="00E47345" w:rsidP="00E47345">
            <w:pPr>
              <w:pStyle w:val="Body"/>
              <w:rPr>
                <w:b/>
                <w:sz w:val="28"/>
                <w:szCs w:val="28"/>
              </w:rPr>
            </w:pPr>
            <w:r w:rsidRPr="004324F0">
              <w:rPr>
                <w:rFonts w:cs="Arial"/>
                <w:b/>
                <w:color w:val="DC6426" w:themeColor="accent4"/>
                <w:sz w:val="28"/>
                <w:szCs w:val="28"/>
              </w:rPr>
              <w:t>β</w:t>
            </w:r>
          </w:p>
        </w:tc>
      </w:tr>
      <w:tr w:rsidR="00E47345" w14:paraId="08BAA817" w14:textId="77777777" w:rsidTr="007516E6">
        <w:trPr>
          <w:trHeight w:val="610"/>
        </w:trPr>
        <w:tc>
          <w:tcPr>
            <w:tcW w:w="4990" w:type="dxa"/>
            <w:vAlign w:val="center"/>
          </w:tcPr>
          <w:p w14:paraId="409ABEED" w14:textId="77777777" w:rsidR="00E47345" w:rsidRPr="00474C57" w:rsidRDefault="00E47345" w:rsidP="00E47345">
            <w:pPr>
              <w:pStyle w:val="Body"/>
              <w:rPr>
                <w:b/>
                <w:bCs/>
              </w:rPr>
            </w:pPr>
            <w:r w:rsidRPr="00E41B6E">
              <w:rPr>
                <w:b/>
                <w:bCs/>
              </w:rPr>
              <w:t xml:space="preserve">Data reporting </w:t>
            </w:r>
            <w:r w:rsidRPr="008E3BE9">
              <w:t>– Flexible funding (activity 94844)</w:t>
            </w:r>
          </w:p>
        </w:tc>
        <w:tc>
          <w:tcPr>
            <w:tcW w:w="851" w:type="dxa"/>
            <w:shd w:val="clear" w:color="auto" w:fill="E7D8CB" w:themeFill="background2" w:themeFillShade="F2"/>
            <w:vAlign w:val="center"/>
          </w:tcPr>
          <w:p w14:paraId="0B9B5328" w14:textId="77777777" w:rsidR="00E47345" w:rsidRPr="004324F0" w:rsidRDefault="00E47345" w:rsidP="00E47345">
            <w:pPr>
              <w:pStyle w:val="Body"/>
              <w:rPr>
                <w:b/>
                <w:sz w:val="28"/>
                <w:szCs w:val="28"/>
              </w:rPr>
            </w:pPr>
            <w:r w:rsidRPr="004324F0">
              <w:rPr>
                <w:b/>
                <w:color w:val="19ABD7" w:themeColor="accent5" w:themeShade="BF"/>
                <w:sz w:val="28"/>
                <w:szCs w:val="28"/>
              </w:rPr>
              <w:t>α</w:t>
            </w:r>
          </w:p>
        </w:tc>
        <w:tc>
          <w:tcPr>
            <w:tcW w:w="850" w:type="dxa"/>
            <w:shd w:val="clear" w:color="auto" w:fill="E7D8CB" w:themeFill="background2" w:themeFillShade="F2"/>
            <w:vAlign w:val="center"/>
          </w:tcPr>
          <w:p w14:paraId="60D1DCD4" w14:textId="77777777" w:rsidR="00E47345" w:rsidRPr="004324F0" w:rsidRDefault="00E47345" w:rsidP="00E47345">
            <w:pPr>
              <w:pStyle w:val="Body"/>
              <w:rPr>
                <w:b/>
                <w:sz w:val="28"/>
                <w:szCs w:val="28"/>
              </w:rPr>
            </w:pPr>
            <w:r w:rsidRPr="004324F0">
              <w:rPr>
                <w:b/>
                <w:color w:val="19ABD7" w:themeColor="accent5" w:themeShade="BF"/>
                <w:sz w:val="28"/>
                <w:szCs w:val="28"/>
              </w:rPr>
              <w:t>α</w:t>
            </w:r>
          </w:p>
        </w:tc>
        <w:tc>
          <w:tcPr>
            <w:tcW w:w="851" w:type="dxa"/>
            <w:shd w:val="clear" w:color="auto" w:fill="E7D8CB" w:themeFill="background2" w:themeFillShade="F2"/>
            <w:vAlign w:val="center"/>
          </w:tcPr>
          <w:p w14:paraId="6E118CCD" w14:textId="77777777" w:rsidR="00E47345" w:rsidRPr="004324F0" w:rsidRDefault="00E47345" w:rsidP="00E47345">
            <w:pPr>
              <w:pStyle w:val="Body"/>
              <w:rPr>
                <w:b/>
                <w:sz w:val="28"/>
                <w:szCs w:val="28"/>
              </w:rPr>
            </w:pPr>
            <w:r w:rsidRPr="004324F0">
              <w:rPr>
                <w:b/>
                <w:color w:val="19ABD7" w:themeColor="accent5" w:themeShade="BF"/>
                <w:sz w:val="28"/>
                <w:szCs w:val="28"/>
              </w:rPr>
              <w:t>α</w:t>
            </w:r>
          </w:p>
        </w:tc>
        <w:tc>
          <w:tcPr>
            <w:tcW w:w="850" w:type="dxa"/>
            <w:vAlign w:val="center"/>
          </w:tcPr>
          <w:p w14:paraId="325381DE" w14:textId="77777777" w:rsidR="00E47345" w:rsidRPr="004324F0" w:rsidRDefault="00E47345" w:rsidP="00E47345">
            <w:pPr>
              <w:pStyle w:val="Body"/>
              <w:rPr>
                <w:b/>
                <w:sz w:val="28"/>
                <w:szCs w:val="28"/>
              </w:rPr>
            </w:pPr>
            <w:r w:rsidRPr="004324F0">
              <w:rPr>
                <w:rFonts w:cs="Arial"/>
                <w:b/>
                <w:color w:val="DC6426" w:themeColor="accent4"/>
                <w:sz w:val="28"/>
                <w:szCs w:val="28"/>
              </w:rPr>
              <w:t>β</w:t>
            </w:r>
          </w:p>
        </w:tc>
        <w:tc>
          <w:tcPr>
            <w:tcW w:w="851" w:type="dxa"/>
            <w:vAlign w:val="center"/>
          </w:tcPr>
          <w:p w14:paraId="48AA02FB" w14:textId="77777777" w:rsidR="00E47345" w:rsidRDefault="00E47345" w:rsidP="00E47345">
            <w:pPr>
              <w:pStyle w:val="Body"/>
              <w:rPr>
                <w:b/>
                <w:bCs/>
                <w:sz w:val="28"/>
                <w:szCs w:val="28"/>
              </w:rPr>
            </w:pPr>
            <w:r w:rsidRPr="6C981D2D">
              <w:rPr>
                <w:rFonts w:cs="Arial"/>
                <w:b/>
                <w:bCs/>
                <w:color w:val="DC6426" w:themeColor="accent4"/>
                <w:sz w:val="28"/>
                <w:szCs w:val="28"/>
              </w:rPr>
              <w:t>β</w:t>
            </w:r>
          </w:p>
        </w:tc>
        <w:tc>
          <w:tcPr>
            <w:tcW w:w="843" w:type="dxa"/>
            <w:vAlign w:val="center"/>
          </w:tcPr>
          <w:p w14:paraId="3D412F26" w14:textId="77777777" w:rsidR="00E47345" w:rsidRPr="004324F0" w:rsidRDefault="00E47345" w:rsidP="00E47345">
            <w:pPr>
              <w:pStyle w:val="Body"/>
              <w:rPr>
                <w:b/>
                <w:sz w:val="28"/>
                <w:szCs w:val="28"/>
              </w:rPr>
            </w:pPr>
            <w:r w:rsidRPr="004324F0">
              <w:rPr>
                <w:rFonts w:cs="Arial"/>
                <w:b/>
                <w:color w:val="DC6426" w:themeColor="accent4"/>
                <w:sz w:val="28"/>
                <w:szCs w:val="28"/>
              </w:rPr>
              <w:t>β</w:t>
            </w:r>
          </w:p>
        </w:tc>
      </w:tr>
      <w:tr w:rsidR="00E47345" w14:paraId="5058C008" w14:textId="77777777" w:rsidTr="007516E6">
        <w:trPr>
          <w:trHeight w:val="610"/>
        </w:trPr>
        <w:tc>
          <w:tcPr>
            <w:tcW w:w="4990" w:type="dxa"/>
            <w:vAlign w:val="center"/>
          </w:tcPr>
          <w:p w14:paraId="7BCF2151" w14:textId="77777777" w:rsidR="00E47345" w:rsidRPr="00E41B6E" w:rsidRDefault="00E47345" w:rsidP="00E47345">
            <w:pPr>
              <w:pStyle w:val="Body"/>
              <w:rPr>
                <w:b/>
                <w:bCs/>
              </w:rPr>
            </w:pPr>
            <w:r w:rsidRPr="00E41B6E">
              <w:rPr>
                <w:b/>
                <w:bCs/>
              </w:rPr>
              <w:t xml:space="preserve">Data reporting </w:t>
            </w:r>
            <w:r w:rsidRPr="008E3BE9">
              <w:t xml:space="preserve">– </w:t>
            </w:r>
            <w:r w:rsidRPr="00E95994">
              <w:t>Monthly Service Provider Report</w:t>
            </w:r>
          </w:p>
        </w:tc>
        <w:tc>
          <w:tcPr>
            <w:tcW w:w="851" w:type="dxa"/>
            <w:shd w:val="clear" w:color="auto" w:fill="E7D8CB" w:themeFill="background2" w:themeFillShade="F2"/>
            <w:vAlign w:val="center"/>
          </w:tcPr>
          <w:p w14:paraId="543E0BA6" w14:textId="77777777" w:rsidR="00E47345" w:rsidRPr="004324F0" w:rsidRDefault="00E47345" w:rsidP="00E47345">
            <w:pPr>
              <w:pStyle w:val="Body"/>
              <w:rPr>
                <w:b/>
                <w:color w:val="19ABD7" w:themeColor="accent5" w:themeShade="BF"/>
                <w:sz w:val="28"/>
                <w:szCs w:val="28"/>
              </w:rPr>
            </w:pPr>
            <w:r w:rsidRPr="004324F0">
              <w:rPr>
                <w:b/>
                <w:color w:val="19ABD7" w:themeColor="accent5" w:themeShade="BF"/>
                <w:sz w:val="28"/>
                <w:szCs w:val="28"/>
              </w:rPr>
              <w:t>α</w:t>
            </w:r>
          </w:p>
        </w:tc>
        <w:tc>
          <w:tcPr>
            <w:tcW w:w="850" w:type="dxa"/>
            <w:shd w:val="clear" w:color="auto" w:fill="E7D8CB" w:themeFill="background2" w:themeFillShade="F2"/>
            <w:vAlign w:val="center"/>
          </w:tcPr>
          <w:p w14:paraId="6B51B672" w14:textId="77777777" w:rsidR="00E47345" w:rsidRPr="004324F0" w:rsidRDefault="00E47345" w:rsidP="00E47345">
            <w:pPr>
              <w:pStyle w:val="Body"/>
              <w:rPr>
                <w:b/>
                <w:color w:val="19ABD7" w:themeColor="accent5" w:themeShade="BF"/>
                <w:sz w:val="28"/>
                <w:szCs w:val="28"/>
              </w:rPr>
            </w:pPr>
            <w:r w:rsidRPr="004324F0">
              <w:rPr>
                <w:b/>
                <w:color w:val="19ABD7" w:themeColor="accent5" w:themeShade="BF"/>
                <w:sz w:val="28"/>
                <w:szCs w:val="28"/>
              </w:rPr>
              <w:t>α</w:t>
            </w:r>
          </w:p>
        </w:tc>
        <w:tc>
          <w:tcPr>
            <w:tcW w:w="851" w:type="dxa"/>
            <w:shd w:val="clear" w:color="auto" w:fill="E7D8CB" w:themeFill="background2" w:themeFillShade="F2"/>
            <w:vAlign w:val="center"/>
          </w:tcPr>
          <w:p w14:paraId="38D116C5" w14:textId="77777777" w:rsidR="00E47345" w:rsidRPr="004324F0" w:rsidRDefault="00E47345" w:rsidP="00E47345">
            <w:pPr>
              <w:pStyle w:val="Body"/>
              <w:rPr>
                <w:b/>
                <w:color w:val="19ABD7" w:themeColor="accent5" w:themeShade="BF"/>
                <w:sz w:val="28"/>
                <w:szCs w:val="28"/>
              </w:rPr>
            </w:pPr>
            <w:r w:rsidRPr="004324F0">
              <w:rPr>
                <w:b/>
                <w:color w:val="19ABD7" w:themeColor="accent5" w:themeShade="BF"/>
                <w:sz w:val="28"/>
                <w:szCs w:val="28"/>
              </w:rPr>
              <w:t>α</w:t>
            </w:r>
          </w:p>
        </w:tc>
        <w:tc>
          <w:tcPr>
            <w:tcW w:w="850" w:type="dxa"/>
            <w:vAlign w:val="center"/>
          </w:tcPr>
          <w:p w14:paraId="48635803" w14:textId="77777777" w:rsidR="00E47345" w:rsidRPr="004324F0" w:rsidRDefault="00E47345" w:rsidP="00E47345">
            <w:pPr>
              <w:pStyle w:val="Body"/>
              <w:rPr>
                <w:rFonts w:cs="Arial"/>
                <w:b/>
                <w:color w:val="DC6426" w:themeColor="accent4"/>
                <w:sz w:val="28"/>
                <w:szCs w:val="28"/>
              </w:rPr>
            </w:pPr>
            <w:r w:rsidRPr="004324F0">
              <w:rPr>
                <w:rFonts w:cs="Arial"/>
                <w:b/>
                <w:color w:val="DC6426" w:themeColor="accent4"/>
                <w:sz w:val="28"/>
                <w:szCs w:val="28"/>
              </w:rPr>
              <w:t>β</w:t>
            </w:r>
          </w:p>
        </w:tc>
        <w:tc>
          <w:tcPr>
            <w:tcW w:w="851" w:type="dxa"/>
            <w:vAlign w:val="center"/>
          </w:tcPr>
          <w:p w14:paraId="263439C4" w14:textId="77777777" w:rsidR="00E47345" w:rsidRDefault="00E47345" w:rsidP="00E47345">
            <w:pPr>
              <w:pStyle w:val="Body"/>
              <w:rPr>
                <w:rFonts w:cs="Arial"/>
                <w:b/>
                <w:bCs/>
                <w:color w:val="DC6426" w:themeColor="accent4"/>
                <w:sz w:val="28"/>
                <w:szCs w:val="28"/>
              </w:rPr>
            </w:pPr>
            <w:r w:rsidRPr="6C981D2D">
              <w:rPr>
                <w:rFonts w:cs="Arial"/>
                <w:b/>
                <w:bCs/>
                <w:color w:val="DC6426" w:themeColor="accent4"/>
                <w:sz w:val="28"/>
                <w:szCs w:val="28"/>
              </w:rPr>
              <w:t>β</w:t>
            </w:r>
          </w:p>
        </w:tc>
        <w:tc>
          <w:tcPr>
            <w:tcW w:w="843" w:type="dxa"/>
            <w:vAlign w:val="center"/>
          </w:tcPr>
          <w:p w14:paraId="3C98E367" w14:textId="77777777" w:rsidR="00E47345" w:rsidRPr="004324F0" w:rsidRDefault="00E47345" w:rsidP="00E47345">
            <w:pPr>
              <w:pStyle w:val="Body"/>
              <w:rPr>
                <w:rFonts w:cs="Arial"/>
                <w:b/>
                <w:color w:val="DC6426" w:themeColor="accent4"/>
                <w:sz w:val="28"/>
                <w:szCs w:val="28"/>
              </w:rPr>
            </w:pPr>
            <w:r w:rsidRPr="004324F0">
              <w:rPr>
                <w:rFonts w:cs="Arial"/>
                <w:b/>
                <w:color w:val="DC6426" w:themeColor="accent4"/>
                <w:sz w:val="28"/>
                <w:szCs w:val="28"/>
              </w:rPr>
              <w:t>β</w:t>
            </w:r>
          </w:p>
        </w:tc>
      </w:tr>
      <w:tr w:rsidR="00E47345" w14:paraId="74BB3259" w14:textId="77777777" w:rsidTr="007516E6">
        <w:trPr>
          <w:trHeight w:val="610"/>
        </w:trPr>
        <w:tc>
          <w:tcPr>
            <w:tcW w:w="4990" w:type="dxa"/>
            <w:vAlign w:val="center"/>
          </w:tcPr>
          <w:p w14:paraId="77CBD609" w14:textId="77777777" w:rsidR="00E47345" w:rsidRPr="00E41B6E" w:rsidRDefault="00E47345" w:rsidP="00E47345">
            <w:pPr>
              <w:pStyle w:val="Body"/>
              <w:rPr>
                <w:b/>
                <w:bCs/>
              </w:rPr>
            </w:pPr>
            <w:r w:rsidRPr="00E41B6E">
              <w:rPr>
                <w:b/>
                <w:bCs/>
              </w:rPr>
              <w:t xml:space="preserve">Data reporting </w:t>
            </w:r>
            <w:r w:rsidRPr="008E3BE9">
              <w:t>– Support packages outcomes</w:t>
            </w:r>
          </w:p>
        </w:tc>
        <w:tc>
          <w:tcPr>
            <w:tcW w:w="851" w:type="dxa"/>
            <w:vAlign w:val="center"/>
          </w:tcPr>
          <w:p w14:paraId="61DEFD05" w14:textId="77777777" w:rsidR="00E47345" w:rsidRDefault="00E47345" w:rsidP="00E47345">
            <w:pPr>
              <w:pStyle w:val="Body"/>
            </w:pPr>
          </w:p>
        </w:tc>
        <w:tc>
          <w:tcPr>
            <w:tcW w:w="850" w:type="dxa"/>
            <w:vAlign w:val="center"/>
          </w:tcPr>
          <w:p w14:paraId="429D9C6E" w14:textId="77777777" w:rsidR="00E47345" w:rsidRDefault="00E47345" w:rsidP="00E47345">
            <w:pPr>
              <w:pStyle w:val="Body"/>
            </w:pPr>
          </w:p>
        </w:tc>
        <w:tc>
          <w:tcPr>
            <w:tcW w:w="851" w:type="dxa"/>
            <w:vAlign w:val="center"/>
          </w:tcPr>
          <w:p w14:paraId="33870C37" w14:textId="77777777" w:rsidR="00E47345" w:rsidRPr="006E517A" w:rsidRDefault="00E47345" w:rsidP="00E47345">
            <w:pPr>
              <w:pStyle w:val="Body"/>
            </w:pPr>
          </w:p>
        </w:tc>
        <w:tc>
          <w:tcPr>
            <w:tcW w:w="850" w:type="dxa"/>
            <w:shd w:val="clear" w:color="auto" w:fill="E7D8CB" w:themeFill="background2" w:themeFillShade="F2"/>
            <w:vAlign w:val="center"/>
          </w:tcPr>
          <w:p w14:paraId="5EEC752B" w14:textId="77777777" w:rsidR="00E47345" w:rsidRPr="004324F0" w:rsidRDefault="00E47345" w:rsidP="00E47345">
            <w:pPr>
              <w:pStyle w:val="Body"/>
              <w:rPr>
                <w:b/>
                <w:bCs/>
                <w:sz w:val="28"/>
                <w:szCs w:val="28"/>
              </w:rPr>
            </w:pPr>
            <w:r w:rsidRPr="004324F0">
              <w:rPr>
                <w:b/>
                <w:bCs/>
                <w:color w:val="19ABD7" w:themeColor="accent5" w:themeShade="BF"/>
                <w:sz w:val="28"/>
                <w:szCs w:val="28"/>
              </w:rPr>
              <w:t>α</w:t>
            </w:r>
          </w:p>
        </w:tc>
        <w:tc>
          <w:tcPr>
            <w:tcW w:w="851" w:type="dxa"/>
            <w:vAlign w:val="center"/>
          </w:tcPr>
          <w:p w14:paraId="3057CEA2" w14:textId="77777777" w:rsidR="00E47345" w:rsidRPr="004324F0" w:rsidRDefault="00E47345" w:rsidP="00E47345">
            <w:pPr>
              <w:pStyle w:val="Body"/>
              <w:rPr>
                <w:b/>
                <w:bCs/>
                <w:sz w:val="28"/>
                <w:szCs w:val="28"/>
              </w:rPr>
            </w:pPr>
          </w:p>
        </w:tc>
        <w:tc>
          <w:tcPr>
            <w:tcW w:w="843" w:type="dxa"/>
            <w:vAlign w:val="center"/>
          </w:tcPr>
          <w:p w14:paraId="339EF8CA" w14:textId="77777777" w:rsidR="00E47345" w:rsidRPr="004324F0" w:rsidRDefault="00E47345" w:rsidP="00E47345">
            <w:pPr>
              <w:pStyle w:val="Body"/>
              <w:rPr>
                <w:b/>
                <w:bCs/>
                <w:sz w:val="28"/>
                <w:szCs w:val="28"/>
              </w:rPr>
            </w:pPr>
          </w:p>
        </w:tc>
      </w:tr>
      <w:tr w:rsidR="00E47345" w14:paraId="33AFFE92" w14:textId="77777777" w:rsidTr="007516E6">
        <w:trPr>
          <w:trHeight w:val="610"/>
        </w:trPr>
        <w:tc>
          <w:tcPr>
            <w:tcW w:w="4990" w:type="dxa"/>
            <w:vAlign w:val="center"/>
          </w:tcPr>
          <w:p w14:paraId="4C877FC9" w14:textId="77777777" w:rsidR="00E47345" w:rsidRPr="00474C57" w:rsidRDefault="00E47345" w:rsidP="00E47345">
            <w:pPr>
              <w:pStyle w:val="Body"/>
              <w:rPr>
                <w:b/>
                <w:bCs/>
              </w:rPr>
            </w:pPr>
            <w:r w:rsidRPr="00E41B6E">
              <w:rPr>
                <w:b/>
                <w:bCs/>
              </w:rPr>
              <w:t xml:space="preserve">Data processed by </w:t>
            </w:r>
            <w:r>
              <w:rPr>
                <w:b/>
                <w:bCs/>
              </w:rPr>
              <w:t>DFFH</w:t>
            </w:r>
            <w:r w:rsidRPr="00E41B6E">
              <w:rPr>
                <w:b/>
                <w:bCs/>
              </w:rPr>
              <w:t xml:space="preserve"> Central</w:t>
            </w:r>
          </w:p>
        </w:tc>
        <w:tc>
          <w:tcPr>
            <w:tcW w:w="851" w:type="dxa"/>
            <w:vAlign w:val="center"/>
          </w:tcPr>
          <w:p w14:paraId="053E1AD0" w14:textId="77777777" w:rsidR="00E47345" w:rsidRDefault="00E47345" w:rsidP="00E47345">
            <w:pPr>
              <w:pStyle w:val="Body"/>
            </w:pPr>
          </w:p>
        </w:tc>
        <w:tc>
          <w:tcPr>
            <w:tcW w:w="850" w:type="dxa"/>
            <w:vAlign w:val="center"/>
          </w:tcPr>
          <w:p w14:paraId="3A975A68" w14:textId="77777777" w:rsidR="00E47345" w:rsidRDefault="00E47345" w:rsidP="00E47345">
            <w:pPr>
              <w:pStyle w:val="Body"/>
            </w:pPr>
          </w:p>
        </w:tc>
        <w:tc>
          <w:tcPr>
            <w:tcW w:w="851" w:type="dxa"/>
            <w:vAlign w:val="center"/>
          </w:tcPr>
          <w:p w14:paraId="5B740E23" w14:textId="77777777" w:rsidR="00E47345" w:rsidRDefault="00E47345" w:rsidP="00E47345">
            <w:pPr>
              <w:pStyle w:val="Body"/>
            </w:pPr>
          </w:p>
        </w:tc>
        <w:tc>
          <w:tcPr>
            <w:tcW w:w="850" w:type="dxa"/>
            <w:shd w:val="clear" w:color="auto" w:fill="F8DFD3" w:themeFill="accent4" w:themeFillTint="33"/>
            <w:vAlign w:val="center"/>
          </w:tcPr>
          <w:p w14:paraId="0E4F4410" w14:textId="77777777" w:rsidR="00E47345" w:rsidRPr="004324F0" w:rsidRDefault="00E47345" w:rsidP="00E47345">
            <w:pPr>
              <w:pStyle w:val="Body"/>
              <w:rPr>
                <w:b/>
                <w:bCs/>
                <w:sz w:val="28"/>
                <w:szCs w:val="28"/>
              </w:rPr>
            </w:pPr>
            <w:r w:rsidRPr="004324F0">
              <w:rPr>
                <w:b/>
                <w:bCs/>
                <w:color w:val="19ABD7" w:themeColor="accent5" w:themeShade="BF"/>
                <w:sz w:val="28"/>
                <w:szCs w:val="28"/>
              </w:rPr>
              <w:t>α</w:t>
            </w:r>
          </w:p>
        </w:tc>
        <w:tc>
          <w:tcPr>
            <w:tcW w:w="851" w:type="dxa"/>
            <w:shd w:val="clear" w:color="auto" w:fill="F8DFD3" w:themeFill="accent4" w:themeFillTint="33"/>
            <w:vAlign w:val="center"/>
          </w:tcPr>
          <w:p w14:paraId="11F2CA25" w14:textId="77777777" w:rsidR="00E47345" w:rsidRPr="004324F0" w:rsidRDefault="00E47345" w:rsidP="00E47345">
            <w:pPr>
              <w:pStyle w:val="Body"/>
              <w:rPr>
                <w:b/>
                <w:bCs/>
                <w:sz w:val="28"/>
                <w:szCs w:val="28"/>
              </w:rPr>
            </w:pPr>
            <w:r w:rsidRPr="6C981D2D">
              <w:rPr>
                <w:b/>
                <w:bCs/>
                <w:color w:val="19ABD7" w:themeColor="accent5" w:themeShade="BF"/>
                <w:sz w:val="28"/>
                <w:szCs w:val="28"/>
              </w:rPr>
              <w:t>α</w:t>
            </w:r>
          </w:p>
        </w:tc>
        <w:tc>
          <w:tcPr>
            <w:tcW w:w="843" w:type="dxa"/>
            <w:vAlign w:val="center"/>
          </w:tcPr>
          <w:p w14:paraId="2A41A6FD" w14:textId="77777777" w:rsidR="00E47345" w:rsidRPr="004324F0" w:rsidRDefault="00E47345" w:rsidP="00E47345">
            <w:pPr>
              <w:pStyle w:val="Body"/>
              <w:rPr>
                <w:b/>
                <w:bCs/>
                <w:sz w:val="28"/>
                <w:szCs w:val="28"/>
              </w:rPr>
            </w:pPr>
          </w:p>
        </w:tc>
      </w:tr>
      <w:tr w:rsidR="00E47345" w14:paraId="007C6837" w14:textId="77777777" w:rsidTr="007516E6">
        <w:trPr>
          <w:trHeight w:val="610"/>
        </w:trPr>
        <w:tc>
          <w:tcPr>
            <w:tcW w:w="4990" w:type="dxa"/>
            <w:vAlign w:val="center"/>
          </w:tcPr>
          <w:p w14:paraId="01C5E589" w14:textId="77777777" w:rsidR="00E47345" w:rsidRPr="00474C57" w:rsidRDefault="00E47345" w:rsidP="00E47345">
            <w:pPr>
              <w:pStyle w:val="Body"/>
              <w:rPr>
                <w:b/>
                <w:bCs/>
              </w:rPr>
            </w:pPr>
            <w:r w:rsidRPr="00E41B6E">
              <w:rPr>
                <w:b/>
                <w:bCs/>
              </w:rPr>
              <w:t>Data accessible via</w:t>
            </w:r>
            <w:r>
              <w:rPr>
                <w:b/>
                <w:bCs/>
              </w:rPr>
              <w:t xml:space="preserve"> the</w:t>
            </w:r>
            <w:r w:rsidRPr="00E41B6E">
              <w:rPr>
                <w:b/>
                <w:bCs/>
              </w:rPr>
              <w:t xml:space="preserve"> </w:t>
            </w:r>
            <w:r w:rsidRPr="00633BD5">
              <w:rPr>
                <w:b/>
                <w:bCs/>
              </w:rPr>
              <w:t xml:space="preserve">HEART </w:t>
            </w:r>
            <w:proofErr w:type="spellStart"/>
            <w:r w:rsidRPr="00633BD5">
              <w:rPr>
                <w:b/>
                <w:bCs/>
              </w:rPr>
              <w:t>PowerBI</w:t>
            </w:r>
            <w:proofErr w:type="spellEnd"/>
            <w:r w:rsidRPr="00633BD5">
              <w:rPr>
                <w:b/>
                <w:bCs/>
              </w:rPr>
              <w:t xml:space="preserve"> app</w:t>
            </w:r>
          </w:p>
        </w:tc>
        <w:tc>
          <w:tcPr>
            <w:tcW w:w="851" w:type="dxa"/>
            <w:vAlign w:val="center"/>
          </w:tcPr>
          <w:p w14:paraId="2003589E" w14:textId="77777777" w:rsidR="00E47345" w:rsidRDefault="00E47345" w:rsidP="00E47345">
            <w:pPr>
              <w:pStyle w:val="Body"/>
            </w:pPr>
          </w:p>
        </w:tc>
        <w:tc>
          <w:tcPr>
            <w:tcW w:w="850" w:type="dxa"/>
            <w:vAlign w:val="center"/>
          </w:tcPr>
          <w:p w14:paraId="3B6B6072" w14:textId="77777777" w:rsidR="00E47345" w:rsidRDefault="00E47345" w:rsidP="00E47345">
            <w:pPr>
              <w:pStyle w:val="Body"/>
            </w:pPr>
          </w:p>
        </w:tc>
        <w:tc>
          <w:tcPr>
            <w:tcW w:w="851" w:type="dxa"/>
            <w:vAlign w:val="center"/>
          </w:tcPr>
          <w:p w14:paraId="215FC4FD" w14:textId="77777777" w:rsidR="00E47345" w:rsidRDefault="00E47345" w:rsidP="00E47345">
            <w:pPr>
              <w:pStyle w:val="Body"/>
            </w:pPr>
          </w:p>
        </w:tc>
        <w:tc>
          <w:tcPr>
            <w:tcW w:w="850" w:type="dxa"/>
            <w:vAlign w:val="center"/>
          </w:tcPr>
          <w:p w14:paraId="7214F400" w14:textId="77777777" w:rsidR="00E47345" w:rsidRPr="004324F0" w:rsidRDefault="00E47345" w:rsidP="00E47345">
            <w:pPr>
              <w:pStyle w:val="Body"/>
              <w:rPr>
                <w:b/>
                <w:bCs/>
                <w:sz w:val="28"/>
                <w:szCs w:val="28"/>
              </w:rPr>
            </w:pPr>
          </w:p>
        </w:tc>
        <w:tc>
          <w:tcPr>
            <w:tcW w:w="851" w:type="dxa"/>
            <w:shd w:val="clear" w:color="auto" w:fill="F4ECF4" w:themeFill="accent2" w:themeFillTint="33"/>
            <w:vAlign w:val="center"/>
          </w:tcPr>
          <w:p w14:paraId="28E198E4" w14:textId="77777777" w:rsidR="00E47345" w:rsidRPr="004324F0" w:rsidRDefault="00E47345" w:rsidP="00E47345">
            <w:pPr>
              <w:pStyle w:val="Body"/>
              <w:rPr>
                <w:b/>
                <w:bCs/>
                <w:sz w:val="28"/>
                <w:szCs w:val="28"/>
              </w:rPr>
            </w:pPr>
            <w:r w:rsidRPr="6C981D2D">
              <w:rPr>
                <w:b/>
                <w:bCs/>
                <w:color w:val="19ABD7" w:themeColor="accent5" w:themeShade="BF"/>
                <w:sz w:val="28"/>
                <w:szCs w:val="28"/>
              </w:rPr>
              <w:t>α</w:t>
            </w:r>
          </w:p>
        </w:tc>
        <w:tc>
          <w:tcPr>
            <w:tcW w:w="843" w:type="dxa"/>
            <w:vAlign w:val="center"/>
          </w:tcPr>
          <w:p w14:paraId="71B32417" w14:textId="77777777" w:rsidR="00E47345" w:rsidRPr="004324F0" w:rsidRDefault="00E47345" w:rsidP="00E47345">
            <w:pPr>
              <w:pStyle w:val="Body"/>
              <w:rPr>
                <w:b/>
                <w:bCs/>
                <w:sz w:val="28"/>
                <w:szCs w:val="28"/>
              </w:rPr>
            </w:pPr>
          </w:p>
        </w:tc>
      </w:tr>
      <w:tr w:rsidR="00E47345" w14:paraId="36E3B6A4" w14:textId="77777777" w:rsidTr="007516E6">
        <w:trPr>
          <w:trHeight w:val="610"/>
        </w:trPr>
        <w:tc>
          <w:tcPr>
            <w:tcW w:w="4990" w:type="dxa"/>
            <w:vAlign w:val="center"/>
          </w:tcPr>
          <w:p w14:paraId="3FB6C226" w14:textId="77777777" w:rsidR="00E47345" w:rsidRPr="00474C57" w:rsidRDefault="00E47345" w:rsidP="00E47345">
            <w:pPr>
              <w:pStyle w:val="Body"/>
              <w:rPr>
                <w:b/>
                <w:bCs/>
              </w:rPr>
            </w:pPr>
            <w:r w:rsidRPr="00E41B6E">
              <w:rPr>
                <w:b/>
                <w:bCs/>
              </w:rPr>
              <w:t xml:space="preserve">Data shared with </w:t>
            </w:r>
            <w:r w:rsidRPr="00810558">
              <w:rPr>
                <w:b/>
                <w:bCs/>
              </w:rPr>
              <w:t>H2H Community Partners</w:t>
            </w:r>
          </w:p>
        </w:tc>
        <w:tc>
          <w:tcPr>
            <w:tcW w:w="851" w:type="dxa"/>
            <w:vAlign w:val="center"/>
          </w:tcPr>
          <w:p w14:paraId="6143002C" w14:textId="77777777" w:rsidR="00E47345" w:rsidRDefault="00E47345" w:rsidP="00E47345">
            <w:pPr>
              <w:pStyle w:val="Body"/>
            </w:pPr>
          </w:p>
        </w:tc>
        <w:tc>
          <w:tcPr>
            <w:tcW w:w="850" w:type="dxa"/>
            <w:vAlign w:val="center"/>
          </w:tcPr>
          <w:p w14:paraId="626A9184" w14:textId="77777777" w:rsidR="00E47345" w:rsidRDefault="00E47345" w:rsidP="00E47345">
            <w:pPr>
              <w:pStyle w:val="Body"/>
            </w:pPr>
          </w:p>
        </w:tc>
        <w:tc>
          <w:tcPr>
            <w:tcW w:w="851" w:type="dxa"/>
            <w:vAlign w:val="center"/>
          </w:tcPr>
          <w:p w14:paraId="2D5D669F" w14:textId="77777777" w:rsidR="00E47345" w:rsidRDefault="00E47345" w:rsidP="00E47345">
            <w:pPr>
              <w:pStyle w:val="Body"/>
            </w:pPr>
          </w:p>
        </w:tc>
        <w:tc>
          <w:tcPr>
            <w:tcW w:w="850" w:type="dxa"/>
            <w:vAlign w:val="center"/>
          </w:tcPr>
          <w:p w14:paraId="7336AA4A" w14:textId="77777777" w:rsidR="00E47345" w:rsidRPr="004324F0" w:rsidRDefault="00E47345" w:rsidP="00E47345">
            <w:pPr>
              <w:pStyle w:val="Body"/>
              <w:rPr>
                <w:b/>
                <w:bCs/>
                <w:sz w:val="28"/>
                <w:szCs w:val="28"/>
              </w:rPr>
            </w:pPr>
          </w:p>
        </w:tc>
        <w:tc>
          <w:tcPr>
            <w:tcW w:w="851" w:type="dxa"/>
            <w:shd w:val="clear" w:color="auto" w:fill="EAD9EA" w:themeFill="accent2" w:themeFillTint="66"/>
            <w:vAlign w:val="center"/>
          </w:tcPr>
          <w:p w14:paraId="132FD27F" w14:textId="77777777" w:rsidR="00E47345" w:rsidRPr="004324F0" w:rsidRDefault="00E47345" w:rsidP="00E47345">
            <w:pPr>
              <w:pStyle w:val="Body"/>
              <w:rPr>
                <w:b/>
                <w:bCs/>
                <w:sz w:val="28"/>
                <w:szCs w:val="28"/>
              </w:rPr>
            </w:pPr>
            <w:r w:rsidRPr="6C981D2D">
              <w:rPr>
                <w:b/>
                <w:bCs/>
                <w:color w:val="19ABD7" w:themeColor="accent5" w:themeShade="BF"/>
                <w:sz w:val="28"/>
                <w:szCs w:val="28"/>
              </w:rPr>
              <w:t>α</w:t>
            </w:r>
          </w:p>
        </w:tc>
        <w:tc>
          <w:tcPr>
            <w:tcW w:w="843" w:type="dxa"/>
            <w:vAlign w:val="center"/>
          </w:tcPr>
          <w:p w14:paraId="2CAAFE1F" w14:textId="77777777" w:rsidR="00E47345" w:rsidRPr="004324F0" w:rsidRDefault="00E47345" w:rsidP="00E47345">
            <w:pPr>
              <w:pStyle w:val="Body"/>
              <w:rPr>
                <w:b/>
                <w:bCs/>
                <w:sz w:val="28"/>
                <w:szCs w:val="28"/>
              </w:rPr>
            </w:pPr>
          </w:p>
        </w:tc>
      </w:tr>
      <w:tr w:rsidR="00E47345" w14:paraId="6F986ADE" w14:textId="77777777" w:rsidTr="007516E6">
        <w:trPr>
          <w:trHeight w:val="510"/>
        </w:trPr>
        <w:tc>
          <w:tcPr>
            <w:tcW w:w="4990" w:type="dxa"/>
            <w:vAlign w:val="center"/>
          </w:tcPr>
          <w:p w14:paraId="58E28113" w14:textId="77777777" w:rsidR="00E47345" w:rsidRPr="00474C57" w:rsidRDefault="00E47345" w:rsidP="00E47345">
            <w:pPr>
              <w:pStyle w:val="Body"/>
              <w:rPr>
                <w:b/>
                <w:bCs/>
              </w:rPr>
            </w:pPr>
            <w:r w:rsidRPr="00E41B6E">
              <w:rPr>
                <w:b/>
                <w:bCs/>
              </w:rPr>
              <w:t>Data analysed by stakeholders (e.g., APSS staff, H2H Prog. Manager)</w:t>
            </w:r>
          </w:p>
        </w:tc>
        <w:tc>
          <w:tcPr>
            <w:tcW w:w="851" w:type="dxa"/>
            <w:vAlign w:val="center"/>
          </w:tcPr>
          <w:p w14:paraId="047EAB65" w14:textId="77777777" w:rsidR="00E47345" w:rsidRDefault="00E47345" w:rsidP="00E47345">
            <w:pPr>
              <w:pStyle w:val="Body"/>
            </w:pPr>
          </w:p>
        </w:tc>
        <w:tc>
          <w:tcPr>
            <w:tcW w:w="850" w:type="dxa"/>
            <w:vAlign w:val="center"/>
          </w:tcPr>
          <w:p w14:paraId="0A81EDFA" w14:textId="77777777" w:rsidR="00E47345" w:rsidRDefault="00E47345" w:rsidP="00E47345">
            <w:pPr>
              <w:pStyle w:val="Body"/>
            </w:pPr>
          </w:p>
        </w:tc>
        <w:tc>
          <w:tcPr>
            <w:tcW w:w="851" w:type="dxa"/>
            <w:vAlign w:val="center"/>
          </w:tcPr>
          <w:p w14:paraId="359350B6" w14:textId="77777777" w:rsidR="00E47345" w:rsidRDefault="00E47345" w:rsidP="00E47345">
            <w:pPr>
              <w:pStyle w:val="Body"/>
            </w:pPr>
          </w:p>
        </w:tc>
        <w:tc>
          <w:tcPr>
            <w:tcW w:w="850" w:type="dxa"/>
            <w:vAlign w:val="center"/>
          </w:tcPr>
          <w:p w14:paraId="6F8C1521" w14:textId="77777777" w:rsidR="00E47345" w:rsidRPr="004324F0" w:rsidRDefault="00E47345" w:rsidP="00E47345">
            <w:pPr>
              <w:pStyle w:val="Body"/>
              <w:rPr>
                <w:b/>
                <w:bCs/>
                <w:sz w:val="28"/>
                <w:szCs w:val="28"/>
              </w:rPr>
            </w:pPr>
          </w:p>
        </w:tc>
        <w:tc>
          <w:tcPr>
            <w:tcW w:w="851" w:type="dxa"/>
            <w:vAlign w:val="center"/>
          </w:tcPr>
          <w:p w14:paraId="6C1389F9" w14:textId="77777777" w:rsidR="00E47345" w:rsidRPr="004324F0" w:rsidRDefault="00E47345" w:rsidP="00E47345">
            <w:pPr>
              <w:pStyle w:val="Body"/>
              <w:rPr>
                <w:b/>
                <w:bCs/>
                <w:sz w:val="28"/>
                <w:szCs w:val="28"/>
              </w:rPr>
            </w:pPr>
          </w:p>
        </w:tc>
        <w:tc>
          <w:tcPr>
            <w:tcW w:w="843" w:type="dxa"/>
            <w:shd w:val="clear" w:color="auto" w:fill="E0C6DF" w:themeFill="accent2" w:themeFillTint="99"/>
            <w:vAlign w:val="center"/>
          </w:tcPr>
          <w:p w14:paraId="44A10061" w14:textId="77777777" w:rsidR="00E47345" w:rsidRPr="004324F0" w:rsidRDefault="00E47345" w:rsidP="00E47345">
            <w:pPr>
              <w:pStyle w:val="Body"/>
              <w:rPr>
                <w:b/>
                <w:bCs/>
                <w:sz w:val="28"/>
                <w:szCs w:val="28"/>
              </w:rPr>
            </w:pPr>
            <w:r w:rsidRPr="004324F0">
              <w:rPr>
                <w:b/>
                <w:bCs/>
                <w:color w:val="19ABD7" w:themeColor="accent5" w:themeShade="BF"/>
                <w:sz w:val="28"/>
                <w:szCs w:val="28"/>
              </w:rPr>
              <w:t>α</w:t>
            </w:r>
          </w:p>
        </w:tc>
      </w:tr>
    </w:tbl>
    <w:p w14:paraId="4548BA7D" w14:textId="77777777" w:rsidR="00E47345" w:rsidRDefault="00E47345" w:rsidP="00E47345">
      <w:pPr>
        <w:rPr>
          <w:rFonts w:ascii="Arial" w:hAnsi="Arial" w:cs="Arial"/>
          <w:b/>
          <w:bCs/>
          <w:i/>
          <w:iCs/>
          <w:color w:val="C00000"/>
        </w:rPr>
      </w:pPr>
    </w:p>
    <w:p w14:paraId="1227205C" w14:textId="77777777" w:rsidR="00E47345" w:rsidRPr="00A376EA" w:rsidRDefault="00E47345" w:rsidP="00E47345">
      <w:pPr>
        <w:pStyle w:val="Body"/>
      </w:pPr>
      <w:r w:rsidRPr="00A376EA">
        <w:t>Note: symbols</w:t>
      </w:r>
      <w:r w:rsidRPr="00A376EA">
        <w:rPr>
          <w:b/>
          <w:bCs/>
          <w:color w:val="DC6426" w:themeColor="accent4"/>
        </w:rPr>
        <w:t xml:space="preserve"> </w:t>
      </w:r>
      <w:r w:rsidRPr="00A376EA">
        <w:t>and colours</w:t>
      </w:r>
      <w:r w:rsidRPr="00A376EA">
        <w:rPr>
          <w:b/>
          <w:bCs/>
        </w:rPr>
        <w:t xml:space="preserve"> </w:t>
      </w:r>
      <w:r w:rsidRPr="00A376EA">
        <w:t>denote the timing of activities in the following program monitoring cycle</w:t>
      </w:r>
    </w:p>
    <w:p w14:paraId="02111FD3" w14:textId="77777777" w:rsidR="00E47345" w:rsidRPr="00DB56FC" w:rsidRDefault="00E47345" w:rsidP="00E47345">
      <w:pPr>
        <w:pStyle w:val="Body"/>
        <w:rPr>
          <w:szCs w:val="21"/>
        </w:rPr>
      </w:pPr>
      <w:r w:rsidRPr="00DB56FC">
        <w:rPr>
          <w:b/>
          <w:color w:val="19ABD7" w:themeColor="accent5" w:themeShade="BF"/>
          <w:szCs w:val="21"/>
        </w:rPr>
        <w:t>α</w:t>
      </w:r>
      <w:r w:rsidRPr="00DB56FC">
        <w:rPr>
          <w:szCs w:val="21"/>
        </w:rPr>
        <w:t xml:space="preserve"> in grey box – Quarter 1 all other </w:t>
      </w:r>
      <w:r w:rsidRPr="00DB56FC">
        <w:rPr>
          <w:b/>
          <w:color w:val="19ABD7" w:themeColor="accent5" w:themeShade="BF"/>
          <w:szCs w:val="21"/>
        </w:rPr>
        <w:t>α</w:t>
      </w:r>
      <w:r w:rsidRPr="00DB56FC">
        <w:rPr>
          <w:szCs w:val="21"/>
        </w:rPr>
        <w:t xml:space="preserve">’s in coloured boxes denote when the first quarter data reporting will be processes and accessible. </w:t>
      </w:r>
    </w:p>
    <w:p w14:paraId="65FE902E" w14:textId="77777777" w:rsidR="00E47345" w:rsidRPr="00DB56FC" w:rsidRDefault="00E47345" w:rsidP="00E47345">
      <w:pPr>
        <w:pStyle w:val="Body"/>
        <w:rPr>
          <w:szCs w:val="21"/>
        </w:rPr>
      </w:pPr>
      <w:r w:rsidRPr="00DB56FC">
        <w:rPr>
          <w:b/>
          <w:color w:val="DC6426" w:themeColor="accent4"/>
          <w:szCs w:val="21"/>
        </w:rPr>
        <w:t>β</w:t>
      </w:r>
      <w:r w:rsidRPr="00DB56FC">
        <w:rPr>
          <w:szCs w:val="21"/>
        </w:rPr>
        <w:t xml:space="preserve"> – Quarter 2 </w:t>
      </w:r>
    </w:p>
    <w:p w14:paraId="71EE2D32" w14:textId="77777777" w:rsidR="00E47345" w:rsidRDefault="00E47345" w:rsidP="00E47345"/>
    <w:p w14:paraId="708F3484" w14:textId="77777777" w:rsidR="00E47345" w:rsidRDefault="00E47345">
      <w:pPr>
        <w:spacing w:after="0" w:line="240" w:lineRule="auto"/>
        <w:rPr>
          <w:rFonts w:ascii="Arial" w:hAnsi="Arial"/>
          <w:b/>
          <w:i/>
          <w:iCs/>
          <w:sz w:val="20"/>
        </w:rPr>
      </w:pPr>
      <w:r>
        <w:rPr>
          <w:i/>
          <w:iCs/>
        </w:rPr>
        <w:br w:type="page"/>
      </w:r>
    </w:p>
    <w:p w14:paraId="2AE4D4F7" w14:textId="1CF4A5F4" w:rsidR="00E47345" w:rsidRPr="00E32D4C" w:rsidRDefault="00E47345" w:rsidP="00E47345">
      <w:pPr>
        <w:pStyle w:val="Body"/>
      </w:pPr>
      <w:r w:rsidRPr="00E32D4C">
        <w:lastRenderedPageBreak/>
        <w:t xml:space="preserve">Table </w:t>
      </w:r>
      <w:r>
        <w:t>5</w:t>
      </w:r>
      <w:r w:rsidRPr="00E32D4C">
        <w:t>: Summary of activities in the H2H quarterly performance and outcome monitoring cycle and responsibilities of each type of stakeholder</w:t>
      </w:r>
    </w:p>
    <w:tbl>
      <w:tblPr>
        <w:tblStyle w:val="TableGrid"/>
        <w:tblW w:w="10086" w:type="dxa"/>
        <w:tblLook w:val="06A0" w:firstRow="1" w:lastRow="0" w:firstColumn="1" w:lastColumn="0" w:noHBand="1" w:noVBand="1"/>
      </w:tblPr>
      <w:tblGrid>
        <w:gridCol w:w="1595"/>
        <w:gridCol w:w="2210"/>
        <w:gridCol w:w="1751"/>
        <w:gridCol w:w="1599"/>
        <w:gridCol w:w="1657"/>
        <w:gridCol w:w="1274"/>
      </w:tblGrid>
      <w:tr w:rsidR="00AD1239" w:rsidRPr="003421CB" w14:paraId="31E8ED17" w14:textId="77777777" w:rsidTr="007516E6">
        <w:trPr>
          <w:cnfStyle w:val="100000000000" w:firstRow="1" w:lastRow="0" w:firstColumn="0" w:lastColumn="0" w:oddVBand="0" w:evenVBand="0" w:oddHBand="0" w:evenHBand="0" w:firstRowFirstColumn="0" w:firstRowLastColumn="0" w:lastRowFirstColumn="0" w:lastRowLastColumn="0"/>
          <w:trHeight w:val="231"/>
        </w:trPr>
        <w:tc>
          <w:tcPr>
            <w:tcW w:w="0" w:type="dxa"/>
            <w:vAlign w:val="center"/>
          </w:tcPr>
          <w:p w14:paraId="27CAC15A" w14:textId="77777777" w:rsidR="00E47345" w:rsidRPr="003421CB" w:rsidRDefault="00E47345" w:rsidP="003421CB">
            <w:pPr>
              <w:pStyle w:val="Body"/>
            </w:pPr>
            <w:r w:rsidRPr="003421CB">
              <w:t>Activity</w:t>
            </w:r>
          </w:p>
        </w:tc>
        <w:tc>
          <w:tcPr>
            <w:tcW w:w="0" w:type="dxa"/>
            <w:vAlign w:val="center"/>
          </w:tcPr>
          <w:p w14:paraId="28686753" w14:textId="77777777" w:rsidR="00E47345" w:rsidRPr="003421CB" w:rsidRDefault="00E47345" w:rsidP="003421CB">
            <w:pPr>
              <w:pStyle w:val="Body"/>
            </w:pPr>
            <w:r w:rsidRPr="003421CB">
              <w:t>Description</w:t>
            </w:r>
          </w:p>
        </w:tc>
        <w:tc>
          <w:tcPr>
            <w:tcW w:w="0" w:type="dxa"/>
            <w:vAlign w:val="center"/>
          </w:tcPr>
          <w:p w14:paraId="48509585" w14:textId="77777777" w:rsidR="00E47345" w:rsidRPr="003421CB" w:rsidRDefault="00E47345" w:rsidP="003421CB">
            <w:pPr>
              <w:pStyle w:val="Body"/>
            </w:pPr>
            <w:r w:rsidRPr="003421CB">
              <w:t>H2H Community Partners</w:t>
            </w:r>
          </w:p>
        </w:tc>
        <w:tc>
          <w:tcPr>
            <w:tcW w:w="0" w:type="dxa"/>
            <w:vAlign w:val="center"/>
          </w:tcPr>
          <w:p w14:paraId="5684FC43" w14:textId="77777777" w:rsidR="00E47345" w:rsidRPr="003421CB" w:rsidRDefault="00E47345" w:rsidP="003421CB">
            <w:pPr>
              <w:pStyle w:val="Body"/>
            </w:pPr>
            <w:r w:rsidRPr="003421CB">
              <w:t>DFFH (APSS staff)</w:t>
            </w:r>
          </w:p>
        </w:tc>
        <w:tc>
          <w:tcPr>
            <w:tcW w:w="0" w:type="dxa"/>
            <w:vAlign w:val="center"/>
          </w:tcPr>
          <w:p w14:paraId="46CE743A" w14:textId="77777777" w:rsidR="00E47345" w:rsidRPr="003421CB" w:rsidRDefault="00E47345" w:rsidP="003421CB">
            <w:pPr>
              <w:pStyle w:val="Body"/>
            </w:pPr>
            <w:r w:rsidRPr="003421CB">
              <w:t>DFFH (H2H Program Manager)</w:t>
            </w:r>
          </w:p>
        </w:tc>
        <w:tc>
          <w:tcPr>
            <w:tcW w:w="0" w:type="dxa"/>
            <w:vAlign w:val="center"/>
          </w:tcPr>
          <w:p w14:paraId="794D9F65" w14:textId="77777777" w:rsidR="00E47345" w:rsidRPr="003421CB" w:rsidRDefault="00E47345" w:rsidP="003421CB">
            <w:pPr>
              <w:pStyle w:val="Body"/>
            </w:pPr>
            <w:r w:rsidRPr="003421CB">
              <w:t>DFFH (Central)</w:t>
            </w:r>
          </w:p>
        </w:tc>
      </w:tr>
      <w:tr w:rsidR="003421CB" w:rsidRPr="003421CB" w14:paraId="68FF6AF5" w14:textId="77777777" w:rsidTr="007516E6">
        <w:trPr>
          <w:trHeight w:val="610"/>
        </w:trPr>
        <w:tc>
          <w:tcPr>
            <w:tcW w:w="1485" w:type="dxa"/>
            <w:shd w:val="clear" w:color="auto" w:fill="EFE5DC" w:themeFill="background2"/>
            <w:vAlign w:val="center"/>
          </w:tcPr>
          <w:p w14:paraId="4FDC4786" w14:textId="77777777" w:rsidR="00E47345" w:rsidRPr="003421CB" w:rsidRDefault="00E47345" w:rsidP="003421CB">
            <w:pPr>
              <w:pStyle w:val="Body"/>
            </w:pPr>
            <w:r w:rsidRPr="003421CB">
              <w:t>Data reporting (activity-based targets)</w:t>
            </w:r>
          </w:p>
        </w:tc>
        <w:tc>
          <w:tcPr>
            <w:tcW w:w="2143" w:type="dxa"/>
            <w:shd w:val="clear" w:color="auto" w:fill="FEF4F7"/>
            <w:vAlign w:val="center"/>
          </w:tcPr>
          <w:p w14:paraId="50B0B40C" w14:textId="77777777" w:rsidR="00E47345" w:rsidRPr="003421CB" w:rsidRDefault="00E47345" w:rsidP="003421CB">
            <w:pPr>
              <w:pStyle w:val="Body"/>
            </w:pPr>
            <w:r w:rsidRPr="003421CB">
              <w:t>Data reporting according to the requirements of each funded activity, as per descriptor.</w:t>
            </w:r>
          </w:p>
          <w:p w14:paraId="25F81E6E" w14:textId="77777777" w:rsidR="00E47345" w:rsidRPr="003421CB" w:rsidRDefault="00E47345" w:rsidP="003421CB">
            <w:pPr>
              <w:pStyle w:val="Body"/>
            </w:pPr>
            <w:r w:rsidRPr="003421CB">
              <w:t>Completion of the Six- Monthly Service Provider Report on/ before the 10th day of the month.</w:t>
            </w:r>
          </w:p>
        </w:tc>
        <w:tc>
          <w:tcPr>
            <w:tcW w:w="0" w:type="dxa"/>
            <w:vMerge w:val="restart"/>
            <w:shd w:val="clear" w:color="auto" w:fill="auto"/>
            <w:vAlign w:val="center"/>
          </w:tcPr>
          <w:p w14:paraId="3AB43548" w14:textId="77777777" w:rsidR="00E47345" w:rsidRPr="003421CB" w:rsidRDefault="00E47345" w:rsidP="003421CB">
            <w:pPr>
              <w:pStyle w:val="Body"/>
            </w:pPr>
            <w:r w:rsidRPr="003421CB">
              <w:t>Report program monitoring data according to the requirements, platforms and cycles in their service agreements and program guidelines.</w:t>
            </w:r>
          </w:p>
        </w:tc>
        <w:tc>
          <w:tcPr>
            <w:tcW w:w="0" w:type="dxa"/>
            <w:shd w:val="clear" w:color="auto" w:fill="auto"/>
            <w:vAlign w:val="center"/>
          </w:tcPr>
          <w:p w14:paraId="2E6CE466" w14:textId="77777777" w:rsidR="00E47345" w:rsidRPr="003421CB" w:rsidRDefault="00E47345" w:rsidP="003421CB">
            <w:pPr>
              <w:pStyle w:val="Body"/>
            </w:pPr>
            <w:r w:rsidRPr="003421CB">
              <w:t>N/A</w:t>
            </w:r>
          </w:p>
        </w:tc>
        <w:tc>
          <w:tcPr>
            <w:tcW w:w="0" w:type="dxa"/>
            <w:shd w:val="clear" w:color="auto" w:fill="auto"/>
            <w:vAlign w:val="center"/>
          </w:tcPr>
          <w:p w14:paraId="2282DD58" w14:textId="77777777" w:rsidR="00E47345" w:rsidRPr="003421CB" w:rsidRDefault="00E47345" w:rsidP="003421CB">
            <w:pPr>
              <w:pStyle w:val="Body"/>
            </w:pPr>
            <w:r w:rsidRPr="003421CB">
              <w:t>N/A</w:t>
            </w:r>
          </w:p>
        </w:tc>
        <w:tc>
          <w:tcPr>
            <w:tcW w:w="0" w:type="dxa"/>
            <w:shd w:val="clear" w:color="auto" w:fill="auto"/>
            <w:vAlign w:val="center"/>
          </w:tcPr>
          <w:p w14:paraId="11724CF7" w14:textId="77777777" w:rsidR="00E47345" w:rsidRPr="003421CB" w:rsidRDefault="00E47345" w:rsidP="003421CB">
            <w:pPr>
              <w:pStyle w:val="Body"/>
            </w:pPr>
            <w:r w:rsidRPr="003421CB">
              <w:t>N/A</w:t>
            </w:r>
          </w:p>
        </w:tc>
      </w:tr>
      <w:tr w:rsidR="003421CB" w:rsidRPr="003421CB" w14:paraId="523744E0" w14:textId="77777777" w:rsidTr="007516E6">
        <w:trPr>
          <w:trHeight w:val="610"/>
        </w:trPr>
        <w:tc>
          <w:tcPr>
            <w:tcW w:w="1485" w:type="dxa"/>
            <w:vAlign w:val="center"/>
          </w:tcPr>
          <w:p w14:paraId="29B720EE" w14:textId="77777777" w:rsidR="00E47345" w:rsidRPr="003421CB" w:rsidRDefault="00E47345" w:rsidP="003421CB">
            <w:pPr>
              <w:pStyle w:val="Body"/>
            </w:pPr>
            <w:r w:rsidRPr="003421CB">
              <w:t>Data reporting (support package outcomes)</w:t>
            </w:r>
          </w:p>
        </w:tc>
        <w:tc>
          <w:tcPr>
            <w:tcW w:w="2143" w:type="dxa"/>
            <w:shd w:val="clear" w:color="auto" w:fill="FEF4F7"/>
            <w:vAlign w:val="center"/>
          </w:tcPr>
          <w:p w14:paraId="717721D3" w14:textId="77777777" w:rsidR="00E47345" w:rsidRPr="003421CB" w:rsidRDefault="00E47345" w:rsidP="003421CB">
            <w:pPr>
              <w:pStyle w:val="Body"/>
            </w:pPr>
            <w:r w:rsidRPr="003421CB">
              <w:t>Data reporting according to the requirements in the program monitoring framework.</w:t>
            </w:r>
          </w:p>
        </w:tc>
        <w:tc>
          <w:tcPr>
            <w:tcW w:w="1699" w:type="dxa"/>
            <w:vMerge/>
            <w:vAlign w:val="center"/>
          </w:tcPr>
          <w:p w14:paraId="025993EB" w14:textId="77777777" w:rsidR="00E47345" w:rsidRPr="003421CB" w:rsidRDefault="00E47345" w:rsidP="003421CB">
            <w:pPr>
              <w:pStyle w:val="Body"/>
            </w:pPr>
          </w:p>
        </w:tc>
        <w:tc>
          <w:tcPr>
            <w:tcW w:w="0" w:type="dxa"/>
            <w:shd w:val="clear" w:color="auto" w:fill="auto"/>
            <w:vAlign w:val="center"/>
          </w:tcPr>
          <w:p w14:paraId="418C4004" w14:textId="77777777" w:rsidR="00E47345" w:rsidRPr="003421CB" w:rsidRDefault="00E47345" w:rsidP="003421CB">
            <w:pPr>
              <w:pStyle w:val="Body"/>
            </w:pPr>
            <w:r w:rsidRPr="003421CB">
              <w:t>N/A</w:t>
            </w:r>
          </w:p>
        </w:tc>
        <w:tc>
          <w:tcPr>
            <w:tcW w:w="0" w:type="dxa"/>
            <w:shd w:val="clear" w:color="auto" w:fill="auto"/>
            <w:vAlign w:val="center"/>
          </w:tcPr>
          <w:p w14:paraId="3C80A249" w14:textId="77777777" w:rsidR="00E47345" w:rsidRPr="003421CB" w:rsidRDefault="00E47345" w:rsidP="003421CB">
            <w:pPr>
              <w:pStyle w:val="Body"/>
            </w:pPr>
            <w:r w:rsidRPr="003421CB">
              <w:t>N/A</w:t>
            </w:r>
          </w:p>
        </w:tc>
        <w:tc>
          <w:tcPr>
            <w:tcW w:w="0" w:type="dxa"/>
            <w:shd w:val="clear" w:color="auto" w:fill="auto"/>
            <w:vAlign w:val="center"/>
          </w:tcPr>
          <w:p w14:paraId="2DDEAA48" w14:textId="77777777" w:rsidR="00E47345" w:rsidRPr="003421CB" w:rsidRDefault="00E47345" w:rsidP="003421CB">
            <w:pPr>
              <w:pStyle w:val="Body"/>
            </w:pPr>
            <w:r w:rsidRPr="003421CB">
              <w:t>N/A</w:t>
            </w:r>
          </w:p>
        </w:tc>
      </w:tr>
      <w:tr w:rsidR="00AD1239" w:rsidRPr="003421CB" w14:paraId="74FD4CB7" w14:textId="77777777" w:rsidTr="007516E6">
        <w:trPr>
          <w:trHeight w:val="610"/>
        </w:trPr>
        <w:tc>
          <w:tcPr>
            <w:tcW w:w="0" w:type="dxa"/>
            <w:vAlign w:val="center"/>
          </w:tcPr>
          <w:p w14:paraId="2D5A3279" w14:textId="77777777" w:rsidR="00E47345" w:rsidRPr="003421CB" w:rsidRDefault="00E47345" w:rsidP="003421CB">
            <w:pPr>
              <w:pStyle w:val="Body"/>
            </w:pPr>
            <w:r w:rsidRPr="003421CB">
              <w:t>Data processing</w:t>
            </w:r>
          </w:p>
        </w:tc>
        <w:tc>
          <w:tcPr>
            <w:tcW w:w="0" w:type="dxa"/>
            <w:shd w:val="clear" w:color="auto" w:fill="FEF4F7"/>
            <w:vAlign w:val="center"/>
          </w:tcPr>
          <w:p w14:paraId="784F116A" w14:textId="77777777" w:rsidR="00E47345" w:rsidRPr="003421CB" w:rsidRDefault="00E47345" w:rsidP="003421CB">
            <w:pPr>
              <w:pStyle w:val="Body"/>
            </w:pPr>
            <w:r w:rsidRPr="003421CB">
              <w:t xml:space="preserve">Process in which data is gathered and processed for distribution via HEART </w:t>
            </w:r>
            <w:proofErr w:type="spellStart"/>
            <w:r w:rsidRPr="003421CB">
              <w:t>PowerBI</w:t>
            </w:r>
            <w:proofErr w:type="spellEnd"/>
            <w:r w:rsidRPr="003421CB">
              <w:t xml:space="preserve"> app.</w:t>
            </w:r>
          </w:p>
        </w:tc>
        <w:tc>
          <w:tcPr>
            <w:tcW w:w="0" w:type="dxa"/>
            <w:shd w:val="clear" w:color="auto" w:fill="auto"/>
            <w:vAlign w:val="center"/>
          </w:tcPr>
          <w:p w14:paraId="0C5BF7F6" w14:textId="77777777" w:rsidR="00E47345" w:rsidRPr="003421CB" w:rsidRDefault="00E47345" w:rsidP="003421CB">
            <w:pPr>
              <w:pStyle w:val="Body"/>
            </w:pPr>
            <w:r w:rsidRPr="003421CB">
              <w:t>N/A</w:t>
            </w:r>
          </w:p>
        </w:tc>
        <w:tc>
          <w:tcPr>
            <w:tcW w:w="0" w:type="dxa"/>
            <w:shd w:val="clear" w:color="auto" w:fill="auto"/>
            <w:vAlign w:val="center"/>
          </w:tcPr>
          <w:p w14:paraId="3F4453F0" w14:textId="77777777" w:rsidR="00E47345" w:rsidRPr="003421CB" w:rsidRDefault="00E47345" w:rsidP="003421CB">
            <w:pPr>
              <w:pStyle w:val="Body"/>
            </w:pPr>
            <w:r w:rsidRPr="003421CB">
              <w:t>N/A</w:t>
            </w:r>
          </w:p>
        </w:tc>
        <w:tc>
          <w:tcPr>
            <w:tcW w:w="0" w:type="dxa"/>
            <w:shd w:val="clear" w:color="auto" w:fill="auto"/>
            <w:vAlign w:val="center"/>
          </w:tcPr>
          <w:p w14:paraId="3B54E12D" w14:textId="77777777" w:rsidR="00E47345" w:rsidRPr="003421CB" w:rsidRDefault="00E47345" w:rsidP="003421CB">
            <w:pPr>
              <w:pStyle w:val="Body"/>
            </w:pPr>
            <w:r w:rsidRPr="003421CB">
              <w:t>N/A</w:t>
            </w:r>
          </w:p>
        </w:tc>
        <w:tc>
          <w:tcPr>
            <w:tcW w:w="0" w:type="dxa"/>
            <w:shd w:val="clear" w:color="auto" w:fill="auto"/>
            <w:vAlign w:val="center"/>
          </w:tcPr>
          <w:p w14:paraId="424F3DA9" w14:textId="77777777" w:rsidR="00E47345" w:rsidRPr="003421CB" w:rsidRDefault="00E47345" w:rsidP="003421CB">
            <w:pPr>
              <w:pStyle w:val="Body"/>
            </w:pPr>
            <w:r w:rsidRPr="003421CB">
              <w:t>OPQ team to process the HDC and support package outcomes data.</w:t>
            </w:r>
          </w:p>
        </w:tc>
      </w:tr>
      <w:tr w:rsidR="00AD1239" w:rsidRPr="003421CB" w14:paraId="65FB5FFD" w14:textId="77777777" w:rsidTr="007516E6">
        <w:trPr>
          <w:trHeight w:val="610"/>
        </w:trPr>
        <w:tc>
          <w:tcPr>
            <w:tcW w:w="0" w:type="dxa"/>
            <w:vAlign w:val="center"/>
          </w:tcPr>
          <w:p w14:paraId="3474FDE5" w14:textId="77777777" w:rsidR="00E47345" w:rsidRPr="003421CB" w:rsidRDefault="00E47345" w:rsidP="003421CB">
            <w:pPr>
              <w:pStyle w:val="Body"/>
            </w:pPr>
            <w:r w:rsidRPr="003421CB">
              <w:t>Data access</w:t>
            </w:r>
          </w:p>
        </w:tc>
        <w:tc>
          <w:tcPr>
            <w:tcW w:w="0" w:type="dxa"/>
            <w:shd w:val="clear" w:color="auto" w:fill="FEF4F7"/>
            <w:vAlign w:val="center"/>
          </w:tcPr>
          <w:p w14:paraId="073D05F3" w14:textId="77777777" w:rsidR="00E47345" w:rsidRPr="003421CB" w:rsidRDefault="00E47345" w:rsidP="003421CB">
            <w:pPr>
              <w:pStyle w:val="Body"/>
            </w:pPr>
            <w:r w:rsidRPr="003421CB">
              <w:t xml:space="preserve">HDC and support package outcomes reporting will be made available to APSS staff via the HEART </w:t>
            </w:r>
            <w:proofErr w:type="spellStart"/>
            <w:r w:rsidRPr="003421CB">
              <w:t>PowerBI</w:t>
            </w:r>
            <w:proofErr w:type="spellEnd"/>
            <w:r w:rsidRPr="003421CB">
              <w:t xml:space="preserve"> app.</w:t>
            </w:r>
          </w:p>
          <w:p w14:paraId="4B19E0E4" w14:textId="77777777" w:rsidR="00E47345" w:rsidRPr="003421CB" w:rsidRDefault="00E47345" w:rsidP="003421CB">
            <w:pPr>
              <w:pStyle w:val="Body"/>
            </w:pPr>
            <w:r w:rsidRPr="003421CB">
              <w:t>SDT data will be available via the SDT tool, as per standard reporting.</w:t>
            </w:r>
          </w:p>
        </w:tc>
        <w:tc>
          <w:tcPr>
            <w:tcW w:w="0" w:type="dxa"/>
            <w:shd w:val="clear" w:color="auto" w:fill="auto"/>
            <w:vAlign w:val="center"/>
          </w:tcPr>
          <w:p w14:paraId="3AD56BB6" w14:textId="77777777" w:rsidR="00E47345" w:rsidRPr="003421CB" w:rsidRDefault="00E47345" w:rsidP="003421CB">
            <w:pPr>
              <w:pStyle w:val="Body"/>
            </w:pPr>
            <w:r w:rsidRPr="003421CB">
              <w:t>N/A</w:t>
            </w:r>
          </w:p>
        </w:tc>
        <w:tc>
          <w:tcPr>
            <w:tcW w:w="0" w:type="dxa"/>
            <w:shd w:val="clear" w:color="auto" w:fill="auto"/>
            <w:vAlign w:val="center"/>
          </w:tcPr>
          <w:p w14:paraId="2891F9A3" w14:textId="77777777" w:rsidR="00E47345" w:rsidRPr="003421CB" w:rsidRDefault="00E47345" w:rsidP="003421CB">
            <w:pPr>
              <w:pStyle w:val="Body"/>
            </w:pPr>
            <w:r w:rsidRPr="003421CB">
              <w:t>Access data for local area/ H2H Community Partners for performance monitoring.</w:t>
            </w:r>
          </w:p>
        </w:tc>
        <w:tc>
          <w:tcPr>
            <w:tcW w:w="0" w:type="dxa"/>
            <w:shd w:val="clear" w:color="auto" w:fill="auto"/>
            <w:vAlign w:val="center"/>
          </w:tcPr>
          <w:p w14:paraId="0322B7DD" w14:textId="77777777" w:rsidR="00E47345" w:rsidRPr="003421CB" w:rsidRDefault="00E47345" w:rsidP="003421CB">
            <w:pPr>
              <w:pStyle w:val="Body"/>
            </w:pPr>
            <w:r w:rsidRPr="003421CB">
              <w:t>Access data for local area/ H2H Community Partners for program monitoring (including the Monthly Service Provider Report).</w:t>
            </w:r>
          </w:p>
        </w:tc>
        <w:tc>
          <w:tcPr>
            <w:tcW w:w="0" w:type="dxa"/>
            <w:shd w:val="clear" w:color="auto" w:fill="auto"/>
            <w:vAlign w:val="center"/>
          </w:tcPr>
          <w:p w14:paraId="65F43DFF" w14:textId="77777777" w:rsidR="00E47345" w:rsidRPr="003421CB" w:rsidRDefault="00E47345" w:rsidP="003421CB">
            <w:pPr>
              <w:pStyle w:val="Body"/>
            </w:pPr>
            <w:r w:rsidRPr="003421CB">
              <w:t>N/A</w:t>
            </w:r>
          </w:p>
        </w:tc>
      </w:tr>
      <w:tr w:rsidR="00AD1239" w:rsidRPr="003421CB" w14:paraId="61E5DB0B" w14:textId="77777777" w:rsidTr="007516E6">
        <w:trPr>
          <w:trHeight w:val="610"/>
        </w:trPr>
        <w:tc>
          <w:tcPr>
            <w:tcW w:w="0" w:type="dxa"/>
            <w:vAlign w:val="center"/>
          </w:tcPr>
          <w:p w14:paraId="779E6385" w14:textId="77777777" w:rsidR="00E47345" w:rsidRPr="003421CB" w:rsidRDefault="00E47345" w:rsidP="003421CB">
            <w:pPr>
              <w:pStyle w:val="Body"/>
            </w:pPr>
            <w:r w:rsidRPr="003421CB">
              <w:t>Data sharing</w:t>
            </w:r>
          </w:p>
        </w:tc>
        <w:tc>
          <w:tcPr>
            <w:tcW w:w="0" w:type="dxa"/>
            <w:shd w:val="clear" w:color="auto" w:fill="FEF4F7"/>
            <w:vAlign w:val="center"/>
          </w:tcPr>
          <w:p w14:paraId="125CD3C4" w14:textId="77777777" w:rsidR="00E47345" w:rsidRPr="003421CB" w:rsidRDefault="00E47345" w:rsidP="003421CB">
            <w:pPr>
              <w:pStyle w:val="Body"/>
            </w:pPr>
            <w:r w:rsidRPr="003421CB">
              <w:t xml:space="preserve">Dissemination of the data compiled </w:t>
            </w:r>
            <w:r w:rsidRPr="003421CB">
              <w:lastRenderedPageBreak/>
              <w:t>on the program’s progress with H2H Community Partners and LASN/ HEART s.</w:t>
            </w:r>
          </w:p>
        </w:tc>
        <w:tc>
          <w:tcPr>
            <w:tcW w:w="0" w:type="dxa"/>
            <w:shd w:val="clear" w:color="auto" w:fill="auto"/>
            <w:vAlign w:val="center"/>
          </w:tcPr>
          <w:p w14:paraId="0E34AFCB" w14:textId="77777777" w:rsidR="00E47345" w:rsidRPr="003421CB" w:rsidRDefault="00E47345" w:rsidP="003421CB">
            <w:pPr>
              <w:pStyle w:val="Body"/>
            </w:pPr>
            <w:r w:rsidRPr="003421CB">
              <w:lastRenderedPageBreak/>
              <w:t>N/A</w:t>
            </w:r>
          </w:p>
        </w:tc>
        <w:tc>
          <w:tcPr>
            <w:tcW w:w="0" w:type="dxa"/>
            <w:shd w:val="clear" w:color="auto" w:fill="auto"/>
            <w:vAlign w:val="center"/>
          </w:tcPr>
          <w:p w14:paraId="1648AAF5" w14:textId="77777777" w:rsidR="00E47345" w:rsidRPr="003421CB" w:rsidRDefault="00E47345" w:rsidP="003421CB">
            <w:pPr>
              <w:pStyle w:val="Body"/>
            </w:pPr>
            <w:r w:rsidRPr="003421CB">
              <w:t>N/A</w:t>
            </w:r>
          </w:p>
        </w:tc>
        <w:tc>
          <w:tcPr>
            <w:tcW w:w="0" w:type="dxa"/>
            <w:shd w:val="clear" w:color="auto" w:fill="auto"/>
            <w:vAlign w:val="center"/>
          </w:tcPr>
          <w:p w14:paraId="7CD332EC" w14:textId="77777777" w:rsidR="00E47345" w:rsidRPr="003421CB" w:rsidRDefault="00E47345" w:rsidP="003421CB">
            <w:pPr>
              <w:pStyle w:val="Body"/>
            </w:pPr>
            <w:r w:rsidRPr="003421CB">
              <w:t xml:space="preserve">Extract data from HEART </w:t>
            </w:r>
            <w:proofErr w:type="spellStart"/>
            <w:r w:rsidRPr="003421CB">
              <w:lastRenderedPageBreak/>
              <w:t>PowerBI</w:t>
            </w:r>
            <w:proofErr w:type="spellEnd"/>
            <w:r w:rsidRPr="003421CB">
              <w:t xml:space="preserve"> app and share with each H2H Community Partners.</w:t>
            </w:r>
          </w:p>
        </w:tc>
        <w:tc>
          <w:tcPr>
            <w:tcW w:w="0" w:type="dxa"/>
            <w:shd w:val="clear" w:color="auto" w:fill="auto"/>
            <w:vAlign w:val="center"/>
          </w:tcPr>
          <w:p w14:paraId="4D55713C" w14:textId="77777777" w:rsidR="00E47345" w:rsidRPr="003421CB" w:rsidRDefault="00E47345" w:rsidP="003421CB">
            <w:pPr>
              <w:pStyle w:val="Body"/>
            </w:pPr>
            <w:r w:rsidRPr="003421CB">
              <w:lastRenderedPageBreak/>
              <w:t>N/A</w:t>
            </w:r>
          </w:p>
        </w:tc>
      </w:tr>
      <w:tr w:rsidR="00AD1239" w:rsidRPr="003421CB" w14:paraId="03C130D1" w14:textId="77777777" w:rsidTr="007516E6">
        <w:trPr>
          <w:trHeight w:val="610"/>
        </w:trPr>
        <w:tc>
          <w:tcPr>
            <w:tcW w:w="0" w:type="dxa"/>
            <w:vAlign w:val="center"/>
          </w:tcPr>
          <w:p w14:paraId="4A112371" w14:textId="77777777" w:rsidR="00E47345" w:rsidRPr="003421CB" w:rsidRDefault="00E47345" w:rsidP="003421CB">
            <w:pPr>
              <w:pStyle w:val="Body"/>
            </w:pPr>
            <w:r w:rsidRPr="003421CB">
              <w:t>Performance monitoring</w:t>
            </w:r>
          </w:p>
        </w:tc>
        <w:tc>
          <w:tcPr>
            <w:tcW w:w="0" w:type="dxa"/>
            <w:shd w:val="clear" w:color="auto" w:fill="FEF4F7"/>
            <w:vAlign w:val="center"/>
          </w:tcPr>
          <w:p w14:paraId="0E8975DA" w14:textId="77777777" w:rsidR="00E47345" w:rsidRPr="003421CB" w:rsidRDefault="00E47345" w:rsidP="003421CB">
            <w:pPr>
              <w:pStyle w:val="Body"/>
            </w:pPr>
            <w:r w:rsidRPr="003421CB">
              <w:t>Assess if stakeholders are meeting their activity-based targets.</w:t>
            </w:r>
          </w:p>
        </w:tc>
        <w:tc>
          <w:tcPr>
            <w:tcW w:w="0" w:type="dxa"/>
            <w:shd w:val="clear" w:color="auto" w:fill="auto"/>
            <w:vAlign w:val="center"/>
          </w:tcPr>
          <w:p w14:paraId="4A7AF0D4" w14:textId="77777777" w:rsidR="00E47345" w:rsidRPr="003421CB" w:rsidRDefault="00E47345" w:rsidP="003421CB">
            <w:pPr>
              <w:pStyle w:val="Body"/>
            </w:pPr>
            <w:r w:rsidRPr="003421CB">
              <w:t>N/A</w:t>
            </w:r>
          </w:p>
        </w:tc>
        <w:tc>
          <w:tcPr>
            <w:tcW w:w="0" w:type="dxa"/>
            <w:shd w:val="clear" w:color="auto" w:fill="auto"/>
            <w:vAlign w:val="center"/>
          </w:tcPr>
          <w:p w14:paraId="6975DD8A" w14:textId="77777777" w:rsidR="00E47345" w:rsidRPr="003421CB" w:rsidRDefault="00E47345" w:rsidP="003421CB">
            <w:pPr>
              <w:pStyle w:val="Body"/>
            </w:pPr>
            <w:r w:rsidRPr="003421CB">
              <w:t xml:space="preserve">N/A for the first six months of the program. Further performance monitoring is yet to be determined. </w:t>
            </w:r>
          </w:p>
        </w:tc>
        <w:tc>
          <w:tcPr>
            <w:tcW w:w="0" w:type="dxa"/>
            <w:shd w:val="clear" w:color="auto" w:fill="auto"/>
            <w:vAlign w:val="center"/>
          </w:tcPr>
          <w:p w14:paraId="69C0DFE1" w14:textId="77777777" w:rsidR="00E47345" w:rsidRPr="003421CB" w:rsidRDefault="00E47345" w:rsidP="003421CB">
            <w:pPr>
              <w:pStyle w:val="Body"/>
            </w:pPr>
            <w:r w:rsidRPr="003421CB">
              <w:t>Conduct the performance monitoring of activity-based targets based on established performance management processes.</w:t>
            </w:r>
          </w:p>
          <w:p w14:paraId="2759B865" w14:textId="77777777" w:rsidR="00E47345" w:rsidRPr="003421CB" w:rsidRDefault="00E47345" w:rsidP="003421CB">
            <w:pPr>
              <w:pStyle w:val="Body"/>
            </w:pPr>
          </w:p>
        </w:tc>
        <w:tc>
          <w:tcPr>
            <w:tcW w:w="0" w:type="dxa"/>
            <w:shd w:val="clear" w:color="auto" w:fill="auto"/>
            <w:vAlign w:val="center"/>
          </w:tcPr>
          <w:p w14:paraId="3803C59F" w14:textId="77777777" w:rsidR="00E47345" w:rsidRPr="003421CB" w:rsidRDefault="00E47345" w:rsidP="003421CB">
            <w:pPr>
              <w:pStyle w:val="Body"/>
            </w:pPr>
            <w:r w:rsidRPr="003421CB">
              <w:t>Policy advice as required.</w:t>
            </w:r>
          </w:p>
        </w:tc>
      </w:tr>
    </w:tbl>
    <w:p w14:paraId="257A836A" w14:textId="77777777" w:rsidR="00E47345" w:rsidRPr="002957A8" w:rsidRDefault="00E47345" w:rsidP="00E47345">
      <w:pPr>
        <w:sectPr w:rsidR="00E47345" w:rsidRPr="002957A8" w:rsidSect="00C82506">
          <w:headerReference w:type="even" r:id="rId45"/>
          <w:headerReference w:type="default" r:id="rId46"/>
          <w:headerReference w:type="first" r:id="rId47"/>
          <w:pgSz w:w="11906" w:h="16838" w:code="9"/>
          <w:pgMar w:top="1418" w:right="851" w:bottom="1418" w:left="851" w:header="851" w:footer="851" w:gutter="0"/>
          <w:cols w:space="340"/>
          <w:docGrid w:linePitch="360"/>
        </w:sectPr>
      </w:pPr>
    </w:p>
    <w:p w14:paraId="21B86038" w14:textId="77777777" w:rsidR="006901E2" w:rsidRDefault="006901E2" w:rsidP="006901E2">
      <w:pPr>
        <w:pStyle w:val="Heading1"/>
      </w:pPr>
      <w:bookmarkStart w:id="171" w:name="_Toc88218415"/>
      <w:bookmarkStart w:id="172" w:name="_Toc88218886"/>
      <w:bookmarkStart w:id="173" w:name="_Toc121134123"/>
      <w:r w:rsidRPr="006901E2">
        <w:lastRenderedPageBreak/>
        <w:t>Evaluation</w:t>
      </w:r>
      <w:bookmarkEnd w:id="171"/>
      <w:bookmarkEnd w:id="172"/>
      <w:bookmarkEnd w:id="173"/>
      <w:r w:rsidRPr="004843B6">
        <w:t xml:space="preserve"> </w:t>
      </w:r>
    </w:p>
    <w:p w14:paraId="395005D5" w14:textId="77777777" w:rsidR="006901E2" w:rsidRDefault="006901E2" w:rsidP="006901E2">
      <w:pPr>
        <w:pStyle w:val="Body"/>
      </w:pPr>
      <w:r w:rsidRPr="004E6402">
        <w:t xml:space="preserve">The H2H Program Evaluation Framework provides key principles, requirements, and processes to guide rigorous and transparent evaluations of the </w:t>
      </w:r>
      <w:r w:rsidRPr="006A5A38">
        <w:rPr>
          <w:i/>
        </w:rPr>
        <w:t>From Homelessness to a Home</w:t>
      </w:r>
      <w:r w:rsidRPr="004E6402">
        <w:t xml:space="preserve"> (H2H) Program that will inform better decision making, planning, and future practice</w:t>
      </w:r>
      <w:r>
        <w:t xml:space="preserve">. </w:t>
      </w:r>
    </w:p>
    <w:p w14:paraId="4DFC8CC7" w14:textId="77777777" w:rsidR="006901E2" w:rsidRPr="006F0DA5" w:rsidRDefault="006901E2" w:rsidP="006901E2">
      <w:pPr>
        <w:pStyle w:val="Body"/>
      </w:pPr>
      <w:r w:rsidRPr="006F0DA5">
        <w:t xml:space="preserve">This framework provides: </w:t>
      </w:r>
    </w:p>
    <w:p w14:paraId="6CB1844F" w14:textId="77777777" w:rsidR="006901E2" w:rsidRPr="006F0DA5" w:rsidRDefault="006901E2" w:rsidP="006901E2">
      <w:pPr>
        <w:pStyle w:val="Bullet1"/>
      </w:pPr>
      <w:r>
        <w:t xml:space="preserve">Key concepts and key principles of the H2H Program Evaluation. </w:t>
      </w:r>
    </w:p>
    <w:p w14:paraId="712DB89E" w14:textId="77777777" w:rsidR="006901E2" w:rsidRPr="006F0DA5" w:rsidRDefault="006901E2" w:rsidP="006901E2">
      <w:pPr>
        <w:pStyle w:val="Bullet1"/>
      </w:pPr>
      <w:r>
        <w:t>Guidelines for setting priorities on what, when, and how to evaluate.</w:t>
      </w:r>
    </w:p>
    <w:p w14:paraId="02107139" w14:textId="77777777" w:rsidR="006901E2" w:rsidRPr="006F0DA5" w:rsidRDefault="006901E2" w:rsidP="006901E2">
      <w:pPr>
        <w:pStyle w:val="Bullet1"/>
      </w:pPr>
      <w:r>
        <w:t>Recommendation on how to utilise evaluation findings to inform better decision and policy making and service delivery.</w:t>
      </w:r>
    </w:p>
    <w:p w14:paraId="4BD459DE" w14:textId="77777777" w:rsidR="006901E2" w:rsidRPr="006F0DA5" w:rsidRDefault="006901E2" w:rsidP="006901E2">
      <w:pPr>
        <w:pStyle w:val="DHHSbody"/>
        <w:ind w:left="720"/>
      </w:pPr>
    </w:p>
    <w:p w14:paraId="2C888267" w14:textId="77777777" w:rsidR="006901E2" w:rsidRPr="00E33E49" w:rsidRDefault="006901E2" w:rsidP="006901E2">
      <w:pPr>
        <w:pStyle w:val="Body"/>
      </w:pPr>
      <w:r w:rsidRPr="00E33E49">
        <w:t>Diagram 7. H2H Evaluation Framework</w:t>
      </w:r>
    </w:p>
    <w:p w14:paraId="0BFF715A" w14:textId="77777777" w:rsidR="006901E2" w:rsidRDefault="499226D4" w:rsidP="006901E2">
      <w:pPr>
        <w:pStyle w:val="DHHSbody"/>
        <w:ind w:left="2160"/>
      </w:pPr>
      <w:r>
        <w:t xml:space="preserve">     </w:t>
      </w:r>
      <w:r w:rsidR="006901E2">
        <w:rPr>
          <w:noProof/>
        </w:rPr>
        <w:drawing>
          <wp:inline distT="0" distB="0" distL="0" distR="0" wp14:anchorId="449E68F7" wp14:editId="0FC1A80D">
            <wp:extent cx="3501223" cy="2910122"/>
            <wp:effectExtent l="0" t="0" r="0" b="0"/>
            <wp:docPr id="10" name="Diagram 10" descr="H2H Evaluation Framework">
              <a:extLst xmlns:a="http://schemas.openxmlformats.org/drawingml/2006/main">
                <a:ext uri="{FF2B5EF4-FFF2-40B4-BE49-F238E27FC236}">
                  <a16:creationId xmlns:a16="http://schemas.microsoft.com/office/drawing/2014/main" id="{7388F6AC-ECA3-4BE1-8851-3AEA2F41665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61AC4B8E" w14:textId="77777777" w:rsidR="006901E2" w:rsidRPr="00B14C4F" w:rsidRDefault="006901E2" w:rsidP="006901E2">
      <w:pPr>
        <w:pStyle w:val="Heading2"/>
      </w:pPr>
      <w:bookmarkStart w:id="174" w:name="_Toc88218416"/>
      <w:bookmarkStart w:id="175" w:name="_Toc88218887"/>
      <w:bookmarkStart w:id="176" w:name="_Toc121134124"/>
      <w:r>
        <w:t>Purpose</w:t>
      </w:r>
      <w:bookmarkEnd w:id="174"/>
      <w:bookmarkEnd w:id="175"/>
      <w:bookmarkEnd w:id="176"/>
    </w:p>
    <w:p w14:paraId="29DB79D4" w14:textId="77777777" w:rsidR="006901E2" w:rsidRDefault="006901E2" w:rsidP="006901E2">
      <w:pPr>
        <w:pStyle w:val="Body"/>
      </w:pPr>
      <w:r>
        <w:t xml:space="preserve">H2H </w:t>
      </w:r>
      <w:r w:rsidRPr="00B14C4F">
        <w:t xml:space="preserve">Evaluation is defined as a rigorous, systematic, and objective process to make </w:t>
      </w:r>
      <w:r>
        <w:t xml:space="preserve">multidisciplinary </w:t>
      </w:r>
      <w:r w:rsidRPr="00B14C4F">
        <w:t xml:space="preserve">judgment on the </w:t>
      </w:r>
      <w:r>
        <w:t xml:space="preserve">process and </w:t>
      </w:r>
      <w:r w:rsidRPr="00A376EA">
        <w:t>outcome</w:t>
      </w:r>
      <w:r w:rsidRPr="00B14C4F">
        <w:t xml:space="preserve"> of </w:t>
      </w:r>
      <w:r>
        <w:t>H2H P</w:t>
      </w:r>
      <w:r w:rsidRPr="00B14C4F">
        <w:t xml:space="preserve">rogram in relation to its effectiveness, efficiency, and appropriateness. </w:t>
      </w:r>
    </w:p>
    <w:p w14:paraId="63DD7B6D" w14:textId="1473058A" w:rsidR="006901E2" w:rsidRPr="00314685" w:rsidRDefault="006901E2" w:rsidP="006901E2">
      <w:pPr>
        <w:pStyle w:val="Body"/>
      </w:pPr>
      <w:r>
        <w:t xml:space="preserve">For </w:t>
      </w:r>
      <w:r w:rsidRPr="00314685">
        <w:t>H2H Program evaluation</w:t>
      </w:r>
      <w:r>
        <w:t>, t</w:t>
      </w:r>
      <w:r w:rsidRPr="00314685">
        <w:t xml:space="preserve">he purpose </w:t>
      </w:r>
      <w:r>
        <w:t>includes the following:</w:t>
      </w:r>
    </w:p>
    <w:p w14:paraId="42D4F464" w14:textId="77777777" w:rsidR="006901E2" w:rsidRPr="00A2328E" w:rsidRDefault="006901E2" w:rsidP="006901E2">
      <w:pPr>
        <w:pStyle w:val="Bullet1"/>
      </w:pPr>
      <w:r>
        <w:t xml:space="preserve">To evaluate Program design, process, and output. </w:t>
      </w:r>
    </w:p>
    <w:p w14:paraId="7EB07A77" w14:textId="77777777" w:rsidR="006901E2" w:rsidRPr="00A2328E" w:rsidRDefault="006901E2" w:rsidP="006901E2">
      <w:pPr>
        <w:pStyle w:val="Bullet1"/>
      </w:pPr>
      <w:r>
        <w:t>To assess efficiency, effectiveness, and appropriateness of the Program.</w:t>
      </w:r>
    </w:p>
    <w:p w14:paraId="535714C6" w14:textId="77777777" w:rsidR="006901E2" w:rsidRPr="00A2328E" w:rsidRDefault="006901E2" w:rsidP="006901E2">
      <w:pPr>
        <w:pStyle w:val="Bullet1"/>
      </w:pPr>
      <w:r>
        <w:t>To review outcomes, impacts, and sustainability of the Program on homelessness’ key stakeholder groups and overall homelessness service systems.</w:t>
      </w:r>
    </w:p>
    <w:p w14:paraId="4EC4DF59" w14:textId="77777777" w:rsidR="006901E2" w:rsidRPr="00A2328E" w:rsidRDefault="006901E2" w:rsidP="006901E2">
      <w:pPr>
        <w:pStyle w:val="Bullet1"/>
      </w:pPr>
      <w:r>
        <w:t>To deliver sound evidence on which to assess future applicability of similar approaches.</w:t>
      </w:r>
    </w:p>
    <w:p w14:paraId="71B936FD" w14:textId="77777777" w:rsidR="006901E2" w:rsidRPr="00314685" w:rsidRDefault="006901E2" w:rsidP="006901E2">
      <w:pPr>
        <w:pStyle w:val="Bullet1"/>
      </w:pPr>
      <w:r>
        <w:t>To allow findings from this evaluation to be presented in international literatures as part of a new evidence-base for homeless sector reform and/or program design.</w:t>
      </w:r>
    </w:p>
    <w:p w14:paraId="697F8A0F" w14:textId="77777777" w:rsidR="006901E2" w:rsidRDefault="006901E2" w:rsidP="006901E2">
      <w:pPr>
        <w:pStyle w:val="Heading2"/>
      </w:pPr>
      <w:bookmarkStart w:id="177" w:name="_Toc88218417"/>
      <w:bookmarkStart w:id="178" w:name="_Toc88218888"/>
      <w:bookmarkStart w:id="179" w:name="_Toc121134125"/>
      <w:r w:rsidRPr="006901E2">
        <w:lastRenderedPageBreak/>
        <w:t>Definition</w:t>
      </w:r>
      <w:r>
        <w:t xml:space="preserve"> of terminology used in H2H Evaluation</w:t>
      </w:r>
      <w:bookmarkEnd w:id="177"/>
      <w:bookmarkEnd w:id="178"/>
      <w:bookmarkEnd w:id="179"/>
      <w:r>
        <w:t xml:space="preserve"> </w:t>
      </w:r>
    </w:p>
    <w:p w14:paraId="5CE04EEB" w14:textId="3DA8ADAC" w:rsidR="006901E2" w:rsidRPr="00F06926" w:rsidRDefault="006901E2" w:rsidP="00B037CC">
      <w:pPr>
        <w:pStyle w:val="Body"/>
        <w:numPr>
          <w:ilvl w:val="0"/>
          <w:numId w:val="24"/>
        </w:numPr>
      </w:pPr>
      <w:r w:rsidRPr="00A376EA">
        <w:rPr>
          <w:b/>
          <w:bCs/>
        </w:rPr>
        <w:t>Program Design</w:t>
      </w:r>
      <w:r w:rsidRPr="00F06926">
        <w:t xml:space="preserve">: refers to process being used to develop the H2H program and the plan of actions resulting from that process which include engagement of the </w:t>
      </w:r>
      <w:r>
        <w:t>Community Partner</w:t>
      </w:r>
      <w:r w:rsidRPr="00F06926">
        <w:t xml:space="preserve">s and local areas and the availability of properties by Homes Victoria and </w:t>
      </w:r>
      <w:r>
        <w:t>Community Partner</w:t>
      </w:r>
      <w:r w:rsidRPr="00F06926">
        <w:t xml:space="preserve">s. </w:t>
      </w:r>
    </w:p>
    <w:p w14:paraId="244075AC" w14:textId="1A465BDA" w:rsidR="006901E2" w:rsidRPr="00F06926" w:rsidRDefault="006901E2" w:rsidP="00B037CC">
      <w:pPr>
        <w:pStyle w:val="Body"/>
        <w:numPr>
          <w:ilvl w:val="0"/>
          <w:numId w:val="24"/>
        </w:numPr>
      </w:pPr>
      <w:r w:rsidRPr="00A376EA">
        <w:rPr>
          <w:b/>
          <w:bCs/>
        </w:rPr>
        <w:t>Process</w:t>
      </w:r>
      <w:r w:rsidRPr="00F06926">
        <w:t>: refers to a set of activities that can realise the H2H Program objectives.</w:t>
      </w:r>
    </w:p>
    <w:p w14:paraId="57EF1B54" w14:textId="7B3AD6AB" w:rsidR="006901E2" w:rsidRPr="00F06926" w:rsidRDefault="006901E2" w:rsidP="00B037CC">
      <w:pPr>
        <w:pStyle w:val="Body"/>
        <w:numPr>
          <w:ilvl w:val="0"/>
          <w:numId w:val="24"/>
        </w:numPr>
      </w:pPr>
      <w:r w:rsidRPr="6CBCB14D">
        <w:rPr>
          <w:b/>
          <w:bCs/>
        </w:rPr>
        <w:t>Output</w:t>
      </w:r>
      <w:r>
        <w:t>: refers to the output of the H2H Program which are number of support packages allocated and number of housing allocated.</w:t>
      </w:r>
    </w:p>
    <w:p w14:paraId="0AF8492C" w14:textId="420951CB" w:rsidR="006901E2" w:rsidRPr="00F06926" w:rsidRDefault="006901E2" w:rsidP="00B037CC">
      <w:pPr>
        <w:pStyle w:val="Body"/>
        <w:numPr>
          <w:ilvl w:val="0"/>
          <w:numId w:val="24"/>
        </w:numPr>
      </w:pPr>
      <w:r w:rsidRPr="00A376EA">
        <w:rPr>
          <w:b/>
          <w:bCs/>
        </w:rPr>
        <w:t>Outcome</w:t>
      </w:r>
      <w:r w:rsidRPr="00F06926">
        <w:t xml:space="preserve">: refers to outcome/benefits of the H2H Program for </w:t>
      </w:r>
      <w:r>
        <w:t>Client</w:t>
      </w:r>
      <w:r w:rsidRPr="00F06926">
        <w:t>s (people experiencing homelessness placed into emergency accommodations from 16 March to 6 December 2020), other key stakeholder groups, and overall homelessness service systems.</w:t>
      </w:r>
    </w:p>
    <w:p w14:paraId="721BE6C9" w14:textId="56CA38ED" w:rsidR="006901E2" w:rsidRPr="00F06926" w:rsidRDefault="006901E2" w:rsidP="00B037CC">
      <w:pPr>
        <w:pStyle w:val="Body"/>
        <w:numPr>
          <w:ilvl w:val="0"/>
          <w:numId w:val="24"/>
        </w:numPr>
      </w:pPr>
      <w:r w:rsidRPr="6CBCB14D">
        <w:rPr>
          <w:b/>
          <w:bCs/>
        </w:rPr>
        <w:t>Impact</w:t>
      </w:r>
      <w:r>
        <w:t xml:space="preserve">: refers to the extent to which the H2H Program objectives and design generate significant positive or negative, </w:t>
      </w:r>
      <w:r w:rsidR="00026888">
        <w:t>intended,</w:t>
      </w:r>
      <w:r>
        <w:t xml:space="preserve"> or unintended, higher-level effects on homelessness’ key stakeholder groups such as Clients, communities, Community Partners/agencies, and government.</w:t>
      </w:r>
    </w:p>
    <w:p w14:paraId="3371AA00" w14:textId="784C94EC" w:rsidR="006901E2" w:rsidRPr="00F06926" w:rsidRDefault="006901E2" w:rsidP="00B037CC">
      <w:pPr>
        <w:pStyle w:val="Body"/>
        <w:numPr>
          <w:ilvl w:val="0"/>
          <w:numId w:val="24"/>
        </w:numPr>
      </w:pPr>
      <w:r w:rsidRPr="6CBCB14D">
        <w:rPr>
          <w:b/>
          <w:bCs/>
        </w:rPr>
        <w:t>Appropriateness</w:t>
      </w:r>
      <w:r>
        <w:t>: refers to the extent to which the H2H Program objectives and design respond to Clients’ and communities’ needs and priorities, government’s policy and priorities, and continue to do so if circumstances change.</w:t>
      </w:r>
    </w:p>
    <w:p w14:paraId="2A939AF1" w14:textId="15253BC1" w:rsidR="006901E2" w:rsidRDefault="006901E2" w:rsidP="00B037CC">
      <w:pPr>
        <w:pStyle w:val="Body"/>
        <w:numPr>
          <w:ilvl w:val="0"/>
          <w:numId w:val="24"/>
        </w:numPr>
      </w:pPr>
      <w:r w:rsidRPr="00A376EA">
        <w:rPr>
          <w:b/>
          <w:bCs/>
        </w:rPr>
        <w:t>Effectiveness</w:t>
      </w:r>
      <w:r w:rsidRPr="00F06926">
        <w:t>: refers to the extent to which the H2H Program achieved, or is expected to achieve, its objectives and its results, including any differential results across homelessness’ key stakeholder groups.</w:t>
      </w:r>
    </w:p>
    <w:p w14:paraId="7BABDA53" w14:textId="4BCEA77B" w:rsidR="006901E2" w:rsidRPr="00EB1294" w:rsidRDefault="006901E2" w:rsidP="00B037CC">
      <w:pPr>
        <w:pStyle w:val="Body"/>
        <w:numPr>
          <w:ilvl w:val="0"/>
          <w:numId w:val="24"/>
        </w:numPr>
      </w:pPr>
      <w:r w:rsidRPr="00A376EA">
        <w:rPr>
          <w:b/>
          <w:bCs/>
        </w:rPr>
        <w:t>Efficiency</w:t>
      </w:r>
      <w:r w:rsidRPr="00EB1294">
        <w:t xml:space="preserve">: refers to the assessment of how economically resources such as funds, expertise, time are converted into outputs and outcomes which can include: </w:t>
      </w:r>
    </w:p>
    <w:p w14:paraId="0AE3ACFF" w14:textId="77777777" w:rsidR="006901E2" w:rsidRPr="00EB1294" w:rsidRDefault="006901E2" w:rsidP="006901E2">
      <w:pPr>
        <w:pStyle w:val="Bulletpoints"/>
      </w:pPr>
      <w:r w:rsidRPr="00A376EA">
        <w:rPr>
          <w:i/>
          <w:iCs/>
        </w:rPr>
        <w:t>Allocative efficiency</w:t>
      </w:r>
      <w:r w:rsidRPr="00EB1294">
        <w:t xml:space="preserve"> – is about ensuring resources are allocated in a way that </w:t>
      </w:r>
      <w:proofErr w:type="spellStart"/>
      <w:r w:rsidRPr="00EB1294">
        <w:t>maximises</w:t>
      </w:r>
      <w:proofErr w:type="spellEnd"/>
      <w:r w:rsidRPr="00EB1294">
        <w:t xml:space="preserve"> output and outcomes.</w:t>
      </w:r>
    </w:p>
    <w:p w14:paraId="5B707C71" w14:textId="77777777" w:rsidR="006901E2" w:rsidRPr="00EB1294" w:rsidRDefault="006901E2" w:rsidP="006901E2">
      <w:pPr>
        <w:pStyle w:val="Bulletpoints"/>
      </w:pPr>
      <w:r w:rsidRPr="00A376EA">
        <w:rPr>
          <w:i/>
          <w:iCs/>
        </w:rPr>
        <w:t>Productive efficiency</w:t>
      </w:r>
      <w:r w:rsidRPr="00EB1294">
        <w:t xml:space="preserve"> – describes the situation in which output is being produced at the lowest possible average cost.</w:t>
      </w:r>
    </w:p>
    <w:p w14:paraId="0562D1AC" w14:textId="77777777" w:rsidR="006901E2" w:rsidRPr="00EB1294" w:rsidRDefault="006901E2" w:rsidP="006901E2">
      <w:pPr>
        <w:pStyle w:val="Bulletpoints"/>
      </w:pPr>
      <w:r w:rsidRPr="00A376EA">
        <w:rPr>
          <w:i/>
          <w:iCs/>
        </w:rPr>
        <w:t>Dynamic efficiency</w:t>
      </w:r>
      <w:r w:rsidRPr="00EB1294">
        <w:t xml:space="preserve"> – involves improving allocative and productive efficiency over time. This can mean developing new or better output and finding better ways of producing output.</w:t>
      </w:r>
    </w:p>
    <w:p w14:paraId="3B126610" w14:textId="12CEB627" w:rsidR="006901E2" w:rsidRPr="00413DCF" w:rsidRDefault="006901E2" w:rsidP="00B037CC">
      <w:pPr>
        <w:pStyle w:val="Body"/>
        <w:numPr>
          <w:ilvl w:val="0"/>
          <w:numId w:val="24"/>
        </w:numPr>
      </w:pPr>
      <w:r w:rsidRPr="00A376EA">
        <w:rPr>
          <w:b/>
          <w:bCs/>
        </w:rPr>
        <w:t>Sustainability</w:t>
      </w:r>
      <w:r w:rsidRPr="00EB1294">
        <w:t>: refers to the extent to which the net benefits of the H2H Program continue or are likely to continue or can be used more broadly to respond to homelessness.</w:t>
      </w:r>
    </w:p>
    <w:p w14:paraId="4BE23E97" w14:textId="77777777" w:rsidR="006901E2" w:rsidRDefault="006901E2" w:rsidP="006901E2">
      <w:pPr>
        <w:pStyle w:val="Heading2"/>
      </w:pPr>
      <w:bookmarkStart w:id="180" w:name="_Toc88218418"/>
      <w:bookmarkStart w:id="181" w:name="_Toc88218889"/>
      <w:bookmarkStart w:id="182" w:name="_Toc121134126"/>
      <w:r>
        <w:t>Key principles</w:t>
      </w:r>
      <w:bookmarkEnd w:id="180"/>
      <w:bookmarkEnd w:id="181"/>
      <w:bookmarkEnd w:id="182"/>
      <w:r>
        <w:t xml:space="preserve"> </w:t>
      </w:r>
    </w:p>
    <w:p w14:paraId="41880B56" w14:textId="77777777" w:rsidR="006901E2" w:rsidRPr="00346340" w:rsidRDefault="006901E2" w:rsidP="006901E2">
      <w:pPr>
        <w:pStyle w:val="Body"/>
      </w:pPr>
      <w:r w:rsidRPr="00346340">
        <w:t>Key principles that will underpin the planning and conduct of H2H program evaluation are the following.</w:t>
      </w:r>
    </w:p>
    <w:p w14:paraId="1B27ABF9" w14:textId="77777777" w:rsidR="006901E2" w:rsidRPr="00555987" w:rsidRDefault="006901E2" w:rsidP="00B037CC">
      <w:pPr>
        <w:pStyle w:val="Body"/>
        <w:numPr>
          <w:ilvl w:val="0"/>
          <w:numId w:val="25"/>
        </w:numPr>
      </w:pPr>
      <w:r w:rsidRPr="00555987">
        <w:t xml:space="preserve">Evaluation will be </w:t>
      </w:r>
      <w:r w:rsidRPr="00A376EA">
        <w:rPr>
          <w:b/>
          <w:bCs/>
        </w:rPr>
        <w:t>planned early</w:t>
      </w:r>
      <w:r w:rsidRPr="00555987">
        <w:t xml:space="preserve"> in the program, timely, and strategic to influence decision making.</w:t>
      </w:r>
    </w:p>
    <w:p w14:paraId="5BFD3F1B" w14:textId="77777777" w:rsidR="006901E2" w:rsidRPr="00555987" w:rsidRDefault="006901E2" w:rsidP="00B037CC">
      <w:pPr>
        <w:pStyle w:val="Body"/>
        <w:numPr>
          <w:ilvl w:val="0"/>
          <w:numId w:val="25"/>
        </w:numPr>
      </w:pPr>
      <w:r w:rsidRPr="00555987">
        <w:t xml:space="preserve">Evaluation will be </w:t>
      </w:r>
      <w:r w:rsidRPr="00A376EA">
        <w:rPr>
          <w:b/>
          <w:bCs/>
        </w:rPr>
        <w:t>appropriately resourced</w:t>
      </w:r>
      <w:r w:rsidRPr="00555987">
        <w:t xml:space="preserve"> by considering what is realistic and feasible to achieve within time and budget constraints.</w:t>
      </w:r>
    </w:p>
    <w:p w14:paraId="1D6ACBDF" w14:textId="77777777" w:rsidR="006901E2" w:rsidRPr="00555987" w:rsidRDefault="006901E2" w:rsidP="00B037CC">
      <w:pPr>
        <w:pStyle w:val="Body"/>
        <w:numPr>
          <w:ilvl w:val="0"/>
          <w:numId w:val="25"/>
        </w:numPr>
      </w:pPr>
      <w:r w:rsidRPr="00555987">
        <w:lastRenderedPageBreak/>
        <w:t xml:space="preserve">Evaluation will be </w:t>
      </w:r>
      <w:r w:rsidRPr="00A376EA">
        <w:rPr>
          <w:b/>
          <w:bCs/>
        </w:rPr>
        <w:t>rigorous, systematic, and objective</w:t>
      </w:r>
      <w:r w:rsidRPr="00555987">
        <w:t xml:space="preserve"> – that it should be methodologically sound and replicable in accordance with the program’s size, risk, priority, and significance.</w:t>
      </w:r>
    </w:p>
    <w:p w14:paraId="251BF46B" w14:textId="77777777" w:rsidR="006901E2" w:rsidRPr="00555987" w:rsidRDefault="006901E2" w:rsidP="00B037CC">
      <w:pPr>
        <w:pStyle w:val="Body"/>
        <w:numPr>
          <w:ilvl w:val="0"/>
          <w:numId w:val="25"/>
        </w:numPr>
      </w:pPr>
      <w:r w:rsidRPr="00555987">
        <w:t xml:space="preserve">Evaluation will be </w:t>
      </w:r>
      <w:r w:rsidRPr="00A376EA">
        <w:rPr>
          <w:b/>
          <w:bCs/>
        </w:rPr>
        <w:t>transparent and open</w:t>
      </w:r>
      <w:r w:rsidRPr="00555987">
        <w:t>.</w:t>
      </w:r>
    </w:p>
    <w:p w14:paraId="3C7C6E82" w14:textId="77777777" w:rsidR="006901E2" w:rsidRPr="00555987" w:rsidRDefault="006901E2" w:rsidP="00B037CC">
      <w:pPr>
        <w:pStyle w:val="Body"/>
        <w:numPr>
          <w:ilvl w:val="0"/>
          <w:numId w:val="25"/>
        </w:numPr>
      </w:pPr>
      <w:r w:rsidRPr="00555987">
        <w:t xml:space="preserve">Evaluation will be </w:t>
      </w:r>
      <w:r w:rsidRPr="00A376EA">
        <w:rPr>
          <w:b/>
          <w:bCs/>
        </w:rPr>
        <w:t>conducted with the right mix of expertise and independence</w:t>
      </w:r>
      <w:r w:rsidRPr="00555987">
        <w:t xml:space="preserve"> from those involved in the program.</w:t>
      </w:r>
    </w:p>
    <w:p w14:paraId="0CA84F91" w14:textId="77777777" w:rsidR="006901E2" w:rsidRPr="00346340" w:rsidRDefault="006901E2" w:rsidP="00B037CC">
      <w:pPr>
        <w:pStyle w:val="Body"/>
        <w:numPr>
          <w:ilvl w:val="0"/>
          <w:numId w:val="25"/>
        </w:numPr>
      </w:pPr>
      <w:r w:rsidRPr="00214759">
        <w:t xml:space="preserve">Stakeholders (including H2H </w:t>
      </w:r>
      <w:r>
        <w:t>Client</w:t>
      </w:r>
      <w:r w:rsidRPr="00214759">
        <w:t>s)</w:t>
      </w:r>
      <w:r w:rsidRPr="00555987">
        <w:t xml:space="preserve"> are to be </w:t>
      </w:r>
      <w:r w:rsidRPr="00214759">
        <w:t>identified and actively involved</w:t>
      </w:r>
      <w:r w:rsidRPr="00555987">
        <w:t xml:space="preserve"> in the design and implementation of the program evaluation</w:t>
      </w:r>
      <w:r w:rsidRPr="006E5A95">
        <w:t>.</w:t>
      </w:r>
    </w:p>
    <w:p w14:paraId="30011517" w14:textId="77777777" w:rsidR="006901E2" w:rsidRPr="0063284B" w:rsidRDefault="006901E2" w:rsidP="006901E2">
      <w:pPr>
        <w:pStyle w:val="Heading2"/>
      </w:pPr>
      <w:bookmarkStart w:id="183" w:name="_Toc88218419"/>
      <w:bookmarkStart w:id="184" w:name="_Toc88218890"/>
      <w:bookmarkStart w:id="185" w:name="_Toc121134127"/>
      <w:r>
        <w:t>Stages</w:t>
      </w:r>
      <w:bookmarkEnd w:id="183"/>
      <w:bookmarkEnd w:id="184"/>
      <w:bookmarkEnd w:id="185"/>
      <w:r>
        <w:t xml:space="preserve"> </w:t>
      </w:r>
    </w:p>
    <w:p w14:paraId="3492DBAA" w14:textId="77777777" w:rsidR="006901E2" w:rsidRDefault="006901E2" w:rsidP="006901E2">
      <w:pPr>
        <w:pStyle w:val="Body"/>
      </w:pPr>
      <w:r>
        <w:t xml:space="preserve">The IHR Steering Committee, who </w:t>
      </w:r>
      <w:r w:rsidRPr="000B0148">
        <w:t>has the responsibility of ensuring the program remains on course to deliver its expected outcomes and meet government commitments</w:t>
      </w:r>
      <w:r>
        <w:t>, have endorsed that the H2H Program Evaluation will be conducted by the external evaluator. All input from H2H Community Partners collected during one of the Senior Leadership Forum (SLF) session have been received and included in the Framework and Request for Quote.</w:t>
      </w:r>
    </w:p>
    <w:p w14:paraId="0101C71A" w14:textId="77777777" w:rsidR="006901E2" w:rsidRPr="00F31172" w:rsidRDefault="006901E2" w:rsidP="006901E2">
      <w:pPr>
        <w:pStyle w:val="Body"/>
      </w:pPr>
      <w:r w:rsidRPr="0063284B">
        <w:t>H2H Program Evaluation will be conducted</w:t>
      </w:r>
      <w:r>
        <w:t xml:space="preserve"> in three stages with detail below.</w:t>
      </w:r>
    </w:p>
    <w:p w14:paraId="3C3FE8B8" w14:textId="0ABE4E12" w:rsidR="006901E2" w:rsidRDefault="006901E2" w:rsidP="00B037CC">
      <w:pPr>
        <w:pStyle w:val="Body"/>
        <w:numPr>
          <w:ilvl w:val="0"/>
          <w:numId w:val="26"/>
        </w:numPr>
      </w:pPr>
      <w:r w:rsidRPr="6CBCB14D">
        <w:rPr>
          <w:b/>
          <w:bCs/>
        </w:rPr>
        <w:t>The early implementation assurance review (EIAR)</w:t>
      </w:r>
      <w:r>
        <w:t xml:space="preserve"> is intended to provide a review of the program design, progress, and output approximately one month post the last Clients moving into their new homes. It was forecast that 95% of Clients (households) will move to their new homes by end of October 2021, with the remaining 5% expected to move to their new homes shortly after 31 October 2021 (As of September 2022, 1,721 households have moved into a home. comprising 93% of the program target of 1,845).</w:t>
      </w:r>
    </w:p>
    <w:p w14:paraId="7ACF9E21" w14:textId="670161AF" w:rsidR="006901E2" w:rsidRDefault="006901E2" w:rsidP="006901E2">
      <w:pPr>
        <w:pStyle w:val="Body"/>
        <w:ind w:left="720"/>
      </w:pPr>
      <w:r>
        <w:t>The review was conducted by NOUS and a final report was delivered on 28 January 2022.</w:t>
      </w:r>
    </w:p>
    <w:p w14:paraId="09F241A4" w14:textId="77777777" w:rsidR="006901E2" w:rsidRPr="00912F7E" w:rsidRDefault="006901E2" w:rsidP="00B037CC">
      <w:pPr>
        <w:pStyle w:val="Body"/>
        <w:numPr>
          <w:ilvl w:val="0"/>
          <w:numId w:val="26"/>
        </w:numPr>
      </w:pPr>
      <w:r w:rsidRPr="7D709ABB">
        <w:rPr>
          <w:b/>
          <w:bCs/>
        </w:rPr>
        <w:t>Insight Gathering and Write-up</w:t>
      </w:r>
      <w:r>
        <w:t xml:space="preserve"> is intended to deliver three insight papers on practical program improvement that can deliver better Client outcomes. During this period, limited research activities are welcome to support the delivery of the three insight papers by the external evaluator. </w:t>
      </w:r>
    </w:p>
    <w:p w14:paraId="2DCCE88D" w14:textId="77777777" w:rsidR="006901E2" w:rsidRPr="00912F7E" w:rsidRDefault="006901E2" w:rsidP="006901E2">
      <w:pPr>
        <w:pStyle w:val="Body"/>
        <w:ind w:left="720"/>
        <w:rPr>
          <w:bCs/>
        </w:rPr>
      </w:pPr>
      <w:r w:rsidRPr="006E64AC">
        <w:rPr>
          <w:bCs/>
        </w:rPr>
        <w:t>It is envisaged that the Stage 2 will occur from January 2022 to May 2023.</w:t>
      </w:r>
    </w:p>
    <w:p w14:paraId="29023700" w14:textId="77777777" w:rsidR="006901E2" w:rsidRDefault="006901E2" w:rsidP="00B037CC">
      <w:pPr>
        <w:pStyle w:val="Body"/>
        <w:numPr>
          <w:ilvl w:val="0"/>
          <w:numId w:val="26"/>
        </w:numPr>
      </w:pPr>
      <w:r w:rsidRPr="7D709ABB">
        <w:rPr>
          <w:b/>
          <w:bCs/>
        </w:rPr>
        <w:t>Outcome evaluation</w:t>
      </w:r>
      <w:r>
        <w:t xml:space="preserve"> is intended to provide assessment on program’s efficiency, effectiveness, and appropriateness and to review outcomes, impacts, and sustainability of the program on key stakeholder groups in the homelessness sector and on overall service systems approximately 18 to 24 months post the last Clients moving to their new homes.</w:t>
      </w:r>
    </w:p>
    <w:p w14:paraId="5504C34E" w14:textId="77777777" w:rsidR="006901E2" w:rsidRDefault="006901E2" w:rsidP="006901E2">
      <w:pPr>
        <w:pStyle w:val="Body"/>
        <w:ind w:left="720"/>
      </w:pPr>
      <w:r w:rsidRPr="006E64AC">
        <w:t>The initial planning for outcome evaluation will occur in November 2021 whereas the detail planning of it will occur in June 2023.</w:t>
      </w:r>
      <w:r w:rsidRPr="00FD0790">
        <w:t xml:space="preserve"> It is </w:t>
      </w:r>
      <w:r>
        <w:t>anticipated that outcome evaluation will occur in July to September or mid-October 2023.</w:t>
      </w:r>
    </w:p>
    <w:p w14:paraId="61515421" w14:textId="77777777" w:rsidR="00026888" w:rsidRDefault="00026888" w:rsidP="006901E2">
      <w:pPr>
        <w:pStyle w:val="Body"/>
        <w:ind w:left="720"/>
      </w:pPr>
    </w:p>
    <w:p w14:paraId="375ECA43" w14:textId="77777777" w:rsidR="00026888" w:rsidRDefault="00026888" w:rsidP="006901E2">
      <w:pPr>
        <w:pStyle w:val="Body"/>
        <w:ind w:left="720"/>
      </w:pPr>
    </w:p>
    <w:p w14:paraId="4EE00E8A" w14:textId="77777777" w:rsidR="00026888" w:rsidRDefault="00026888" w:rsidP="006901E2">
      <w:pPr>
        <w:pStyle w:val="Body"/>
        <w:ind w:left="720"/>
      </w:pPr>
    </w:p>
    <w:p w14:paraId="32C56C0A" w14:textId="77777777" w:rsidR="006901E2" w:rsidRDefault="006901E2" w:rsidP="006901E2">
      <w:pPr>
        <w:pStyle w:val="Heading2"/>
      </w:pPr>
      <w:bookmarkStart w:id="186" w:name="_Toc88218420"/>
      <w:bookmarkStart w:id="187" w:name="_Toc88218891"/>
      <w:bookmarkStart w:id="188" w:name="_Toc121134128"/>
      <w:r>
        <w:lastRenderedPageBreak/>
        <w:t>Potential data sources</w:t>
      </w:r>
      <w:bookmarkEnd w:id="186"/>
      <w:bookmarkEnd w:id="187"/>
      <w:bookmarkEnd w:id="188"/>
      <w:r>
        <w:t xml:space="preserve"> </w:t>
      </w:r>
    </w:p>
    <w:p w14:paraId="5ACE9A44" w14:textId="77777777" w:rsidR="006901E2" w:rsidRDefault="006901E2" w:rsidP="006901E2">
      <w:pPr>
        <w:pStyle w:val="Body"/>
      </w:pPr>
      <w:r w:rsidRPr="746B0FE6">
        <w:t xml:space="preserve">The following data sources </w:t>
      </w:r>
      <w:r>
        <w:t xml:space="preserve">are anticipated to be used in the program </w:t>
      </w:r>
      <w:r w:rsidRPr="746B0FE6">
        <w:t>evaluation.</w:t>
      </w:r>
      <w:r>
        <w:t xml:space="preserve"> H2H Program Oversight Unit does not anticipate additional data collected at this stage, especially for Process Evaluation. </w:t>
      </w:r>
    </w:p>
    <w:p w14:paraId="43010C5A" w14:textId="77777777" w:rsidR="006901E2" w:rsidRPr="006E64AC" w:rsidRDefault="006901E2" w:rsidP="006901E2">
      <w:pPr>
        <w:pStyle w:val="Body"/>
        <w:rPr>
          <w:bCs/>
          <w:iCs/>
        </w:rPr>
      </w:pPr>
      <w:r>
        <w:rPr>
          <w:b/>
          <w:i/>
        </w:rPr>
        <w:t>CDR</w:t>
      </w:r>
      <w:r w:rsidRPr="006E64AC">
        <w:rPr>
          <w:b/>
          <w:iCs/>
        </w:rPr>
        <w:t xml:space="preserve"> or </w:t>
      </w:r>
      <w:r>
        <w:rPr>
          <w:b/>
          <w:iCs/>
        </w:rPr>
        <w:t>monthly Client</w:t>
      </w:r>
      <w:r w:rsidRPr="006E64AC">
        <w:rPr>
          <w:b/>
          <w:iCs/>
        </w:rPr>
        <w:t xml:space="preserve"> </w:t>
      </w:r>
      <w:r>
        <w:rPr>
          <w:b/>
          <w:iCs/>
        </w:rPr>
        <w:t xml:space="preserve">Data </w:t>
      </w:r>
      <w:r w:rsidRPr="006E64AC">
        <w:rPr>
          <w:b/>
          <w:iCs/>
        </w:rPr>
        <w:t xml:space="preserve">Reporting </w:t>
      </w:r>
      <w:r w:rsidRPr="006E64AC">
        <w:rPr>
          <w:bCs/>
          <w:iCs/>
        </w:rPr>
        <w:t xml:space="preserve">will provide information on </w:t>
      </w:r>
      <w:r>
        <w:rPr>
          <w:bCs/>
          <w:iCs/>
        </w:rPr>
        <w:t>Client</w:t>
      </w:r>
      <w:r w:rsidRPr="006E64AC">
        <w:rPr>
          <w:bCs/>
          <w:iCs/>
        </w:rPr>
        <w:t>s’ support package</w:t>
      </w:r>
      <w:r>
        <w:rPr>
          <w:bCs/>
          <w:iCs/>
        </w:rPr>
        <w:t>s</w:t>
      </w:r>
      <w:r w:rsidRPr="006E64AC">
        <w:rPr>
          <w:bCs/>
          <w:iCs/>
        </w:rPr>
        <w:t xml:space="preserve"> and housing allocations and generate insights on </w:t>
      </w:r>
      <w:r>
        <w:rPr>
          <w:bCs/>
          <w:iCs/>
        </w:rPr>
        <w:t>Client</w:t>
      </w:r>
      <w:r w:rsidRPr="006E64AC">
        <w:rPr>
          <w:bCs/>
          <w:iCs/>
        </w:rPr>
        <w:t xml:space="preserve"> engagement.</w:t>
      </w:r>
    </w:p>
    <w:p w14:paraId="1A43B6E2" w14:textId="51144972" w:rsidR="006901E2" w:rsidRPr="006E64AC" w:rsidRDefault="006901E2" w:rsidP="006901E2">
      <w:pPr>
        <w:pStyle w:val="Body"/>
        <w:rPr>
          <w:bCs/>
          <w:iCs/>
        </w:rPr>
      </w:pPr>
      <w:r w:rsidRPr="00094C76">
        <w:rPr>
          <w:bCs/>
          <w:iCs/>
        </w:rPr>
        <w:t>Up until changes in financial reporting</w:t>
      </w:r>
      <w:r>
        <w:rPr>
          <w:bCs/>
          <w:iCs/>
        </w:rPr>
        <w:t>,</w:t>
      </w:r>
      <w:r w:rsidRPr="00094C76">
        <w:rPr>
          <w:bCs/>
          <w:iCs/>
        </w:rPr>
        <w:t xml:space="preserve"> the</w:t>
      </w:r>
      <w:r>
        <w:rPr>
          <w:b/>
          <w:i/>
        </w:rPr>
        <w:t xml:space="preserve"> </w:t>
      </w:r>
      <w:r w:rsidRPr="0004626A">
        <w:rPr>
          <w:b/>
          <w:i/>
        </w:rPr>
        <w:t>M</w:t>
      </w:r>
      <w:r w:rsidRPr="00671A79">
        <w:rPr>
          <w:rFonts w:cs="Arial"/>
          <w:b/>
          <w:i/>
        </w:rPr>
        <w:t>FR</w:t>
      </w:r>
      <w:r w:rsidRPr="006E64AC">
        <w:rPr>
          <w:rFonts w:eastAsia="Times New Roman" w:cs="Arial"/>
        </w:rPr>
        <w:t xml:space="preserve"> </w:t>
      </w:r>
      <w:r w:rsidRPr="006E64AC">
        <w:rPr>
          <w:rFonts w:eastAsia="Times New Roman" w:cs="Arial"/>
          <w:b/>
          <w:bCs/>
        </w:rPr>
        <w:t>or</w:t>
      </w:r>
      <w:r w:rsidRPr="006E64AC">
        <w:rPr>
          <w:rFonts w:eastAsia="Times New Roman" w:cs="Arial"/>
        </w:rPr>
        <w:t xml:space="preserve"> </w:t>
      </w:r>
      <w:r w:rsidRPr="006E64AC">
        <w:rPr>
          <w:rFonts w:cs="Arial"/>
          <w:b/>
          <w:iCs/>
        </w:rPr>
        <w:t>Monthly Finance Data</w:t>
      </w:r>
      <w:r w:rsidRPr="006E64AC">
        <w:rPr>
          <w:rFonts w:cs="Arial"/>
          <w:bCs/>
          <w:iCs/>
        </w:rPr>
        <w:t xml:space="preserve"> will provide information on the Community Partners’ progress to enable funding</w:t>
      </w:r>
      <w:r>
        <w:rPr>
          <w:rFonts w:cs="Arial"/>
          <w:bCs/>
          <w:iCs/>
        </w:rPr>
        <w:t>. Note that MFR can be linked to DCR using Client</w:t>
      </w:r>
      <w:r w:rsidR="003421CB">
        <w:rPr>
          <w:rFonts w:cs="Arial"/>
          <w:bCs/>
          <w:iCs/>
        </w:rPr>
        <w:t xml:space="preserve"> </w:t>
      </w:r>
      <w:r>
        <w:rPr>
          <w:rFonts w:cs="Arial"/>
          <w:bCs/>
          <w:iCs/>
        </w:rPr>
        <w:t>ID and/or Property</w:t>
      </w:r>
      <w:r w:rsidR="003421CB">
        <w:rPr>
          <w:rFonts w:cs="Arial"/>
          <w:bCs/>
          <w:iCs/>
        </w:rPr>
        <w:t xml:space="preserve"> </w:t>
      </w:r>
      <w:r>
        <w:rPr>
          <w:rFonts w:cs="Arial"/>
          <w:bCs/>
          <w:iCs/>
        </w:rPr>
        <w:t>ID.</w:t>
      </w:r>
    </w:p>
    <w:p w14:paraId="32CBBBF1" w14:textId="77777777" w:rsidR="006901E2" w:rsidRDefault="006901E2" w:rsidP="006901E2">
      <w:pPr>
        <w:pStyle w:val="Body"/>
      </w:pPr>
      <w:r w:rsidRPr="573BBC90">
        <w:rPr>
          <w:b/>
          <w:i/>
        </w:rPr>
        <w:t>Administrative and program monitoring data</w:t>
      </w:r>
      <w:r w:rsidRPr="746B0FE6">
        <w:t xml:space="preserve"> will provide evidence of the benefits and pitfalls of the implementation of the </w:t>
      </w:r>
      <w:r>
        <w:t>program</w:t>
      </w:r>
      <w:r w:rsidRPr="746B0FE6">
        <w:t>. This should include both data on activity-based targets</w:t>
      </w:r>
      <w:r w:rsidRPr="4B87ACF0">
        <w:rPr>
          <w:rStyle w:val="FootnoteReference"/>
        </w:rPr>
        <w:footnoteReference w:id="4"/>
      </w:r>
      <w:r w:rsidRPr="746B0FE6">
        <w:t xml:space="preserve"> and support packages outcomes</w:t>
      </w:r>
      <w:r w:rsidRPr="2D087094">
        <w:rPr>
          <w:rStyle w:val="FootnoteReference"/>
        </w:rPr>
        <w:footnoteReference w:id="5"/>
      </w:r>
      <w:r w:rsidRPr="2D087094">
        <w:t>.</w:t>
      </w:r>
    </w:p>
    <w:p w14:paraId="4CF5DD19" w14:textId="01034AA0" w:rsidR="006901E2" w:rsidRDefault="006901E2" w:rsidP="006901E2">
      <w:pPr>
        <w:pStyle w:val="Body"/>
      </w:pPr>
      <w:r w:rsidRPr="283D1ECD">
        <w:rPr>
          <w:b/>
          <w:i/>
        </w:rPr>
        <w:t>Linked data</w:t>
      </w:r>
      <w:r w:rsidRPr="746B0FE6">
        <w:t xml:space="preserve"> (based on administrative data collected across health and human services) will allow to assess the impact of the </w:t>
      </w:r>
      <w:r>
        <w:t>program</w:t>
      </w:r>
      <w:r w:rsidRPr="746B0FE6">
        <w:t xml:space="preserve"> in relation to the cohort’s usage of other service systems. This will enable quantification and projection of the impact of the investment on government expenditure, and broadly across society.</w:t>
      </w:r>
      <w:r>
        <w:t xml:space="preserve"> </w:t>
      </w:r>
      <w:r w:rsidRPr="002F381C">
        <w:rPr>
          <w:i/>
          <w:iCs/>
        </w:rPr>
        <w:t xml:space="preserve">To enable optimum use of Linked Data, majority of </w:t>
      </w:r>
      <w:r>
        <w:rPr>
          <w:i/>
          <w:iCs/>
        </w:rPr>
        <w:t>Client</w:t>
      </w:r>
      <w:r w:rsidR="003421CB">
        <w:rPr>
          <w:i/>
          <w:iCs/>
        </w:rPr>
        <w:t xml:space="preserve"> </w:t>
      </w:r>
      <w:r w:rsidRPr="002F381C">
        <w:rPr>
          <w:i/>
          <w:iCs/>
        </w:rPr>
        <w:t>ID with Alpha Code will need to be converted into SLK PINs.</w:t>
      </w:r>
      <w:r>
        <w:t xml:space="preserve"> </w:t>
      </w:r>
    </w:p>
    <w:p w14:paraId="0F2FEC0A" w14:textId="77777777" w:rsidR="006901E2" w:rsidRDefault="006901E2" w:rsidP="006901E2">
      <w:pPr>
        <w:pStyle w:val="Body"/>
      </w:pPr>
      <w:r w:rsidRPr="75417C97">
        <w:rPr>
          <w:b/>
          <w:i/>
        </w:rPr>
        <w:t>I</w:t>
      </w:r>
      <w:r w:rsidRPr="573BBC90">
        <w:rPr>
          <w:b/>
          <w:i/>
        </w:rPr>
        <w:t xml:space="preserve">nterviews/ Surveys with </w:t>
      </w:r>
      <w:r>
        <w:rPr>
          <w:b/>
          <w:i/>
        </w:rPr>
        <w:t>Clients</w:t>
      </w:r>
      <w:r w:rsidRPr="746B0FE6">
        <w:t xml:space="preserve"> will provide information on their experience of the services (both in terms of their appropriateness and effectiveness) and highlight key opportunities and challenges during individual’s support periods that could maximise the benefit of the </w:t>
      </w:r>
      <w:r>
        <w:t>program</w:t>
      </w:r>
      <w:r w:rsidRPr="746B0FE6">
        <w:t xml:space="preserve">. It is important to highlight that inclusion of any </w:t>
      </w:r>
      <w:r>
        <w:t>Client</w:t>
      </w:r>
      <w:r w:rsidRPr="746B0FE6">
        <w:t xml:space="preserve"> voice data will depend on ethics approval; hence its utilisation, methodology and depth of research may vary.</w:t>
      </w:r>
    </w:p>
    <w:p w14:paraId="3C7EFAF3" w14:textId="77777777" w:rsidR="006901E2" w:rsidRDefault="006901E2" w:rsidP="006901E2">
      <w:pPr>
        <w:pStyle w:val="Body"/>
      </w:pPr>
      <w:r w:rsidRPr="0E893438">
        <w:rPr>
          <w:b/>
          <w:i/>
        </w:rPr>
        <w:t>Interviews/ Surveys with service providers</w:t>
      </w:r>
      <w:r w:rsidRPr="746B0FE6">
        <w:t xml:space="preserve"> to explore the operational matters regarding the </w:t>
      </w:r>
      <w:r>
        <w:t>program</w:t>
      </w:r>
      <w:r w:rsidRPr="746B0FE6">
        <w:t xml:space="preserve">’s implementation, enablers and hurdles of </w:t>
      </w:r>
      <w:r w:rsidRPr="004F0586">
        <w:t>H2H Community Partner’s</w:t>
      </w:r>
      <w:r w:rsidRPr="746B0FE6">
        <w:t xml:space="preserve"> models and identify systemic issues which may affect </w:t>
      </w:r>
      <w:r>
        <w:t>Client</w:t>
      </w:r>
      <w:r w:rsidRPr="746B0FE6">
        <w:t>’s outcomes. Additionally, this qualitative data should also be used to investigate agencies’ role and ability to identify/ provide/ refer to services within and outside the homelessness system.</w:t>
      </w:r>
    </w:p>
    <w:p w14:paraId="6E6E0268" w14:textId="77777777" w:rsidR="006901E2" w:rsidRDefault="006901E2" w:rsidP="006901E2">
      <w:pPr>
        <w:pStyle w:val="Body"/>
      </w:pPr>
      <w:r w:rsidRPr="77EE9803">
        <w:rPr>
          <w:b/>
          <w:i/>
        </w:rPr>
        <w:t>Case studies</w:t>
      </w:r>
      <w:r w:rsidRPr="746B0FE6">
        <w:t xml:space="preserve"> should highlight the aspects of the support packages (including access to specialist services) and Housing First approach in improving/ contributing towards </w:t>
      </w:r>
      <w:r>
        <w:t>Client</w:t>
      </w:r>
      <w:r w:rsidRPr="746B0FE6">
        <w:t xml:space="preserve"> outcomes.</w:t>
      </w:r>
    </w:p>
    <w:p w14:paraId="0D5F5096" w14:textId="77777777" w:rsidR="006901E2" w:rsidRPr="00A40CA9" w:rsidRDefault="006901E2" w:rsidP="006901E2">
      <w:pPr>
        <w:pStyle w:val="Heading2"/>
      </w:pPr>
      <w:bookmarkStart w:id="189" w:name="_Toc88218421"/>
      <w:bookmarkStart w:id="190" w:name="_Toc88218892"/>
      <w:bookmarkStart w:id="191" w:name="_Toc121134129"/>
      <w:r>
        <w:t>Procurement</w:t>
      </w:r>
      <w:bookmarkEnd w:id="189"/>
      <w:bookmarkEnd w:id="190"/>
      <w:bookmarkEnd w:id="191"/>
      <w:r>
        <w:t xml:space="preserve"> </w:t>
      </w:r>
    </w:p>
    <w:p w14:paraId="1CA34743" w14:textId="77777777" w:rsidR="006901E2" w:rsidRDefault="006901E2" w:rsidP="006901E2">
      <w:pPr>
        <w:pStyle w:val="Body"/>
      </w:pPr>
      <w:r>
        <w:t>The Invited Request for Quote (RFQ) has been chosen to procure services from external evaluator due to the highly specialised nature of the program. The RFQ will be sent out to selected organisations.</w:t>
      </w:r>
    </w:p>
    <w:p w14:paraId="3EF194BB" w14:textId="77777777" w:rsidR="006901E2" w:rsidRDefault="006901E2" w:rsidP="006901E2">
      <w:pPr>
        <w:pStyle w:val="DHHSbody"/>
        <w:jc w:val="both"/>
      </w:pPr>
      <w:r>
        <w:t xml:space="preserve">To select the successful evaluator, an Evaluation Selection Panel has been established. </w:t>
      </w:r>
    </w:p>
    <w:p w14:paraId="57284675" w14:textId="77777777" w:rsidR="003421CB" w:rsidRDefault="003421CB">
      <w:pPr>
        <w:spacing w:after="0" w:line="240" w:lineRule="auto"/>
        <w:rPr>
          <w:b/>
          <w:color w:val="032833" w:themeColor="text1"/>
          <w:sz w:val="32"/>
          <w:szCs w:val="28"/>
        </w:rPr>
      </w:pPr>
      <w:bookmarkStart w:id="192" w:name="_Toc88218422"/>
      <w:bookmarkStart w:id="193" w:name="_Toc88218893"/>
      <w:r>
        <w:br w:type="page"/>
      </w:r>
    </w:p>
    <w:p w14:paraId="54E39709" w14:textId="76528795" w:rsidR="006901E2" w:rsidRDefault="006901E2" w:rsidP="003421CB">
      <w:pPr>
        <w:pStyle w:val="Heading1"/>
      </w:pPr>
      <w:bookmarkStart w:id="194" w:name="_Toc121134130"/>
      <w:r>
        <w:lastRenderedPageBreak/>
        <w:t>Project Governance</w:t>
      </w:r>
      <w:bookmarkEnd w:id="192"/>
      <w:bookmarkEnd w:id="193"/>
      <w:bookmarkEnd w:id="194"/>
      <w:r>
        <w:t xml:space="preserve"> </w:t>
      </w:r>
    </w:p>
    <w:p w14:paraId="3A260A96" w14:textId="77777777" w:rsidR="006901E2" w:rsidRDefault="006901E2" w:rsidP="006901E2">
      <w:pPr>
        <w:pStyle w:val="Body"/>
      </w:pPr>
      <w:r>
        <w:t>H2H Evaluation Project Manager will be appointed to manage the end-to-end evaluation process and be the point of contact between the successful evaluator and Homes Victoria and the department. H2H Evaluation Project Manager will be working closely with the H2H Community Partners to support and troubleshoot issues with stakeholder involvement. H2H Evaluation Project Manager will also be a member of the H2H Evaluation Governance Group.</w:t>
      </w:r>
    </w:p>
    <w:p w14:paraId="6070FFEC" w14:textId="77777777" w:rsidR="006901E2" w:rsidRDefault="006901E2" w:rsidP="006901E2">
      <w:pPr>
        <w:pStyle w:val="Body"/>
      </w:pPr>
      <w:r>
        <w:t>H2H Community Partners will be responsible to manage the performance of the successful evaluator and provide logistical and practical support on the ground and be the contact for Client involvement in the H2H Evaluation.</w:t>
      </w:r>
    </w:p>
    <w:p w14:paraId="6A16DBFF" w14:textId="77777777" w:rsidR="006901E2" w:rsidRDefault="006901E2" w:rsidP="006901E2">
      <w:pPr>
        <w:pStyle w:val="Body"/>
      </w:pPr>
      <w:r>
        <w:t xml:space="preserve">Some members of the Evaluation Selection Panel and representative of Council to Homeless Persons (CHP), CHIA Vic, Aboriginal Housing Victoria (AHV) and H2H Community Partners will form the Program Evaluation Governance Group (PEGG). This Group will provide an oversight of the end-to-end evaluation process. The Group will meet on a regular basis and will provide update and escalate issues and risks to the H2H Steering Committee memberships. </w:t>
      </w:r>
    </w:p>
    <w:p w14:paraId="0A02A89F" w14:textId="77777777" w:rsidR="006901E2" w:rsidRPr="00F53241" w:rsidRDefault="006901E2" w:rsidP="006901E2">
      <w:pPr>
        <w:pStyle w:val="Body"/>
      </w:pPr>
      <w:r w:rsidRPr="00F53241">
        <w:t>Project governance for H2H Evaluation is depicted below.</w:t>
      </w:r>
    </w:p>
    <w:p w14:paraId="28115FEC" w14:textId="77777777" w:rsidR="006901E2" w:rsidRPr="00185C8F" w:rsidRDefault="006901E2" w:rsidP="006901E2">
      <w:pPr>
        <w:pStyle w:val="DHHSbody"/>
        <w:rPr>
          <w:b/>
          <w:bCs/>
          <w:i/>
          <w:iCs/>
        </w:rPr>
      </w:pPr>
      <w:r w:rsidRPr="72AC916A">
        <w:rPr>
          <w:b/>
          <w:bCs/>
          <w:i/>
          <w:iCs/>
        </w:rPr>
        <w:t>Diagram 8. Project Governance for H2H Program Evaluation</w:t>
      </w:r>
    </w:p>
    <w:p w14:paraId="3D99B913" w14:textId="77777777" w:rsidR="006901E2" w:rsidRPr="001A6B22" w:rsidRDefault="006901E2" w:rsidP="006901E2">
      <w:pPr>
        <w:pStyle w:val="DHHSbody"/>
      </w:pPr>
      <w:r w:rsidRPr="005D7ABF">
        <w:rPr>
          <w:noProof/>
        </w:rPr>
        <w:drawing>
          <wp:inline distT="0" distB="0" distL="0" distR="0" wp14:anchorId="4F665600" wp14:editId="497D4FAA">
            <wp:extent cx="6479540" cy="2854325"/>
            <wp:effectExtent l="0" t="0" r="0" b="3175"/>
            <wp:docPr id="13" name="Picture 13" descr="Project Governance for H2H Program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ject Governance for H2H Program Evaluation"/>
                    <pic:cNvPicPr/>
                  </pic:nvPicPr>
                  <pic:blipFill>
                    <a:blip r:embed="rId53"/>
                    <a:stretch>
                      <a:fillRect/>
                    </a:stretch>
                  </pic:blipFill>
                  <pic:spPr>
                    <a:xfrm>
                      <a:off x="0" y="0"/>
                      <a:ext cx="6479540" cy="2854325"/>
                    </a:xfrm>
                    <a:prstGeom prst="rect">
                      <a:avLst/>
                    </a:prstGeom>
                  </pic:spPr>
                </pic:pic>
              </a:graphicData>
            </a:graphic>
          </wp:inline>
        </w:drawing>
      </w:r>
    </w:p>
    <w:p w14:paraId="4D5DEDA9" w14:textId="77777777" w:rsidR="006901E2" w:rsidRDefault="006901E2" w:rsidP="006901E2">
      <w:pPr>
        <w:pStyle w:val="DHHSbody"/>
      </w:pPr>
    </w:p>
    <w:p w14:paraId="27734B7B" w14:textId="77777777" w:rsidR="006901E2" w:rsidRDefault="006901E2" w:rsidP="003421CB">
      <w:pPr>
        <w:pStyle w:val="Heading2"/>
        <w:rPr>
          <w:noProof/>
        </w:rPr>
      </w:pPr>
      <w:bookmarkStart w:id="195" w:name="_Toc88218423"/>
      <w:bookmarkStart w:id="196" w:name="_Toc88218894"/>
      <w:bookmarkStart w:id="197" w:name="_Toc121134131"/>
      <w:r>
        <w:t>Audit</w:t>
      </w:r>
      <w:r>
        <w:rPr>
          <w:noProof/>
        </w:rPr>
        <w:t xml:space="preserve"> on Care Plans and Exit Plans</w:t>
      </w:r>
      <w:bookmarkEnd w:id="195"/>
      <w:bookmarkEnd w:id="196"/>
      <w:bookmarkEnd w:id="197"/>
      <w:r>
        <w:rPr>
          <w:noProof/>
        </w:rPr>
        <w:t xml:space="preserve"> </w:t>
      </w:r>
    </w:p>
    <w:p w14:paraId="0D23746B" w14:textId="77777777" w:rsidR="006901E2" w:rsidRDefault="006901E2" w:rsidP="006901E2">
      <w:pPr>
        <w:pStyle w:val="Body"/>
      </w:pPr>
      <w:r w:rsidRPr="1A4842E4">
        <w:t xml:space="preserve">An </w:t>
      </w:r>
      <w:r w:rsidRPr="1A4842E4">
        <w:rPr>
          <w:b/>
          <w:bCs/>
        </w:rPr>
        <w:t>audit</w:t>
      </w:r>
      <w:r w:rsidRPr="1A4842E4">
        <w:t xml:space="preserve"> refers to providing an examination of a </w:t>
      </w:r>
      <w:r>
        <w:t>Client</w:t>
      </w:r>
      <w:r w:rsidRPr="1A4842E4">
        <w:t xml:space="preserve">’s Care Plan and Exit Plan ensuring that the Care Plan and Exit Plan has been prepared in accordance with the H2H Program Guideline. The audit process is aimed to increase confidence that the H2H Program Guidelines is being closely adhered to and Client requirements have been identified as accurately as possible in supporting through the H2H Program. </w:t>
      </w:r>
    </w:p>
    <w:p w14:paraId="2435F255" w14:textId="77777777" w:rsidR="006901E2" w:rsidRDefault="006901E2" w:rsidP="006901E2">
      <w:pPr>
        <w:pStyle w:val="Body"/>
      </w:pPr>
      <w:r w:rsidRPr="1A4842E4">
        <w:t xml:space="preserve">An audit process </w:t>
      </w:r>
      <w:r>
        <w:t xml:space="preserve">to care plans and exit plans </w:t>
      </w:r>
      <w:r w:rsidRPr="1A4842E4">
        <w:t>is currently under development. Once finalised, the process for auditing Care Plans and Exit Plans will be communicated to the H2H Community Partners.</w:t>
      </w:r>
    </w:p>
    <w:p w14:paraId="7CC3FC0D" w14:textId="784A46EE" w:rsidR="00713CF0" w:rsidRPr="00BB1ECE" w:rsidRDefault="00713CF0" w:rsidP="00713CF0">
      <w:pPr>
        <w:pStyle w:val="Heading1"/>
      </w:pPr>
      <w:r>
        <w:br w:type="page"/>
      </w:r>
      <w:bookmarkStart w:id="198" w:name="_Toc88218425"/>
      <w:bookmarkStart w:id="199" w:name="_Toc88218896"/>
      <w:bookmarkStart w:id="200" w:name="_Toc121134132"/>
      <w:r>
        <w:lastRenderedPageBreak/>
        <w:t xml:space="preserve">Appendix </w:t>
      </w:r>
      <w:r w:rsidR="009E70A1">
        <w:t>1</w:t>
      </w:r>
      <w:r>
        <w:t xml:space="preserve"> -</w:t>
      </w:r>
      <w:r w:rsidRPr="506AB268">
        <w:t xml:space="preserve"> H2H Payment Mechanism</w:t>
      </w:r>
      <w:r>
        <w:t xml:space="preserve"> and Six-Monthly Reconciliation Reporting</w:t>
      </w:r>
      <w:bookmarkEnd w:id="198"/>
      <w:bookmarkEnd w:id="199"/>
      <w:bookmarkEnd w:id="200"/>
    </w:p>
    <w:p w14:paraId="05A977E3" w14:textId="77777777" w:rsidR="00713CF0" w:rsidRDefault="00713CF0" w:rsidP="00713CF0">
      <w:pPr>
        <w:pStyle w:val="Body"/>
      </w:pPr>
      <w:r>
        <w:t xml:space="preserve">The funding model for the H2H program was a new </w:t>
      </w:r>
      <w:r w:rsidRPr="00730ED2">
        <w:t>purpose</w:t>
      </w:r>
      <w:r>
        <w:t>-</w:t>
      </w:r>
      <w:r w:rsidRPr="00730ED2">
        <w:t xml:space="preserve">designed </w:t>
      </w:r>
      <w:r>
        <w:t xml:space="preserve">arrangement that included a </w:t>
      </w:r>
      <w:r w:rsidRPr="00730ED2">
        <w:t xml:space="preserve">reconciliation </w:t>
      </w:r>
      <w:r>
        <w:t>arrangement</w:t>
      </w:r>
      <w:r w:rsidRPr="00730ED2">
        <w:t xml:space="preserve"> that renumerate</w:t>
      </w:r>
      <w:r>
        <w:t>d</w:t>
      </w:r>
      <w:r w:rsidRPr="00730ED2">
        <w:t xml:space="preserve"> providers based on work undertaken (against Activity Descriptors) in the previous month. </w:t>
      </w:r>
    </w:p>
    <w:p w14:paraId="5168E800" w14:textId="77777777" w:rsidR="00713CF0" w:rsidRPr="00730ED2" w:rsidRDefault="00713CF0" w:rsidP="00713CF0">
      <w:pPr>
        <w:pStyle w:val="Body"/>
      </w:pPr>
      <w:r>
        <w:t xml:space="preserve">In reviewing this funding model and from feedback received from </w:t>
      </w:r>
      <w:r w:rsidRPr="00730ED2">
        <w:t>Community Partners</w:t>
      </w:r>
      <w:r>
        <w:t xml:space="preserve">, Homes Victoria has determined that the funding model will be changed from November 2021.  </w:t>
      </w:r>
      <w:r w:rsidRPr="00730ED2">
        <w:t xml:space="preserve"> </w:t>
      </w:r>
    </w:p>
    <w:p w14:paraId="40992C1B" w14:textId="77777777" w:rsidR="00713CF0" w:rsidRPr="00730ED2" w:rsidRDefault="00713CF0" w:rsidP="00713CF0">
      <w:pPr>
        <w:pStyle w:val="Body"/>
      </w:pPr>
      <w:r w:rsidRPr="00730ED2">
        <w:t>The changes being made to fund the delivery of the H2H program will reset the funding process to align with the standard DFFH funding model using the existing Activity Descriptions 94842, 94843 and 94844 and in conjunction with the total number of targets per annum.</w:t>
      </w:r>
      <w:r>
        <w:t xml:space="preserve"> </w:t>
      </w:r>
    </w:p>
    <w:p w14:paraId="4F3DD50F" w14:textId="77777777" w:rsidR="00713CF0" w:rsidRPr="00730ED2" w:rsidRDefault="00713CF0" w:rsidP="00713CF0">
      <w:pPr>
        <w:pStyle w:val="Bullet1"/>
      </w:pPr>
      <w:r>
        <w:t>Support Services will be funded via Activity 94842 (Homelessness Client Support) and Activity 94844 (Homelessness Flexible Funding)</w:t>
      </w:r>
    </w:p>
    <w:p w14:paraId="122384B5" w14:textId="77777777" w:rsidR="00713CF0" w:rsidRDefault="00713CF0" w:rsidP="00713CF0">
      <w:pPr>
        <w:pStyle w:val="Bullet1"/>
      </w:pPr>
      <w:r>
        <w:t>Property Services will be funded via Activity 94843 (Homelessness Housing and Tenancy Administration)</w:t>
      </w:r>
    </w:p>
    <w:p w14:paraId="77A6C893" w14:textId="77777777" w:rsidR="00713CF0" w:rsidRPr="00701D17" w:rsidRDefault="00713CF0" w:rsidP="00B037CC">
      <w:pPr>
        <w:pStyle w:val="Body"/>
        <w:numPr>
          <w:ilvl w:val="0"/>
          <w:numId w:val="30"/>
        </w:numPr>
      </w:pPr>
      <w:r>
        <w:t xml:space="preserve">Net </w:t>
      </w:r>
      <w:r w:rsidRPr="232E594B">
        <w:t>R</w:t>
      </w:r>
      <w:r>
        <w:t>ent</w:t>
      </w:r>
    </w:p>
    <w:p w14:paraId="5469B1C7" w14:textId="77777777" w:rsidR="00713CF0" w:rsidRPr="00701D17" w:rsidRDefault="00713CF0" w:rsidP="00B037CC">
      <w:pPr>
        <w:pStyle w:val="Body"/>
        <w:numPr>
          <w:ilvl w:val="0"/>
          <w:numId w:val="30"/>
        </w:numPr>
      </w:pPr>
      <w:r w:rsidRPr="00701D17">
        <w:t>Establishment Costs.</w:t>
      </w:r>
    </w:p>
    <w:p w14:paraId="75D5FB3A" w14:textId="77777777" w:rsidR="00713CF0" w:rsidRPr="00701D17" w:rsidRDefault="00713CF0" w:rsidP="00B037CC">
      <w:pPr>
        <w:pStyle w:val="Body"/>
        <w:numPr>
          <w:ilvl w:val="0"/>
          <w:numId w:val="30"/>
        </w:numPr>
      </w:pPr>
      <w:r w:rsidRPr="00701D17">
        <w:t>Asset Management Services; and</w:t>
      </w:r>
    </w:p>
    <w:p w14:paraId="2D13DB67" w14:textId="77777777" w:rsidR="00713CF0" w:rsidRPr="00701D17" w:rsidRDefault="00713CF0" w:rsidP="00B037CC">
      <w:pPr>
        <w:pStyle w:val="Body"/>
        <w:numPr>
          <w:ilvl w:val="0"/>
          <w:numId w:val="30"/>
        </w:numPr>
      </w:pPr>
      <w:r w:rsidRPr="00701D17">
        <w:t>Tenancy Management Services,</w:t>
      </w:r>
    </w:p>
    <w:p w14:paraId="6DD4D7A8" w14:textId="77777777" w:rsidR="00713CF0" w:rsidRDefault="00713CF0" w:rsidP="00713CF0">
      <w:pPr>
        <w:pStyle w:val="Body"/>
      </w:pPr>
      <w:r w:rsidRPr="00730ED2">
        <w:t xml:space="preserve">The process will </w:t>
      </w:r>
      <w:r>
        <w:t xml:space="preserve">result in </w:t>
      </w:r>
      <w:r w:rsidRPr="00730ED2">
        <w:t>monthly payment</w:t>
      </w:r>
      <w:r>
        <w:t>s</w:t>
      </w:r>
      <w:r w:rsidRPr="00730ED2">
        <w:t xml:space="preserve"> through the SAMS payment system. </w:t>
      </w:r>
    </w:p>
    <w:p w14:paraId="19622EB0" w14:textId="77777777" w:rsidR="00713CF0" w:rsidRDefault="00713CF0" w:rsidP="00713CF0">
      <w:pPr>
        <w:pStyle w:val="Body"/>
      </w:pPr>
      <w:r>
        <w:t xml:space="preserve">The total amount of funding outlined in the letters Community Partners received in December 2020 will be allocated in total across the program's life minus the amount already allocated regardless of whether or not people have moved into their new homes. </w:t>
      </w:r>
    </w:p>
    <w:p w14:paraId="66A5C3B7" w14:textId="77777777" w:rsidR="00713CF0" w:rsidRPr="00730ED2" w:rsidRDefault="00713CF0" w:rsidP="00713CF0">
      <w:pPr>
        <w:pStyle w:val="Body"/>
      </w:pPr>
      <w:r w:rsidRPr="00730ED2">
        <w:t xml:space="preserve">This approach will allow Community Partners to fulfil Service Agreement contractual arrangements </w:t>
      </w:r>
      <w:r>
        <w:t>flexibly,</w:t>
      </w:r>
      <w:r w:rsidRPr="00730ED2">
        <w:t xml:space="preserve"> resulting in agile service delivery to meet client demand and manage human resources appropriately.</w:t>
      </w:r>
    </w:p>
    <w:p w14:paraId="00524303" w14:textId="77777777" w:rsidR="00713CF0" w:rsidRPr="00730ED2" w:rsidRDefault="00713CF0" w:rsidP="00713CF0">
      <w:pPr>
        <w:pStyle w:val="Body"/>
      </w:pPr>
      <w:r w:rsidRPr="00730ED2">
        <w:t xml:space="preserve">Community </w:t>
      </w:r>
      <w:r w:rsidRPr="232E594B">
        <w:t>P</w:t>
      </w:r>
      <w:r w:rsidRPr="00730ED2">
        <w:t xml:space="preserve">artners will be able to view, in </w:t>
      </w:r>
      <w:r>
        <w:t xml:space="preserve">Funded Agency </w:t>
      </w:r>
      <w:r w:rsidRPr="232E594B">
        <w:t>Channel</w:t>
      </w:r>
      <w:r w:rsidRPr="00730ED2">
        <w:t xml:space="preserve">, the upcoming monthly payment amounts until the end of the 2021-22 financial year and </w:t>
      </w:r>
      <w:r>
        <w:t>consider</w:t>
      </w:r>
      <w:r w:rsidRPr="00730ED2">
        <w:t xml:space="preserve"> the total 2022-23 financial year payment.</w:t>
      </w:r>
    </w:p>
    <w:p w14:paraId="6EE18368" w14:textId="77777777" w:rsidR="00713CF0" w:rsidRPr="00730ED2" w:rsidRDefault="00713CF0" w:rsidP="00713CF0">
      <w:pPr>
        <w:pStyle w:val="Body"/>
      </w:pPr>
      <w:r w:rsidRPr="00730ED2">
        <w:t>The proposed variation to funding arrangements will take effect as of 1 November 2021</w:t>
      </w:r>
      <w:r>
        <w:t xml:space="preserve">, with Community Partners receiving funding for this new payment method </w:t>
      </w:r>
      <w:r w:rsidRPr="232E594B">
        <w:t>from</w:t>
      </w:r>
      <w:r>
        <w:t xml:space="preserve"> December 2021</w:t>
      </w:r>
      <w:r w:rsidRPr="00730ED2">
        <w:t xml:space="preserve">. </w:t>
      </w:r>
      <w:r>
        <w:t xml:space="preserve">As a result, the current </w:t>
      </w:r>
      <w:r w:rsidRPr="232E594B">
        <w:t>funding</w:t>
      </w:r>
      <w:r w:rsidRPr="00730ED2">
        <w:t xml:space="preserve"> and </w:t>
      </w:r>
      <w:r>
        <w:t>Service Agreement will be varied, and a new</w:t>
      </w:r>
      <w:r w:rsidRPr="00730ED2">
        <w:t xml:space="preserve"> agreement will </w:t>
      </w:r>
      <w:r>
        <w:t>not be required.</w:t>
      </w:r>
      <w:r w:rsidRPr="00730ED2">
        <w:t xml:space="preserve"> Organisations can view a history of all the variations made to their </w:t>
      </w:r>
      <w:r w:rsidRPr="232E594B">
        <w:t>Service A</w:t>
      </w:r>
      <w:r w:rsidRPr="00730ED2">
        <w:t>greement on the</w:t>
      </w:r>
      <w:r w:rsidRPr="00730ED2">
        <w:rPr>
          <w:rFonts w:eastAsia="Segoe UI"/>
        </w:rPr>
        <w:t xml:space="preserve"> </w:t>
      </w:r>
      <w:hyperlink r:id="rId54">
        <w:r w:rsidRPr="00730ED2">
          <w:rPr>
            <w:rStyle w:val="Hyperlink"/>
            <w:rFonts w:ascii="Arial" w:eastAsia="Segoe UI" w:hAnsi="Arial" w:cs="Arial"/>
          </w:rPr>
          <w:t>Service Agreement Module of My Agency</w:t>
        </w:r>
      </w:hyperlink>
      <w:r w:rsidRPr="00730ED2">
        <w:rPr>
          <w:rFonts w:eastAsia="Segoe UI"/>
        </w:rPr>
        <w:t xml:space="preserve"> &lt;</w:t>
      </w:r>
      <w:hyperlink r:id="rId55">
        <w:r w:rsidRPr="00730ED2">
          <w:rPr>
            <w:rStyle w:val="Hyperlink"/>
            <w:rFonts w:ascii="Arial" w:eastAsia="Segoe UI" w:hAnsi="Arial" w:cs="Arial"/>
          </w:rPr>
          <w:t>https://fac.dhhs.vic.gov.au/my-agency&gt;.</w:t>
        </w:r>
      </w:hyperlink>
    </w:p>
    <w:p w14:paraId="5C7B2B43" w14:textId="77777777" w:rsidR="00713CF0" w:rsidRPr="00730ED2" w:rsidRDefault="00713CF0" w:rsidP="00713CF0">
      <w:pPr>
        <w:pStyle w:val="Heading2"/>
      </w:pPr>
      <w:bookmarkStart w:id="201" w:name="_Toc121134133"/>
      <w:r w:rsidRPr="00730ED2">
        <w:rPr>
          <w:rFonts w:eastAsia="Segoe UI"/>
        </w:rPr>
        <w:t>Standard DFFH Payment schedule</w:t>
      </w:r>
      <w:bookmarkEnd w:id="201"/>
    </w:p>
    <w:tbl>
      <w:tblPr>
        <w:tblStyle w:val="TableGrid"/>
        <w:tblW w:w="0" w:type="auto"/>
        <w:tblLayout w:type="fixed"/>
        <w:tblLook w:val="06A0" w:firstRow="1" w:lastRow="0" w:firstColumn="1" w:lastColumn="0" w:noHBand="1" w:noVBand="1"/>
      </w:tblPr>
      <w:tblGrid>
        <w:gridCol w:w="1545"/>
        <w:gridCol w:w="8655"/>
      </w:tblGrid>
      <w:tr w:rsidR="00713CF0" w:rsidRPr="003421CB" w14:paraId="4E4BF9B1" w14:textId="77777777" w:rsidTr="007516E6">
        <w:trPr>
          <w:cnfStyle w:val="100000000000" w:firstRow="1" w:lastRow="0" w:firstColumn="0" w:lastColumn="0" w:oddVBand="0" w:evenVBand="0" w:oddHBand="0" w:evenHBand="0" w:firstRowFirstColumn="0" w:firstRowLastColumn="0" w:lastRowFirstColumn="0" w:lastRowLastColumn="0"/>
        </w:trPr>
        <w:tc>
          <w:tcPr>
            <w:tcW w:w="1545" w:type="dxa"/>
            <w:vAlign w:val="center"/>
          </w:tcPr>
          <w:p w14:paraId="7C378293" w14:textId="77777777" w:rsidR="00713CF0" w:rsidRPr="003421CB" w:rsidRDefault="00713CF0" w:rsidP="003421CB">
            <w:pPr>
              <w:pStyle w:val="Body"/>
              <w:rPr>
                <w:b/>
                <w:bCs/>
              </w:rPr>
            </w:pPr>
            <w:r w:rsidRPr="003421CB">
              <w:rPr>
                <w:b/>
                <w:bCs/>
              </w:rPr>
              <w:t>First Tuesday of each month</w:t>
            </w:r>
          </w:p>
        </w:tc>
        <w:tc>
          <w:tcPr>
            <w:tcW w:w="8655" w:type="dxa"/>
            <w:vAlign w:val="center"/>
          </w:tcPr>
          <w:p w14:paraId="78994E6A" w14:textId="77777777" w:rsidR="00713CF0" w:rsidRPr="003421CB" w:rsidRDefault="00713CF0" w:rsidP="003421CB">
            <w:pPr>
              <w:pStyle w:val="Body"/>
              <w:rPr>
                <w:b/>
                <w:bCs/>
              </w:rPr>
            </w:pPr>
            <w:r w:rsidRPr="003421CB">
              <w:rPr>
                <w:b/>
                <w:bCs/>
              </w:rPr>
              <w:t>Monthly payments</w:t>
            </w:r>
          </w:p>
          <w:p w14:paraId="2C623304" w14:textId="77777777" w:rsidR="00713CF0" w:rsidRPr="003421CB" w:rsidRDefault="00713CF0" w:rsidP="003421CB">
            <w:pPr>
              <w:pStyle w:val="Body"/>
              <w:rPr>
                <w:b/>
                <w:bCs/>
              </w:rPr>
            </w:pPr>
            <w:r w:rsidRPr="003421CB">
              <w:rPr>
                <w:b/>
                <w:bCs/>
              </w:rPr>
              <w:t>Regular monthly payment is made.</w:t>
            </w:r>
          </w:p>
        </w:tc>
      </w:tr>
      <w:tr w:rsidR="00713CF0" w:rsidRPr="00730ED2" w14:paraId="5FE917FA" w14:textId="77777777" w:rsidTr="007516E6">
        <w:tc>
          <w:tcPr>
            <w:tcW w:w="1545" w:type="dxa"/>
            <w:vAlign w:val="center"/>
          </w:tcPr>
          <w:p w14:paraId="53B6E1F4" w14:textId="77777777" w:rsidR="00713CF0" w:rsidRPr="003421CB" w:rsidRDefault="00713CF0" w:rsidP="003421CB">
            <w:pPr>
              <w:pStyle w:val="Body"/>
            </w:pPr>
            <w:r w:rsidRPr="003421CB">
              <w:t>1st of each month</w:t>
            </w:r>
          </w:p>
        </w:tc>
        <w:tc>
          <w:tcPr>
            <w:tcW w:w="8655" w:type="dxa"/>
            <w:vAlign w:val="center"/>
          </w:tcPr>
          <w:p w14:paraId="2A0721A3" w14:textId="77777777" w:rsidR="00713CF0" w:rsidRPr="003421CB" w:rsidRDefault="00713CF0" w:rsidP="003421CB">
            <w:pPr>
              <w:pStyle w:val="Body"/>
            </w:pPr>
            <w:r w:rsidRPr="003421CB">
              <w:t>Monthly variations open</w:t>
            </w:r>
          </w:p>
          <w:p w14:paraId="6EA23571" w14:textId="77777777" w:rsidR="00713CF0" w:rsidRPr="003421CB" w:rsidRDefault="00713CF0" w:rsidP="003421CB">
            <w:pPr>
              <w:pStyle w:val="Body"/>
            </w:pPr>
            <w:r w:rsidRPr="003421CB">
              <w:lastRenderedPageBreak/>
              <w:t>Changes that have been negotiated with an organisation are entered into the Service Agreement Management System (SAMS2). Organisations can view and check changes when finance approval is completed by the department. Variations are not normally made in June or July and a shorter window is available in December due to the Equal Renumeration Order processing.</w:t>
            </w:r>
          </w:p>
        </w:tc>
      </w:tr>
      <w:tr w:rsidR="00713CF0" w:rsidRPr="00730ED2" w14:paraId="1A0F9267" w14:textId="77777777" w:rsidTr="007516E6">
        <w:tc>
          <w:tcPr>
            <w:tcW w:w="1545" w:type="dxa"/>
            <w:vAlign w:val="center"/>
          </w:tcPr>
          <w:p w14:paraId="0C49A944" w14:textId="77777777" w:rsidR="00713CF0" w:rsidRPr="003421CB" w:rsidRDefault="00713CF0" w:rsidP="003421CB">
            <w:pPr>
              <w:pStyle w:val="Body"/>
            </w:pPr>
            <w:r w:rsidRPr="003421CB">
              <w:lastRenderedPageBreak/>
              <w:t>18th of each month</w:t>
            </w:r>
          </w:p>
        </w:tc>
        <w:tc>
          <w:tcPr>
            <w:tcW w:w="8655" w:type="dxa"/>
            <w:vAlign w:val="center"/>
          </w:tcPr>
          <w:p w14:paraId="00EF4835" w14:textId="77777777" w:rsidR="00713CF0" w:rsidRPr="003421CB" w:rsidRDefault="00713CF0" w:rsidP="003421CB">
            <w:pPr>
              <w:pStyle w:val="Body"/>
            </w:pPr>
            <w:r w:rsidRPr="003421CB">
              <w:t>Monthly variations published</w:t>
            </w:r>
          </w:p>
          <w:p w14:paraId="76B1DD10" w14:textId="77777777" w:rsidR="00713CF0" w:rsidRPr="003421CB" w:rsidRDefault="00713CF0" w:rsidP="003421CB">
            <w:pPr>
              <w:pStyle w:val="Body"/>
            </w:pPr>
            <w:r w:rsidRPr="003421CB">
              <w:t xml:space="preserve">Organisations can view proposed changes on </w:t>
            </w:r>
            <w:hyperlink r:id="rId56">
              <w:r w:rsidRPr="003421CB">
                <w:rPr>
                  <w:rStyle w:val="Hyperlink"/>
                  <w:color w:val="auto"/>
                  <w:u w:val="none"/>
                </w:rPr>
                <w:t>My Agency</w:t>
              </w:r>
            </w:hyperlink>
            <w:r w:rsidRPr="003421CB">
              <w:t xml:space="preserve"> &lt;</w:t>
            </w:r>
            <w:hyperlink r:id="rId57">
              <w:r w:rsidRPr="003421CB">
                <w:rPr>
                  <w:rStyle w:val="Hyperlink"/>
                  <w:color w:val="auto"/>
                  <w:u w:val="none"/>
                </w:rPr>
                <w:t>https://fac.dhhs.vic.gov.au/my-agency&gt;.</w:t>
              </w:r>
            </w:hyperlink>
            <w:r w:rsidRPr="003421CB">
              <w:t xml:space="preserve"> Email advice is sent to department and organisation signatories to undertake final check of changes.</w:t>
            </w:r>
          </w:p>
          <w:p w14:paraId="207A976A" w14:textId="77777777" w:rsidR="00713CF0" w:rsidRPr="003421CB" w:rsidRDefault="00713CF0" w:rsidP="003421CB">
            <w:pPr>
              <w:pStyle w:val="Body"/>
            </w:pPr>
            <w:r w:rsidRPr="003421CB">
              <w:t>If the 18th of the month falls on a weekend, variations will be published on the next business day. The organisation should contact their service plan leads it there is something they do not understand or agree to in the proposed variation.</w:t>
            </w:r>
          </w:p>
        </w:tc>
      </w:tr>
      <w:tr w:rsidR="00713CF0" w:rsidRPr="00730ED2" w14:paraId="671C2701" w14:textId="77777777" w:rsidTr="007516E6">
        <w:tc>
          <w:tcPr>
            <w:tcW w:w="1545" w:type="dxa"/>
            <w:vAlign w:val="center"/>
          </w:tcPr>
          <w:p w14:paraId="62704B8A" w14:textId="77777777" w:rsidR="00713CF0" w:rsidRPr="003421CB" w:rsidRDefault="00713CF0" w:rsidP="003421CB">
            <w:pPr>
              <w:pStyle w:val="Body"/>
            </w:pPr>
            <w:r w:rsidRPr="003421CB">
              <w:t>23rd of each month</w:t>
            </w:r>
          </w:p>
        </w:tc>
        <w:tc>
          <w:tcPr>
            <w:tcW w:w="8655" w:type="dxa"/>
            <w:vAlign w:val="center"/>
          </w:tcPr>
          <w:p w14:paraId="090EC9F9" w14:textId="77777777" w:rsidR="00713CF0" w:rsidRPr="003421CB" w:rsidRDefault="00713CF0" w:rsidP="003421CB">
            <w:pPr>
              <w:pStyle w:val="Body"/>
            </w:pPr>
            <w:r w:rsidRPr="003421CB">
              <w:t>Monthly variation becomes effective</w:t>
            </w:r>
          </w:p>
          <w:p w14:paraId="17670AF5" w14:textId="77777777" w:rsidR="00713CF0" w:rsidRPr="003421CB" w:rsidRDefault="00713CF0" w:rsidP="003421CB">
            <w:pPr>
              <w:pStyle w:val="Body"/>
            </w:pPr>
            <w:r w:rsidRPr="003421CB">
              <w:t>Variation becomes effective once they have been approved by the departments’ signatory. Where funding increases are backdated, any applicable funding arrears payments are processed.</w:t>
            </w:r>
          </w:p>
        </w:tc>
      </w:tr>
    </w:tbl>
    <w:p w14:paraId="3E112E93" w14:textId="77777777" w:rsidR="00713CF0" w:rsidRPr="00730ED2" w:rsidRDefault="00713CF0" w:rsidP="00713CF0">
      <w:pPr>
        <w:pStyle w:val="Body"/>
      </w:pPr>
      <w:r w:rsidRPr="00730ED2">
        <w:br/>
        <w:t>The Service Provider must notify the department of any proposed change to the documented arrangements between Material Consortium Members. Any change to documented arrangements between Material Consortium Members will be subject to department approval, not unreasonably withheld.</w:t>
      </w:r>
    </w:p>
    <w:p w14:paraId="343495BE" w14:textId="77777777" w:rsidR="00713CF0" w:rsidRPr="00730ED2" w:rsidRDefault="00713CF0" w:rsidP="00713CF0">
      <w:pPr>
        <w:pStyle w:val="Body"/>
      </w:pPr>
      <w:r w:rsidRPr="00730ED2">
        <w:t>H2H Community Partners may provide a list of Potential Consortium Members to the department for its approval. If approved by the department</w:t>
      </w:r>
      <w:r>
        <w:t>,</w:t>
      </w:r>
      <w:r w:rsidRPr="00730ED2">
        <w:t xml:space="preserve"> these potential consortium members will become Pre-Approved Potential Consortium Members.</w:t>
      </w:r>
    </w:p>
    <w:p w14:paraId="606179C8" w14:textId="77777777" w:rsidR="00713CF0" w:rsidRPr="00730ED2" w:rsidRDefault="00713CF0" w:rsidP="00713CF0">
      <w:pPr>
        <w:pStyle w:val="Body"/>
      </w:pPr>
      <w:r w:rsidRPr="00730ED2">
        <w:t xml:space="preserve">The list of Pre-Approved Potential Consortium Members may be updated </w:t>
      </w:r>
      <w:r>
        <w:t>as required. Additionally,</w:t>
      </w:r>
      <w:r w:rsidRPr="00730ED2">
        <w:t xml:space="preserve"> new Pre-Approved Potential Consortium Members </w:t>
      </w:r>
      <w:r>
        <w:t xml:space="preserve">can be added </w:t>
      </w:r>
      <w:r w:rsidRPr="00730ED2">
        <w:t>or remov</w:t>
      </w:r>
      <w:r>
        <w:t>ed by</w:t>
      </w:r>
      <w:r w:rsidRPr="00730ED2">
        <w:t xml:space="preserve"> H2H Community Partners</w:t>
      </w:r>
      <w:r>
        <w:t xml:space="preserve">. </w:t>
      </w:r>
    </w:p>
    <w:p w14:paraId="1689CCBE" w14:textId="77777777" w:rsidR="00713CF0" w:rsidRPr="00730ED2" w:rsidRDefault="00713CF0" w:rsidP="00713CF0">
      <w:pPr>
        <w:pStyle w:val="Body"/>
      </w:pPr>
      <w:r w:rsidRPr="00730ED2">
        <w:t>The department may remove H2H Community Partners from the list of Pre-Approved Potential Consortium Members if, acting reasonably, the department is concerned about the H2H Community Partners ability to deliver Services.</w:t>
      </w:r>
    </w:p>
    <w:p w14:paraId="3F805BC2" w14:textId="77777777" w:rsidR="00713CF0" w:rsidRDefault="00713CF0" w:rsidP="00713CF0">
      <w:pPr>
        <w:pStyle w:val="Body"/>
      </w:pPr>
      <w:bookmarkStart w:id="202" w:name="_Hlk61945408"/>
      <w:r>
        <w:t xml:space="preserve">All unit costs as outlined in the </w:t>
      </w:r>
      <w:r w:rsidRPr="232E594B">
        <w:t>Service A</w:t>
      </w:r>
      <w:r>
        <w:t xml:space="preserve">greement for </w:t>
      </w:r>
      <w:r w:rsidRPr="232E594B">
        <w:t>Services P</w:t>
      </w:r>
      <w:r>
        <w:t xml:space="preserve">ackages remains the same with the changed approach to funding. Component breakdown per month of the </w:t>
      </w:r>
      <w:r w:rsidRPr="232E594B">
        <w:t>Service Package</w:t>
      </w:r>
      <w:r>
        <w:t xml:space="preserve"> as per funding table 1 below. Funding table 2 provides breakdown for additional funding provided to H2H Community Partners in FY2022-23 for the extension of support and head lease to H2H clients.</w:t>
      </w:r>
    </w:p>
    <w:p w14:paraId="3A4CE6F0" w14:textId="77777777" w:rsidR="00713CF0" w:rsidRDefault="00713CF0" w:rsidP="00713CF0">
      <w:pPr>
        <w:pStyle w:val="DHHStabletext"/>
        <w:spacing w:after="120" w:line="270" w:lineRule="atLeast"/>
        <w:jc w:val="both"/>
        <w:rPr>
          <w:rFonts w:cs="Arial"/>
        </w:rPr>
      </w:pPr>
    </w:p>
    <w:p w14:paraId="33444746" w14:textId="77777777" w:rsidR="00713CF0" w:rsidRPr="00FF2411" w:rsidRDefault="00713CF0" w:rsidP="00713CF0">
      <w:pPr>
        <w:pStyle w:val="Heading2"/>
      </w:pPr>
      <w:bookmarkStart w:id="203" w:name="_Toc121134134"/>
      <w:r w:rsidRPr="001B6AA7">
        <w:lastRenderedPageBreak/>
        <w:t>Funding Table 1 – Original Funding Model</w:t>
      </w:r>
      <w:bookmarkEnd w:id="203"/>
    </w:p>
    <w:tbl>
      <w:tblPr>
        <w:tblStyle w:val="TableGrid1"/>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279"/>
        <w:gridCol w:w="2639"/>
        <w:gridCol w:w="2639"/>
        <w:gridCol w:w="2637"/>
      </w:tblGrid>
      <w:tr w:rsidR="003421CB" w:rsidRPr="007E3E87" w14:paraId="52063E76" w14:textId="77777777" w:rsidTr="003421CB">
        <w:trPr>
          <w:cnfStyle w:val="100000000000" w:firstRow="1" w:lastRow="0" w:firstColumn="0" w:lastColumn="0" w:oddVBand="0" w:evenVBand="0" w:oddHBand="0" w:evenHBand="0" w:firstRowFirstColumn="0" w:firstRowLastColumn="0" w:lastRowFirstColumn="0" w:lastRowLastColumn="0"/>
          <w:tblHeader/>
        </w:trPr>
        <w:tc>
          <w:tcPr>
            <w:tcW w:w="2279" w:type="dxa"/>
            <w:vMerge w:val="restart"/>
            <w:shd w:val="clear" w:color="auto" w:fill="032833" w:themeFill="text1"/>
            <w:vAlign w:val="center"/>
          </w:tcPr>
          <w:p w14:paraId="5D6F2A36" w14:textId="77777777" w:rsidR="00713CF0" w:rsidRPr="003421CB" w:rsidRDefault="00713CF0" w:rsidP="00713CF0">
            <w:pPr>
              <w:pStyle w:val="Body"/>
              <w:rPr>
                <w:b/>
                <w:bCs/>
                <w:color w:val="FFFFFF" w:themeColor="background1"/>
              </w:rPr>
            </w:pPr>
            <w:r w:rsidRPr="003421CB">
              <w:rPr>
                <w:b/>
                <w:bCs/>
                <w:color w:val="FFFFFF" w:themeColor="background1"/>
              </w:rPr>
              <w:t>Service Component</w:t>
            </w:r>
          </w:p>
        </w:tc>
        <w:tc>
          <w:tcPr>
            <w:tcW w:w="7915" w:type="dxa"/>
            <w:gridSpan w:val="3"/>
            <w:shd w:val="clear" w:color="auto" w:fill="032833" w:themeFill="text1"/>
          </w:tcPr>
          <w:p w14:paraId="0CB33508" w14:textId="77777777" w:rsidR="00713CF0" w:rsidRPr="003421CB" w:rsidRDefault="00713CF0" w:rsidP="00713CF0">
            <w:pPr>
              <w:pStyle w:val="Body"/>
              <w:rPr>
                <w:b/>
                <w:bCs/>
                <w:color w:val="FFFFFF" w:themeColor="background1"/>
              </w:rPr>
            </w:pPr>
            <w:r w:rsidRPr="003421CB">
              <w:rPr>
                <w:b/>
                <w:bCs/>
                <w:color w:val="FFFFFF" w:themeColor="background1"/>
              </w:rPr>
              <w:t>Funding Table 1 - Original Funding (per Service Package per Month unless otherwise stated, excluding GST)</w:t>
            </w:r>
          </w:p>
        </w:tc>
      </w:tr>
      <w:tr w:rsidR="00A67D49" w:rsidRPr="007E3E87" w14:paraId="139EE1EB" w14:textId="77777777" w:rsidTr="003421CB">
        <w:tc>
          <w:tcPr>
            <w:tcW w:w="2279" w:type="dxa"/>
            <w:vMerge/>
            <w:shd w:val="clear" w:color="auto" w:fill="032833" w:themeFill="text1"/>
          </w:tcPr>
          <w:p w14:paraId="54970471" w14:textId="77777777" w:rsidR="00713CF0" w:rsidRPr="003421CB" w:rsidRDefault="00713CF0" w:rsidP="00713CF0">
            <w:pPr>
              <w:pStyle w:val="Body"/>
              <w:rPr>
                <w:b/>
                <w:bCs/>
                <w:color w:val="FFFFFF" w:themeColor="background1"/>
              </w:rPr>
            </w:pPr>
          </w:p>
        </w:tc>
        <w:tc>
          <w:tcPr>
            <w:tcW w:w="2639" w:type="dxa"/>
            <w:shd w:val="clear" w:color="auto" w:fill="032833" w:themeFill="text1"/>
            <w:vAlign w:val="center"/>
          </w:tcPr>
          <w:p w14:paraId="40923925" w14:textId="77777777" w:rsidR="00713CF0" w:rsidRPr="003421CB" w:rsidRDefault="00713CF0" w:rsidP="00713CF0">
            <w:pPr>
              <w:pStyle w:val="Body"/>
              <w:rPr>
                <w:b/>
                <w:bCs/>
                <w:color w:val="FFFFFF" w:themeColor="background1"/>
              </w:rPr>
            </w:pPr>
            <w:r w:rsidRPr="003421CB">
              <w:rPr>
                <w:b/>
                <w:bCs/>
                <w:color w:val="FFFFFF" w:themeColor="background1"/>
              </w:rPr>
              <w:t>Leased Dwellings and Owned Dwellings</w:t>
            </w:r>
          </w:p>
        </w:tc>
        <w:tc>
          <w:tcPr>
            <w:tcW w:w="2639" w:type="dxa"/>
            <w:shd w:val="clear" w:color="auto" w:fill="032833" w:themeFill="text1"/>
            <w:vAlign w:val="center"/>
          </w:tcPr>
          <w:p w14:paraId="44A70EF7" w14:textId="77777777" w:rsidR="00713CF0" w:rsidRPr="003421CB" w:rsidRDefault="00713CF0" w:rsidP="00713CF0">
            <w:pPr>
              <w:pStyle w:val="Body"/>
              <w:rPr>
                <w:b/>
                <w:bCs/>
                <w:color w:val="FFFFFF" w:themeColor="background1"/>
              </w:rPr>
            </w:pPr>
            <w:r w:rsidRPr="003421CB">
              <w:rPr>
                <w:b/>
                <w:bCs/>
                <w:color w:val="FFFFFF" w:themeColor="background1"/>
              </w:rPr>
              <w:t>General Lease Properties</w:t>
            </w:r>
          </w:p>
        </w:tc>
        <w:tc>
          <w:tcPr>
            <w:tcW w:w="2637" w:type="dxa"/>
            <w:shd w:val="clear" w:color="auto" w:fill="032833" w:themeFill="text1"/>
            <w:vAlign w:val="center"/>
          </w:tcPr>
          <w:p w14:paraId="57F6015B" w14:textId="77777777" w:rsidR="00713CF0" w:rsidRPr="003421CB" w:rsidRDefault="00713CF0" w:rsidP="00713CF0">
            <w:pPr>
              <w:pStyle w:val="Body"/>
              <w:rPr>
                <w:b/>
                <w:bCs/>
                <w:color w:val="FFFFFF" w:themeColor="background1"/>
                <w:szCs w:val="16"/>
              </w:rPr>
            </w:pPr>
            <w:r w:rsidRPr="003421CB">
              <w:rPr>
                <w:b/>
                <w:bCs/>
                <w:color w:val="FFFFFF" w:themeColor="background1"/>
                <w:szCs w:val="16"/>
              </w:rPr>
              <w:t>Public Housing</w:t>
            </w:r>
          </w:p>
        </w:tc>
      </w:tr>
      <w:tr w:rsidR="003421CB" w:rsidRPr="007E3E87" w14:paraId="72828DEC" w14:textId="77777777" w:rsidTr="003421CB">
        <w:tc>
          <w:tcPr>
            <w:tcW w:w="2279" w:type="dxa"/>
          </w:tcPr>
          <w:p w14:paraId="514DB063" w14:textId="77777777" w:rsidR="00713CF0" w:rsidRPr="000B6881" w:rsidRDefault="00713CF0" w:rsidP="00713CF0">
            <w:pPr>
              <w:pStyle w:val="Body"/>
            </w:pPr>
            <w:r w:rsidRPr="000B6881">
              <w:rPr>
                <w:rFonts w:eastAsia="Arial Nova Light"/>
                <w:color w:val="032833" w:themeColor="text1"/>
              </w:rPr>
              <w:t>Targeted and Tailored Support Services</w:t>
            </w:r>
          </w:p>
        </w:tc>
        <w:tc>
          <w:tcPr>
            <w:tcW w:w="2639" w:type="dxa"/>
          </w:tcPr>
          <w:p w14:paraId="2C74B2C3" w14:textId="77777777" w:rsidR="00713CF0" w:rsidRPr="000B6881" w:rsidRDefault="00713CF0" w:rsidP="00713CF0">
            <w:pPr>
              <w:pStyle w:val="Body"/>
              <w:rPr>
                <w:szCs w:val="16"/>
              </w:rPr>
            </w:pPr>
            <w:r w:rsidRPr="69828FCD">
              <w:rPr>
                <w:rFonts w:eastAsia="Arial Nova Light"/>
                <w:color w:val="032833" w:themeColor="text1"/>
                <w:szCs w:val="16"/>
              </w:rPr>
              <w:t>$1,233 (for Funded Support Services only</w:t>
            </w:r>
            <w:r w:rsidRPr="6227DD83">
              <w:rPr>
                <w:rFonts w:eastAsia="Arial Nova Light"/>
                <w:color w:val="032833" w:themeColor="text1"/>
                <w:szCs w:val="16"/>
              </w:rPr>
              <w:t>, inclusive of flexible brokerage</w:t>
            </w:r>
            <w:r w:rsidRPr="69828FCD">
              <w:rPr>
                <w:rFonts w:eastAsia="Arial Nova Light"/>
                <w:color w:val="032833" w:themeColor="text1"/>
                <w:szCs w:val="16"/>
              </w:rPr>
              <w:t>)</w:t>
            </w:r>
          </w:p>
        </w:tc>
        <w:tc>
          <w:tcPr>
            <w:tcW w:w="2639" w:type="dxa"/>
          </w:tcPr>
          <w:p w14:paraId="13FAB2CB" w14:textId="77777777" w:rsidR="00713CF0" w:rsidRPr="000B6881" w:rsidRDefault="00713CF0" w:rsidP="00713CF0">
            <w:pPr>
              <w:pStyle w:val="Body"/>
              <w:rPr>
                <w:szCs w:val="16"/>
              </w:rPr>
            </w:pPr>
            <w:r w:rsidRPr="310D029E">
              <w:rPr>
                <w:rFonts w:eastAsia="Arial Nova Light"/>
                <w:color w:val="032833" w:themeColor="text1"/>
                <w:szCs w:val="16"/>
              </w:rPr>
              <w:t>$1,233 (for Funded Support Services only, inclusive of flexible brokerage)</w:t>
            </w:r>
          </w:p>
        </w:tc>
        <w:tc>
          <w:tcPr>
            <w:tcW w:w="2637" w:type="dxa"/>
          </w:tcPr>
          <w:p w14:paraId="13A9C1F5" w14:textId="77777777" w:rsidR="00713CF0" w:rsidRPr="00E53EFC" w:rsidRDefault="00713CF0" w:rsidP="00713CF0">
            <w:pPr>
              <w:pStyle w:val="Body"/>
              <w:rPr>
                <w:rFonts w:eastAsia="Arial Nova Light" w:cs="Arial"/>
                <w:color w:val="032833" w:themeColor="text1"/>
                <w:szCs w:val="16"/>
              </w:rPr>
            </w:pPr>
            <w:r w:rsidRPr="00E53EFC">
              <w:rPr>
                <w:rFonts w:eastAsia="Arial Nova Light" w:cs="Arial"/>
                <w:color w:val="032833" w:themeColor="text1"/>
                <w:szCs w:val="16"/>
              </w:rPr>
              <w:t>$1,233 (for Funded Support Services only</w:t>
            </w:r>
            <w:r w:rsidRPr="310D029E">
              <w:rPr>
                <w:rFonts w:eastAsia="Arial Nova Light"/>
                <w:color w:val="032833" w:themeColor="text1"/>
                <w:szCs w:val="16"/>
              </w:rPr>
              <w:t>, inclusive of flexible brokerage</w:t>
            </w:r>
            <w:r w:rsidRPr="00E53EFC">
              <w:rPr>
                <w:rFonts w:eastAsia="Arial Nova Light" w:cs="Arial"/>
                <w:color w:val="032833" w:themeColor="text1"/>
                <w:szCs w:val="16"/>
              </w:rPr>
              <w:t>)</w:t>
            </w:r>
          </w:p>
        </w:tc>
      </w:tr>
      <w:tr w:rsidR="003421CB" w:rsidRPr="007E3E87" w14:paraId="5EA62FD4" w14:textId="77777777" w:rsidTr="003421CB">
        <w:tc>
          <w:tcPr>
            <w:tcW w:w="2279" w:type="dxa"/>
          </w:tcPr>
          <w:p w14:paraId="158B803C" w14:textId="77777777" w:rsidR="00713CF0" w:rsidRPr="000B6881" w:rsidRDefault="00713CF0" w:rsidP="00713CF0">
            <w:pPr>
              <w:pStyle w:val="Body"/>
            </w:pPr>
            <w:r w:rsidRPr="000B6881">
              <w:rPr>
                <w:rFonts w:eastAsia="Arial Nova Light"/>
                <w:color w:val="032833" w:themeColor="text1"/>
              </w:rPr>
              <w:t>Intensive Support Services</w:t>
            </w:r>
          </w:p>
        </w:tc>
        <w:tc>
          <w:tcPr>
            <w:tcW w:w="2639" w:type="dxa"/>
          </w:tcPr>
          <w:p w14:paraId="23C34E0C" w14:textId="77777777" w:rsidR="00713CF0" w:rsidRPr="000B6881" w:rsidRDefault="00713CF0" w:rsidP="00713CF0">
            <w:pPr>
              <w:pStyle w:val="Body"/>
              <w:rPr>
                <w:szCs w:val="16"/>
              </w:rPr>
            </w:pPr>
            <w:r w:rsidRPr="6227DD83">
              <w:rPr>
                <w:rFonts w:eastAsia="Arial Nova Light"/>
                <w:color w:val="032833" w:themeColor="text1"/>
                <w:szCs w:val="16"/>
              </w:rPr>
              <w:t>$2,016 (for Funded Support Services only, inclusive of flexible brokerage)</w:t>
            </w:r>
          </w:p>
        </w:tc>
        <w:tc>
          <w:tcPr>
            <w:tcW w:w="2639" w:type="dxa"/>
          </w:tcPr>
          <w:p w14:paraId="1695EA71" w14:textId="77777777" w:rsidR="00713CF0" w:rsidRPr="000B6881" w:rsidRDefault="00713CF0" w:rsidP="00713CF0">
            <w:pPr>
              <w:pStyle w:val="Body"/>
              <w:rPr>
                <w:szCs w:val="16"/>
              </w:rPr>
            </w:pPr>
            <w:r w:rsidRPr="310D029E">
              <w:rPr>
                <w:rFonts w:eastAsia="Arial Nova Light"/>
                <w:color w:val="032833" w:themeColor="text1"/>
                <w:szCs w:val="16"/>
              </w:rPr>
              <w:t>$2,016 (for Funded Support Services only, inclusive of flexible brokerage)</w:t>
            </w:r>
          </w:p>
        </w:tc>
        <w:tc>
          <w:tcPr>
            <w:tcW w:w="2637" w:type="dxa"/>
          </w:tcPr>
          <w:p w14:paraId="104FC0DA" w14:textId="77777777" w:rsidR="00713CF0" w:rsidRPr="00E53EFC" w:rsidRDefault="00713CF0" w:rsidP="00713CF0">
            <w:pPr>
              <w:pStyle w:val="Body"/>
              <w:rPr>
                <w:rFonts w:eastAsia="Arial Nova Light" w:cs="Arial"/>
                <w:color w:val="032833" w:themeColor="text1"/>
                <w:szCs w:val="16"/>
              </w:rPr>
            </w:pPr>
            <w:r w:rsidRPr="00E53EFC">
              <w:rPr>
                <w:rFonts w:eastAsia="Arial Nova Light" w:cs="Arial"/>
                <w:color w:val="032833" w:themeColor="text1"/>
                <w:szCs w:val="16"/>
              </w:rPr>
              <w:t>$2,016 (for Funded Support Services only</w:t>
            </w:r>
            <w:r w:rsidRPr="310D029E">
              <w:rPr>
                <w:rFonts w:eastAsia="Arial Nova Light"/>
                <w:color w:val="032833" w:themeColor="text1"/>
                <w:szCs w:val="16"/>
              </w:rPr>
              <w:t>, inclusive of flexible brokerage</w:t>
            </w:r>
            <w:r w:rsidRPr="00E53EFC">
              <w:rPr>
                <w:rFonts w:eastAsia="Arial Nova Light" w:cs="Arial"/>
                <w:color w:val="032833" w:themeColor="text1"/>
                <w:szCs w:val="16"/>
              </w:rPr>
              <w:t>)</w:t>
            </w:r>
          </w:p>
        </w:tc>
      </w:tr>
      <w:tr w:rsidR="003421CB" w:rsidRPr="007E3E87" w14:paraId="681054C6" w14:textId="77777777" w:rsidTr="003421CB">
        <w:tc>
          <w:tcPr>
            <w:tcW w:w="2279" w:type="dxa"/>
          </w:tcPr>
          <w:p w14:paraId="2885C08B" w14:textId="77777777" w:rsidR="00713CF0" w:rsidRPr="000B6881" w:rsidRDefault="00713CF0" w:rsidP="00713CF0">
            <w:pPr>
              <w:pStyle w:val="Body"/>
            </w:pPr>
            <w:r w:rsidRPr="000B6881">
              <w:t>Asset Management Services</w:t>
            </w:r>
          </w:p>
        </w:tc>
        <w:tc>
          <w:tcPr>
            <w:tcW w:w="2639" w:type="dxa"/>
          </w:tcPr>
          <w:p w14:paraId="2E3856E2" w14:textId="77777777" w:rsidR="00713CF0" w:rsidRPr="000B6881" w:rsidRDefault="00713CF0" w:rsidP="00713CF0">
            <w:pPr>
              <w:pStyle w:val="Body"/>
            </w:pPr>
            <w:r w:rsidRPr="000B6881">
              <w:t>$250</w:t>
            </w:r>
          </w:p>
        </w:tc>
        <w:tc>
          <w:tcPr>
            <w:tcW w:w="2639" w:type="dxa"/>
          </w:tcPr>
          <w:p w14:paraId="4269F365" w14:textId="77777777" w:rsidR="00713CF0" w:rsidRPr="000B6881" w:rsidRDefault="00713CF0" w:rsidP="00713CF0">
            <w:pPr>
              <w:pStyle w:val="Body"/>
            </w:pPr>
            <w:r w:rsidRPr="000B6881">
              <w:t>$0</w:t>
            </w:r>
            <w:r w:rsidRPr="000B6881">
              <w:rPr>
                <w:vertAlign w:val="superscript"/>
              </w:rPr>
              <w:t>1</w:t>
            </w:r>
          </w:p>
          <w:p w14:paraId="75AB349E" w14:textId="77777777" w:rsidR="00713CF0" w:rsidRPr="000B6881" w:rsidRDefault="00713CF0" w:rsidP="00713CF0">
            <w:pPr>
              <w:pStyle w:val="Body"/>
            </w:pPr>
            <w:r w:rsidRPr="000B6881">
              <w:rPr>
                <w:i/>
                <w:vertAlign w:val="superscript"/>
              </w:rPr>
              <w:t>1</w:t>
            </w:r>
            <w:r w:rsidRPr="002A18D4">
              <w:rPr>
                <w:i/>
              </w:rPr>
              <w:t xml:space="preserve"> H2H Community Partners </w:t>
            </w:r>
            <w:r w:rsidRPr="000B6881">
              <w:rPr>
                <w:i/>
              </w:rPr>
              <w:t xml:space="preserve">will retain the Maximum Rent paid by </w:t>
            </w:r>
            <w:r>
              <w:rPr>
                <w:i/>
              </w:rPr>
              <w:t>Client</w:t>
            </w:r>
            <w:r w:rsidRPr="000B6881">
              <w:rPr>
                <w:i/>
              </w:rPr>
              <w:t>s to fund Asset Management Services</w:t>
            </w:r>
            <w:r>
              <w:rPr>
                <w:i/>
              </w:rPr>
              <w:t xml:space="preserve"> in respect of General Lease Properties</w:t>
            </w:r>
          </w:p>
        </w:tc>
        <w:tc>
          <w:tcPr>
            <w:tcW w:w="2637" w:type="dxa"/>
          </w:tcPr>
          <w:p w14:paraId="440E83D0" w14:textId="77777777" w:rsidR="00713CF0" w:rsidRPr="00E53EFC" w:rsidRDefault="00713CF0" w:rsidP="00713CF0">
            <w:pPr>
              <w:pStyle w:val="Body"/>
              <w:rPr>
                <w:szCs w:val="16"/>
              </w:rPr>
            </w:pPr>
            <w:r w:rsidRPr="00E53EFC">
              <w:rPr>
                <w:szCs w:val="16"/>
              </w:rPr>
              <w:t>$0</w:t>
            </w:r>
            <w:r w:rsidRPr="00E53EFC">
              <w:rPr>
                <w:szCs w:val="16"/>
                <w:vertAlign w:val="superscript"/>
              </w:rPr>
              <w:t>3</w:t>
            </w:r>
          </w:p>
          <w:p w14:paraId="7BE3AA7C" w14:textId="77777777" w:rsidR="00713CF0" w:rsidRPr="00E53EFC" w:rsidRDefault="00713CF0" w:rsidP="00713CF0">
            <w:pPr>
              <w:pStyle w:val="Body"/>
              <w:rPr>
                <w:szCs w:val="16"/>
              </w:rPr>
            </w:pPr>
            <w:r w:rsidRPr="00E53EFC">
              <w:rPr>
                <w:i/>
                <w:iCs/>
                <w:szCs w:val="16"/>
                <w:vertAlign w:val="superscript"/>
              </w:rPr>
              <w:t>3</w:t>
            </w:r>
            <w:r w:rsidRPr="00E53EFC">
              <w:rPr>
                <w:i/>
                <w:iCs/>
                <w:szCs w:val="16"/>
              </w:rPr>
              <w:t xml:space="preserve">Homes Victoria will perform Asset Management Services in respect of </w:t>
            </w:r>
            <w:r>
              <w:rPr>
                <w:i/>
                <w:iCs/>
                <w:szCs w:val="16"/>
              </w:rPr>
              <w:t>Public Housing</w:t>
            </w:r>
          </w:p>
        </w:tc>
      </w:tr>
      <w:tr w:rsidR="003421CB" w:rsidRPr="007E3E87" w14:paraId="23AF4E37" w14:textId="77777777" w:rsidTr="003421CB">
        <w:tc>
          <w:tcPr>
            <w:tcW w:w="2279" w:type="dxa"/>
          </w:tcPr>
          <w:p w14:paraId="55912857" w14:textId="77777777" w:rsidR="00713CF0" w:rsidRPr="000B6881" w:rsidRDefault="00713CF0" w:rsidP="00713CF0">
            <w:pPr>
              <w:pStyle w:val="Body"/>
            </w:pPr>
            <w:r w:rsidRPr="000B6881">
              <w:t>Tenancy Management Services</w:t>
            </w:r>
          </w:p>
        </w:tc>
        <w:tc>
          <w:tcPr>
            <w:tcW w:w="2639" w:type="dxa"/>
          </w:tcPr>
          <w:p w14:paraId="3CC56779" w14:textId="77777777" w:rsidR="00713CF0" w:rsidRPr="000B6881" w:rsidRDefault="00713CF0" w:rsidP="00713CF0">
            <w:pPr>
              <w:pStyle w:val="Body"/>
            </w:pPr>
            <w:r w:rsidRPr="000B6881">
              <w:t>$220</w:t>
            </w:r>
          </w:p>
        </w:tc>
        <w:tc>
          <w:tcPr>
            <w:tcW w:w="2639" w:type="dxa"/>
          </w:tcPr>
          <w:p w14:paraId="7C1F6CF0" w14:textId="77777777" w:rsidR="00713CF0" w:rsidRPr="00B6787F" w:rsidRDefault="00713CF0" w:rsidP="00713CF0">
            <w:pPr>
              <w:pStyle w:val="Body"/>
            </w:pPr>
            <w:r w:rsidRPr="00B6787F">
              <w:t>$220</w:t>
            </w:r>
          </w:p>
        </w:tc>
        <w:tc>
          <w:tcPr>
            <w:tcW w:w="2637" w:type="dxa"/>
          </w:tcPr>
          <w:p w14:paraId="5CA3272D" w14:textId="77777777" w:rsidR="00713CF0" w:rsidRPr="00E53EFC" w:rsidRDefault="00713CF0" w:rsidP="00713CF0">
            <w:pPr>
              <w:pStyle w:val="Body"/>
              <w:rPr>
                <w:szCs w:val="16"/>
                <w:vertAlign w:val="superscript"/>
              </w:rPr>
            </w:pPr>
            <w:r w:rsidRPr="00E53EFC">
              <w:rPr>
                <w:szCs w:val="16"/>
              </w:rPr>
              <w:t>$0</w:t>
            </w:r>
            <w:r w:rsidRPr="00E53EFC">
              <w:rPr>
                <w:szCs w:val="16"/>
                <w:vertAlign w:val="superscript"/>
              </w:rPr>
              <w:t>4</w:t>
            </w:r>
          </w:p>
          <w:p w14:paraId="7A22CA14" w14:textId="77777777" w:rsidR="00713CF0" w:rsidRPr="00E53EFC" w:rsidRDefault="00713CF0" w:rsidP="00713CF0">
            <w:pPr>
              <w:pStyle w:val="Body"/>
              <w:rPr>
                <w:szCs w:val="16"/>
              </w:rPr>
            </w:pPr>
            <w:r w:rsidRPr="00E53EFC">
              <w:rPr>
                <w:szCs w:val="16"/>
                <w:vertAlign w:val="superscript"/>
              </w:rPr>
              <w:t>4</w:t>
            </w:r>
            <w:r w:rsidRPr="00E53EFC">
              <w:rPr>
                <w:i/>
                <w:iCs/>
                <w:szCs w:val="16"/>
              </w:rPr>
              <w:t xml:space="preserve">Homes Victoria will perform Tenancy Management Services in respect of </w:t>
            </w:r>
            <w:r>
              <w:rPr>
                <w:i/>
                <w:iCs/>
                <w:szCs w:val="16"/>
              </w:rPr>
              <w:t>Public Housing</w:t>
            </w:r>
            <w:r w:rsidRPr="00E53EFC">
              <w:rPr>
                <w:szCs w:val="16"/>
              </w:rPr>
              <w:t xml:space="preserve"> </w:t>
            </w:r>
          </w:p>
        </w:tc>
      </w:tr>
    </w:tbl>
    <w:p w14:paraId="2DFAD0F9" w14:textId="77777777" w:rsidR="00713CF0" w:rsidRDefault="00713CF0" w:rsidP="00713CF0">
      <w:pPr>
        <w:rPr>
          <w:rFonts w:ascii="Arial" w:eastAsia="Times" w:hAnsi="Arial"/>
        </w:rPr>
      </w:pPr>
    </w:p>
    <w:p w14:paraId="0A2FB5A7" w14:textId="77777777" w:rsidR="00713CF0" w:rsidRDefault="00713CF0" w:rsidP="00A67D49">
      <w:pPr>
        <w:pStyle w:val="Body"/>
      </w:pPr>
      <w:r w:rsidRPr="2DF612D0">
        <w:t>For Owned Dwellings and Leased Dwellings, H2H Community Partners will be funded $250 (excluding GST) per Service Package delivered per month for Asset Management Services. Any Asset Management Services costs incurred above the total amount of funding received in respect of Asset Management Services (Asset Management Services Additional Costs) for Owned Dwellings and Leased Dwellings will be funded by the department provided the Service Provider can demonstrate that:</w:t>
      </w:r>
    </w:p>
    <w:p w14:paraId="63588F4C" w14:textId="77777777" w:rsidR="00713CF0" w:rsidRDefault="00713CF0" w:rsidP="00B037CC">
      <w:pPr>
        <w:pStyle w:val="Body"/>
        <w:numPr>
          <w:ilvl w:val="0"/>
          <w:numId w:val="31"/>
        </w:numPr>
        <w:rPr>
          <w:rFonts w:eastAsia="Cambria" w:cs="Cambria"/>
        </w:rPr>
      </w:pPr>
      <w:r w:rsidRPr="2DF612D0">
        <w:t xml:space="preserve">All funding in respect of Asset Management Services has been spent on bona-fide costs reasonably incurred in relation to Asset Management Services; and </w:t>
      </w:r>
    </w:p>
    <w:p w14:paraId="577E4953" w14:textId="1295C81C" w:rsidR="00713CF0" w:rsidRDefault="00713CF0" w:rsidP="00B037CC">
      <w:pPr>
        <w:pStyle w:val="Body"/>
        <w:numPr>
          <w:ilvl w:val="0"/>
          <w:numId w:val="31"/>
        </w:numPr>
      </w:pPr>
      <w:r w:rsidRPr="2DF612D0">
        <w:t>Costs relating to Asset Management Services have been reasonably mitigated.</w:t>
      </w:r>
    </w:p>
    <w:p w14:paraId="172A9D3C" w14:textId="58DED013" w:rsidR="003421CB" w:rsidRDefault="003421CB" w:rsidP="003421CB">
      <w:pPr>
        <w:pStyle w:val="Body"/>
      </w:pPr>
    </w:p>
    <w:p w14:paraId="76E15B77" w14:textId="77777777" w:rsidR="003421CB" w:rsidRDefault="003421CB" w:rsidP="003421CB">
      <w:pPr>
        <w:pStyle w:val="Body"/>
      </w:pPr>
    </w:p>
    <w:p w14:paraId="3B3F092A" w14:textId="77777777" w:rsidR="00713CF0" w:rsidRPr="000E79CF" w:rsidRDefault="00713CF0" w:rsidP="00A67D49">
      <w:pPr>
        <w:pStyle w:val="Heading2"/>
      </w:pPr>
      <w:bookmarkStart w:id="204" w:name="_Toc121134135"/>
      <w:r w:rsidRPr="000E79CF">
        <w:lastRenderedPageBreak/>
        <w:t xml:space="preserve">Funding Table </w:t>
      </w:r>
      <w:r>
        <w:t>2</w:t>
      </w:r>
      <w:r w:rsidRPr="000E79CF">
        <w:t xml:space="preserve"> – </w:t>
      </w:r>
      <w:r>
        <w:t>Additional FY2022-23</w:t>
      </w:r>
      <w:r w:rsidRPr="000E79CF">
        <w:t xml:space="preserve"> Funding Model</w:t>
      </w:r>
      <w:bookmarkEnd w:id="204"/>
    </w:p>
    <w:p w14:paraId="7C4F7016" w14:textId="77777777" w:rsidR="00713CF0" w:rsidRDefault="00713CF0" w:rsidP="00713CF0">
      <w:pPr>
        <w:rPr>
          <w:rFonts w:ascii="Arial" w:eastAsia="Times" w:hAnsi="Arial"/>
        </w:rPr>
      </w:pPr>
    </w:p>
    <w:tbl>
      <w:tblPr>
        <w:tblStyle w:val="TableGrid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666"/>
        <w:gridCol w:w="2679"/>
        <w:gridCol w:w="2936"/>
        <w:gridCol w:w="2913"/>
      </w:tblGrid>
      <w:tr w:rsidR="00AD1239" w:rsidRPr="007E3E87" w14:paraId="7517A60C" w14:textId="77777777" w:rsidTr="003421CB">
        <w:trPr>
          <w:cnfStyle w:val="100000000000" w:firstRow="1" w:lastRow="0" w:firstColumn="0" w:lastColumn="0" w:oddVBand="0" w:evenVBand="0" w:oddHBand="0" w:evenHBand="0" w:firstRowFirstColumn="0" w:firstRowLastColumn="0" w:lastRowFirstColumn="0" w:lastRowLastColumn="0"/>
          <w:tblHeader/>
        </w:trPr>
        <w:tc>
          <w:tcPr>
            <w:tcW w:w="817" w:type="pct"/>
            <w:vMerge w:val="restart"/>
            <w:shd w:val="clear" w:color="auto" w:fill="032833" w:themeFill="text1"/>
            <w:vAlign w:val="center"/>
          </w:tcPr>
          <w:p w14:paraId="0E8C0869" w14:textId="77777777" w:rsidR="00713CF0" w:rsidRPr="003421CB" w:rsidRDefault="00713CF0" w:rsidP="003421CB">
            <w:pPr>
              <w:pStyle w:val="Body"/>
              <w:rPr>
                <w:b/>
                <w:bCs/>
                <w:highlight w:val="black"/>
              </w:rPr>
            </w:pPr>
            <w:r w:rsidRPr="003421CB">
              <w:rPr>
                <w:b/>
                <w:bCs/>
                <w:highlight w:val="black"/>
              </w:rPr>
              <w:t>Service Component</w:t>
            </w:r>
          </w:p>
        </w:tc>
        <w:tc>
          <w:tcPr>
            <w:tcW w:w="4183" w:type="pct"/>
            <w:gridSpan w:val="3"/>
            <w:shd w:val="clear" w:color="auto" w:fill="032833" w:themeFill="text1"/>
          </w:tcPr>
          <w:p w14:paraId="2D2B66E8" w14:textId="77777777" w:rsidR="00713CF0" w:rsidRPr="003421CB" w:rsidRDefault="00713CF0" w:rsidP="003421CB">
            <w:pPr>
              <w:pStyle w:val="Body"/>
              <w:rPr>
                <w:b/>
                <w:bCs/>
                <w:highlight w:val="black"/>
              </w:rPr>
            </w:pPr>
            <w:r w:rsidRPr="003421CB">
              <w:rPr>
                <w:b/>
                <w:bCs/>
                <w:highlight w:val="black"/>
              </w:rPr>
              <w:t>Funding table 2 - Additional Funding in FY22-23 (per Service Package per Month unless otherwise stated, excluding GST)</w:t>
            </w:r>
          </w:p>
        </w:tc>
      </w:tr>
      <w:tr w:rsidR="003421CB" w:rsidRPr="007E3E87" w14:paraId="1DB0367D" w14:textId="77777777" w:rsidTr="003421CB">
        <w:tc>
          <w:tcPr>
            <w:tcW w:w="817" w:type="pct"/>
            <w:vMerge/>
            <w:shd w:val="clear" w:color="auto" w:fill="032833" w:themeFill="text1"/>
          </w:tcPr>
          <w:p w14:paraId="274A1D69" w14:textId="77777777" w:rsidR="00713CF0" w:rsidRPr="003421CB" w:rsidRDefault="00713CF0" w:rsidP="003421CB">
            <w:pPr>
              <w:pStyle w:val="Body"/>
              <w:rPr>
                <w:b/>
                <w:bCs/>
                <w:highlight w:val="black"/>
              </w:rPr>
            </w:pPr>
          </w:p>
        </w:tc>
        <w:tc>
          <w:tcPr>
            <w:tcW w:w="1314" w:type="pct"/>
            <w:shd w:val="clear" w:color="auto" w:fill="032833" w:themeFill="text1"/>
            <w:vAlign w:val="center"/>
          </w:tcPr>
          <w:p w14:paraId="61571325" w14:textId="77777777" w:rsidR="00713CF0" w:rsidRPr="003421CB" w:rsidRDefault="00713CF0" w:rsidP="003421CB">
            <w:pPr>
              <w:pStyle w:val="Body"/>
              <w:rPr>
                <w:b/>
                <w:bCs/>
                <w:highlight w:val="black"/>
              </w:rPr>
            </w:pPr>
            <w:r w:rsidRPr="003421CB">
              <w:rPr>
                <w:b/>
                <w:bCs/>
                <w:highlight w:val="black"/>
              </w:rPr>
              <w:t>Leased Dwellings and Owned Dwellings</w:t>
            </w:r>
          </w:p>
        </w:tc>
        <w:tc>
          <w:tcPr>
            <w:tcW w:w="1440" w:type="pct"/>
            <w:shd w:val="clear" w:color="auto" w:fill="032833" w:themeFill="text1"/>
            <w:vAlign w:val="center"/>
          </w:tcPr>
          <w:p w14:paraId="64864FA6" w14:textId="77777777" w:rsidR="00713CF0" w:rsidRPr="003421CB" w:rsidRDefault="00713CF0" w:rsidP="003421CB">
            <w:pPr>
              <w:pStyle w:val="Body"/>
              <w:rPr>
                <w:b/>
                <w:bCs/>
                <w:highlight w:val="black"/>
              </w:rPr>
            </w:pPr>
            <w:r w:rsidRPr="003421CB">
              <w:rPr>
                <w:b/>
                <w:bCs/>
                <w:highlight w:val="black"/>
              </w:rPr>
              <w:t>General Lease Properties</w:t>
            </w:r>
          </w:p>
        </w:tc>
        <w:tc>
          <w:tcPr>
            <w:tcW w:w="1429" w:type="pct"/>
            <w:shd w:val="clear" w:color="auto" w:fill="032833" w:themeFill="text1"/>
            <w:vAlign w:val="center"/>
          </w:tcPr>
          <w:p w14:paraId="0FAA9203" w14:textId="77777777" w:rsidR="00713CF0" w:rsidRPr="003421CB" w:rsidRDefault="00713CF0" w:rsidP="003421CB">
            <w:pPr>
              <w:pStyle w:val="Body"/>
              <w:rPr>
                <w:b/>
                <w:bCs/>
                <w:highlight w:val="black"/>
              </w:rPr>
            </w:pPr>
            <w:r w:rsidRPr="003421CB">
              <w:rPr>
                <w:b/>
                <w:bCs/>
                <w:highlight w:val="black"/>
              </w:rPr>
              <w:t>Public Housing</w:t>
            </w:r>
          </w:p>
        </w:tc>
      </w:tr>
      <w:tr w:rsidR="00713CF0" w:rsidRPr="007E3E87" w14:paraId="68400CD9" w14:textId="77777777" w:rsidTr="003421CB">
        <w:tc>
          <w:tcPr>
            <w:tcW w:w="817" w:type="pct"/>
          </w:tcPr>
          <w:p w14:paraId="0C271222" w14:textId="77777777" w:rsidR="00713CF0" w:rsidRPr="000B6881" w:rsidRDefault="00713CF0" w:rsidP="00A67D49">
            <w:pPr>
              <w:pStyle w:val="Body"/>
            </w:pPr>
            <w:r w:rsidRPr="000B6881">
              <w:rPr>
                <w:rFonts w:eastAsia="Arial Nova Light"/>
                <w:color w:val="032833" w:themeColor="text1"/>
              </w:rPr>
              <w:t>Targeted and Tailored Support Services</w:t>
            </w:r>
          </w:p>
        </w:tc>
        <w:tc>
          <w:tcPr>
            <w:tcW w:w="1314" w:type="pct"/>
          </w:tcPr>
          <w:p w14:paraId="51EF6915" w14:textId="77777777" w:rsidR="00713CF0" w:rsidRPr="000B6881" w:rsidRDefault="00713CF0" w:rsidP="00A67D49">
            <w:pPr>
              <w:pStyle w:val="Body"/>
              <w:rPr>
                <w:szCs w:val="16"/>
              </w:rPr>
            </w:pPr>
            <w:r w:rsidRPr="69828FCD">
              <w:rPr>
                <w:rFonts w:eastAsia="Arial Nova Light"/>
                <w:color w:val="032833" w:themeColor="text1"/>
                <w:szCs w:val="16"/>
              </w:rPr>
              <w:t>$1,233 (for Funded Support Services only</w:t>
            </w:r>
            <w:r w:rsidRPr="6227DD83">
              <w:rPr>
                <w:rFonts w:eastAsia="Arial Nova Light"/>
                <w:color w:val="032833" w:themeColor="text1"/>
                <w:szCs w:val="16"/>
              </w:rPr>
              <w:t>, inclusive of flexible brokerage</w:t>
            </w:r>
            <w:r w:rsidRPr="69828FCD">
              <w:rPr>
                <w:rFonts w:eastAsia="Arial Nova Light"/>
                <w:color w:val="032833" w:themeColor="text1"/>
                <w:szCs w:val="16"/>
              </w:rPr>
              <w:t>)</w:t>
            </w:r>
            <w:r>
              <w:rPr>
                <w:rFonts w:eastAsia="Arial Nova Light"/>
                <w:color w:val="032833" w:themeColor="text1"/>
                <w:szCs w:val="16"/>
              </w:rPr>
              <w:t xml:space="preserve"> from current package end date through to 30 June 2023</w:t>
            </w:r>
          </w:p>
        </w:tc>
        <w:tc>
          <w:tcPr>
            <w:tcW w:w="1440" w:type="pct"/>
          </w:tcPr>
          <w:p w14:paraId="689F3673" w14:textId="77777777" w:rsidR="00713CF0" w:rsidRPr="000B6881" w:rsidRDefault="00713CF0" w:rsidP="00A67D49">
            <w:pPr>
              <w:pStyle w:val="Body"/>
              <w:rPr>
                <w:szCs w:val="16"/>
              </w:rPr>
            </w:pPr>
            <w:r w:rsidRPr="310D029E">
              <w:rPr>
                <w:rFonts w:eastAsia="Arial Nova Light"/>
                <w:color w:val="032833" w:themeColor="text1"/>
                <w:szCs w:val="16"/>
              </w:rPr>
              <w:t>$1,233 (for Funded Support Services only, inclusive of flexible brokerage)</w:t>
            </w:r>
            <w:r>
              <w:rPr>
                <w:rFonts w:eastAsia="Arial Nova Light"/>
                <w:color w:val="032833" w:themeColor="text1"/>
                <w:szCs w:val="16"/>
              </w:rPr>
              <w:t xml:space="preserve"> from current package end date through to 30 June 2023</w:t>
            </w:r>
          </w:p>
        </w:tc>
        <w:tc>
          <w:tcPr>
            <w:tcW w:w="1429" w:type="pct"/>
          </w:tcPr>
          <w:p w14:paraId="3EF8C23A" w14:textId="77777777" w:rsidR="00713CF0" w:rsidRPr="00E53EFC" w:rsidRDefault="00713CF0" w:rsidP="00A67D49">
            <w:pPr>
              <w:pStyle w:val="Body"/>
              <w:rPr>
                <w:rFonts w:eastAsia="Arial Nova Light" w:cs="Arial"/>
                <w:color w:val="032833" w:themeColor="text1"/>
                <w:szCs w:val="16"/>
              </w:rPr>
            </w:pPr>
            <w:r w:rsidRPr="00E53EFC">
              <w:rPr>
                <w:rFonts w:eastAsia="Arial Nova Light" w:cs="Arial"/>
                <w:color w:val="032833" w:themeColor="text1"/>
                <w:szCs w:val="16"/>
              </w:rPr>
              <w:t>$1,233 (for Funded Support Services only</w:t>
            </w:r>
            <w:r w:rsidRPr="310D029E">
              <w:rPr>
                <w:rFonts w:eastAsia="Arial Nova Light"/>
                <w:color w:val="032833" w:themeColor="text1"/>
                <w:szCs w:val="16"/>
              </w:rPr>
              <w:t>, inclusive of flexible brokerage</w:t>
            </w:r>
            <w:r w:rsidRPr="00E53EFC">
              <w:rPr>
                <w:rFonts w:eastAsia="Arial Nova Light" w:cs="Arial"/>
                <w:color w:val="032833" w:themeColor="text1"/>
                <w:szCs w:val="16"/>
              </w:rPr>
              <w:t>)</w:t>
            </w:r>
            <w:r>
              <w:rPr>
                <w:rFonts w:eastAsia="Arial Nova Light" w:cs="Arial"/>
                <w:color w:val="032833" w:themeColor="text1"/>
                <w:szCs w:val="16"/>
              </w:rPr>
              <w:t xml:space="preserve"> </w:t>
            </w:r>
            <w:r>
              <w:rPr>
                <w:rFonts w:eastAsia="Arial Nova Light"/>
                <w:color w:val="032833" w:themeColor="text1"/>
                <w:szCs w:val="16"/>
              </w:rPr>
              <w:t>from current package end date through to 30 June 2023</w:t>
            </w:r>
          </w:p>
        </w:tc>
      </w:tr>
      <w:tr w:rsidR="00713CF0" w:rsidRPr="007E3E87" w14:paraId="4C37BAAF" w14:textId="77777777" w:rsidTr="003421CB">
        <w:tc>
          <w:tcPr>
            <w:tcW w:w="817" w:type="pct"/>
          </w:tcPr>
          <w:p w14:paraId="7C39E29B" w14:textId="77777777" w:rsidR="00713CF0" w:rsidRPr="000B6881" w:rsidRDefault="00713CF0" w:rsidP="00A67D49">
            <w:pPr>
              <w:pStyle w:val="Body"/>
            </w:pPr>
            <w:r w:rsidRPr="000B6881">
              <w:rPr>
                <w:rFonts w:eastAsia="Arial Nova Light"/>
                <w:color w:val="032833" w:themeColor="text1"/>
              </w:rPr>
              <w:t>Intensive Support Services</w:t>
            </w:r>
          </w:p>
        </w:tc>
        <w:tc>
          <w:tcPr>
            <w:tcW w:w="1314" w:type="pct"/>
          </w:tcPr>
          <w:p w14:paraId="53B7453A" w14:textId="77777777" w:rsidR="00713CF0" w:rsidRPr="000B6881" w:rsidRDefault="00713CF0" w:rsidP="00A67D49">
            <w:pPr>
              <w:pStyle w:val="Body"/>
              <w:rPr>
                <w:szCs w:val="16"/>
              </w:rPr>
            </w:pPr>
            <w:r w:rsidRPr="6227DD83">
              <w:rPr>
                <w:rFonts w:eastAsia="Arial Nova Light"/>
                <w:color w:val="032833" w:themeColor="text1"/>
                <w:szCs w:val="16"/>
              </w:rPr>
              <w:t>$2,016 (for Funded Support Services only, inclusive of flexible brokerage)</w:t>
            </w:r>
            <w:r>
              <w:rPr>
                <w:rFonts w:eastAsia="Arial Nova Light"/>
                <w:color w:val="032833" w:themeColor="text1"/>
                <w:szCs w:val="16"/>
              </w:rPr>
              <w:t xml:space="preserve"> from current package end date through to 30 June 2023</w:t>
            </w:r>
          </w:p>
        </w:tc>
        <w:tc>
          <w:tcPr>
            <w:tcW w:w="1440" w:type="pct"/>
          </w:tcPr>
          <w:p w14:paraId="38E791B8" w14:textId="77777777" w:rsidR="00713CF0" w:rsidRPr="000B6881" w:rsidRDefault="00713CF0" w:rsidP="00A67D49">
            <w:pPr>
              <w:pStyle w:val="Body"/>
              <w:rPr>
                <w:szCs w:val="16"/>
              </w:rPr>
            </w:pPr>
            <w:r w:rsidRPr="310D029E">
              <w:rPr>
                <w:rFonts w:eastAsia="Arial Nova Light"/>
                <w:color w:val="032833" w:themeColor="text1"/>
                <w:szCs w:val="16"/>
              </w:rPr>
              <w:t>$2,016 (for Funded Support Services only, inclusive of flexible brokerage)</w:t>
            </w:r>
            <w:r>
              <w:rPr>
                <w:rFonts w:eastAsia="Arial Nova Light"/>
                <w:color w:val="032833" w:themeColor="text1"/>
                <w:szCs w:val="16"/>
              </w:rPr>
              <w:t xml:space="preserve"> from current package end date through to 30 June 2023</w:t>
            </w:r>
          </w:p>
        </w:tc>
        <w:tc>
          <w:tcPr>
            <w:tcW w:w="1429" w:type="pct"/>
          </w:tcPr>
          <w:p w14:paraId="26CE1CE8" w14:textId="77777777" w:rsidR="00713CF0" w:rsidRPr="00E53EFC" w:rsidRDefault="00713CF0" w:rsidP="00A67D49">
            <w:pPr>
              <w:pStyle w:val="Body"/>
              <w:rPr>
                <w:rFonts w:eastAsia="Arial Nova Light" w:cs="Arial"/>
                <w:color w:val="032833" w:themeColor="text1"/>
                <w:szCs w:val="16"/>
              </w:rPr>
            </w:pPr>
            <w:r w:rsidRPr="00E53EFC">
              <w:rPr>
                <w:rFonts w:eastAsia="Arial Nova Light" w:cs="Arial"/>
                <w:color w:val="032833" w:themeColor="text1"/>
                <w:szCs w:val="16"/>
              </w:rPr>
              <w:t>$2,016 (for Funded Support Services only</w:t>
            </w:r>
            <w:r w:rsidRPr="310D029E">
              <w:rPr>
                <w:rFonts w:eastAsia="Arial Nova Light"/>
                <w:color w:val="032833" w:themeColor="text1"/>
                <w:szCs w:val="16"/>
              </w:rPr>
              <w:t>, inclusive of flexible brokerage</w:t>
            </w:r>
            <w:r w:rsidRPr="00E53EFC">
              <w:rPr>
                <w:rFonts w:eastAsia="Arial Nova Light" w:cs="Arial"/>
                <w:color w:val="032833" w:themeColor="text1"/>
                <w:szCs w:val="16"/>
              </w:rPr>
              <w:t>)</w:t>
            </w:r>
            <w:r>
              <w:rPr>
                <w:rFonts w:eastAsia="Arial Nova Light" w:cs="Arial"/>
                <w:color w:val="032833" w:themeColor="text1"/>
                <w:szCs w:val="16"/>
              </w:rPr>
              <w:t xml:space="preserve"> </w:t>
            </w:r>
            <w:r>
              <w:rPr>
                <w:rFonts w:eastAsia="Arial Nova Light"/>
                <w:color w:val="032833" w:themeColor="text1"/>
                <w:szCs w:val="16"/>
              </w:rPr>
              <w:t>from current package end date through to 30 June 2023</w:t>
            </w:r>
          </w:p>
        </w:tc>
      </w:tr>
      <w:tr w:rsidR="00713CF0" w:rsidRPr="007E3E87" w14:paraId="5AB11F91" w14:textId="77777777" w:rsidTr="003421CB">
        <w:tc>
          <w:tcPr>
            <w:tcW w:w="817" w:type="pct"/>
          </w:tcPr>
          <w:p w14:paraId="1101B394" w14:textId="77777777" w:rsidR="00713CF0" w:rsidRPr="000B6881" w:rsidRDefault="00713CF0" w:rsidP="00A67D49">
            <w:pPr>
              <w:pStyle w:val="Body"/>
            </w:pPr>
            <w:r w:rsidRPr="000B6881">
              <w:t>Asset Management Services</w:t>
            </w:r>
          </w:p>
        </w:tc>
        <w:tc>
          <w:tcPr>
            <w:tcW w:w="1314" w:type="pct"/>
          </w:tcPr>
          <w:p w14:paraId="0952ECBE" w14:textId="77777777" w:rsidR="00713CF0" w:rsidRDefault="00713CF0" w:rsidP="00A67D49">
            <w:pPr>
              <w:pStyle w:val="Body"/>
            </w:pPr>
            <w:r w:rsidRPr="000B6881">
              <w:t>$250</w:t>
            </w:r>
            <w:r>
              <w:t xml:space="preserve"> for any leased dwellings where lease has been extended through to 30 June 2023</w:t>
            </w:r>
            <w:r w:rsidRPr="000E79CF">
              <w:rPr>
                <w:szCs w:val="16"/>
                <w:vertAlign w:val="superscript"/>
              </w:rPr>
              <w:t>6</w:t>
            </w:r>
            <w:r>
              <w:t>.</w:t>
            </w:r>
          </w:p>
          <w:p w14:paraId="4D50DC6F" w14:textId="77777777" w:rsidR="00713CF0" w:rsidRPr="000B6881" w:rsidRDefault="00713CF0" w:rsidP="00A67D49">
            <w:pPr>
              <w:pStyle w:val="Body"/>
            </w:pPr>
            <w:r w:rsidRPr="004D1E37">
              <w:rPr>
                <w:szCs w:val="16"/>
                <w:vertAlign w:val="superscript"/>
              </w:rPr>
              <w:t>6</w:t>
            </w:r>
            <w:r>
              <w:rPr>
                <w:szCs w:val="16"/>
                <w:vertAlign w:val="superscript"/>
              </w:rPr>
              <w:t xml:space="preserve"> </w:t>
            </w:r>
            <w:r w:rsidRPr="000E79CF">
              <w:rPr>
                <w:i/>
                <w:iCs/>
              </w:rPr>
              <w:t xml:space="preserve">Payments relating to leased dwelling lease extensions are made on a </w:t>
            </w:r>
            <w:r w:rsidRPr="00C06087">
              <w:rPr>
                <w:i/>
              </w:rPr>
              <w:t>case</w:t>
            </w:r>
            <w:r w:rsidRPr="00C06087">
              <w:rPr>
                <w:i/>
                <w:iCs/>
              </w:rPr>
              <w:t>-</w:t>
            </w:r>
            <w:r w:rsidRPr="00C06087">
              <w:rPr>
                <w:i/>
              </w:rPr>
              <w:t>by</w:t>
            </w:r>
            <w:r w:rsidRPr="00C06087">
              <w:rPr>
                <w:i/>
                <w:iCs/>
              </w:rPr>
              <w:t>-</w:t>
            </w:r>
            <w:r w:rsidRPr="00C06087">
              <w:rPr>
                <w:i/>
              </w:rPr>
              <w:t>case</w:t>
            </w:r>
            <w:r w:rsidRPr="000E79CF">
              <w:rPr>
                <w:i/>
                <w:iCs/>
              </w:rPr>
              <w:t xml:space="preserve"> basis once </w:t>
            </w:r>
            <w:r>
              <w:rPr>
                <w:i/>
                <w:iCs/>
              </w:rPr>
              <w:t xml:space="preserve">extension of lease has been </w:t>
            </w:r>
            <w:r w:rsidRPr="000E79CF">
              <w:rPr>
                <w:i/>
                <w:iCs/>
              </w:rPr>
              <w:t>verified by HV.</w:t>
            </w:r>
          </w:p>
        </w:tc>
        <w:tc>
          <w:tcPr>
            <w:tcW w:w="1440" w:type="pct"/>
          </w:tcPr>
          <w:p w14:paraId="32257CFF" w14:textId="77777777" w:rsidR="00713CF0" w:rsidRPr="000B6881" w:rsidRDefault="00713CF0" w:rsidP="00A67D49">
            <w:pPr>
              <w:pStyle w:val="Body"/>
            </w:pPr>
            <w:r w:rsidRPr="000B6881">
              <w:t>$0</w:t>
            </w:r>
            <w:r w:rsidRPr="000B6881">
              <w:rPr>
                <w:vertAlign w:val="superscript"/>
              </w:rPr>
              <w:t>1</w:t>
            </w:r>
          </w:p>
          <w:p w14:paraId="633900FA" w14:textId="77777777" w:rsidR="00713CF0" w:rsidRPr="000B6881" w:rsidRDefault="00713CF0" w:rsidP="00A67D49">
            <w:pPr>
              <w:pStyle w:val="Body"/>
            </w:pPr>
            <w:r w:rsidRPr="000B6881">
              <w:rPr>
                <w:i/>
                <w:vertAlign w:val="superscript"/>
              </w:rPr>
              <w:t>1</w:t>
            </w:r>
            <w:r w:rsidRPr="002A18D4">
              <w:rPr>
                <w:i/>
              </w:rPr>
              <w:t xml:space="preserve"> H2H Community Partners </w:t>
            </w:r>
            <w:r w:rsidRPr="000B6881">
              <w:rPr>
                <w:i/>
              </w:rPr>
              <w:t xml:space="preserve">will retain the Maximum Rent paid by </w:t>
            </w:r>
            <w:r>
              <w:rPr>
                <w:i/>
              </w:rPr>
              <w:t>Client</w:t>
            </w:r>
            <w:r w:rsidRPr="000B6881">
              <w:rPr>
                <w:i/>
              </w:rPr>
              <w:t>s to fund Asset Management Services</w:t>
            </w:r>
            <w:r>
              <w:rPr>
                <w:i/>
              </w:rPr>
              <w:t xml:space="preserve"> in respect of General Lease Properties</w:t>
            </w:r>
          </w:p>
        </w:tc>
        <w:tc>
          <w:tcPr>
            <w:tcW w:w="1429" w:type="pct"/>
          </w:tcPr>
          <w:p w14:paraId="1CE75575" w14:textId="77777777" w:rsidR="00713CF0" w:rsidRPr="00E53EFC" w:rsidRDefault="00713CF0" w:rsidP="00A67D49">
            <w:pPr>
              <w:pStyle w:val="Body"/>
              <w:rPr>
                <w:szCs w:val="16"/>
              </w:rPr>
            </w:pPr>
            <w:r w:rsidRPr="00E53EFC">
              <w:rPr>
                <w:szCs w:val="16"/>
              </w:rPr>
              <w:t>$0</w:t>
            </w:r>
            <w:r w:rsidRPr="00E53EFC">
              <w:rPr>
                <w:szCs w:val="16"/>
                <w:vertAlign w:val="superscript"/>
              </w:rPr>
              <w:t>3</w:t>
            </w:r>
          </w:p>
          <w:p w14:paraId="71C62CC9" w14:textId="77777777" w:rsidR="00713CF0" w:rsidRPr="00E53EFC" w:rsidRDefault="00713CF0" w:rsidP="00A67D49">
            <w:pPr>
              <w:pStyle w:val="Body"/>
              <w:rPr>
                <w:szCs w:val="16"/>
              </w:rPr>
            </w:pPr>
            <w:r w:rsidRPr="00E53EFC">
              <w:rPr>
                <w:i/>
                <w:iCs/>
                <w:szCs w:val="16"/>
                <w:vertAlign w:val="superscript"/>
              </w:rPr>
              <w:t>3</w:t>
            </w:r>
            <w:r w:rsidRPr="00E53EFC">
              <w:rPr>
                <w:i/>
                <w:iCs/>
                <w:szCs w:val="16"/>
              </w:rPr>
              <w:t xml:space="preserve">Homes Victoria will perform Asset Management Services in respect of </w:t>
            </w:r>
            <w:r>
              <w:rPr>
                <w:i/>
                <w:iCs/>
                <w:szCs w:val="16"/>
              </w:rPr>
              <w:t>Public Housing</w:t>
            </w:r>
          </w:p>
        </w:tc>
      </w:tr>
      <w:tr w:rsidR="00713CF0" w:rsidRPr="007E3E87" w14:paraId="2BFFEDC7" w14:textId="77777777" w:rsidTr="003421CB">
        <w:tc>
          <w:tcPr>
            <w:tcW w:w="817" w:type="pct"/>
          </w:tcPr>
          <w:p w14:paraId="5814E3F4" w14:textId="77777777" w:rsidR="00713CF0" w:rsidRPr="000B6881" w:rsidRDefault="00713CF0" w:rsidP="00A67D49">
            <w:pPr>
              <w:pStyle w:val="Body"/>
            </w:pPr>
            <w:r w:rsidRPr="000B6881">
              <w:t>Tenancy Management Services</w:t>
            </w:r>
          </w:p>
        </w:tc>
        <w:tc>
          <w:tcPr>
            <w:tcW w:w="1314" w:type="pct"/>
          </w:tcPr>
          <w:p w14:paraId="3479DF28" w14:textId="77777777" w:rsidR="00713CF0" w:rsidRDefault="00713CF0" w:rsidP="00A67D49">
            <w:pPr>
              <w:pStyle w:val="Body"/>
            </w:pPr>
            <w:r w:rsidRPr="000B6881">
              <w:t>$220</w:t>
            </w:r>
            <w:r>
              <w:t xml:space="preserve"> for any leased dwellings where lease has been extended through to 30 June 2023</w:t>
            </w:r>
            <w:r w:rsidRPr="004D1E37">
              <w:rPr>
                <w:szCs w:val="16"/>
                <w:vertAlign w:val="superscript"/>
              </w:rPr>
              <w:t>6</w:t>
            </w:r>
            <w:r>
              <w:t>.</w:t>
            </w:r>
          </w:p>
          <w:p w14:paraId="4272E15D" w14:textId="77777777" w:rsidR="00713CF0" w:rsidRPr="000B6881" w:rsidRDefault="00713CF0" w:rsidP="00A67D49">
            <w:pPr>
              <w:pStyle w:val="Body"/>
            </w:pPr>
          </w:p>
        </w:tc>
        <w:tc>
          <w:tcPr>
            <w:tcW w:w="1440" w:type="pct"/>
          </w:tcPr>
          <w:p w14:paraId="4C3C92D6" w14:textId="77777777" w:rsidR="00713CF0" w:rsidRPr="00B6787F" w:rsidRDefault="00713CF0" w:rsidP="00A67D49">
            <w:pPr>
              <w:pStyle w:val="Body"/>
            </w:pPr>
            <w:r w:rsidRPr="00B6787F">
              <w:t>$</w:t>
            </w:r>
            <w:r>
              <w:t>0</w:t>
            </w:r>
          </w:p>
        </w:tc>
        <w:tc>
          <w:tcPr>
            <w:tcW w:w="1429" w:type="pct"/>
          </w:tcPr>
          <w:p w14:paraId="4ADA04B7" w14:textId="77777777" w:rsidR="00713CF0" w:rsidRPr="00E53EFC" w:rsidRDefault="00713CF0" w:rsidP="00A67D49">
            <w:pPr>
              <w:pStyle w:val="Body"/>
              <w:rPr>
                <w:szCs w:val="16"/>
                <w:vertAlign w:val="superscript"/>
              </w:rPr>
            </w:pPr>
            <w:r w:rsidRPr="00E53EFC">
              <w:rPr>
                <w:szCs w:val="16"/>
              </w:rPr>
              <w:t>$0</w:t>
            </w:r>
            <w:r w:rsidRPr="00E53EFC">
              <w:rPr>
                <w:szCs w:val="16"/>
                <w:vertAlign w:val="superscript"/>
              </w:rPr>
              <w:t>4</w:t>
            </w:r>
          </w:p>
          <w:p w14:paraId="28F3CCAE" w14:textId="77777777" w:rsidR="00713CF0" w:rsidRPr="00E53EFC" w:rsidRDefault="00713CF0" w:rsidP="00A67D49">
            <w:pPr>
              <w:pStyle w:val="Body"/>
              <w:rPr>
                <w:szCs w:val="16"/>
              </w:rPr>
            </w:pPr>
            <w:r w:rsidRPr="00E53EFC">
              <w:rPr>
                <w:szCs w:val="16"/>
                <w:vertAlign w:val="superscript"/>
              </w:rPr>
              <w:t>4</w:t>
            </w:r>
            <w:r w:rsidRPr="00E53EFC">
              <w:rPr>
                <w:i/>
                <w:iCs/>
                <w:szCs w:val="16"/>
              </w:rPr>
              <w:t xml:space="preserve">Homes Victoria will perform Tenancy Management Services in respect of </w:t>
            </w:r>
            <w:r>
              <w:rPr>
                <w:i/>
                <w:iCs/>
                <w:szCs w:val="16"/>
              </w:rPr>
              <w:t>Public Housing</w:t>
            </w:r>
            <w:r w:rsidRPr="00E53EFC">
              <w:rPr>
                <w:szCs w:val="16"/>
              </w:rPr>
              <w:t xml:space="preserve"> </w:t>
            </w:r>
          </w:p>
        </w:tc>
      </w:tr>
      <w:tr w:rsidR="00713CF0" w:rsidRPr="007E3E87" w14:paraId="0D6E424C" w14:textId="77777777" w:rsidTr="003421CB">
        <w:trPr>
          <w:trHeight w:val="756"/>
        </w:trPr>
        <w:tc>
          <w:tcPr>
            <w:tcW w:w="817" w:type="pct"/>
          </w:tcPr>
          <w:p w14:paraId="1451B879" w14:textId="77777777" w:rsidR="00713CF0" w:rsidRPr="000B6881" w:rsidRDefault="00713CF0" w:rsidP="00A67D49">
            <w:pPr>
              <w:pStyle w:val="Body"/>
            </w:pPr>
            <w:r w:rsidRPr="000B6881">
              <w:t>Net Rent</w:t>
            </w:r>
          </w:p>
        </w:tc>
        <w:tc>
          <w:tcPr>
            <w:tcW w:w="1314" w:type="pct"/>
          </w:tcPr>
          <w:p w14:paraId="1E1EB0E2" w14:textId="77777777" w:rsidR="00713CF0" w:rsidRPr="000B6881" w:rsidRDefault="00713CF0" w:rsidP="00A67D49">
            <w:pPr>
              <w:pStyle w:val="Body"/>
            </w:pPr>
            <w:r w:rsidRPr="000B6881">
              <w:t>Market Rent minus Maximum Rent</w:t>
            </w:r>
            <w:r w:rsidRPr="004D1E37">
              <w:rPr>
                <w:szCs w:val="16"/>
                <w:vertAlign w:val="superscript"/>
              </w:rPr>
              <w:t>6</w:t>
            </w:r>
            <w:r w:rsidRPr="000B6881">
              <w:t>.</w:t>
            </w:r>
          </w:p>
        </w:tc>
        <w:tc>
          <w:tcPr>
            <w:tcW w:w="1440" w:type="pct"/>
          </w:tcPr>
          <w:p w14:paraId="1A74870D" w14:textId="77777777" w:rsidR="00713CF0" w:rsidRPr="000B6881" w:rsidRDefault="00713CF0" w:rsidP="00A67D49">
            <w:pPr>
              <w:pStyle w:val="Body"/>
            </w:pPr>
            <w:r w:rsidRPr="000B6881">
              <w:t>Not applicable.</w:t>
            </w:r>
          </w:p>
        </w:tc>
        <w:tc>
          <w:tcPr>
            <w:tcW w:w="1429" w:type="pct"/>
          </w:tcPr>
          <w:p w14:paraId="036DB300" w14:textId="77777777" w:rsidR="00713CF0" w:rsidRPr="00E53EFC" w:rsidRDefault="00713CF0" w:rsidP="00A67D49">
            <w:pPr>
              <w:pStyle w:val="Body"/>
              <w:rPr>
                <w:szCs w:val="16"/>
              </w:rPr>
            </w:pPr>
            <w:r w:rsidRPr="00E53EFC">
              <w:rPr>
                <w:szCs w:val="16"/>
              </w:rPr>
              <w:t>Not applicable</w:t>
            </w:r>
            <w:r w:rsidRPr="00E53EFC">
              <w:rPr>
                <w:szCs w:val="16"/>
                <w:vertAlign w:val="superscript"/>
              </w:rPr>
              <w:t>5</w:t>
            </w:r>
            <w:r w:rsidRPr="00E53EFC">
              <w:rPr>
                <w:szCs w:val="16"/>
              </w:rPr>
              <w:t>.</w:t>
            </w:r>
          </w:p>
          <w:p w14:paraId="2278C019" w14:textId="77777777" w:rsidR="00713CF0" w:rsidRPr="00E53EFC" w:rsidRDefault="00713CF0" w:rsidP="00A67D49">
            <w:pPr>
              <w:pStyle w:val="Body"/>
              <w:rPr>
                <w:szCs w:val="16"/>
              </w:rPr>
            </w:pPr>
            <w:r w:rsidRPr="00E53EFC">
              <w:rPr>
                <w:i/>
                <w:iCs/>
                <w:szCs w:val="16"/>
                <w:vertAlign w:val="superscript"/>
              </w:rPr>
              <w:t>5</w:t>
            </w:r>
            <w:r w:rsidRPr="00E53EFC">
              <w:rPr>
                <w:i/>
                <w:iCs/>
                <w:szCs w:val="16"/>
              </w:rPr>
              <w:t>Homes Victoria will retain the Maximum Rent.</w:t>
            </w:r>
          </w:p>
        </w:tc>
      </w:tr>
      <w:tr w:rsidR="00713CF0" w:rsidRPr="007E3E87" w14:paraId="0A2F03A6" w14:textId="77777777" w:rsidTr="003421CB">
        <w:trPr>
          <w:trHeight w:val="756"/>
        </w:trPr>
        <w:tc>
          <w:tcPr>
            <w:tcW w:w="817" w:type="pct"/>
          </w:tcPr>
          <w:p w14:paraId="59F20E76" w14:textId="77777777" w:rsidR="00713CF0" w:rsidRPr="000B6881" w:rsidRDefault="00713CF0" w:rsidP="00A67D49">
            <w:pPr>
              <w:pStyle w:val="Body"/>
            </w:pPr>
            <w:r>
              <w:lastRenderedPageBreak/>
              <w:t>Tenancy Sustainment</w:t>
            </w:r>
          </w:p>
        </w:tc>
        <w:tc>
          <w:tcPr>
            <w:tcW w:w="1314" w:type="pct"/>
          </w:tcPr>
          <w:p w14:paraId="3621AF31" w14:textId="77777777" w:rsidR="00713CF0" w:rsidRDefault="00713CF0" w:rsidP="00A67D49">
            <w:pPr>
              <w:pStyle w:val="Body"/>
            </w:pPr>
            <w:r>
              <w:t>$2,500 lump sum payment made upfront for clients allocated into an owned or long-term community housing following end of their tenancy in a leased dwelling</w:t>
            </w:r>
            <w:r>
              <w:rPr>
                <w:szCs w:val="16"/>
                <w:vertAlign w:val="superscript"/>
              </w:rPr>
              <w:t>7</w:t>
            </w:r>
            <w:r>
              <w:t>.</w:t>
            </w:r>
          </w:p>
          <w:p w14:paraId="454ABAF9" w14:textId="77777777" w:rsidR="00713CF0" w:rsidRDefault="00713CF0" w:rsidP="00A67D49">
            <w:pPr>
              <w:pStyle w:val="Body"/>
            </w:pPr>
          </w:p>
          <w:p w14:paraId="5EF3C9EE" w14:textId="77777777" w:rsidR="00713CF0" w:rsidRDefault="00713CF0" w:rsidP="00A67D49">
            <w:pPr>
              <w:pStyle w:val="Body"/>
            </w:pPr>
            <w:r>
              <w:t>$3,000 lump sum payment made after 12 months of tenancy if client remains housed for in that dwelling for 12 months</w:t>
            </w:r>
            <w:r>
              <w:rPr>
                <w:szCs w:val="16"/>
                <w:vertAlign w:val="superscript"/>
              </w:rPr>
              <w:t>7</w:t>
            </w:r>
            <w:r>
              <w:t>.</w:t>
            </w:r>
          </w:p>
          <w:p w14:paraId="4996A9BE" w14:textId="77777777" w:rsidR="00713CF0" w:rsidRPr="000E79CF" w:rsidRDefault="00713CF0" w:rsidP="00A67D49">
            <w:pPr>
              <w:pStyle w:val="Body"/>
              <w:rPr>
                <w:i/>
                <w:iCs/>
              </w:rPr>
            </w:pPr>
            <w:r w:rsidRPr="000E79CF">
              <w:rPr>
                <w:i/>
                <w:iCs/>
                <w:szCs w:val="16"/>
                <w:vertAlign w:val="superscript"/>
              </w:rPr>
              <w:t>7</w:t>
            </w:r>
            <w:r w:rsidRPr="000E79CF">
              <w:rPr>
                <w:i/>
                <w:iCs/>
              </w:rPr>
              <w:t>Payments only made post verification of tenancy by HV.</w:t>
            </w:r>
          </w:p>
        </w:tc>
        <w:tc>
          <w:tcPr>
            <w:tcW w:w="1440" w:type="pct"/>
          </w:tcPr>
          <w:p w14:paraId="33FAC8A6" w14:textId="77777777" w:rsidR="00713CF0" w:rsidRDefault="00713CF0" w:rsidP="00A67D49">
            <w:pPr>
              <w:pStyle w:val="Body"/>
            </w:pPr>
            <w:r>
              <w:t>$2,500 lump sum payment made upfront for clients allocated into an owned or long-term community housing following end of their tenancy in a leased dwelling</w:t>
            </w:r>
            <w:r>
              <w:rPr>
                <w:szCs w:val="16"/>
                <w:vertAlign w:val="superscript"/>
              </w:rPr>
              <w:t>7</w:t>
            </w:r>
            <w:r>
              <w:t>.</w:t>
            </w:r>
          </w:p>
          <w:p w14:paraId="36F04DFD" w14:textId="77777777" w:rsidR="00713CF0" w:rsidRDefault="00713CF0" w:rsidP="00A67D49">
            <w:pPr>
              <w:pStyle w:val="Body"/>
            </w:pPr>
          </w:p>
          <w:p w14:paraId="3BECB9E7" w14:textId="77777777" w:rsidR="00713CF0" w:rsidRDefault="00713CF0" w:rsidP="00A67D49">
            <w:pPr>
              <w:pStyle w:val="Body"/>
            </w:pPr>
            <w:r>
              <w:t>$3,000 lump sum payment made after 12 months of tenancy if client remains housed for in that dwelling for 12 months</w:t>
            </w:r>
            <w:r>
              <w:rPr>
                <w:szCs w:val="16"/>
                <w:vertAlign w:val="superscript"/>
              </w:rPr>
              <w:t>7</w:t>
            </w:r>
            <w:r>
              <w:t>.</w:t>
            </w:r>
          </w:p>
          <w:p w14:paraId="03A4A857" w14:textId="77777777" w:rsidR="00713CF0" w:rsidRPr="000B6881" w:rsidRDefault="00713CF0" w:rsidP="00A67D49">
            <w:pPr>
              <w:pStyle w:val="Body"/>
            </w:pPr>
          </w:p>
        </w:tc>
        <w:tc>
          <w:tcPr>
            <w:tcW w:w="1429" w:type="pct"/>
          </w:tcPr>
          <w:p w14:paraId="5EDAC7C7" w14:textId="77777777" w:rsidR="00713CF0" w:rsidRPr="00E53EFC" w:rsidRDefault="00713CF0" w:rsidP="00A67D49">
            <w:pPr>
              <w:pStyle w:val="Body"/>
              <w:rPr>
                <w:szCs w:val="16"/>
              </w:rPr>
            </w:pPr>
            <w:r>
              <w:rPr>
                <w:szCs w:val="16"/>
              </w:rPr>
              <w:t>Not applicable</w:t>
            </w:r>
          </w:p>
        </w:tc>
      </w:tr>
    </w:tbl>
    <w:p w14:paraId="48ABAF6D" w14:textId="77777777" w:rsidR="00713CF0" w:rsidRDefault="00713CF0" w:rsidP="00713CF0">
      <w:pPr>
        <w:rPr>
          <w:rFonts w:ascii="Arial" w:eastAsia="Times" w:hAnsi="Arial"/>
          <w:b/>
          <w:bCs/>
        </w:rPr>
      </w:pPr>
    </w:p>
    <w:p w14:paraId="7D75C44E" w14:textId="77777777" w:rsidR="00713CF0" w:rsidRDefault="00713CF0" w:rsidP="00713CF0">
      <w:pPr>
        <w:rPr>
          <w:rFonts w:ascii="Arial" w:eastAsia="Times" w:hAnsi="Arial"/>
          <w:b/>
          <w:bCs/>
        </w:rPr>
      </w:pPr>
    </w:p>
    <w:p w14:paraId="29F8F121" w14:textId="77777777" w:rsidR="00713CF0" w:rsidRDefault="00713CF0" w:rsidP="00713CF0">
      <w:pPr>
        <w:rPr>
          <w:rFonts w:ascii="Arial" w:eastAsia="Times" w:hAnsi="Arial"/>
          <w:b/>
          <w:bCs/>
        </w:rPr>
      </w:pPr>
      <w:r>
        <w:rPr>
          <w:rFonts w:ascii="Arial" w:eastAsia="Times" w:hAnsi="Arial"/>
          <w:b/>
          <w:bCs/>
        </w:rPr>
        <w:br w:type="page"/>
      </w:r>
    </w:p>
    <w:p w14:paraId="4E473E27" w14:textId="77777777" w:rsidR="00713CF0" w:rsidRDefault="00713CF0" w:rsidP="00A67D49">
      <w:pPr>
        <w:pStyle w:val="Heading2"/>
        <w:rPr>
          <w:rFonts w:eastAsia="Times"/>
        </w:rPr>
      </w:pPr>
      <w:bookmarkStart w:id="205" w:name="_Toc121134136"/>
      <w:r>
        <w:rPr>
          <w:rFonts w:eastAsia="Times"/>
        </w:rPr>
        <w:lastRenderedPageBreak/>
        <w:t>Six-Monthly Reconciliation R</w:t>
      </w:r>
      <w:r w:rsidRPr="0017224E">
        <w:rPr>
          <w:rFonts w:eastAsia="Times"/>
        </w:rPr>
        <w:t>eporting requirements</w:t>
      </w:r>
      <w:bookmarkEnd w:id="205"/>
      <w:r w:rsidRPr="0017224E">
        <w:rPr>
          <w:rFonts w:eastAsia="Times"/>
        </w:rPr>
        <w:t xml:space="preserve"> </w:t>
      </w:r>
    </w:p>
    <w:p w14:paraId="08AE8E41" w14:textId="77777777" w:rsidR="00713CF0" w:rsidRDefault="00713CF0" w:rsidP="00A67D49">
      <w:pPr>
        <w:pStyle w:val="Body"/>
      </w:pPr>
      <w:r w:rsidRPr="00874A56">
        <w:t>Community Partners will be required to submit six</w:t>
      </w:r>
      <w:r>
        <w:t>-</w:t>
      </w:r>
      <w:r w:rsidRPr="00874A56">
        <w:t>monthly a</w:t>
      </w:r>
      <w:r>
        <w:t>c</w:t>
      </w:r>
      <w:r w:rsidRPr="00874A56">
        <w:t>quittals on all H2H funded Activity Descriptors</w:t>
      </w:r>
      <w:r>
        <w:t xml:space="preserve"> as per the updated version of the reconciliation template currently submitted monthly</w:t>
      </w:r>
      <w:r w:rsidRPr="00874A56">
        <w:t>.</w:t>
      </w:r>
      <w:r>
        <w:t xml:space="preserve"> </w:t>
      </w:r>
    </w:p>
    <w:p w14:paraId="6A25A069" w14:textId="77777777" w:rsidR="00713CF0" w:rsidRDefault="00713CF0" w:rsidP="00A67D49">
      <w:pPr>
        <w:pStyle w:val="Body"/>
      </w:pPr>
      <w:r>
        <w:t xml:space="preserve">This template will be shared with Community Partners and is being used to ensure consistency in reporting noting that these reports will not inform funding allocation. </w:t>
      </w:r>
    </w:p>
    <w:p w14:paraId="363FBDF6" w14:textId="77777777" w:rsidR="00713CF0" w:rsidRPr="00FF2411" w:rsidRDefault="00713CF0" w:rsidP="00A67D49">
      <w:pPr>
        <w:pStyle w:val="Body"/>
      </w:pPr>
      <w:r w:rsidRPr="2DF612D0">
        <w:t>Reports should be submitted via Secure Data Exchange (https://dhhsvicgovau.sharepoint.com/sites/SDE3-H2H/), unless otherwise advised by the department.</w:t>
      </w:r>
    </w:p>
    <w:tbl>
      <w:tblPr>
        <w:tblStyle w:val="TableGrid"/>
        <w:tblW w:w="0" w:type="auto"/>
        <w:tblLook w:val="04A0" w:firstRow="1" w:lastRow="0" w:firstColumn="1" w:lastColumn="0" w:noHBand="0" w:noVBand="1"/>
      </w:tblPr>
      <w:tblGrid>
        <w:gridCol w:w="4390"/>
        <w:gridCol w:w="2976"/>
      </w:tblGrid>
      <w:tr w:rsidR="00713CF0" w14:paraId="3D1F110B" w14:textId="77777777" w:rsidTr="00A67D49">
        <w:trPr>
          <w:cnfStyle w:val="100000000000" w:firstRow="1" w:lastRow="0" w:firstColumn="0" w:lastColumn="0" w:oddVBand="0" w:evenVBand="0" w:oddHBand="0" w:evenHBand="0" w:firstRowFirstColumn="0" w:firstRowLastColumn="0" w:lastRowFirstColumn="0" w:lastRowLastColumn="0"/>
        </w:trPr>
        <w:tc>
          <w:tcPr>
            <w:tcW w:w="4390" w:type="dxa"/>
          </w:tcPr>
          <w:p w14:paraId="0A263AF3" w14:textId="77777777" w:rsidR="00713CF0" w:rsidRPr="003421CB" w:rsidRDefault="00713CF0" w:rsidP="00A67D49">
            <w:pPr>
              <w:pStyle w:val="Body"/>
              <w:rPr>
                <w:b/>
                <w:bCs/>
              </w:rPr>
            </w:pPr>
            <w:r w:rsidRPr="003421CB">
              <w:rPr>
                <w:b/>
                <w:bCs/>
              </w:rPr>
              <w:t>Reporting Period</w:t>
            </w:r>
          </w:p>
        </w:tc>
        <w:tc>
          <w:tcPr>
            <w:tcW w:w="2976" w:type="dxa"/>
          </w:tcPr>
          <w:p w14:paraId="77B02F9A" w14:textId="77777777" w:rsidR="00713CF0" w:rsidRPr="003421CB" w:rsidRDefault="00713CF0" w:rsidP="00A67D49">
            <w:pPr>
              <w:pStyle w:val="Body"/>
              <w:rPr>
                <w:b/>
                <w:bCs/>
              </w:rPr>
            </w:pPr>
            <w:r w:rsidRPr="003421CB">
              <w:rPr>
                <w:b/>
                <w:bCs/>
              </w:rPr>
              <w:t>Report Due</w:t>
            </w:r>
          </w:p>
        </w:tc>
      </w:tr>
      <w:tr w:rsidR="00713CF0" w14:paraId="047CD592" w14:textId="77777777" w:rsidTr="00A67D49">
        <w:tc>
          <w:tcPr>
            <w:tcW w:w="4390" w:type="dxa"/>
          </w:tcPr>
          <w:p w14:paraId="336751F7" w14:textId="77777777" w:rsidR="00713CF0" w:rsidRDefault="00713CF0" w:rsidP="00A67D49">
            <w:pPr>
              <w:pStyle w:val="Body"/>
            </w:pPr>
            <w:r>
              <w:t>1 July to 31 December 2021</w:t>
            </w:r>
          </w:p>
        </w:tc>
        <w:tc>
          <w:tcPr>
            <w:tcW w:w="2976" w:type="dxa"/>
          </w:tcPr>
          <w:p w14:paraId="73F1209B" w14:textId="77777777" w:rsidR="00713CF0" w:rsidRDefault="00713CF0" w:rsidP="00A67D49">
            <w:pPr>
              <w:pStyle w:val="Body"/>
            </w:pPr>
            <w:r>
              <w:t>15 February 2022</w:t>
            </w:r>
          </w:p>
        </w:tc>
      </w:tr>
      <w:tr w:rsidR="00713CF0" w14:paraId="59B80BD3" w14:textId="77777777" w:rsidTr="00A67D49">
        <w:tc>
          <w:tcPr>
            <w:tcW w:w="4390" w:type="dxa"/>
          </w:tcPr>
          <w:p w14:paraId="31C767D1" w14:textId="77777777" w:rsidR="00713CF0" w:rsidRDefault="00713CF0" w:rsidP="00A67D49">
            <w:pPr>
              <w:pStyle w:val="Body"/>
            </w:pPr>
            <w:r>
              <w:t>1 January to 30 June 2022</w:t>
            </w:r>
          </w:p>
        </w:tc>
        <w:tc>
          <w:tcPr>
            <w:tcW w:w="2976" w:type="dxa"/>
          </w:tcPr>
          <w:p w14:paraId="2DE2327F" w14:textId="77777777" w:rsidR="00713CF0" w:rsidRDefault="00713CF0" w:rsidP="00A67D49">
            <w:pPr>
              <w:pStyle w:val="Body"/>
            </w:pPr>
            <w:r>
              <w:t>15 July 2022</w:t>
            </w:r>
          </w:p>
        </w:tc>
      </w:tr>
      <w:tr w:rsidR="00713CF0" w14:paraId="22AA1DB7" w14:textId="77777777" w:rsidTr="00A67D49">
        <w:tc>
          <w:tcPr>
            <w:tcW w:w="4390" w:type="dxa"/>
          </w:tcPr>
          <w:p w14:paraId="1D26B262" w14:textId="77777777" w:rsidR="00713CF0" w:rsidRDefault="00713CF0" w:rsidP="00A67D49">
            <w:pPr>
              <w:pStyle w:val="Body"/>
            </w:pPr>
            <w:r>
              <w:t>1 July to 31 December 2022</w:t>
            </w:r>
          </w:p>
        </w:tc>
        <w:tc>
          <w:tcPr>
            <w:tcW w:w="2976" w:type="dxa"/>
          </w:tcPr>
          <w:p w14:paraId="4B65FD10" w14:textId="77777777" w:rsidR="00713CF0" w:rsidRDefault="00713CF0" w:rsidP="00A67D49">
            <w:pPr>
              <w:pStyle w:val="Body"/>
            </w:pPr>
            <w:r>
              <w:t>15 February 2023</w:t>
            </w:r>
          </w:p>
        </w:tc>
      </w:tr>
      <w:tr w:rsidR="00713CF0" w14:paraId="17347D2A" w14:textId="77777777" w:rsidTr="00A67D49">
        <w:tc>
          <w:tcPr>
            <w:tcW w:w="4390" w:type="dxa"/>
          </w:tcPr>
          <w:p w14:paraId="60E25EF5" w14:textId="77777777" w:rsidR="00713CF0" w:rsidRDefault="00713CF0" w:rsidP="00A67D49">
            <w:pPr>
              <w:pStyle w:val="Body"/>
            </w:pPr>
            <w:r>
              <w:t>1 January to 30 June 2023</w:t>
            </w:r>
          </w:p>
        </w:tc>
        <w:tc>
          <w:tcPr>
            <w:tcW w:w="2976" w:type="dxa"/>
          </w:tcPr>
          <w:p w14:paraId="2C42BC09" w14:textId="77777777" w:rsidR="00713CF0" w:rsidRDefault="00713CF0" w:rsidP="00A67D49">
            <w:pPr>
              <w:pStyle w:val="Body"/>
            </w:pPr>
            <w:r>
              <w:t>15 July 2023</w:t>
            </w:r>
          </w:p>
        </w:tc>
      </w:tr>
      <w:tr w:rsidR="00713CF0" w14:paraId="0CF9261B" w14:textId="77777777" w:rsidTr="00A67D49">
        <w:tc>
          <w:tcPr>
            <w:tcW w:w="4390" w:type="dxa"/>
          </w:tcPr>
          <w:p w14:paraId="7EA144B3" w14:textId="77777777" w:rsidR="00713CF0" w:rsidRDefault="00713CF0" w:rsidP="00A67D49">
            <w:pPr>
              <w:pStyle w:val="Body"/>
            </w:pPr>
            <w:r>
              <w:t>1 July to 31 December 2023</w:t>
            </w:r>
          </w:p>
        </w:tc>
        <w:tc>
          <w:tcPr>
            <w:tcW w:w="2976" w:type="dxa"/>
          </w:tcPr>
          <w:p w14:paraId="167E791E" w14:textId="77777777" w:rsidR="00713CF0" w:rsidRDefault="00713CF0" w:rsidP="00A67D49">
            <w:pPr>
              <w:pStyle w:val="Body"/>
            </w:pPr>
            <w:r>
              <w:t>15 February 2024</w:t>
            </w:r>
          </w:p>
        </w:tc>
      </w:tr>
    </w:tbl>
    <w:p w14:paraId="4D3781BF" w14:textId="77777777" w:rsidR="00713CF0" w:rsidRDefault="00713CF0" w:rsidP="00713CF0">
      <w:pPr>
        <w:rPr>
          <w:rFonts w:ascii="Arial" w:eastAsia="Times" w:hAnsi="Arial"/>
        </w:rPr>
      </w:pPr>
    </w:p>
    <w:p w14:paraId="65794F1B" w14:textId="77777777" w:rsidR="00713CF0" w:rsidRDefault="00713CF0" w:rsidP="00713CF0">
      <w:pPr>
        <w:rPr>
          <w:rFonts w:ascii="Arial" w:eastAsia="MS Gothic" w:hAnsi="Arial" w:cs="Arial"/>
          <w:bCs/>
          <w:color w:val="032833" w:themeColor="text2"/>
          <w:kern w:val="32"/>
          <w:sz w:val="36"/>
          <w:szCs w:val="40"/>
        </w:rPr>
      </w:pPr>
      <w:bookmarkStart w:id="206" w:name="_Toc56612609"/>
      <w:bookmarkStart w:id="207" w:name="_Toc57111860"/>
      <w:bookmarkStart w:id="208" w:name="_Toc57819641"/>
      <w:bookmarkEnd w:id="202"/>
      <w:r>
        <w:br w:type="page"/>
      </w:r>
    </w:p>
    <w:p w14:paraId="79DCAD06" w14:textId="6F23E3F2" w:rsidR="00713CF0" w:rsidRPr="006B6142" w:rsidRDefault="00713CF0" w:rsidP="00A67D49">
      <w:pPr>
        <w:pStyle w:val="Heading1"/>
      </w:pPr>
      <w:bookmarkStart w:id="209" w:name="_Toc88218426"/>
      <w:bookmarkStart w:id="210" w:name="_Toc88218897"/>
      <w:bookmarkStart w:id="211" w:name="_Toc121134137"/>
      <w:r w:rsidRPr="0024309B">
        <w:lastRenderedPageBreak/>
        <w:t xml:space="preserve">Appendix </w:t>
      </w:r>
      <w:r w:rsidR="009E70A1">
        <w:t>2</w:t>
      </w:r>
      <w:r>
        <w:t xml:space="preserve"> - </w:t>
      </w:r>
      <w:r w:rsidRPr="00A67D49">
        <w:t>Measuring</w:t>
      </w:r>
      <w:r w:rsidRPr="006B6142">
        <w:t xml:space="preserve"> program performance through activity-based targets</w:t>
      </w:r>
      <w:bookmarkEnd w:id="206"/>
      <w:bookmarkEnd w:id="207"/>
      <w:bookmarkEnd w:id="208"/>
      <w:bookmarkEnd w:id="209"/>
      <w:bookmarkEnd w:id="210"/>
      <w:bookmarkEnd w:id="211"/>
    </w:p>
    <w:p w14:paraId="21E6C6CD" w14:textId="505691A5" w:rsidR="00713CF0" w:rsidRDefault="00E52FBA" w:rsidP="00A67D49">
      <w:pPr>
        <w:pStyle w:val="Body"/>
      </w:pPr>
      <w:bookmarkStart w:id="212" w:name="_Toc415497428"/>
      <w:r>
        <w:t>Homes Victoria</w:t>
      </w:r>
      <w:r w:rsidR="00713CF0">
        <w:t xml:space="preserve"> will monitor H2H Community Partners’ performance based on the department’s </w:t>
      </w:r>
      <w:r w:rsidR="00713CF0" w:rsidRPr="001C3BAC">
        <w:t>Agency Monitoring Framework</w:t>
      </w:r>
      <w:r w:rsidR="00713CF0">
        <w:rPr>
          <w:rStyle w:val="FootnoteReference"/>
        </w:rPr>
        <w:footnoteReference w:id="6"/>
      </w:r>
      <w:r w:rsidR="00713CF0">
        <w:t>.</w:t>
      </w:r>
      <w:r w:rsidR="00713CF0" w:rsidRPr="001C3BAC">
        <w:t xml:space="preserve"> </w:t>
      </w:r>
    </w:p>
    <w:p w14:paraId="2D65779F" w14:textId="77777777" w:rsidR="00713CF0" w:rsidRDefault="00713CF0" w:rsidP="00A67D49">
      <w:pPr>
        <w:pStyle w:val="Heading2"/>
      </w:pPr>
      <w:bookmarkStart w:id="213" w:name="_Toc56612610"/>
      <w:bookmarkStart w:id="214" w:name="_Toc57111861"/>
      <w:bookmarkStart w:id="215" w:name="_Toc57819642"/>
      <w:bookmarkStart w:id="216" w:name="_Toc121134138"/>
      <w:r>
        <w:t>How is the H2H program performance measured?</w:t>
      </w:r>
      <w:bookmarkEnd w:id="212"/>
      <w:bookmarkEnd w:id="213"/>
      <w:bookmarkEnd w:id="214"/>
      <w:bookmarkEnd w:id="215"/>
      <w:bookmarkEnd w:id="216"/>
      <w:r>
        <w:t xml:space="preserve"> </w:t>
      </w:r>
    </w:p>
    <w:p w14:paraId="28AADDBD" w14:textId="77777777" w:rsidR="00713CF0" w:rsidRDefault="00713CF0" w:rsidP="00A67D49">
      <w:pPr>
        <w:pStyle w:val="Body"/>
      </w:pPr>
      <w:r>
        <w:t>The Service Agreement between H2H Community Partners and the department incorporates activity-based targets for each expected performance measure used for the program’s monitoring.</w:t>
      </w:r>
      <w:r w:rsidRPr="007D75AE">
        <w:t xml:space="preserve"> </w:t>
      </w:r>
      <w:r>
        <w:t>Below is a summary table with the performance measures, target and data source and access for each funded H2H activity.</w:t>
      </w:r>
    </w:p>
    <w:p w14:paraId="3E09605F" w14:textId="77777777" w:rsidR="00713CF0" w:rsidRDefault="00713CF0" w:rsidP="00A67D49">
      <w:pPr>
        <w:pStyle w:val="Body"/>
      </w:pPr>
      <w:r>
        <w:t xml:space="preserve">Table </w:t>
      </w:r>
      <w:r>
        <w:fldChar w:fldCharType="begin"/>
      </w:r>
      <w:r>
        <w:instrText>SEQ Table \* ARABIC</w:instrText>
      </w:r>
      <w:r>
        <w:fldChar w:fldCharType="separate"/>
      </w:r>
      <w:r>
        <w:rPr>
          <w:noProof/>
        </w:rPr>
        <w:t>2</w:t>
      </w:r>
      <w:r>
        <w:fldChar w:fldCharType="end"/>
      </w:r>
      <w:r>
        <w:t xml:space="preserve"> Summary: </w:t>
      </w:r>
      <w:r w:rsidRPr="008862E1">
        <w:t>measuring</w:t>
      </w:r>
      <w:r>
        <w:t xml:space="preserve"> H2H’s</w:t>
      </w:r>
      <w:r w:rsidRPr="008862E1">
        <w:t xml:space="preserve"> performance via activity-based targets</w:t>
      </w:r>
    </w:p>
    <w:tbl>
      <w:tblPr>
        <w:tblStyle w:val="TableGrid"/>
        <w:tblW w:w="0" w:type="auto"/>
        <w:tblLook w:val="06A0" w:firstRow="1" w:lastRow="0" w:firstColumn="1" w:lastColumn="0" w:noHBand="1" w:noVBand="1"/>
      </w:tblPr>
      <w:tblGrid>
        <w:gridCol w:w="1174"/>
        <w:gridCol w:w="1915"/>
        <w:gridCol w:w="2223"/>
        <w:gridCol w:w="1899"/>
        <w:gridCol w:w="1834"/>
        <w:gridCol w:w="1149"/>
      </w:tblGrid>
      <w:tr w:rsidR="00713CF0" w14:paraId="6CB4D497" w14:textId="77777777" w:rsidTr="00DB56FC">
        <w:trPr>
          <w:cnfStyle w:val="100000000000" w:firstRow="1" w:lastRow="0" w:firstColumn="0" w:lastColumn="0" w:oddVBand="0" w:evenVBand="0" w:oddHBand="0" w:evenHBand="0" w:firstRowFirstColumn="0" w:firstRowLastColumn="0" w:lastRowFirstColumn="0" w:lastRowLastColumn="0"/>
          <w:trHeight w:val="231"/>
        </w:trPr>
        <w:tc>
          <w:tcPr>
            <w:tcW w:w="0" w:type="auto"/>
            <w:shd w:val="clear" w:color="auto" w:fill="auto"/>
            <w:vAlign w:val="center"/>
          </w:tcPr>
          <w:p w14:paraId="08C2E5A5" w14:textId="77777777" w:rsidR="00713CF0" w:rsidRPr="003421CB" w:rsidRDefault="00713CF0" w:rsidP="00A67D49">
            <w:pPr>
              <w:pStyle w:val="Body"/>
              <w:rPr>
                <w:b/>
                <w:bCs/>
              </w:rPr>
            </w:pPr>
            <w:r w:rsidRPr="003421CB">
              <w:rPr>
                <w:b/>
                <w:bCs/>
              </w:rPr>
              <w:t>Activity number</w:t>
            </w:r>
          </w:p>
        </w:tc>
        <w:tc>
          <w:tcPr>
            <w:tcW w:w="0" w:type="auto"/>
            <w:shd w:val="clear" w:color="auto" w:fill="auto"/>
            <w:vAlign w:val="center"/>
          </w:tcPr>
          <w:p w14:paraId="37F0A935" w14:textId="77777777" w:rsidR="00713CF0" w:rsidRPr="003421CB" w:rsidRDefault="00713CF0" w:rsidP="00A67D49">
            <w:pPr>
              <w:pStyle w:val="Body"/>
              <w:rPr>
                <w:b/>
                <w:bCs/>
              </w:rPr>
            </w:pPr>
            <w:r w:rsidRPr="003421CB">
              <w:rPr>
                <w:b/>
                <w:bCs/>
              </w:rPr>
              <w:t>Activity name</w:t>
            </w:r>
          </w:p>
        </w:tc>
        <w:tc>
          <w:tcPr>
            <w:tcW w:w="0" w:type="auto"/>
            <w:shd w:val="clear" w:color="auto" w:fill="auto"/>
            <w:vAlign w:val="center"/>
          </w:tcPr>
          <w:p w14:paraId="26982DEC" w14:textId="77777777" w:rsidR="00713CF0" w:rsidRPr="003421CB" w:rsidRDefault="00713CF0" w:rsidP="00A67D49">
            <w:pPr>
              <w:pStyle w:val="Body"/>
              <w:rPr>
                <w:b/>
                <w:bCs/>
              </w:rPr>
            </w:pPr>
            <w:r w:rsidRPr="003421CB">
              <w:rPr>
                <w:b/>
                <w:bCs/>
              </w:rPr>
              <w:t>Performance measure</w:t>
            </w:r>
          </w:p>
        </w:tc>
        <w:tc>
          <w:tcPr>
            <w:tcW w:w="0" w:type="auto"/>
            <w:shd w:val="clear" w:color="auto" w:fill="auto"/>
            <w:vAlign w:val="center"/>
          </w:tcPr>
          <w:p w14:paraId="37267E24" w14:textId="77777777" w:rsidR="00713CF0" w:rsidRPr="003421CB" w:rsidRDefault="00713CF0" w:rsidP="00A67D49">
            <w:pPr>
              <w:pStyle w:val="Body"/>
              <w:rPr>
                <w:b/>
                <w:bCs/>
              </w:rPr>
            </w:pPr>
            <w:r w:rsidRPr="003421CB">
              <w:rPr>
                <w:b/>
                <w:bCs/>
              </w:rPr>
              <w:t>Target</w:t>
            </w:r>
          </w:p>
        </w:tc>
        <w:tc>
          <w:tcPr>
            <w:tcW w:w="0" w:type="auto"/>
            <w:shd w:val="clear" w:color="auto" w:fill="auto"/>
            <w:vAlign w:val="center"/>
          </w:tcPr>
          <w:p w14:paraId="5AC208E3" w14:textId="77777777" w:rsidR="00713CF0" w:rsidRPr="003421CB" w:rsidRDefault="00713CF0" w:rsidP="00A67D49">
            <w:pPr>
              <w:pStyle w:val="Body"/>
              <w:rPr>
                <w:b/>
                <w:bCs/>
              </w:rPr>
            </w:pPr>
            <w:r w:rsidRPr="003421CB">
              <w:rPr>
                <w:b/>
                <w:bCs/>
              </w:rPr>
              <w:t>Data source</w:t>
            </w:r>
          </w:p>
        </w:tc>
        <w:tc>
          <w:tcPr>
            <w:tcW w:w="0" w:type="auto"/>
            <w:shd w:val="clear" w:color="auto" w:fill="auto"/>
            <w:vAlign w:val="center"/>
          </w:tcPr>
          <w:p w14:paraId="60DBD630" w14:textId="77777777" w:rsidR="00713CF0" w:rsidRPr="003421CB" w:rsidRDefault="00713CF0" w:rsidP="00A67D49">
            <w:pPr>
              <w:pStyle w:val="Body"/>
              <w:rPr>
                <w:b/>
                <w:bCs/>
              </w:rPr>
            </w:pPr>
            <w:r w:rsidRPr="003421CB">
              <w:rPr>
                <w:b/>
                <w:bCs/>
              </w:rPr>
              <w:t>Data access</w:t>
            </w:r>
          </w:p>
        </w:tc>
      </w:tr>
      <w:tr w:rsidR="00713CF0" w14:paraId="26A7B2E5" w14:textId="77777777" w:rsidTr="00DB56FC">
        <w:trPr>
          <w:trHeight w:val="610"/>
        </w:trPr>
        <w:tc>
          <w:tcPr>
            <w:tcW w:w="0" w:type="auto"/>
            <w:shd w:val="clear" w:color="auto" w:fill="auto"/>
            <w:vAlign w:val="center"/>
          </w:tcPr>
          <w:p w14:paraId="704C86EF" w14:textId="77777777" w:rsidR="00713CF0" w:rsidRPr="0036163B" w:rsidRDefault="00713CF0" w:rsidP="00A67D49">
            <w:pPr>
              <w:pStyle w:val="Body"/>
            </w:pPr>
            <w:r w:rsidRPr="5B4E368F">
              <w:rPr>
                <w:b/>
              </w:rPr>
              <w:t>94842</w:t>
            </w:r>
          </w:p>
        </w:tc>
        <w:tc>
          <w:tcPr>
            <w:tcW w:w="0" w:type="auto"/>
            <w:shd w:val="clear" w:color="auto" w:fill="auto"/>
            <w:vAlign w:val="center"/>
          </w:tcPr>
          <w:p w14:paraId="42E1762F" w14:textId="77777777" w:rsidR="00713CF0" w:rsidRPr="00243BF6" w:rsidRDefault="00713CF0" w:rsidP="00A67D49">
            <w:pPr>
              <w:pStyle w:val="Body"/>
              <w:rPr>
                <w:b/>
                <w:bCs/>
              </w:rPr>
            </w:pPr>
            <w:r w:rsidRPr="00243BF6">
              <w:rPr>
                <w:bCs/>
              </w:rPr>
              <w:t xml:space="preserve">Homelessness </w:t>
            </w:r>
            <w:r>
              <w:rPr>
                <w:bCs/>
              </w:rPr>
              <w:t>Client</w:t>
            </w:r>
            <w:r w:rsidRPr="00243BF6">
              <w:rPr>
                <w:bCs/>
              </w:rPr>
              <w:t xml:space="preserve"> support</w:t>
            </w:r>
          </w:p>
        </w:tc>
        <w:tc>
          <w:tcPr>
            <w:tcW w:w="0" w:type="auto"/>
            <w:shd w:val="clear" w:color="auto" w:fill="auto"/>
            <w:vAlign w:val="center"/>
          </w:tcPr>
          <w:p w14:paraId="5E7FD08C" w14:textId="77777777" w:rsidR="00713CF0" w:rsidRPr="00243BF6" w:rsidRDefault="00713CF0" w:rsidP="00A67D49">
            <w:pPr>
              <w:pStyle w:val="Body"/>
              <w:rPr>
                <w:b/>
                <w:bCs/>
              </w:rPr>
            </w:pPr>
            <w:r w:rsidRPr="00243BF6">
              <w:rPr>
                <w:bCs/>
              </w:rPr>
              <w:t xml:space="preserve">Number of </w:t>
            </w:r>
            <w:r>
              <w:rPr>
                <w:bCs/>
              </w:rPr>
              <w:t>Clients</w:t>
            </w:r>
            <w:r w:rsidRPr="00243BF6">
              <w:rPr>
                <w:bCs/>
              </w:rPr>
              <w:t xml:space="preserve"> supported</w:t>
            </w:r>
          </w:p>
        </w:tc>
        <w:tc>
          <w:tcPr>
            <w:tcW w:w="0" w:type="auto"/>
            <w:shd w:val="clear" w:color="auto" w:fill="auto"/>
            <w:vAlign w:val="center"/>
          </w:tcPr>
          <w:p w14:paraId="68708524" w14:textId="77777777" w:rsidR="00713CF0" w:rsidRPr="00243BF6" w:rsidRDefault="00713CF0" w:rsidP="00A67D49">
            <w:pPr>
              <w:pStyle w:val="Body"/>
              <w:rPr>
                <w:b/>
                <w:bCs/>
              </w:rPr>
            </w:pPr>
            <w:r w:rsidRPr="00243BF6">
              <w:rPr>
                <w:bCs/>
              </w:rPr>
              <w:t xml:space="preserve">Number of </w:t>
            </w:r>
            <w:r>
              <w:rPr>
                <w:bCs/>
              </w:rPr>
              <w:t>Clients</w:t>
            </w:r>
            <w:r w:rsidRPr="00243BF6">
              <w:rPr>
                <w:bCs/>
              </w:rPr>
              <w:t xml:space="preserve"> as stated in the Service Agreement (non-cumulative)</w:t>
            </w:r>
          </w:p>
        </w:tc>
        <w:tc>
          <w:tcPr>
            <w:tcW w:w="0" w:type="auto"/>
            <w:shd w:val="clear" w:color="auto" w:fill="auto"/>
            <w:vAlign w:val="center"/>
          </w:tcPr>
          <w:p w14:paraId="3FB0A0B4" w14:textId="77777777" w:rsidR="00713CF0" w:rsidRPr="00243BF6" w:rsidRDefault="00713CF0" w:rsidP="00A67D49">
            <w:pPr>
              <w:pStyle w:val="Body"/>
              <w:rPr>
                <w:b/>
                <w:bCs/>
              </w:rPr>
            </w:pPr>
            <w:r w:rsidRPr="00243BF6">
              <w:rPr>
                <w:bCs/>
              </w:rPr>
              <w:t>Homelessness Data Collection</w:t>
            </w:r>
          </w:p>
        </w:tc>
        <w:tc>
          <w:tcPr>
            <w:tcW w:w="0" w:type="auto"/>
            <w:shd w:val="clear" w:color="auto" w:fill="auto"/>
            <w:vAlign w:val="center"/>
          </w:tcPr>
          <w:p w14:paraId="7611DF12" w14:textId="77777777" w:rsidR="00713CF0" w:rsidRPr="00243BF6" w:rsidRDefault="00713CF0" w:rsidP="00A67D49">
            <w:pPr>
              <w:pStyle w:val="Body"/>
              <w:rPr>
                <w:b/>
                <w:bCs/>
              </w:rPr>
            </w:pPr>
            <w:r w:rsidRPr="00243BF6">
              <w:rPr>
                <w:bCs/>
              </w:rPr>
              <w:t xml:space="preserve">HEART </w:t>
            </w:r>
            <w:proofErr w:type="spellStart"/>
            <w:r w:rsidRPr="00243BF6">
              <w:rPr>
                <w:bCs/>
              </w:rPr>
              <w:t>PowerBI</w:t>
            </w:r>
            <w:proofErr w:type="spellEnd"/>
            <w:r w:rsidRPr="00243BF6">
              <w:rPr>
                <w:bCs/>
              </w:rPr>
              <w:t xml:space="preserve"> app</w:t>
            </w:r>
          </w:p>
        </w:tc>
      </w:tr>
      <w:tr w:rsidR="00713CF0" w14:paraId="6DD51D45" w14:textId="77777777" w:rsidTr="00DB56FC">
        <w:trPr>
          <w:trHeight w:val="610"/>
        </w:trPr>
        <w:tc>
          <w:tcPr>
            <w:tcW w:w="0" w:type="auto"/>
            <w:shd w:val="clear" w:color="auto" w:fill="auto"/>
            <w:vAlign w:val="center"/>
          </w:tcPr>
          <w:p w14:paraId="0A86D0B0" w14:textId="77777777" w:rsidR="00713CF0" w:rsidRPr="00243BF6" w:rsidRDefault="00713CF0" w:rsidP="00A67D49">
            <w:pPr>
              <w:pStyle w:val="Body"/>
              <w:rPr>
                <w:b/>
              </w:rPr>
            </w:pPr>
            <w:r w:rsidRPr="00243BF6">
              <w:rPr>
                <w:b/>
              </w:rPr>
              <w:t>94842</w:t>
            </w:r>
          </w:p>
        </w:tc>
        <w:tc>
          <w:tcPr>
            <w:tcW w:w="0" w:type="auto"/>
            <w:shd w:val="clear" w:color="auto" w:fill="auto"/>
            <w:vAlign w:val="center"/>
          </w:tcPr>
          <w:p w14:paraId="7100AD14" w14:textId="77777777" w:rsidR="00713CF0" w:rsidRPr="00243BF6" w:rsidRDefault="00713CF0" w:rsidP="00A67D49">
            <w:pPr>
              <w:pStyle w:val="Body"/>
              <w:rPr>
                <w:bCs/>
              </w:rPr>
            </w:pPr>
            <w:r w:rsidRPr="00243BF6">
              <w:rPr>
                <w:bCs/>
              </w:rPr>
              <w:t xml:space="preserve">Homelessness </w:t>
            </w:r>
            <w:r>
              <w:rPr>
                <w:bCs/>
              </w:rPr>
              <w:t>Client</w:t>
            </w:r>
            <w:r w:rsidRPr="00243BF6">
              <w:rPr>
                <w:bCs/>
              </w:rPr>
              <w:t xml:space="preserve"> support</w:t>
            </w:r>
          </w:p>
        </w:tc>
        <w:tc>
          <w:tcPr>
            <w:tcW w:w="0" w:type="auto"/>
            <w:shd w:val="clear" w:color="auto" w:fill="auto"/>
            <w:vAlign w:val="center"/>
          </w:tcPr>
          <w:p w14:paraId="41FCBA7F" w14:textId="77777777" w:rsidR="00713CF0" w:rsidRPr="00243BF6" w:rsidRDefault="00713CF0" w:rsidP="00A67D49">
            <w:pPr>
              <w:pStyle w:val="Body"/>
              <w:rPr>
                <w:bCs/>
                <w:i/>
                <w:iCs/>
              </w:rPr>
            </w:pPr>
            <w:r>
              <w:rPr>
                <w:bCs/>
              </w:rPr>
              <w:t>The p</w:t>
            </w:r>
            <w:r w:rsidRPr="00243BF6">
              <w:rPr>
                <w:bCs/>
              </w:rPr>
              <w:t xml:space="preserve">roportion of </w:t>
            </w:r>
            <w:r>
              <w:rPr>
                <w:bCs/>
              </w:rPr>
              <w:t>Clients</w:t>
            </w:r>
            <w:r w:rsidRPr="00243BF6">
              <w:rPr>
                <w:bCs/>
              </w:rPr>
              <w:t xml:space="preserve"> with an open support period in accommodation or housing</w:t>
            </w:r>
          </w:p>
        </w:tc>
        <w:tc>
          <w:tcPr>
            <w:tcW w:w="0" w:type="auto"/>
            <w:shd w:val="clear" w:color="auto" w:fill="auto"/>
            <w:vAlign w:val="center"/>
          </w:tcPr>
          <w:p w14:paraId="178B7913" w14:textId="77777777" w:rsidR="00713CF0" w:rsidRPr="00243BF6" w:rsidRDefault="00713CF0" w:rsidP="00A67D49">
            <w:pPr>
              <w:pStyle w:val="Body"/>
              <w:rPr>
                <w:bCs/>
              </w:rPr>
            </w:pPr>
            <w:r w:rsidRPr="00243BF6">
              <w:rPr>
                <w:bCs/>
              </w:rPr>
              <w:t>90 per cent (non-cumulative)</w:t>
            </w:r>
          </w:p>
        </w:tc>
        <w:tc>
          <w:tcPr>
            <w:tcW w:w="0" w:type="auto"/>
            <w:shd w:val="clear" w:color="auto" w:fill="auto"/>
            <w:vAlign w:val="center"/>
          </w:tcPr>
          <w:p w14:paraId="5CB086B2" w14:textId="77777777" w:rsidR="00713CF0" w:rsidRPr="00243BF6" w:rsidRDefault="00713CF0" w:rsidP="00A67D49">
            <w:pPr>
              <w:pStyle w:val="Body"/>
              <w:rPr>
                <w:bCs/>
              </w:rPr>
            </w:pPr>
            <w:r w:rsidRPr="00243BF6">
              <w:rPr>
                <w:bCs/>
              </w:rPr>
              <w:t>Homelessness Data Collection</w:t>
            </w:r>
          </w:p>
        </w:tc>
        <w:tc>
          <w:tcPr>
            <w:tcW w:w="0" w:type="auto"/>
            <w:shd w:val="clear" w:color="auto" w:fill="auto"/>
            <w:vAlign w:val="center"/>
          </w:tcPr>
          <w:p w14:paraId="7B2C4EBA" w14:textId="77777777" w:rsidR="00713CF0" w:rsidRPr="00243BF6" w:rsidRDefault="00713CF0" w:rsidP="00A67D49">
            <w:pPr>
              <w:pStyle w:val="Body"/>
              <w:rPr>
                <w:bCs/>
              </w:rPr>
            </w:pPr>
            <w:r w:rsidRPr="00243BF6">
              <w:rPr>
                <w:bCs/>
              </w:rPr>
              <w:t xml:space="preserve">HEART </w:t>
            </w:r>
            <w:proofErr w:type="spellStart"/>
            <w:r w:rsidRPr="00243BF6">
              <w:rPr>
                <w:bCs/>
              </w:rPr>
              <w:t>PowerBI</w:t>
            </w:r>
            <w:proofErr w:type="spellEnd"/>
            <w:r w:rsidRPr="00243BF6">
              <w:rPr>
                <w:bCs/>
              </w:rPr>
              <w:t xml:space="preserve"> app</w:t>
            </w:r>
          </w:p>
        </w:tc>
      </w:tr>
      <w:tr w:rsidR="00713CF0" w14:paraId="16AC7B98" w14:textId="77777777" w:rsidTr="00DB56FC">
        <w:trPr>
          <w:trHeight w:val="610"/>
        </w:trPr>
        <w:tc>
          <w:tcPr>
            <w:tcW w:w="0" w:type="auto"/>
            <w:shd w:val="clear" w:color="auto" w:fill="auto"/>
            <w:vAlign w:val="center"/>
          </w:tcPr>
          <w:p w14:paraId="23D0C8E5" w14:textId="77777777" w:rsidR="00713CF0" w:rsidRPr="00243BF6" w:rsidRDefault="00713CF0" w:rsidP="00A67D49">
            <w:pPr>
              <w:pStyle w:val="Body"/>
              <w:rPr>
                <w:b/>
              </w:rPr>
            </w:pPr>
            <w:r w:rsidRPr="00243BF6">
              <w:rPr>
                <w:b/>
              </w:rPr>
              <w:t>94842</w:t>
            </w:r>
          </w:p>
        </w:tc>
        <w:tc>
          <w:tcPr>
            <w:tcW w:w="0" w:type="auto"/>
            <w:shd w:val="clear" w:color="auto" w:fill="auto"/>
            <w:vAlign w:val="center"/>
          </w:tcPr>
          <w:p w14:paraId="1BB7B12A" w14:textId="77777777" w:rsidR="00713CF0" w:rsidRPr="00243BF6" w:rsidRDefault="00713CF0" w:rsidP="00A67D49">
            <w:pPr>
              <w:pStyle w:val="Body"/>
              <w:rPr>
                <w:bCs/>
              </w:rPr>
            </w:pPr>
            <w:r w:rsidRPr="00243BF6">
              <w:rPr>
                <w:bCs/>
              </w:rPr>
              <w:t xml:space="preserve">Homelessness </w:t>
            </w:r>
            <w:r>
              <w:rPr>
                <w:bCs/>
              </w:rPr>
              <w:t>Client</w:t>
            </w:r>
            <w:r w:rsidRPr="00243BF6">
              <w:rPr>
                <w:bCs/>
              </w:rPr>
              <w:t xml:space="preserve"> support</w:t>
            </w:r>
          </w:p>
        </w:tc>
        <w:tc>
          <w:tcPr>
            <w:tcW w:w="0" w:type="auto"/>
            <w:shd w:val="clear" w:color="auto" w:fill="auto"/>
            <w:vAlign w:val="center"/>
          </w:tcPr>
          <w:p w14:paraId="71146608" w14:textId="77777777" w:rsidR="00713CF0" w:rsidRPr="00243BF6" w:rsidRDefault="00713CF0" w:rsidP="00A67D49">
            <w:pPr>
              <w:pStyle w:val="Body"/>
              <w:rPr>
                <w:bCs/>
              </w:rPr>
            </w:pPr>
            <w:r w:rsidRPr="00243BF6">
              <w:rPr>
                <w:bCs/>
              </w:rPr>
              <w:t>Proportion of services provided or referred</w:t>
            </w:r>
          </w:p>
        </w:tc>
        <w:tc>
          <w:tcPr>
            <w:tcW w:w="0" w:type="auto"/>
            <w:shd w:val="clear" w:color="auto" w:fill="auto"/>
            <w:vAlign w:val="center"/>
          </w:tcPr>
          <w:p w14:paraId="369B2F94" w14:textId="77777777" w:rsidR="00713CF0" w:rsidRPr="00243BF6" w:rsidRDefault="00713CF0" w:rsidP="00A67D49">
            <w:pPr>
              <w:pStyle w:val="Body"/>
              <w:rPr>
                <w:bCs/>
              </w:rPr>
            </w:pPr>
            <w:r w:rsidRPr="00243BF6">
              <w:rPr>
                <w:bCs/>
              </w:rPr>
              <w:t>70 per cent (non-cumulative)</w:t>
            </w:r>
          </w:p>
        </w:tc>
        <w:tc>
          <w:tcPr>
            <w:tcW w:w="0" w:type="auto"/>
            <w:shd w:val="clear" w:color="auto" w:fill="auto"/>
            <w:vAlign w:val="center"/>
          </w:tcPr>
          <w:p w14:paraId="7A7CFF2D" w14:textId="77777777" w:rsidR="00713CF0" w:rsidRPr="00243BF6" w:rsidRDefault="00713CF0" w:rsidP="00A67D49">
            <w:pPr>
              <w:pStyle w:val="Body"/>
              <w:rPr>
                <w:bCs/>
              </w:rPr>
            </w:pPr>
            <w:r w:rsidRPr="00243BF6">
              <w:rPr>
                <w:bCs/>
              </w:rPr>
              <w:t>Homelessness Data Collection</w:t>
            </w:r>
          </w:p>
        </w:tc>
        <w:tc>
          <w:tcPr>
            <w:tcW w:w="0" w:type="auto"/>
            <w:shd w:val="clear" w:color="auto" w:fill="auto"/>
            <w:vAlign w:val="center"/>
          </w:tcPr>
          <w:p w14:paraId="28566D51" w14:textId="77777777" w:rsidR="00713CF0" w:rsidRPr="00243BF6" w:rsidRDefault="00713CF0" w:rsidP="00A67D49">
            <w:pPr>
              <w:pStyle w:val="Body"/>
              <w:rPr>
                <w:bCs/>
              </w:rPr>
            </w:pPr>
            <w:r w:rsidRPr="00243BF6">
              <w:rPr>
                <w:bCs/>
              </w:rPr>
              <w:t xml:space="preserve">HEART </w:t>
            </w:r>
            <w:proofErr w:type="spellStart"/>
            <w:r w:rsidRPr="00243BF6">
              <w:rPr>
                <w:bCs/>
              </w:rPr>
              <w:t>PowerBI</w:t>
            </w:r>
            <w:proofErr w:type="spellEnd"/>
            <w:r w:rsidRPr="00243BF6">
              <w:rPr>
                <w:bCs/>
              </w:rPr>
              <w:t xml:space="preserve"> app</w:t>
            </w:r>
          </w:p>
        </w:tc>
      </w:tr>
      <w:tr w:rsidR="00713CF0" w14:paraId="234BDBBB" w14:textId="77777777" w:rsidTr="00DB56FC">
        <w:trPr>
          <w:trHeight w:val="610"/>
        </w:trPr>
        <w:tc>
          <w:tcPr>
            <w:tcW w:w="0" w:type="auto"/>
            <w:shd w:val="clear" w:color="auto" w:fill="auto"/>
            <w:vAlign w:val="center"/>
          </w:tcPr>
          <w:p w14:paraId="720E2E6A" w14:textId="77777777" w:rsidR="00713CF0" w:rsidRPr="00243BF6" w:rsidRDefault="00713CF0" w:rsidP="00A67D49">
            <w:pPr>
              <w:pStyle w:val="Body"/>
              <w:rPr>
                <w:b/>
              </w:rPr>
            </w:pPr>
            <w:r w:rsidRPr="00243BF6">
              <w:rPr>
                <w:b/>
              </w:rPr>
              <w:t>94843</w:t>
            </w:r>
          </w:p>
        </w:tc>
        <w:tc>
          <w:tcPr>
            <w:tcW w:w="0" w:type="auto"/>
            <w:shd w:val="clear" w:color="auto" w:fill="auto"/>
            <w:vAlign w:val="center"/>
          </w:tcPr>
          <w:p w14:paraId="25177B31" w14:textId="77777777" w:rsidR="00713CF0" w:rsidRPr="00243BF6" w:rsidRDefault="00713CF0" w:rsidP="00A67D49">
            <w:pPr>
              <w:pStyle w:val="Body"/>
              <w:rPr>
                <w:bCs/>
              </w:rPr>
            </w:pPr>
            <w:r w:rsidRPr="00243BF6">
              <w:rPr>
                <w:bCs/>
              </w:rPr>
              <w:t xml:space="preserve">Homelessness housing </w:t>
            </w:r>
            <w:r>
              <w:rPr>
                <w:bCs/>
              </w:rPr>
              <w:t>and</w:t>
            </w:r>
            <w:r w:rsidRPr="00243BF6">
              <w:rPr>
                <w:bCs/>
              </w:rPr>
              <w:t xml:space="preserve"> tenancy administration</w:t>
            </w:r>
          </w:p>
        </w:tc>
        <w:tc>
          <w:tcPr>
            <w:tcW w:w="0" w:type="auto"/>
            <w:shd w:val="clear" w:color="auto" w:fill="auto"/>
            <w:vAlign w:val="center"/>
          </w:tcPr>
          <w:p w14:paraId="10DDC2D2" w14:textId="77777777" w:rsidR="00713CF0" w:rsidRPr="00243BF6" w:rsidRDefault="00713CF0" w:rsidP="00A67D49">
            <w:pPr>
              <w:pStyle w:val="Body"/>
              <w:rPr>
                <w:bCs/>
              </w:rPr>
            </w:pPr>
            <w:r w:rsidRPr="00243BF6">
              <w:rPr>
                <w:bCs/>
              </w:rPr>
              <w:t>Number of tenancies</w:t>
            </w:r>
          </w:p>
        </w:tc>
        <w:tc>
          <w:tcPr>
            <w:tcW w:w="0" w:type="auto"/>
            <w:shd w:val="clear" w:color="auto" w:fill="auto"/>
            <w:vAlign w:val="center"/>
          </w:tcPr>
          <w:p w14:paraId="2687B8B9" w14:textId="77777777" w:rsidR="00713CF0" w:rsidRPr="00243BF6" w:rsidRDefault="00713CF0" w:rsidP="00A67D49">
            <w:pPr>
              <w:pStyle w:val="Body"/>
              <w:rPr>
                <w:bCs/>
              </w:rPr>
            </w:pPr>
            <w:r w:rsidRPr="00243BF6">
              <w:rPr>
                <w:bCs/>
              </w:rPr>
              <w:t>Number of tenancies as stated in the Service Agreement (non-cumulative)</w:t>
            </w:r>
          </w:p>
        </w:tc>
        <w:tc>
          <w:tcPr>
            <w:tcW w:w="0" w:type="auto"/>
            <w:shd w:val="clear" w:color="auto" w:fill="auto"/>
            <w:vAlign w:val="center"/>
          </w:tcPr>
          <w:p w14:paraId="3FC66128" w14:textId="77777777" w:rsidR="00713CF0" w:rsidRPr="00243BF6" w:rsidRDefault="00713CF0" w:rsidP="00A67D49">
            <w:pPr>
              <w:pStyle w:val="Body"/>
              <w:rPr>
                <w:bCs/>
              </w:rPr>
            </w:pPr>
            <w:r w:rsidRPr="00243BF6">
              <w:rPr>
                <w:bCs/>
              </w:rPr>
              <w:t>Service delivery tracking system (SDT)</w:t>
            </w:r>
          </w:p>
        </w:tc>
        <w:tc>
          <w:tcPr>
            <w:tcW w:w="0" w:type="auto"/>
            <w:shd w:val="clear" w:color="auto" w:fill="auto"/>
            <w:vAlign w:val="center"/>
          </w:tcPr>
          <w:p w14:paraId="388A0E1A" w14:textId="77777777" w:rsidR="00713CF0" w:rsidRPr="00243BF6" w:rsidRDefault="00713CF0" w:rsidP="00A67D49">
            <w:pPr>
              <w:pStyle w:val="Body"/>
              <w:rPr>
                <w:bCs/>
              </w:rPr>
            </w:pPr>
            <w:r w:rsidRPr="00243BF6">
              <w:rPr>
                <w:bCs/>
              </w:rPr>
              <w:t>SDT</w:t>
            </w:r>
          </w:p>
        </w:tc>
      </w:tr>
      <w:tr w:rsidR="00713CF0" w14:paraId="32BE4AC8" w14:textId="77777777" w:rsidTr="00DB56FC">
        <w:trPr>
          <w:trHeight w:val="610"/>
        </w:trPr>
        <w:tc>
          <w:tcPr>
            <w:tcW w:w="0" w:type="auto"/>
            <w:shd w:val="clear" w:color="auto" w:fill="auto"/>
            <w:vAlign w:val="center"/>
          </w:tcPr>
          <w:p w14:paraId="30395812" w14:textId="77777777" w:rsidR="00713CF0" w:rsidRPr="00243BF6" w:rsidRDefault="00713CF0" w:rsidP="00A67D49">
            <w:pPr>
              <w:pStyle w:val="Body"/>
              <w:rPr>
                <w:b/>
              </w:rPr>
            </w:pPr>
            <w:r w:rsidRPr="00243BF6">
              <w:rPr>
                <w:b/>
              </w:rPr>
              <w:t>94844</w:t>
            </w:r>
          </w:p>
        </w:tc>
        <w:tc>
          <w:tcPr>
            <w:tcW w:w="0" w:type="auto"/>
            <w:shd w:val="clear" w:color="auto" w:fill="auto"/>
            <w:vAlign w:val="center"/>
          </w:tcPr>
          <w:p w14:paraId="22F47ACA" w14:textId="77777777" w:rsidR="00713CF0" w:rsidRPr="00243BF6" w:rsidRDefault="00713CF0" w:rsidP="00A67D49">
            <w:pPr>
              <w:pStyle w:val="Body"/>
              <w:rPr>
                <w:bCs/>
              </w:rPr>
            </w:pPr>
            <w:r w:rsidRPr="00243BF6">
              <w:rPr>
                <w:bCs/>
              </w:rPr>
              <w:t>Homelessness flexible funding</w:t>
            </w:r>
          </w:p>
        </w:tc>
        <w:tc>
          <w:tcPr>
            <w:tcW w:w="0" w:type="auto"/>
            <w:shd w:val="clear" w:color="auto" w:fill="auto"/>
            <w:vAlign w:val="center"/>
          </w:tcPr>
          <w:p w14:paraId="18175F77" w14:textId="77777777" w:rsidR="00713CF0" w:rsidRPr="00243BF6" w:rsidRDefault="00713CF0" w:rsidP="00A67D49">
            <w:pPr>
              <w:pStyle w:val="Body"/>
              <w:rPr>
                <w:bCs/>
              </w:rPr>
            </w:pPr>
            <w:r w:rsidRPr="00243BF6">
              <w:rPr>
                <w:bCs/>
              </w:rPr>
              <w:t>Number of households assisted</w:t>
            </w:r>
          </w:p>
        </w:tc>
        <w:tc>
          <w:tcPr>
            <w:tcW w:w="0" w:type="auto"/>
            <w:shd w:val="clear" w:color="auto" w:fill="auto"/>
            <w:vAlign w:val="center"/>
          </w:tcPr>
          <w:p w14:paraId="53B62807" w14:textId="77777777" w:rsidR="00713CF0" w:rsidRPr="00243BF6" w:rsidRDefault="00713CF0" w:rsidP="00A67D49">
            <w:pPr>
              <w:pStyle w:val="Body"/>
              <w:rPr>
                <w:bCs/>
              </w:rPr>
            </w:pPr>
            <w:r w:rsidRPr="00243BF6">
              <w:rPr>
                <w:bCs/>
              </w:rPr>
              <w:t xml:space="preserve">Number of households assisted as stated in the </w:t>
            </w:r>
            <w:r w:rsidRPr="00243BF6">
              <w:rPr>
                <w:bCs/>
              </w:rPr>
              <w:lastRenderedPageBreak/>
              <w:t>Service Agreement (cumulative)</w:t>
            </w:r>
          </w:p>
        </w:tc>
        <w:tc>
          <w:tcPr>
            <w:tcW w:w="0" w:type="auto"/>
            <w:shd w:val="clear" w:color="auto" w:fill="auto"/>
            <w:vAlign w:val="center"/>
          </w:tcPr>
          <w:p w14:paraId="0E2A7F8B" w14:textId="77777777" w:rsidR="00713CF0" w:rsidRPr="00243BF6" w:rsidRDefault="00713CF0" w:rsidP="00A67D49">
            <w:pPr>
              <w:pStyle w:val="Body"/>
              <w:rPr>
                <w:bCs/>
              </w:rPr>
            </w:pPr>
            <w:r w:rsidRPr="00243BF6">
              <w:rPr>
                <w:bCs/>
              </w:rPr>
              <w:lastRenderedPageBreak/>
              <w:t>Homelessness Data Collection</w:t>
            </w:r>
          </w:p>
        </w:tc>
        <w:tc>
          <w:tcPr>
            <w:tcW w:w="0" w:type="auto"/>
            <w:shd w:val="clear" w:color="auto" w:fill="auto"/>
            <w:vAlign w:val="center"/>
          </w:tcPr>
          <w:p w14:paraId="0F6BB9A9" w14:textId="77777777" w:rsidR="00713CF0" w:rsidRPr="00243BF6" w:rsidRDefault="00713CF0" w:rsidP="00A67D49">
            <w:pPr>
              <w:pStyle w:val="Body"/>
              <w:rPr>
                <w:bCs/>
              </w:rPr>
            </w:pPr>
            <w:r w:rsidRPr="00243BF6">
              <w:rPr>
                <w:bCs/>
              </w:rPr>
              <w:t xml:space="preserve">HEART </w:t>
            </w:r>
            <w:proofErr w:type="spellStart"/>
            <w:r w:rsidRPr="00243BF6">
              <w:rPr>
                <w:bCs/>
              </w:rPr>
              <w:t>PowerBI</w:t>
            </w:r>
            <w:proofErr w:type="spellEnd"/>
            <w:r w:rsidRPr="00243BF6">
              <w:rPr>
                <w:bCs/>
              </w:rPr>
              <w:t xml:space="preserve"> app</w:t>
            </w:r>
          </w:p>
        </w:tc>
      </w:tr>
    </w:tbl>
    <w:p w14:paraId="4947B1F3" w14:textId="77777777" w:rsidR="00713CF0" w:rsidRDefault="00713CF0" w:rsidP="00A67D49">
      <w:pPr>
        <w:pStyle w:val="Heading2"/>
      </w:pPr>
      <w:bookmarkStart w:id="217" w:name="_Toc121134139"/>
      <w:r>
        <w:t>What are delivered targets?</w:t>
      </w:r>
      <w:bookmarkEnd w:id="217"/>
    </w:p>
    <w:p w14:paraId="5E828234" w14:textId="77777777" w:rsidR="00713CF0" w:rsidRPr="00066629" w:rsidRDefault="00713CF0" w:rsidP="00A67D49">
      <w:pPr>
        <w:pStyle w:val="Body"/>
      </w:pPr>
      <w:r>
        <w:t xml:space="preserve">Delivered targets are listed in the H2H Community Partners service agreement for each of the three activities funded through this program. </w:t>
      </w:r>
    </w:p>
    <w:p w14:paraId="4FC9F74E" w14:textId="77777777" w:rsidR="00713CF0" w:rsidRPr="00157CE1" w:rsidRDefault="00713CF0" w:rsidP="00A67D49">
      <w:pPr>
        <w:pStyle w:val="Heading2"/>
      </w:pPr>
      <w:bookmarkStart w:id="218" w:name="_Toc415497431"/>
      <w:bookmarkStart w:id="219" w:name="_Toc121134140"/>
      <w:r w:rsidRPr="00157CE1">
        <w:t>How are funded targets and delivered targets measured?</w:t>
      </w:r>
      <w:bookmarkEnd w:id="218"/>
      <w:bookmarkEnd w:id="219"/>
    </w:p>
    <w:p w14:paraId="12215331" w14:textId="77777777" w:rsidR="00713CF0" w:rsidRPr="00157CE1" w:rsidRDefault="00713CF0" w:rsidP="00A67D49">
      <w:pPr>
        <w:pStyle w:val="Body"/>
      </w:pPr>
      <w:r>
        <w:t>H2H Community Partners</w:t>
      </w:r>
      <w:r w:rsidRPr="006B4ACD">
        <w:t xml:space="preserve"> performance is measured by comparing the total funded targets with the targets delivered at a divisional level for that quarter.</w:t>
      </w:r>
    </w:p>
    <w:p w14:paraId="238128D6" w14:textId="77777777" w:rsidR="00713CF0" w:rsidRPr="00157CE1" w:rsidRDefault="00713CF0" w:rsidP="00A67D49">
      <w:pPr>
        <w:pStyle w:val="Body"/>
      </w:pPr>
      <w:r w:rsidRPr="00157CE1">
        <w:t>Funded targets are the units for each performance measure specified in the consortium’s service agreement and recorded in the referenced data source collection in the funded activity descriptor.</w:t>
      </w:r>
    </w:p>
    <w:p w14:paraId="2D086FC3" w14:textId="77777777" w:rsidR="00713CF0" w:rsidRDefault="00713CF0" w:rsidP="00A67D49">
      <w:pPr>
        <w:pStyle w:val="Body"/>
      </w:pPr>
      <w:r w:rsidRPr="0076117A">
        <w:rPr>
          <w:b/>
          <w:bCs/>
          <w:u w:val="single"/>
        </w:rPr>
        <w:t>H2H Community Partners</w:t>
      </w:r>
      <w:r>
        <w:rPr>
          <w:b/>
          <w:bCs/>
          <w:u w:val="single"/>
        </w:rPr>
        <w:t xml:space="preserve"> are expected to meet 100% of their targets.</w:t>
      </w:r>
    </w:p>
    <w:p w14:paraId="37B45366" w14:textId="77777777" w:rsidR="00713CF0" w:rsidRDefault="00713CF0" w:rsidP="00A67D49">
      <w:pPr>
        <w:pStyle w:val="Heading2"/>
      </w:pPr>
      <w:bookmarkStart w:id="220" w:name="_Toc121134141"/>
      <w:r>
        <w:t>Formula</w:t>
      </w:r>
      <w:bookmarkEnd w:id="220"/>
    </w:p>
    <w:p w14:paraId="1BF03571" w14:textId="0995FA33" w:rsidR="00713CF0" w:rsidRDefault="00713CF0" w:rsidP="00A67D49">
      <w:pPr>
        <w:pStyle w:val="Body"/>
      </w:pPr>
      <w:r w:rsidRPr="00520BE8">
        <w:t>(</w:t>
      </w:r>
      <w:r w:rsidR="00A67D49">
        <w:t>Q</w:t>
      </w:r>
      <w:r w:rsidRPr="00520BE8">
        <w:t xml:space="preserve">uarterly results for the performance measures for each funded activity) </w:t>
      </w:r>
      <w:r>
        <w:t>divided by (activity-based target) times 100 = (performance result).</w:t>
      </w:r>
    </w:p>
    <w:p w14:paraId="693EEB2B" w14:textId="77777777" w:rsidR="00713CF0" w:rsidRPr="00157CE1" w:rsidRDefault="00713CF0" w:rsidP="00A67D49">
      <w:pPr>
        <w:pStyle w:val="Heading2"/>
      </w:pPr>
      <w:bookmarkStart w:id="221" w:name="_Toc415497433"/>
      <w:bookmarkStart w:id="222" w:name="_Toc121134142"/>
      <w:r w:rsidRPr="00157CE1">
        <w:t>How is performance assessed?</w:t>
      </w:r>
      <w:bookmarkEnd w:id="221"/>
      <w:bookmarkEnd w:id="222"/>
      <w:r w:rsidRPr="00157CE1">
        <w:t xml:space="preserve"> </w:t>
      </w:r>
    </w:p>
    <w:p w14:paraId="2DD0B686" w14:textId="77777777" w:rsidR="00713CF0" w:rsidRDefault="00713CF0" w:rsidP="00A67D49">
      <w:pPr>
        <w:pStyle w:val="Body"/>
      </w:pPr>
      <w:r w:rsidRPr="00012C36">
        <w:t xml:space="preserve">Performance is assessed on an activity basis at a divisional level. </w:t>
      </w:r>
      <w:r>
        <w:t>Therefore, a</w:t>
      </w:r>
      <w:r w:rsidRPr="00012C36">
        <w:t>ny action taken in relation to under-performance also occurs on an activity basis at a divisional level.</w:t>
      </w:r>
      <w:r>
        <w:t xml:space="preserve"> </w:t>
      </w:r>
    </w:p>
    <w:p w14:paraId="3AF70DB8" w14:textId="77777777" w:rsidR="00713CF0" w:rsidRDefault="00713CF0" w:rsidP="00A67D49">
      <w:pPr>
        <w:pStyle w:val="Heading2"/>
      </w:pPr>
      <w:bookmarkStart w:id="223" w:name="_Toc415497434"/>
      <w:bookmarkStart w:id="224" w:name="_Toc121134143"/>
      <w:r>
        <w:t>When is performance measured?</w:t>
      </w:r>
      <w:bookmarkEnd w:id="223"/>
      <w:bookmarkEnd w:id="224"/>
    </w:p>
    <w:p w14:paraId="32D619EC" w14:textId="77777777" w:rsidR="00713CF0" w:rsidRDefault="00713CF0" w:rsidP="00A67D49">
      <w:pPr>
        <w:pStyle w:val="Body"/>
      </w:pPr>
      <w:r>
        <w:t xml:space="preserve">Performance is measured quarterly. </w:t>
      </w:r>
    </w:p>
    <w:p w14:paraId="5AAD308D" w14:textId="77777777" w:rsidR="00713CF0" w:rsidRDefault="00713CF0" w:rsidP="00A67D49">
      <w:pPr>
        <w:pStyle w:val="Heading2"/>
      </w:pPr>
      <w:bookmarkStart w:id="225" w:name="_Toc415497436"/>
      <w:bookmarkStart w:id="226" w:name="_Toc121134144"/>
      <w:r>
        <w:t>How are quarters defined?</w:t>
      </w:r>
      <w:bookmarkEnd w:id="225"/>
      <w:bookmarkEnd w:id="226"/>
    </w:p>
    <w:p w14:paraId="412C6571" w14:textId="77777777" w:rsidR="00713CF0" w:rsidRPr="00E90BC6" w:rsidRDefault="00713CF0" w:rsidP="00A67D49">
      <w:pPr>
        <w:pStyle w:val="Body"/>
      </w:pPr>
      <w:r w:rsidRPr="00E90BC6">
        <w:t>Quarters are defined as follows:</w:t>
      </w:r>
    </w:p>
    <w:p w14:paraId="5F3C802F" w14:textId="77777777" w:rsidR="00713CF0" w:rsidRPr="00E90BC6" w:rsidRDefault="00713CF0" w:rsidP="00A67D49">
      <w:pPr>
        <w:pStyle w:val="Bullet1"/>
      </w:pPr>
      <w:r>
        <w:t>Quarter 1 (January – March/ 2021)</w:t>
      </w:r>
    </w:p>
    <w:p w14:paraId="2F0E66A3" w14:textId="77777777" w:rsidR="00713CF0" w:rsidRPr="00E90BC6" w:rsidRDefault="00713CF0" w:rsidP="00A67D49">
      <w:pPr>
        <w:pStyle w:val="Bullet1"/>
      </w:pPr>
      <w:r>
        <w:t>Quarter 2 (April – June/ 2021)</w:t>
      </w:r>
    </w:p>
    <w:p w14:paraId="568453B4" w14:textId="77777777" w:rsidR="00713CF0" w:rsidRPr="00E90BC6" w:rsidRDefault="00713CF0" w:rsidP="00A67D49">
      <w:pPr>
        <w:pStyle w:val="Bullet1"/>
      </w:pPr>
      <w:r>
        <w:t>Quarter 3 (July – September/ 2021)</w:t>
      </w:r>
    </w:p>
    <w:p w14:paraId="2D8C0E16" w14:textId="77777777" w:rsidR="00713CF0" w:rsidRPr="00E90BC6" w:rsidRDefault="00713CF0" w:rsidP="00A67D49">
      <w:pPr>
        <w:pStyle w:val="Bullet1"/>
      </w:pPr>
      <w:r>
        <w:t>Quarter 4 (October – December/ 2021)</w:t>
      </w:r>
    </w:p>
    <w:p w14:paraId="710538D5" w14:textId="77777777" w:rsidR="00713CF0" w:rsidRPr="00E90BC6" w:rsidRDefault="00713CF0" w:rsidP="00A67D49">
      <w:pPr>
        <w:pStyle w:val="Bullet1"/>
      </w:pPr>
      <w:r>
        <w:t>Quarter 5 (January – March/ 2022)</w:t>
      </w:r>
    </w:p>
    <w:p w14:paraId="70623139" w14:textId="77777777" w:rsidR="00713CF0" w:rsidRPr="00E90BC6" w:rsidRDefault="00713CF0" w:rsidP="00A67D49">
      <w:pPr>
        <w:pStyle w:val="Bullet1"/>
      </w:pPr>
      <w:r>
        <w:t>Quarter 6 (April – June / 2022)</w:t>
      </w:r>
    </w:p>
    <w:p w14:paraId="02073CA4" w14:textId="77777777" w:rsidR="00713CF0" w:rsidRPr="00E90BC6" w:rsidRDefault="00713CF0" w:rsidP="00A67D49">
      <w:pPr>
        <w:pStyle w:val="Bullet1"/>
      </w:pPr>
      <w:r>
        <w:t>Quarter 7 (July – September/ 2022)</w:t>
      </w:r>
    </w:p>
    <w:p w14:paraId="6AAE0677" w14:textId="77777777" w:rsidR="00713CF0" w:rsidRPr="00E90BC6" w:rsidRDefault="00713CF0" w:rsidP="00A67D49">
      <w:pPr>
        <w:pStyle w:val="Bullet1"/>
      </w:pPr>
      <w:r>
        <w:t>Quarter 8 (October – December/ 2022)</w:t>
      </w:r>
    </w:p>
    <w:p w14:paraId="313AE77D" w14:textId="77777777" w:rsidR="00713CF0" w:rsidRPr="004C539B" w:rsidRDefault="00713CF0" w:rsidP="00A67D49">
      <w:pPr>
        <w:pStyle w:val="Heading2"/>
        <w:rPr>
          <w:rFonts w:eastAsia="MS Gothic"/>
          <w:szCs w:val="26"/>
        </w:rPr>
      </w:pPr>
      <w:bookmarkStart w:id="227" w:name="_Toc415497437"/>
      <w:bookmarkStart w:id="228" w:name="_Toc56612611"/>
      <w:bookmarkStart w:id="229" w:name="_Toc57111862"/>
      <w:bookmarkStart w:id="230" w:name="_Toc57819643"/>
      <w:bookmarkStart w:id="231" w:name="_Toc121134145"/>
      <w:r w:rsidRPr="003D0FF2">
        <w:lastRenderedPageBreak/>
        <w:t>What is under-performance?</w:t>
      </w:r>
      <w:bookmarkEnd w:id="227"/>
      <w:bookmarkEnd w:id="228"/>
      <w:bookmarkEnd w:id="229"/>
      <w:bookmarkEnd w:id="230"/>
      <w:bookmarkEnd w:id="231"/>
    </w:p>
    <w:p w14:paraId="3BCF723D" w14:textId="1D662CE3" w:rsidR="00713CF0" w:rsidRDefault="00713CF0" w:rsidP="00A67D49">
      <w:pPr>
        <w:pStyle w:val="Body"/>
      </w:pPr>
      <w:r>
        <w:t>H2H Community Partners</w:t>
      </w:r>
      <w:r w:rsidRPr="00E90BC6">
        <w:t xml:space="preserve"> are expected to fully deliver against the total funded activity-based targets,</w:t>
      </w:r>
      <w:r>
        <w:t xml:space="preserve"> and </w:t>
      </w:r>
      <w:r w:rsidRPr="00940BC2">
        <w:t>the department will investigate instances where performance falls below 90% and take action</w:t>
      </w:r>
      <w:r>
        <w:t>.</w:t>
      </w:r>
      <w:r w:rsidRPr="00E90BC6">
        <w:t xml:space="preserve"> To understand what is leading to these issues</w:t>
      </w:r>
      <w:r>
        <w:t xml:space="preserve">. </w:t>
      </w:r>
      <w:r w:rsidR="00E52FBA">
        <w:t>Homes Victoria</w:t>
      </w:r>
      <w:r>
        <w:t xml:space="preserve"> </w:t>
      </w:r>
      <w:r w:rsidRPr="00E90BC6">
        <w:t xml:space="preserve">should request information from </w:t>
      </w:r>
      <w:r>
        <w:t>H2H Community Partners</w:t>
      </w:r>
      <w:r w:rsidRPr="00E90BC6">
        <w:t xml:space="preserve"> for further information/ clarification.</w:t>
      </w:r>
      <w:r>
        <w:t xml:space="preserve"> </w:t>
      </w:r>
    </w:p>
    <w:p w14:paraId="205E611C" w14:textId="77777777" w:rsidR="00713CF0" w:rsidRPr="00E90BC6" w:rsidRDefault="00713CF0" w:rsidP="00A67D49">
      <w:pPr>
        <w:pStyle w:val="Heading2"/>
      </w:pPr>
      <w:bookmarkStart w:id="232" w:name="_Toc121134146"/>
      <w:bookmarkStart w:id="233" w:name="_Toc415497438"/>
      <w:r w:rsidRPr="00E90BC6">
        <w:t>Identifying areas of program under-performance</w:t>
      </w:r>
      <w:bookmarkEnd w:id="232"/>
    </w:p>
    <w:p w14:paraId="5FC02591" w14:textId="77777777" w:rsidR="00713CF0" w:rsidRPr="00E90BC6" w:rsidRDefault="00713CF0" w:rsidP="00A67D49">
      <w:pPr>
        <w:pStyle w:val="Body"/>
      </w:pPr>
      <w:r w:rsidRPr="00E90BC6">
        <w:t xml:space="preserve">Program under-performance will be primarily based on targets included in the funded activity descriptors, on a </w:t>
      </w:r>
      <w:r>
        <w:t>H2H Community Partner</w:t>
      </w:r>
      <w:r w:rsidRPr="00E90BC6">
        <w:t xml:space="preserve"> basis, with consideration of analysis from other data sources used in program monitoring, such as outcomes data and qualitative information, as needed.</w:t>
      </w:r>
    </w:p>
    <w:p w14:paraId="696E26EE" w14:textId="77777777" w:rsidR="00713CF0" w:rsidRPr="00D1665F" w:rsidRDefault="00713CF0" w:rsidP="00A67D49">
      <w:pPr>
        <w:pStyle w:val="Body"/>
      </w:pPr>
      <w:r>
        <w:t>H2H Community Partners</w:t>
      </w:r>
      <w:r w:rsidRPr="00E90BC6">
        <w:t xml:space="preserve"> </w:t>
      </w:r>
      <w:r>
        <w:t>that</w:t>
      </w:r>
      <w:r w:rsidRPr="00E90BC6">
        <w:t xml:space="preserve"> do not meet one or more of their targets, and do not provide a satisfactory rationale for it to the local area, will be required to submit data monthly for (at least) the following quarter. This will allow the </w:t>
      </w:r>
      <w:r>
        <w:t>H2H Community Partners</w:t>
      </w:r>
      <w:r w:rsidRPr="00E90BC6">
        <w:t xml:space="preserve"> and the local area to monitor what is influencing this and work collaborative to resolve it.</w:t>
      </w:r>
    </w:p>
    <w:p w14:paraId="41D870F2" w14:textId="77777777" w:rsidR="00713CF0" w:rsidRPr="00D1665F" w:rsidRDefault="00713CF0" w:rsidP="00A67D49">
      <w:pPr>
        <w:pStyle w:val="Heading2"/>
      </w:pPr>
      <w:bookmarkStart w:id="234" w:name="_Toc121134147"/>
      <w:r w:rsidRPr="00D1665F">
        <w:t>Request for clarification</w:t>
      </w:r>
      <w:bookmarkEnd w:id="234"/>
      <w:r w:rsidRPr="00D1665F">
        <w:t xml:space="preserve"> </w:t>
      </w:r>
    </w:p>
    <w:p w14:paraId="2771D0C1" w14:textId="6BAA260A" w:rsidR="00713CF0" w:rsidRPr="00D1665F" w:rsidRDefault="00E52FBA" w:rsidP="00A67D49">
      <w:pPr>
        <w:pStyle w:val="Body"/>
      </w:pPr>
      <w:r>
        <w:t xml:space="preserve">Homes Victoria </w:t>
      </w:r>
      <w:r w:rsidR="00713CF0" w:rsidRPr="00D1665F">
        <w:t>will document the issue/s regarding a consortium’s under-performance and</w:t>
      </w:r>
      <w:r w:rsidR="00713CF0">
        <w:t xml:space="preserve"> (in consultation with the H2H Program Manager)</w:t>
      </w:r>
      <w:r w:rsidR="00713CF0" w:rsidRPr="00D1665F">
        <w:t xml:space="preserve"> may request </w:t>
      </w:r>
      <w:r w:rsidR="00713CF0">
        <w:t>H2H Community Partners</w:t>
      </w:r>
      <w:r w:rsidR="00713CF0" w:rsidRPr="00D1665F">
        <w:t xml:space="preserve"> for further information/ clarification.</w:t>
      </w:r>
    </w:p>
    <w:p w14:paraId="5462319C" w14:textId="77777777" w:rsidR="00713CF0" w:rsidRPr="00D1665F" w:rsidRDefault="00713CF0" w:rsidP="00A67D49">
      <w:pPr>
        <w:pStyle w:val="Body"/>
      </w:pPr>
      <w:r w:rsidRPr="005707BB">
        <w:t>Unresolved issue/s will remain on the agenda for discussion until it has been determined by both parties that the issue/s has been adequately addressed and sustained improvement has been achieved.</w:t>
      </w:r>
    </w:p>
    <w:p w14:paraId="56162209" w14:textId="77777777" w:rsidR="00713CF0" w:rsidRPr="004C539B" w:rsidRDefault="00713CF0" w:rsidP="00A67D49">
      <w:pPr>
        <w:pStyle w:val="Heading2"/>
        <w:rPr>
          <w:rFonts w:eastAsia="MS Gothic"/>
          <w:szCs w:val="26"/>
        </w:rPr>
      </w:pPr>
      <w:bookmarkStart w:id="235" w:name="_Toc56612612"/>
      <w:bookmarkStart w:id="236" w:name="_Toc57111863"/>
      <w:bookmarkStart w:id="237" w:name="_Toc57819644"/>
      <w:bookmarkStart w:id="238" w:name="_Toc121134148"/>
      <w:bookmarkEnd w:id="233"/>
      <w:r w:rsidRPr="003D0FF2">
        <w:t>Target/ Funding review</w:t>
      </w:r>
      <w:bookmarkEnd w:id="235"/>
      <w:bookmarkEnd w:id="236"/>
      <w:bookmarkEnd w:id="237"/>
      <w:bookmarkEnd w:id="238"/>
    </w:p>
    <w:p w14:paraId="2A24907B" w14:textId="77777777" w:rsidR="00713CF0" w:rsidRDefault="00713CF0" w:rsidP="00A67D49">
      <w:pPr>
        <w:pStyle w:val="Body"/>
      </w:pPr>
      <w:r>
        <w:t xml:space="preserve">The department is committed to working with any service provider or consortium to collaboratively use data to inform service improvement. </w:t>
      </w:r>
    </w:p>
    <w:p w14:paraId="57C79706" w14:textId="77777777" w:rsidR="00713CF0" w:rsidRDefault="00713CF0" w:rsidP="00A67D49">
      <w:pPr>
        <w:pStyle w:val="Body"/>
      </w:pPr>
      <w:r>
        <w:t>There are discrete actions involved in the response to and management of under-performance against activity-based targets.</w:t>
      </w:r>
    </w:p>
    <w:p w14:paraId="1EF9A0F1" w14:textId="77777777" w:rsidR="00713CF0" w:rsidRDefault="00713CF0" w:rsidP="00A67D49">
      <w:pPr>
        <w:pStyle w:val="Heading2"/>
      </w:pPr>
      <w:bookmarkStart w:id="239" w:name="_Toc415497440"/>
      <w:bookmarkStart w:id="240" w:name="_Toc121134149"/>
      <w:r>
        <w:t>Review of Performance</w:t>
      </w:r>
      <w:bookmarkEnd w:id="239"/>
      <w:bookmarkEnd w:id="240"/>
    </w:p>
    <w:p w14:paraId="699FF645" w14:textId="77777777" w:rsidR="00713CF0" w:rsidRDefault="00713CF0" w:rsidP="00A67D49">
      <w:pPr>
        <w:pStyle w:val="Body"/>
      </w:pPr>
      <w:r>
        <w:t xml:space="preserve">At the end of each quarter the department will review and consider the performance of all H2H Community Partners based on the data provided (as per funded activity descriptors). </w:t>
      </w:r>
    </w:p>
    <w:p w14:paraId="38B7A22A" w14:textId="77777777" w:rsidR="00713CF0" w:rsidRDefault="00713CF0" w:rsidP="00A67D49">
      <w:pPr>
        <w:pStyle w:val="Body"/>
      </w:pPr>
      <w:r>
        <w:t xml:space="preserve">If the department determines a consortium is capable of meeting or exceeding the minimum required performance threshold in the following quarter, it will continue to receive the same level of funding. However, if meeting this threshold is not feasible, targets will be reduced to a more achievable level as informed by the consortium’s recent performance. </w:t>
      </w:r>
    </w:p>
    <w:p w14:paraId="77D4EAB7" w14:textId="77777777" w:rsidR="00713CF0" w:rsidRDefault="00713CF0" w:rsidP="00A67D49">
      <w:pPr>
        <w:pStyle w:val="Body"/>
      </w:pPr>
      <w:r>
        <w:t xml:space="preserve">Regular review of performance also enables the identification of H2H Community Partners with a capacity to provide additional targets, who could be considered in the reallocation of targets. </w:t>
      </w:r>
    </w:p>
    <w:p w14:paraId="3E3D56EE" w14:textId="77777777" w:rsidR="00713CF0" w:rsidRDefault="00713CF0" w:rsidP="00A67D49">
      <w:pPr>
        <w:pStyle w:val="Heading2"/>
      </w:pPr>
      <w:bookmarkStart w:id="241" w:name="_Toc121134150"/>
      <w:r>
        <w:lastRenderedPageBreak/>
        <w:t>Performance Improvement Action Plan (PIAP)</w:t>
      </w:r>
      <w:bookmarkEnd w:id="241"/>
    </w:p>
    <w:p w14:paraId="523CCA64" w14:textId="77777777" w:rsidR="00713CF0" w:rsidRDefault="00713CF0" w:rsidP="00A67D49">
      <w:pPr>
        <w:pStyle w:val="Body"/>
      </w:pPr>
      <w:r>
        <w:t>Where a consortium fails to achieve the minimum required performance threshold but has an existing or immediate and viable plan to meet or exceed the minimum required performance threshold, the provider can submit a PIAP to demonstrate its intended approach to achieve targets and retain funding. The PIAP will be a key tool used in the review of performance in the following quarter.</w:t>
      </w:r>
    </w:p>
    <w:p w14:paraId="012D47AE" w14:textId="77777777" w:rsidR="00713CF0" w:rsidRPr="00E90BC6" w:rsidRDefault="00713CF0" w:rsidP="00A67D49">
      <w:pPr>
        <w:pStyle w:val="Heading3"/>
      </w:pPr>
      <w:bookmarkStart w:id="242" w:name="_Toc415497441"/>
      <w:r w:rsidRPr="00E90BC6">
        <w:t xml:space="preserve">Target </w:t>
      </w:r>
      <w:r w:rsidRPr="00A67D49">
        <w:t>Adjustment</w:t>
      </w:r>
      <w:bookmarkEnd w:id="242"/>
    </w:p>
    <w:p w14:paraId="4123A086" w14:textId="77777777" w:rsidR="00713CF0" w:rsidRPr="00E90BC6" w:rsidRDefault="00713CF0" w:rsidP="00A67D49">
      <w:pPr>
        <w:pStyle w:val="Body"/>
      </w:pPr>
      <w:r w:rsidRPr="00E90BC6">
        <w:t>Target and/or funding review will be considered in case of:</w:t>
      </w:r>
    </w:p>
    <w:p w14:paraId="0ED20502" w14:textId="77777777" w:rsidR="00713CF0" w:rsidRPr="00E90BC6" w:rsidRDefault="00713CF0" w:rsidP="00B037CC">
      <w:pPr>
        <w:pStyle w:val="Body"/>
        <w:numPr>
          <w:ilvl w:val="0"/>
          <w:numId w:val="32"/>
        </w:numPr>
      </w:pPr>
      <w:r w:rsidRPr="00E90BC6">
        <w:t xml:space="preserve">under-performance of mandatory output targets (at a rate at least ten per cent lower than the threshold) for two consecutive program monitoring cycles (i.e., six months), with no satisfactory implementation of rectifying actions; AND </w:t>
      </w:r>
    </w:p>
    <w:p w14:paraId="2A16D1E1" w14:textId="77777777" w:rsidR="00713CF0" w:rsidRPr="00E90BC6" w:rsidRDefault="00713CF0" w:rsidP="00B037CC">
      <w:pPr>
        <w:pStyle w:val="Body"/>
        <w:numPr>
          <w:ilvl w:val="0"/>
          <w:numId w:val="32"/>
        </w:numPr>
      </w:pPr>
      <w:r w:rsidRPr="00E90BC6">
        <w:t>another program performance-related issue has been identified. Examples of such challenges are (but not limited to):</w:t>
      </w:r>
    </w:p>
    <w:p w14:paraId="487E6866" w14:textId="77777777" w:rsidR="00713CF0" w:rsidRPr="00DB56FC" w:rsidRDefault="00713CF0" w:rsidP="00A67D49">
      <w:pPr>
        <w:pStyle w:val="Bulletpoints"/>
        <w:rPr>
          <w:rFonts w:ascii="Verdana" w:hAnsi="Verdana"/>
        </w:rPr>
      </w:pPr>
      <w:r w:rsidRPr="00DB56FC">
        <w:rPr>
          <w:rFonts w:ascii="Verdana" w:hAnsi="Verdana"/>
        </w:rPr>
        <w:t xml:space="preserve">poor results in other areas of the program’s service delivery (e.g., lower rate of provision of general services such as basic assistance, advocacy, and personal assistance; majority of Clients without a case plan), based on HDC reported data. </w:t>
      </w:r>
    </w:p>
    <w:p w14:paraId="3477EBB8" w14:textId="77777777" w:rsidR="00713CF0" w:rsidRPr="00DB56FC" w:rsidRDefault="00713CF0" w:rsidP="00A67D49">
      <w:pPr>
        <w:pStyle w:val="Bulletpoints"/>
        <w:rPr>
          <w:rFonts w:ascii="Verdana" w:hAnsi="Verdana"/>
        </w:rPr>
      </w:pPr>
      <w:r w:rsidRPr="00DB56FC">
        <w:rPr>
          <w:rFonts w:ascii="Verdana" w:hAnsi="Verdana"/>
        </w:rPr>
        <w:t xml:space="preserve">poor level of collaborative engagement with other stakeholders in the local area/ HEART, which can compromise meeting the objectives of program. </w:t>
      </w:r>
    </w:p>
    <w:p w14:paraId="779AC370" w14:textId="77777777" w:rsidR="00713CF0" w:rsidRPr="00A16E42" w:rsidRDefault="00713CF0" w:rsidP="00A67D49">
      <w:pPr>
        <w:pStyle w:val="Body"/>
      </w:pPr>
      <w:r w:rsidRPr="00A16E42">
        <w:t>Subject to analysis, target and/or funding review will be considered. The provider will be given ample opportunity to discuss these measures before a decision is made.</w:t>
      </w:r>
    </w:p>
    <w:p w14:paraId="0748987A" w14:textId="77777777" w:rsidR="00713CF0" w:rsidRPr="004C539B" w:rsidRDefault="00713CF0" w:rsidP="00A67D49">
      <w:pPr>
        <w:pStyle w:val="Heading2"/>
        <w:rPr>
          <w:rFonts w:eastAsia="MS Gothic"/>
          <w:szCs w:val="26"/>
        </w:rPr>
      </w:pPr>
      <w:bookmarkStart w:id="243" w:name="_Toc415497444"/>
      <w:bookmarkStart w:id="244" w:name="_Toc56612613"/>
      <w:bookmarkStart w:id="245" w:name="_Toc57111864"/>
      <w:bookmarkStart w:id="246" w:name="_Toc57819645"/>
      <w:bookmarkStart w:id="247" w:name="_Toc121134151"/>
      <w:r w:rsidRPr="003D0FF2">
        <w:t>Exceptional circumstances</w:t>
      </w:r>
      <w:bookmarkEnd w:id="243"/>
      <w:bookmarkEnd w:id="244"/>
      <w:bookmarkEnd w:id="245"/>
      <w:bookmarkEnd w:id="246"/>
      <w:bookmarkEnd w:id="247"/>
    </w:p>
    <w:p w14:paraId="070E2C4F" w14:textId="77777777" w:rsidR="00713CF0" w:rsidRDefault="00713CF0" w:rsidP="00A67D49">
      <w:pPr>
        <w:pStyle w:val="Heading3"/>
      </w:pPr>
      <w:bookmarkStart w:id="248" w:name="_Toc415497445"/>
      <w:r>
        <w:t>When do the general policy rules not apply?</w:t>
      </w:r>
      <w:bookmarkEnd w:id="248"/>
    </w:p>
    <w:p w14:paraId="45C677B7" w14:textId="77777777" w:rsidR="00713CF0" w:rsidRDefault="00713CF0" w:rsidP="00A67D49">
      <w:pPr>
        <w:pStyle w:val="Body"/>
      </w:pPr>
      <w:r>
        <w:t>The department cannot permit an organisation to retain funding if the minimum required performance threshold is not met for two consecutive quarters. The divisional Deputy Secretary has discretion to permit a consortium to retain full funding, at the end of the preceding two quarters, if it is determined that the reason for under-performance was exceptional, reasonable, and short-term.</w:t>
      </w:r>
    </w:p>
    <w:p w14:paraId="69EB76FA" w14:textId="77777777" w:rsidR="00713CF0" w:rsidRDefault="00713CF0" w:rsidP="00A67D49">
      <w:pPr>
        <w:pStyle w:val="Body"/>
      </w:pPr>
      <w:r>
        <w:t xml:space="preserve">The definition of exceptional circumstances is as follows: </w:t>
      </w:r>
    </w:p>
    <w:p w14:paraId="09404A50" w14:textId="77777777" w:rsidR="00713CF0" w:rsidRDefault="00713CF0" w:rsidP="00A67D49">
      <w:pPr>
        <w:pStyle w:val="Body"/>
      </w:pPr>
      <w:r w:rsidRPr="00E24473">
        <w:rPr>
          <w:i/>
          <w:iCs/>
        </w:rPr>
        <w:t xml:space="preserve">‘Exceptional circumstances are short-term, unforeseen circumstances that are beyond </w:t>
      </w:r>
      <w:r>
        <w:rPr>
          <w:i/>
          <w:iCs/>
        </w:rPr>
        <w:t>consortium’s</w:t>
      </w:r>
      <w:r w:rsidRPr="00E24473">
        <w:rPr>
          <w:i/>
          <w:iCs/>
        </w:rPr>
        <w:t xml:space="preserve"> reasonable control and have affected </w:t>
      </w:r>
      <w:r>
        <w:rPr>
          <w:i/>
          <w:iCs/>
        </w:rPr>
        <w:t>its</w:t>
      </w:r>
      <w:r w:rsidRPr="00E24473">
        <w:rPr>
          <w:i/>
          <w:iCs/>
        </w:rPr>
        <w:t xml:space="preserve"> capacity to deliver a funded service</w:t>
      </w:r>
      <w:r>
        <w:rPr>
          <w:i/>
          <w:iCs/>
        </w:rPr>
        <w:t>;</w:t>
      </w:r>
      <w:r w:rsidRPr="00E24473">
        <w:rPr>
          <w:i/>
          <w:iCs/>
        </w:rPr>
        <w:t xml:space="preserve"> and where the strict application of th</w:t>
      </w:r>
      <w:r>
        <w:rPr>
          <w:i/>
          <w:iCs/>
        </w:rPr>
        <w:t>e program monitoring practices in this framework</w:t>
      </w:r>
      <w:r w:rsidRPr="00E24473">
        <w:rPr>
          <w:i/>
          <w:iCs/>
        </w:rPr>
        <w:t xml:space="preserve"> would be unfair or unreasonable’.</w:t>
      </w:r>
      <w:r>
        <w:t xml:space="preserve"> For example:</w:t>
      </w:r>
    </w:p>
    <w:p w14:paraId="026F8B59" w14:textId="77777777" w:rsidR="00713CF0" w:rsidRDefault="00713CF0" w:rsidP="00A67D49">
      <w:pPr>
        <w:pStyle w:val="Bullet1"/>
      </w:pPr>
      <w:r>
        <w:t>reduction in the pool of available workers due to a natural disaster including a flood or fire in a divisional area; or</w:t>
      </w:r>
    </w:p>
    <w:p w14:paraId="0C419639" w14:textId="77777777" w:rsidR="00713CF0" w:rsidRDefault="00713CF0" w:rsidP="00A67D49">
      <w:pPr>
        <w:pStyle w:val="Bullet1"/>
      </w:pPr>
      <w:r>
        <w:t>issues within one or more partners in the consortium, for example the sudden loss of multiple key personnel.</w:t>
      </w:r>
    </w:p>
    <w:p w14:paraId="4B2CC7B9" w14:textId="77777777" w:rsidR="00713CF0" w:rsidRDefault="00713CF0" w:rsidP="00A67D49">
      <w:pPr>
        <w:pStyle w:val="Body"/>
      </w:pPr>
      <w:r>
        <w:t xml:space="preserve">The circumstance will likely have a short-term focus (three to six months or a further two consecutive quarters), and the consortium will be able to maintain a business-as-usual approach while responding to and overcoming the adverse situation, enabling performance to return to the required threshold. </w:t>
      </w:r>
    </w:p>
    <w:p w14:paraId="0FF6EBD4" w14:textId="77777777" w:rsidR="00713CF0" w:rsidRDefault="00713CF0" w:rsidP="00A67D49">
      <w:pPr>
        <w:pStyle w:val="Body"/>
      </w:pPr>
      <w:r>
        <w:lastRenderedPageBreak/>
        <w:t xml:space="preserve">Exceptional circumstances will only justify departure from the general policy rule in the short term and cannot be applied as a justification for longer term business sustainability. </w:t>
      </w:r>
    </w:p>
    <w:p w14:paraId="0EC1D03A" w14:textId="77777777" w:rsidR="00713CF0" w:rsidRDefault="00713CF0" w:rsidP="00A67D49">
      <w:pPr>
        <w:pStyle w:val="Heading3"/>
      </w:pPr>
      <w:bookmarkStart w:id="249" w:name="_Toc415497446"/>
      <w:r>
        <w:t>Is there a standard process for justifying exceptional circumstances?</w:t>
      </w:r>
      <w:bookmarkEnd w:id="249"/>
    </w:p>
    <w:p w14:paraId="3C5DFAFE" w14:textId="77777777" w:rsidR="00713CF0" w:rsidRDefault="00713CF0" w:rsidP="00A67D49">
      <w:pPr>
        <w:pStyle w:val="Body"/>
      </w:pPr>
      <w:r>
        <w:t xml:space="preserve">In circumstances in which ‘exceptional circumstances’ justify a departure from the general rule, a business case must be provided by the consortium seeking exemption from the general rule and a formal request must be completed by the relevant divisional staff for approval by the divisional Deputy Secretary. </w:t>
      </w:r>
    </w:p>
    <w:p w14:paraId="7C72A568" w14:textId="77777777" w:rsidR="00713CF0" w:rsidRDefault="00713CF0" w:rsidP="00A67D49">
      <w:pPr>
        <w:pStyle w:val="Body"/>
      </w:pPr>
      <w:r>
        <w:t>The business case must outline the rationale for not adjusting targets and the proposed action by the HBC provider to improve performance in subsequent quarters</w:t>
      </w:r>
      <w:r w:rsidRPr="00B04C5D">
        <w:t xml:space="preserve">. </w:t>
      </w:r>
    </w:p>
    <w:p w14:paraId="55407D64" w14:textId="77777777" w:rsidR="00713CF0" w:rsidRDefault="00713CF0" w:rsidP="00713CF0">
      <w:pPr>
        <w:pStyle w:val="DHHSbullet1"/>
        <w:ind w:left="0" w:firstLine="0"/>
      </w:pPr>
    </w:p>
    <w:p w14:paraId="261753D9" w14:textId="77777777" w:rsidR="00713CF0" w:rsidRDefault="00713CF0" w:rsidP="00713CF0">
      <w:pPr>
        <w:pStyle w:val="DHHSbullet1"/>
        <w:ind w:left="0" w:firstLine="0"/>
      </w:pPr>
      <w:r>
        <w:rPr>
          <w:noProof/>
        </w:rPr>
        <w:drawing>
          <wp:inline distT="0" distB="0" distL="0" distR="0" wp14:anchorId="618D1EC5" wp14:editId="0A7F7F48">
            <wp:extent cx="6854827" cy="2752494"/>
            <wp:effectExtent l="0" t="0" r="3175" b="0"/>
            <wp:docPr id="17" name="Picture 17" descr="Performance Improvement Action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erformance Improvement Action Plan"/>
                    <pic:cNvPicPr/>
                  </pic:nvPicPr>
                  <pic:blipFill>
                    <a:blip r:embed="rId58">
                      <a:extLst>
                        <a:ext uri="{28A0092B-C50C-407E-A947-70E740481C1C}">
                          <a14:useLocalDpi xmlns:a14="http://schemas.microsoft.com/office/drawing/2010/main" val="0"/>
                        </a:ext>
                      </a:extLst>
                    </a:blip>
                    <a:stretch>
                      <a:fillRect/>
                    </a:stretch>
                  </pic:blipFill>
                  <pic:spPr>
                    <a:xfrm>
                      <a:off x="0" y="0"/>
                      <a:ext cx="6854827" cy="2752494"/>
                    </a:xfrm>
                    <a:prstGeom prst="rect">
                      <a:avLst/>
                    </a:prstGeom>
                  </pic:spPr>
                </pic:pic>
              </a:graphicData>
            </a:graphic>
          </wp:inline>
        </w:drawing>
      </w:r>
    </w:p>
    <w:p w14:paraId="67F88299" w14:textId="77777777" w:rsidR="00713CF0" w:rsidRDefault="00713CF0" w:rsidP="00713CF0">
      <w:pPr>
        <w:pStyle w:val="DHHSbullet1"/>
        <w:ind w:left="0" w:firstLine="0"/>
      </w:pPr>
    </w:p>
    <w:p w14:paraId="43B70E75" w14:textId="77777777" w:rsidR="00713CF0" w:rsidRPr="008C7C4A" w:rsidRDefault="00713CF0" w:rsidP="00A67D49">
      <w:pPr>
        <w:pStyle w:val="Body"/>
      </w:pPr>
      <w:r w:rsidRPr="00633BD5">
        <w:rPr>
          <w:b/>
          <w:bCs/>
          <w:color w:val="19ABD7" w:themeColor="accent5" w:themeShade="BF"/>
        </w:rPr>
        <w:t>α</w:t>
      </w:r>
      <w:r w:rsidRPr="008C7C4A">
        <w:t xml:space="preserve"> – Quarter 1</w:t>
      </w:r>
      <w:r>
        <w:t xml:space="preserve"> (January</w:t>
      </w:r>
      <w:r w:rsidRPr="008C7C4A">
        <w:t xml:space="preserve"> – </w:t>
      </w:r>
      <w:r>
        <w:t>March</w:t>
      </w:r>
      <w:r w:rsidRPr="008C7C4A">
        <w:t>/ 2021</w:t>
      </w:r>
      <w:r>
        <w:t>)</w:t>
      </w:r>
    </w:p>
    <w:p w14:paraId="60B28767" w14:textId="77777777" w:rsidR="00713CF0" w:rsidRPr="008C7C4A" w:rsidRDefault="00713CF0" w:rsidP="00A67D49">
      <w:pPr>
        <w:pStyle w:val="Body"/>
      </w:pPr>
      <w:r w:rsidRPr="00633BD5">
        <w:rPr>
          <w:b/>
          <w:bCs/>
          <w:color w:val="DC6426" w:themeColor="accent4"/>
        </w:rPr>
        <w:t>β</w:t>
      </w:r>
      <w:r w:rsidRPr="008C7C4A">
        <w:t xml:space="preserve"> – Quarter 2</w:t>
      </w:r>
      <w:r>
        <w:t xml:space="preserve"> (April</w:t>
      </w:r>
      <w:r w:rsidRPr="008C7C4A">
        <w:t xml:space="preserve"> – </w:t>
      </w:r>
      <w:r>
        <w:t>June</w:t>
      </w:r>
      <w:r w:rsidRPr="008C7C4A">
        <w:t>/ 2021</w:t>
      </w:r>
      <w:r>
        <w:t>)</w:t>
      </w:r>
    </w:p>
    <w:p w14:paraId="3C015FA6" w14:textId="77777777" w:rsidR="00713CF0" w:rsidRPr="008C7C4A" w:rsidRDefault="00713CF0" w:rsidP="00A67D49">
      <w:pPr>
        <w:pStyle w:val="Body"/>
      </w:pPr>
      <w:r w:rsidRPr="00633BD5">
        <w:rPr>
          <w:b/>
          <w:bCs/>
          <w:color w:val="7030A0"/>
        </w:rPr>
        <w:t>γ</w:t>
      </w:r>
      <w:r w:rsidRPr="008C7C4A">
        <w:t xml:space="preserve"> – Quarter 3</w:t>
      </w:r>
      <w:r>
        <w:t xml:space="preserve"> (</w:t>
      </w:r>
      <w:r w:rsidRPr="008C7C4A">
        <w:t>Ju</w:t>
      </w:r>
      <w:r>
        <w:t>ly</w:t>
      </w:r>
      <w:r w:rsidRPr="008C7C4A">
        <w:t xml:space="preserve"> –</w:t>
      </w:r>
      <w:r>
        <w:t xml:space="preserve"> September</w:t>
      </w:r>
      <w:r w:rsidRPr="008C7C4A">
        <w:t>/ 2021</w:t>
      </w:r>
      <w:r>
        <w:t>)</w:t>
      </w:r>
    </w:p>
    <w:p w14:paraId="1BBF25FE" w14:textId="77777777" w:rsidR="00713CF0" w:rsidRPr="008C7C4A" w:rsidRDefault="00713CF0" w:rsidP="00A67D49">
      <w:pPr>
        <w:pStyle w:val="Body"/>
      </w:pPr>
      <w:r w:rsidRPr="00633BD5">
        <w:rPr>
          <w:rFonts w:eastAsia="Times New Roman"/>
          <w:b/>
          <w:bCs/>
          <w:color w:val="76923C"/>
        </w:rPr>
        <w:t>δ</w:t>
      </w:r>
      <w:r w:rsidRPr="008C7C4A">
        <w:t xml:space="preserve"> – Quarter 4</w:t>
      </w:r>
      <w:r>
        <w:t xml:space="preserve"> (October</w:t>
      </w:r>
      <w:r w:rsidRPr="008C7C4A">
        <w:t xml:space="preserve"> – </w:t>
      </w:r>
      <w:r>
        <w:t>December</w:t>
      </w:r>
      <w:r w:rsidRPr="008C7C4A">
        <w:t>/ 2021</w:t>
      </w:r>
      <w:r>
        <w:t>)</w:t>
      </w:r>
    </w:p>
    <w:p w14:paraId="0F214E14" w14:textId="77777777" w:rsidR="00713CF0" w:rsidRPr="008C7C4A" w:rsidRDefault="00713CF0" w:rsidP="00A67D49">
      <w:pPr>
        <w:pStyle w:val="Body"/>
      </w:pPr>
      <w:r w:rsidRPr="00A8548C">
        <w:rPr>
          <w:rFonts w:eastAsia="Times New Roman"/>
          <w:b/>
          <w:bCs/>
          <w:color w:val="FF3399"/>
        </w:rPr>
        <w:t>ε</w:t>
      </w:r>
      <w:r w:rsidRPr="008C7C4A">
        <w:t xml:space="preserve"> – Quarter 5</w:t>
      </w:r>
      <w:r>
        <w:t xml:space="preserve"> (January</w:t>
      </w:r>
      <w:r w:rsidRPr="00E36B1D">
        <w:t xml:space="preserve"> – </w:t>
      </w:r>
      <w:r>
        <w:t>March</w:t>
      </w:r>
      <w:r w:rsidRPr="00E36B1D">
        <w:t>/ 2022</w:t>
      </w:r>
      <w:r>
        <w:t>)</w:t>
      </w:r>
    </w:p>
    <w:p w14:paraId="0BBD0FB7" w14:textId="77777777" w:rsidR="00713CF0" w:rsidRPr="008C7C4A" w:rsidRDefault="00713CF0" w:rsidP="00A67D49">
      <w:pPr>
        <w:pStyle w:val="Body"/>
      </w:pPr>
      <w:r w:rsidRPr="00A8548C">
        <w:rPr>
          <w:rFonts w:eastAsia="Times New Roman"/>
          <w:b/>
          <w:bCs/>
          <w:color w:val="993300"/>
        </w:rPr>
        <w:t>ζ</w:t>
      </w:r>
      <w:r w:rsidRPr="008C7C4A">
        <w:t xml:space="preserve"> – Quarter 6</w:t>
      </w:r>
      <w:r>
        <w:t xml:space="preserve"> (April</w:t>
      </w:r>
      <w:r w:rsidRPr="008C7C4A">
        <w:t xml:space="preserve"> – </w:t>
      </w:r>
      <w:r>
        <w:t>June</w:t>
      </w:r>
      <w:r w:rsidRPr="00E36B1D">
        <w:t xml:space="preserve"> / 2022</w:t>
      </w:r>
      <w:r>
        <w:t>)</w:t>
      </w:r>
    </w:p>
    <w:p w14:paraId="6F1086AA" w14:textId="77777777" w:rsidR="00713CF0" w:rsidRPr="008C7C4A" w:rsidRDefault="00713CF0" w:rsidP="00A67D49">
      <w:pPr>
        <w:pStyle w:val="Body"/>
      </w:pPr>
      <w:r w:rsidRPr="00A8548C">
        <w:rPr>
          <w:rFonts w:eastAsia="Times New Roman"/>
          <w:b/>
          <w:bCs/>
          <w:color w:val="0070C0"/>
        </w:rPr>
        <w:t>η</w:t>
      </w:r>
      <w:r w:rsidRPr="008C7C4A">
        <w:t xml:space="preserve"> – Quarter 7</w:t>
      </w:r>
      <w:r>
        <w:t xml:space="preserve"> (</w:t>
      </w:r>
      <w:r w:rsidRPr="008C7C4A">
        <w:t>Ju</w:t>
      </w:r>
      <w:r>
        <w:t>ly</w:t>
      </w:r>
      <w:r w:rsidRPr="008C7C4A">
        <w:t xml:space="preserve"> –</w:t>
      </w:r>
      <w:r>
        <w:t xml:space="preserve"> September</w:t>
      </w:r>
      <w:r w:rsidRPr="00E36B1D">
        <w:t>/ 2022</w:t>
      </w:r>
      <w:r>
        <w:t>)</w:t>
      </w:r>
    </w:p>
    <w:p w14:paraId="680B27E2" w14:textId="77777777" w:rsidR="00713CF0" w:rsidRDefault="00713CF0" w:rsidP="00A67D49">
      <w:pPr>
        <w:pStyle w:val="Body"/>
      </w:pPr>
      <w:r w:rsidRPr="00A8548C">
        <w:rPr>
          <w:b/>
          <w:bCs/>
          <w:color w:val="FF6600"/>
        </w:rPr>
        <w:t>θ</w:t>
      </w:r>
      <w:r w:rsidRPr="008C7C4A">
        <w:t xml:space="preserve"> – Quarter 8</w:t>
      </w:r>
      <w:r>
        <w:t xml:space="preserve"> (October</w:t>
      </w:r>
      <w:r w:rsidRPr="008C7C4A">
        <w:t xml:space="preserve"> – </w:t>
      </w:r>
      <w:r>
        <w:t>December</w:t>
      </w:r>
      <w:r w:rsidRPr="00E36B1D">
        <w:t>/ 202</w:t>
      </w:r>
      <w:r>
        <w:t>2</w:t>
      </w:r>
    </w:p>
    <w:p w14:paraId="0F05FA52" w14:textId="77777777" w:rsidR="00713CF0" w:rsidRDefault="00713CF0" w:rsidP="00713CF0">
      <w:pPr>
        <w:pStyle w:val="DHHSbody"/>
        <w:spacing w:after="60"/>
        <w:rPr>
          <w:rFonts w:cs="Arial"/>
          <w:sz w:val="18"/>
          <w:szCs w:val="18"/>
        </w:rPr>
      </w:pPr>
    </w:p>
    <w:p w14:paraId="7360E0DF" w14:textId="77777777" w:rsidR="00713CF0" w:rsidRDefault="00713CF0" w:rsidP="00713CF0">
      <w:pPr>
        <w:pStyle w:val="DHHSbody"/>
        <w:spacing w:after="60"/>
        <w:rPr>
          <w:rFonts w:cs="Arial"/>
          <w:sz w:val="18"/>
          <w:szCs w:val="18"/>
        </w:rPr>
      </w:pPr>
    </w:p>
    <w:p w14:paraId="669FB6FB" w14:textId="77777777" w:rsidR="00713CF0" w:rsidRDefault="00713CF0" w:rsidP="00713CF0">
      <w:pPr>
        <w:pStyle w:val="DHHSbody"/>
        <w:spacing w:after="60"/>
        <w:rPr>
          <w:rFonts w:cs="Arial"/>
          <w:sz w:val="18"/>
          <w:szCs w:val="18"/>
        </w:rPr>
      </w:pPr>
    </w:p>
    <w:p w14:paraId="183BB1A6" w14:textId="77777777" w:rsidR="00713CF0" w:rsidRDefault="00713CF0" w:rsidP="00713CF0">
      <w:pPr>
        <w:pStyle w:val="DHHSbody"/>
        <w:spacing w:after="60"/>
        <w:rPr>
          <w:rFonts w:cs="Arial"/>
          <w:sz w:val="18"/>
          <w:szCs w:val="18"/>
        </w:rPr>
      </w:pPr>
    </w:p>
    <w:p w14:paraId="451AE773" w14:textId="77777777" w:rsidR="00713CF0" w:rsidRDefault="00713CF0" w:rsidP="00713CF0">
      <w:pPr>
        <w:pStyle w:val="DHHSbody"/>
        <w:spacing w:after="60"/>
        <w:rPr>
          <w:rFonts w:cs="Arial"/>
          <w:sz w:val="18"/>
          <w:szCs w:val="18"/>
        </w:rPr>
      </w:pPr>
    </w:p>
    <w:p w14:paraId="342DFED2" w14:textId="77777777" w:rsidR="00713CF0" w:rsidRDefault="00713CF0" w:rsidP="00713CF0">
      <w:pPr>
        <w:pStyle w:val="DHHSbody"/>
        <w:spacing w:after="60"/>
        <w:rPr>
          <w:rFonts w:cs="Arial"/>
          <w:sz w:val="18"/>
          <w:szCs w:val="18"/>
        </w:rPr>
      </w:pPr>
    </w:p>
    <w:p w14:paraId="6395822C" w14:textId="77777777" w:rsidR="00713CF0" w:rsidRDefault="00713CF0" w:rsidP="00713CF0">
      <w:pPr>
        <w:pStyle w:val="DHHSbody"/>
        <w:spacing w:after="60"/>
        <w:rPr>
          <w:rFonts w:cs="Arial"/>
          <w:sz w:val="18"/>
          <w:szCs w:val="18"/>
        </w:rPr>
      </w:pPr>
    </w:p>
    <w:p w14:paraId="79AFC18D" w14:textId="77777777" w:rsidR="00713CF0" w:rsidRDefault="00713CF0" w:rsidP="00713CF0">
      <w:pPr>
        <w:pStyle w:val="DHHSbody"/>
        <w:spacing w:after="60"/>
        <w:rPr>
          <w:rFonts w:cs="Arial"/>
          <w:sz w:val="18"/>
          <w:szCs w:val="18"/>
        </w:rPr>
      </w:pPr>
    </w:p>
    <w:p w14:paraId="47A1466A" w14:textId="261A1F0E" w:rsidR="00713CF0" w:rsidRDefault="00713CF0" w:rsidP="00A67D49">
      <w:pPr>
        <w:pStyle w:val="Heading1"/>
      </w:pPr>
      <w:bookmarkStart w:id="250" w:name="_Toc88218427"/>
      <w:bookmarkStart w:id="251" w:name="_Toc88218898"/>
      <w:bookmarkStart w:id="252" w:name="_Toc121134152"/>
      <w:r w:rsidRPr="0024309B">
        <w:lastRenderedPageBreak/>
        <w:t xml:space="preserve">Appendix </w:t>
      </w:r>
      <w:r w:rsidR="008D634B">
        <w:t>3</w:t>
      </w:r>
      <w:r>
        <w:t xml:space="preserve"> - </w:t>
      </w:r>
      <w:r w:rsidRPr="00891F4F">
        <w:t xml:space="preserve">H2H </w:t>
      </w:r>
      <w:r w:rsidRPr="00A67D49">
        <w:t>support</w:t>
      </w:r>
      <w:r w:rsidRPr="00891F4F">
        <w:t xml:space="preserve"> package type by number</w:t>
      </w:r>
      <w:r>
        <w:t>,</w:t>
      </w:r>
      <w:r w:rsidRPr="00891F4F">
        <w:t xml:space="preserve"> by HEART area and by dwelling type</w:t>
      </w:r>
      <w:bookmarkEnd w:id="250"/>
      <w:bookmarkEnd w:id="251"/>
      <w:bookmarkEnd w:id="252"/>
      <w:r w:rsidRPr="00891F4F">
        <w:t xml:space="preserve"> </w:t>
      </w:r>
    </w:p>
    <w:tbl>
      <w:tblPr>
        <w:tblW w:w="10907" w:type="dxa"/>
        <w:tblInd w:w="-1" w:type="dxa"/>
        <w:tblLayout w:type="fixed"/>
        <w:tblCellMar>
          <w:left w:w="0" w:type="dxa"/>
          <w:right w:w="0" w:type="dxa"/>
        </w:tblCellMar>
        <w:tblLook w:val="04A0" w:firstRow="1" w:lastRow="0" w:firstColumn="1" w:lastColumn="0" w:noHBand="0" w:noVBand="1"/>
      </w:tblPr>
      <w:tblGrid>
        <w:gridCol w:w="1692"/>
        <w:gridCol w:w="1701"/>
        <w:gridCol w:w="1276"/>
        <w:gridCol w:w="1418"/>
        <w:gridCol w:w="992"/>
        <w:gridCol w:w="851"/>
        <w:gridCol w:w="850"/>
        <w:gridCol w:w="993"/>
        <w:gridCol w:w="1134"/>
      </w:tblGrid>
      <w:tr w:rsidR="00AD1239" w:rsidRPr="003421CB" w14:paraId="7D7BCFFD" w14:textId="77777777" w:rsidTr="00B037CC">
        <w:trPr>
          <w:trHeight w:val="828"/>
        </w:trPr>
        <w:tc>
          <w:tcPr>
            <w:tcW w:w="1692"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vAlign w:val="center"/>
            <w:hideMark/>
          </w:tcPr>
          <w:p w14:paraId="11172D7F" w14:textId="77777777" w:rsidR="00713CF0" w:rsidRPr="003421CB" w:rsidRDefault="00713CF0" w:rsidP="003421CB">
            <w:pPr>
              <w:pStyle w:val="Body"/>
              <w:rPr>
                <w:b/>
                <w:bCs/>
                <w:lang w:eastAsia="en-AU"/>
              </w:rPr>
            </w:pPr>
            <w:r w:rsidRPr="003421CB">
              <w:rPr>
                <w:b/>
                <w:bCs/>
              </w:rPr>
              <w:t>HEART Area</w:t>
            </w:r>
          </w:p>
        </w:tc>
        <w:tc>
          <w:tcPr>
            <w:tcW w:w="1701"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14:paraId="41392493" w14:textId="77777777" w:rsidR="00713CF0" w:rsidRPr="003421CB" w:rsidRDefault="00713CF0" w:rsidP="003421CB">
            <w:pPr>
              <w:pStyle w:val="Body"/>
              <w:rPr>
                <w:b/>
                <w:bCs/>
              </w:rPr>
            </w:pPr>
            <w:r w:rsidRPr="003421CB">
              <w:rPr>
                <w:b/>
                <w:bCs/>
              </w:rPr>
              <w:t>Dwellings Type</w:t>
            </w:r>
          </w:p>
        </w:tc>
        <w:tc>
          <w:tcPr>
            <w:tcW w:w="1276"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14:paraId="483CE129" w14:textId="77777777" w:rsidR="00713CF0" w:rsidRPr="003421CB" w:rsidRDefault="00713CF0" w:rsidP="003421CB">
            <w:pPr>
              <w:pStyle w:val="Body"/>
              <w:rPr>
                <w:b/>
                <w:bCs/>
              </w:rPr>
            </w:pPr>
            <w:r w:rsidRPr="003421CB">
              <w:rPr>
                <w:b/>
                <w:bCs/>
              </w:rPr>
              <w:t> Support Package Type</w:t>
            </w:r>
          </w:p>
        </w:tc>
        <w:tc>
          <w:tcPr>
            <w:tcW w:w="1418"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14:paraId="6296BFDA" w14:textId="77777777" w:rsidR="00713CF0" w:rsidRPr="003421CB" w:rsidRDefault="00713CF0" w:rsidP="003421CB">
            <w:pPr>
              <w:pStyle w:val="Body"/>
              <w:rPr>
                <w:b/>
                <w:bCs/>
              </w:rPr>
            </w:pPr>
            <w:r w:rsidRPr="003421CB">
              <w:rPr>
                <w:b/>
                <w:bCs/>
              </w:rPr>
              <w:t>H2H Package Numbers </w:t>
            </w:r>
          </w:p>
        </w:tc>
        <w:tc>
          <w:tcPr>
            <w:tcW w:w="992"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14:paraId="4C4B05DB" w14:textId="77777777" w:rsidR="00713CF0" w:rsidRPr="003421CB" w:rsidRDefault="00713CF0" w:rsidP="003421CB">
            <w:pPr>
              <w:pStyle w:val="Body"/>
              <w:rPr>
                <w:b/>
                <w:bCs/>
              </w:rPr>
            </w:pPr>
            <w:r w:rsidRPr="003421CB">
              <w:rPr>
                <w:b/>
                <w:bCs/>
              </w:rPr>
              <w:t>1 Bed</w:t>
            </w:r>
          </w:p>
        </w:tc>
        <w:tc>
          <w:tcPr>
            <w:tcW w:w="851"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14:paraId="752C7F77" w14:textId="77777777" w:rsidR="00713CF0" w:rsidRPr="003421CB" w:rsidRDefault="00713CF0" w:rsidP="003421CB">
            <w:pPr>
              <w:pStyle w:val="Body"/>
              <w:rPr>
                <w:b/>
                <w:bCs/>
              </w:rPr>
            </w:pPr>
            <w:r w:rsidRPr="003421CB">
              <w:rPr>
                <w:b/>
                <w:bCs/>
              </w:rPr>
              <w:t>2 Bed</w:t>
            </w:r>
          </w:p>
        </w:tc>
        <w:tc>
          <w:tcPr>
            <w:tcW w:w="850"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14:paraId="4723016D" w14:textId="77777777" w:rsidR="00713CF0" w:rsidRPr="003421CB" w:rsidRDefault="00713CF0" w:rsidP="003421CB">
            <w:pPr>
              <w:pStyle w:val="Body"/>
              <w:rPr>
                <w:b/>
                <w:bCs/>
              </w:rPr>
            </w:pPr>
            <w:r w:rsidRPr="003421CB">
              <w:rPr>
                <w:b/>
                <w:bCs/>
              </w:rPr>
              <w:t>3 Bed</w:t>
            </w:r>
          </w:p>
        </w:tc>
        <w:tc>
          <w:tcPr>
            <w:tcW w:w="993"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14:paraId="24FA7C8E" w14:textId="77777777" w:rsidR="00713CF0" w:rsidRPr="003421CB" w:rsidRDefault="00713CF0" w:rsidP="003421CB">
            <w:pPr>
              <w:pStyle w:val="Body"/>
              <w:rPr>
                <w:b/>
                <w:bCs/>
              </w:rPr>
            </w:pPr>
            <w:r w:rsidRPr="003421CB">
              <w:rPr>
                <w:b/>
                <w:bCs/>
              </w:rPr>
              <w:t>4+ Bed</w:t>
            </w:r>
          </w:p>
        </w:tc>
        <w:tc>
          <w:tcPr>
            <w:tcW w:w="1134" w:type="dxa"/>
            <w:tcBorders>
              <w:top w:val="single" w:sz="8" w:space="0" w:color="auto"/>
              <w:left w:val="nil"/>
              <w:bottom w:val="single" w:sz="8" w:space="0" w:color="auto"/>
              <w:right w:val="single" w:sz="8" w:space="0" w:color="auto"/>
            </w:tcBorders>
            <w:shd w:val="clear" w:color="auto" w:fill="000000"/>
            <w:tcMar>
              <w:top w:w="0" w:type="dxa"/>
              <w:left w:w="108" w:type="dxa"/>
              <w:bottom w:w="0" w:type="dxa"/>
              <w:right w:w="108" w:type="dxa"/>
            </w:tcMar>
            <w:vAlign w:val="center"/>
            <w:hideMark/>
          </w:tcPr>
          <w:p w14:paraId="388911C7" w14:textId="77777777" w:rsidR="00713CF0" w:rsidRPr="003421CB" w:rsidRDefault="00713CF0" w:rsidP="003421CB">
            <w:pPr>
              <w:pStyle w:val="Body"/>
              <w:rPr>
                <w:b/>
                <w:bCs/>
              </w:rPr>
            </w:pPr>
            <w:r w:rsidRPr="003421CB">
              <w:rPr>
                <w:b/>
                <w:bCs/>
              </w:rPr>
              <w:t>Total Service Packages</w:t>
            </w:r>
          </w:p>
        </w:tc>
      </w:tr>
      <w:tr w:rsidR="00713CF0" w:rsidRPr="005D0AE0" w14:paraId="6F423508" w14:textId="77777777" w:rsidTr="00B037CC">
        <w:trPr>
          <w:trHeight w:val="342"/>
        </w:trPr>
        <w:tc>
          <w:tcPr>
            <w:tcW w:w="169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1E70ECE" w14:textId="77777777" w:rsidR="00713CF0" w:rsidRPr="00B037CC" w:rsidRDefault="00713CF0" w:rsidP="003421CB">
            <w:pPr>
              <w:pStyle w:val="Body"/>
              <w:rPr>
                <w:b/>
                <w:bCs/>
                <w:szCs w:val="21"/>
              </w:rPr>
            </w:pPr>
            <w:r w:rsidRPr="00B037CC">
              <w:rPr>
                <w:b/>
                <w:bCs/>
                <w:szCs w:val="21"/>
              </w:rPr>
              <w:t>1. Hume Moreland and North Eastern Melbourne Areas</w:t>
            </w: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82FABE8" w14:textId="77777777" w:rsidR="00713CF0" w:rsidRPr="003421CB" w:rsidRDefault="00713CF0" w:rsidP="003421CB">
            <w:pPr>
              <w:pStyle w:val="Body"/>
              <w:rPr>
                <w:szCs w:val="21"/>
              </w:rPr>
            </w:pPr>
            <w:r w:rsidRPr="003421CB">
              <w:rPr>
                <w:szCs w:val="21"/>
              </w:rPr>
              <w:t>Owned / Head Leased Dwellings</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7E2D088"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3669E71" w14:textId="77777777" w:rsidR="00713CF0" w:rsidRPr="003421CB" w:rsidRDefault="00713CF0" w:rsidP="003421CB">
            <w:pPr>
              <w:pStyle w:val="Body"/>
              <w:rPr>
                <w:szCs w:val="21"/>
              </w:rPr>
            </w:pPr>
            <w:r w:rsidRPr="003421CB">
              <w:rPr>
                <w:szCs w:val="21"/>
              </w:rPr>
              <w:t>184</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2D90EE6" w14:textId="77777777" w:rsidR="00713CF0" w:rsidRPr="003421CB" w:rsidRDefault="00713CF0" w:rsidP="003421CB">
            <w:pPr>
              <w:pStyle w:val="Body"/>
              <w:rPr>
                <w:szCs w:val="21"/>
              </w:rPr>
            </w:pPr>
            <w:r w:rsidRPr="003421CB">
              <w:rPr>
                <w:szCs w:val="21"/>
              </w:rPr>
              <w:t>302</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C1D49B9" w14:textId="77777777" w:rsidR="00713CF0" w:rsidRPr="003421CB" w:rsidRDefault="00713CF0" w:rsidP="003421CB">
            <w:pPr>
              <w:pStyle w:val="Body"/>
              <w:rPr>
                <w:szCs w:val="21"/>
              </w:rPr>
            </w:pPr>
            <w:r w:rsidRPr="003421CB">
              <w:rPr>
                <w:szCs w:val="21"/>
              </w:rPr>
              <w:t>6</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AA21294" w14:textId="77777777" w:rsidR="00713CF0" w:rsidRPr="003421CB" w:rsidRDefault="00713CF0" w:rsidP="003421CB">
            <w:pPr>
              <w:pStyle w:val="Body"/>
              <w:rPr>
                <w:szCs w:val="21"/>
              </w:rPr>
            </w:pPr>
            <w:r w:rsidRPr="003421CB">
              <w:rPr>
                <w:szCs w:val="21"/>
              </w:rPr>
              <w:t>3</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6AF7F79"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5BA1847" w14:textId="77777777" w:rsidR="00713CF0" w:rsidRPr="003421CB" w:rsidRDefault="00713CF0" w:rsidP="003421CB">
            <w:pPr>
              <w:pStyle w:val="Body"/>
              <w:rPr>
                <w:szCs w:val="21"/>
              </w:rPr>
            </w:pPr>
            <w:r w:rsidRPr="003421CB">
              <w:rPr>
                <w:szCs w:val="21"/>
              </w:rPr>
              <w:t>311</w:t>
            </w:r>
          </w:p>
        </w:tc>
      </w:tr>
      <w:tr w:rsidR="00713CF0" w:rsidRPr="005D0AE0" w14:paraId="440A2E1B"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59F95A8F"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4E13F418"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E8815E2"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BC5EC8" w14:textId="77777777" w:rsidR="00713CF0" w:rsidRPr="003421CB" w:rsidRDefault="00713CF0" w:rsidP="003421CB">
            <w:pPr>
              <w:pStyle w:val="Body"/>
              <w:rPr>
                <w:szCs w:val="21"/>
              </w:rPr>
            </w:pPr>
            <w:r w:rsidRPr="003421CB">
              <w:rPr>
                <w:szCs w:val="21"/>
              </w:rPr>
              <w:t>127</w:t>
            </w:r>
          </w:p>
        </w:tc>
        <w:tc>
          <w:tcPr>
            <w:tcW w:w="992" w:type="dxa"/>
            <w:vMerge/>
            <w:tcBorders>
              <w:top w:val="nil"/>
              <w:left w:val="nil"/>
              <w:bottom w:val="single" w:sz="8" w:space="0" w:color="auto"/>
              <w:right w:val="single" w:sz="8" w:space="0" w:color="auto"/>
            </w:tcBorders>
            <w:shd w:val="clear" w:color="auto" w:fill="auto"/>
            <w:vAlign w:val="center"/>
            <w:hideMark/>
          </w:tcPr>
          <w:p w14:paraId="568D1D36"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7EA67283"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5283F9E2"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2C163B54"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6BEED264" w14:textId="77777777" w:rsidR="00713CF0" w:rsidRPr="003421CB" w:rsidRDefault="00713CF0" w:rsidP="003421CB">
            <w:pPr>
              <w:pStyle w:val="Body"/>
              <w:rPr>
                <w:rFonts w:eastAsiaTheme="minorHAnsi"/>
                <w:szCs w:val="21"/>
              </w:rPr>
            </w:pPr>
          </w:p>
        </w:tc>
      </w:tr>
      <w:tr w:rsidR="00713CF0" w:rsidRPr="005D0AE0" w14:paraId="67D24AE7" w14:textId="77777777" w:rsidTr="00B037CC">
        <w:trPr>
          <w:trHeight w:val="313"/>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55978B50"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1C85D2C" w14:textId="77777777" w:rsidR="00713CF0" w:rsidRPr="003421CB" w:rsidRDefault="00713CF0" w:rsidP="003421CB">
            <w:pPr>
              <w:pStyle w:val="Body"/>
              <w:rPr>
                <w:szCs w:val="21"/>
              </w:rPr>
            </w:pPr>
            <w:r w:rsidRPr="003421CB">
              <w:rPr>
                <w:szCs w:val="21"/>
              </w:rPr>
              <w:t>Spot Purchase/ General Lease</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EAB240B"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692A9A4" w14:textId="77777777" w:rsidR="00713CF0" w:rsidRPr="003421CB" w:rsidRDefault="00713CF0" w:rsidP="003421CB">
            <w:pPr>
              <w:pStyle w:val="Body"/>
              <w:rPr>
                <w:szCs w:val="21"/>
              </w:rPr>
            </w:pPr>
            <w:r w:rsidRPr="003421CB">
              <w:rPr>
                <w:szCs w:val="21"/>
              </w:rPr>
              <w:t>0</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382C4EE" w14:textId="77777777" w:rsidR="00713CF0" w:rsidRPr="003421CB" w:rsidRDefault="00713CF0" w:rsidP="003421CB">
            <w:pPr>
              <w:pStyle w:val="Body"/>
              <w:rPr>
                <w:szCs w:val="21"/>
              </w:rPr>
            </w:pPr>
            <w:r w:rsidRPr="003421CB">
              <w:rPr>
                <w:szCs w:val="21"/>
              </w:rPr>
              <w:t>187</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AC9BBD2" w14:textId="77777777" w:rsidR="00713CF0" w:rsidRPr="003421CB" w:rsidRDefault="00713CF0" w:rsidP="003421CB">
            <w:pPr>
              <w:pStyle w:val="Body"/>
              <w:rPr>
                <w:szCs w:val="21"/>
              </w:rPr>
            </w:pPr>
            <w:r w:rsidRPr="003421CB">
              <w:rPr>
                <w:szCs w:val="21"/>
              </w:rPr>
              <w:t>2</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8374D90" w14:textId="77777777" w:rsidR="00713CF0" w:rsidRPr="003421CB" w:rsidRDefault="00713CF0" w:rsidP="003421CB">
            <w:pPr>
              <w:pStyle w:val="Body"/>
              <w:rPr>
                <w:szCs w:val="21"/>
              </w:rPr>
            </w:pPr>
            <w:r w:rsidRPr="003421CB">
              <w:rPr>
                <w:szCs w:val="21"/>
              </w:rPr>
              <w:t>1</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CA78B32"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293B6A3" w14:textId="77777777" w:rsidR="00713CF0" w:rsidRPr="003421CB" w:rsidRDefault="00713CF0" w:rsidP="003421CB">
            <w:pPr>
              <w:pStyle w:val="Body"/>
              <w:rPr>
                <w:szCs w:val="21"/>
              </w:rPr>
            </w:pPr>
            <w:r w:rsidRPr="003421CB">
              <w:rPr>
                <w:szCs w:val="21"/>
              </w:rPr>
              <w:t>190</w:t>
            </w:r>
          </w:p>
        </w:tc>
      </w:tr>
      <w:tr w:rsidR="00713CF0" w:rsidRPr="005D0AE0" w14:paraId="3FCB87CE"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099068E5"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0414DF07"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BCCE1C"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93BD558" w14:textId="77777777" w:rsidR="00713CF0" w:rsidRPr="003421CB" w:rsidRDefault="00713CF0" w:rsidP="003421CB">
            <w:pPr>
              <w:pStyle w:val="Body"/>
              <w:rPr>
                <w:szCs w:val="21"/>
              </w:rPr>
            </w:pPr>
            <w:r w:rsidRPr="003421CB">
              <w:rPr>
                <w:szCs w:val="21"/>
              </w:rPr>
              <w:t>190</w:t>
            </w:r>
          </w:p>
        </w:tc>
        <w:tc>
          <w:tcPr>
            <w:tcW w:w="992" w:type="dxa"/>
            <w:vMerge/>
            <w:tcBorders>
              <w:top w:val="nil"/>
              <w:left w:val="nil"/>
              <w:bottom w:val="single" w:sz="8" w:space="0" w:color="auto"/>
              <w:right w:val="single" w:sz="8" w:space="0" w:color="auto"/>
            </w:tcBorders>
            <w:shd w:val="clear" w:color="auto" w:fill="auto"/>
            <w:vAlign w:val="center"/>
            <w:hideMark/>
          </w:tcPr>
          <w:p w14:paraId="0774949F"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1E7650C9"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3C05EB43"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4A1F44AD"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2C9A8ACC" w14:textId="77777777" w:rsidR="00713CF0" w:rsidRPr="003421CB" w:rsidRDefault="00713CF0" w:rsidP="003421CB">
            <w:pPr>
              <w:pStyle w:val="Body"/>
              <w:rPr>
                <w:rFonts w:eastAsiaTheme="minorHAnsi"/>
                <w:szCs w:val="21"/>
              </w:rPr>
            </w:pPr>
          </w:p>
        </w:tc>
      </w:tr>
      <w:tr w:rsidR="00713CF0" w:rsidRPr="005D0AE0" w14:paraId="1030B41D" w14:textId="77777777" w:rsidTr="00B037CC">
        <w:trPr>
          <w:trHeight w:val="282"/>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7E25BF8D"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9327CA3" w14:textId="77777777" w:rsidR="00713CF0" w:rsidRPr="003421CB" w:rsidRDefault="00713CF0" w:rsidP="003421CB">
            <w:pPr>
              <w:pStyle w:val="Body"/>
              <w:rPr>
                <w:szCs w:val="21"/>
              </w:rPr>
            </w:pPr>
            <w:proofErr w:type="spellStart"/>
            <w:r w:rsidRPr="003421CB">
              <w:rPr>
                <w:szCs w:val="21"/>
              </w:rPr>
              <w:t>DoH</w:t>
            </w:r>
            <w:proofErr w:type="spellEnd"/>
            <w:r w:rsidRPr="003421CB">
              <w:rPr>
                <w:szCs w:val="21"/>
              </w:rPr>
              <w:t xml:space="preserve"> Dwellings (Existing)</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0E428CB"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BFDDAB2" w14:textId="77777777" w:rsidR="00713CF0" w:rsidRPr="003421CB" w:rsidRDefault="00713CF0" w:rsidP="003421CB">
            <w:pPr>
              <w:pStyle w:val="Body"/>
              <w:rPr>
                <w:szCs w:val="21"/>
              </w:rPr>
            </w:pPr>
            <w:r w:rsidRPr="003421CB">
              <w:rPr>
                <w:szCs w:val="21"/>
              </w:rPr>
              <w:t>0</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4BBCEAE" w14:textId="77777777" w:rsidR="00713CF0" w:rsidRPr="003421CB" w:rsidRDefault="00713CF0" w:rsidP="003421CB">
            <w:pPr>
              <w:pStyle w:val="Body"/>
              <w:rPr>
                <w:szCs w:val="21"/>
              </w:rPr>
            </w:pPr>
            <w:r w:rsidRPr="003421CB">
              <w:rPr>
                <w:szCs w:val="21"/>
              </w:rPr>
              <w:t>123</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3F4D854" w14:textId="77777777" w:rsidR="00713CF0" w:rsidRPr="003421CB" w:rsidRDefault="00713CF0" w:rsidP="003421CB">
            <w:pPr>
              <w:pStyle w:val="Body"/>
              <w:rPr>
                <w:szCs w:val="21"/>
              </w:rPr>
            </w:pPr>
            <w:r w:rsidRPr="003421CB">
              <w:rPr>
                <w:szCs w:val="21"/>
              </w:rPr>
              <w:t>1</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31BF6AB" w14:textId="77777777" w:rsidR="00713CF0" w:rsidRPr="003421CB" w:rsidRDefault="00713CF0" w:rsidP="003421CB">
            <w:pPr>
              <w:pStyle w:val="Body"/>
              <w:rPr>
                <w:szCs w:val="21"/>
              </w:rPr>
            </w:pPr>
            <w:r w:rsidRPr="003421CB">
              <w:rPr>
                <w:szCs w:val="21"/>
              </w:rPr>
              <w:t>0</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2D2C409"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AB72C70" w14:textId="77777777" w:rsidR="00713CF0" w:rsidRPr="003421CB" w:rsidRDefault="00713CF0" w:rsidP="003421CB">
            <w:pPr>
              <w:pStyle w:val="Body"/>
              <w:rPr>
                <w:szCs w:val="21"/>
              </w:rPr>
            </w:pPr>
            <w:r w:rsidRPr="003421CB">
              <w:rPr>
                <w:szCs w:val="21"/>
              </w:rPr>
              <w:t>124</w:t>
            </w:r>
          </w:p>
        </w:tc>
      </w:tr>
      <w:tr w:rsidR="00713CF0" w:rsidRPr="005D0AE0" w14:paraId="60F1DD48"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377A6479"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6D6D48AD"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48A0312"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DA48483" w14:textId="77777777" w:rsidR="00713CF0" w:rsidRPr="003421CB" w:rsidRDefault="00713CF0" w:rsidP="003421CB">
            <w:pPr>
              <w:pStyle w:val="Body"/>
              <w:rPr>
                <w:szCs w:val="21"/>
              </w:rPr>
            </w:pPr>
            <w:r w:rsidRPr="003421CB">
              <w:rPr>
                <w:szCs w:val="21"/>
              </w:rPr>
              <w:t>124</w:t>
            </w:r>
          </w:p>
        </w:tc>
        <w:tc>
          <w:tcPr>
            <w:tcW w:w="992" w:type="dxa"/>
            <w:vMerge/>
            <w:tcBorders>
              <w:top w:val="nil"/>
              <w:left w:val="nil"/>
              <w:bottom w:val="single" w:sz="8" w:space="0" w:color="auto"/>
              <w:right w:val="single" w:sz="8" w:space="0" w:color="auto"/>
            </w:tcBorders>
            <w:shd w:val="clear" w:color="auto" w:fill="auto"/>
            <w:vAlign w:val="center"/>
            <w:hideMark/>
          </w:tcPr>
          <w:p w14:paraId="7B7C4730"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69C40614"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202A2108"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0B41FBBD"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7D632E3D" w14:textId="77777777" w:rsidR="00713CF0" w:rsidRPr="003421CB" w:rsidRDefault="00713CF0" w:rsidP="003421CB">
            <w:pPr>
              <w:pStyle w:val="Body"/>
              <w:rPr>
                <w:rFonts w:eastAsiaTheme="minorHAnsi"/>
                <w:szCs w:val="21"/>
              </w:rPr>
            </w:pPr>
          </w:p>
        </w:tc>
      </w:tr>
      <w:tr w:rsidR="00B037CC" w:rsidRPr="005D0AE0" w14:paraId="14DE4A40"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39C30E90" w14:textId="77777777" w:rsidR="00713CF0" w:rsidRPr="00B037CC" w:rsidRDefault="00713CF0" w:rsidP="003421CB">
            <w:pPr>
              <w:pStyle w:val="Body"/>
              <w:rPr>
                <w:rFonts w:eastAsiaTheme="minorHAnsi"/>
                <w:b/>
                <w:bCs/>
                <w:szCs w:val="21"/>
              </w:rPr>
            </w:pP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B128A60" w14:textId="77777777" w:rsidR="00713CF0" w:rsidRPr="00B037CC" w:rsidRDefault="00713CF0" w:rsidP="003421CB">
            <w:pPr>
              <w:pStyle w:val="Body"/>
              <w:rPr>
                <w:b/>
                <w:bCs/>
                <w:szCs w:val="21"/>
              </w:rPr>
            </w:pPr>
            <w:r w:rsidRPr="00B037CC">
              <w:rPr>
                <w:b/>
                <w:bCs/>
                <w:szCs w:val="21"/>
              </w:rPr>
              <w:t>Total</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153331B" w14:textId="77777777" w:rsidR="00713CF0" w:rsidRPr="00B037CC" w:rsidRDefault="00713CF0" w:rsidP="003421CB">
            <w:pPr>
              <w:pStyle w:val="Body"/>
              <w:rPr>
                <w:b/>
                <w:bCs/>
                <w:szCs w:val="21"/>
              </w:rPr>
            </w:pPr>
            <w:r w:rsidRPr="00B037CC">
              <w:rPr>
                <w:b/>
                <w:bCs/>
                <w:szCs w:val="21"/>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FDC6F6B" w14:textId="77777777" w:rsidR="00713CF0" w:rsidRPr="00B037CC" w:rsidRDefault="00713CF0" w:rsidP="003421CB">
            <w:pPr>
              <w:pStyle w:val="Body"/>
              <w:rPr>
                <w:b/>
                <w:bCs/>
                <w:szCs w:val="21"/>
              </w:rPr>
            </w:pPr>
            <w:r w:rsidRPr="00B037CC">
              <w:rPr>
                <w:b/>
                <w:bCs/>
                <w:szCs w:val="21"/>
              </w:rPr>
              <w:t> </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6AB4931" w14:textId="77777777" w:rsidR="00713CF0" w:rsidRPr="00B037CC" w:rsidRDefault="00713CF0" w:rsidP="003421CB">
            <w:pPr>
              <w:pStyle w:val="Body"/>
              <w:rPr>
                <w:b/>
                <w:bCs/>
                <w:szCs w:val="21"/>
              </w:rPr>
            </w:pPr>
            <w:r w:rsidRPr="00B037CC">
              <w:rPr>
                <w:b/>
                <w:bCs/>
                <w:szCs w:val="21"/>
              </w:rPr>
              <w:t>612</w:t>
            </w:r>
          </w:p>
        </w:tc>
        <w:tc>
          <w:tcPr>
            <w:tcW w:w="85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423B72B" w14:textId="77777777" w:rsidR="00713CF0" w:rsidRPr="00B037CC" w:rsidRDefault="00713CF0" w:rsidP="003421CB">
            <w:pPr>
              <w:pStyle w:val="Body"/>
              <w:rPr>
                <w:b/>
                <w:bCs/>
                <w:szCs w:val="21"/>
              </w:rPr>
            </w:pPr>
            <w:r w:rsidRPr="00B037CC">
              <w:rPr>
                <w:b/>
                <w:bCs/>
                <w:szCs w:val="21"/>
              </w:rPr>
              <w:t>9</w:t>
            </w:r>
          </w:p>
        </w:tc>
        <w:tc>
          <w:tcPr>
            <w:tcW w:w="85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936A258" w14:textId="77777777" w:rsidR="00713CF0" w:rsidRPr="00B037CC" w:rsidRDefault="00713CF0" w:rsidP="003421CB">
            <w:pPr>
              <w:pStyle w:val="Body"/>
              <w:rPr>
                <w:b/>
                <w:bCs/>
                <w:szCs w:val="21"/>
              </w:rPr>
            </w:pPr>
            <w:r w:rsidRPr="00B037CC">
              <w:rPr>
                <w:b/>
                <w:bCs/>
                <w:szCs w:val="21"/>
              </w:rPr>
              <w:t>4</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FFEECDF" w14:textId="77777777" w:rsidR="00713CF0" w:rsidRPr="00B037CC" w:rsidRDefault="00713CF0" w:rsidP="003421CB">
            <w:pPr>
              <w:pStyle w:val="Body"/>
              <w:rPr>
                <w:b/>
                <w:bCs/>
                <w:szCs w:val="21"/>
              </w:rPr>
            </w:pPr>
            <w:r w:rsidRPr="00B037CC">
              <w:rPr>
                <w:b/>
                <w:bCs/>
                <w:szCs w:val="21"/>
              </w:rPr>
              <w:t>0</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1D21E3A" w14:textId="77777777" w:rsidR="00713CF0" w:rsidRPr="00B037CC" w:rsidRDefault="00713CF0" w:rsidP="003421CB">
            <w:pPr>
              <w:pStyle w:val="Body"/>
              <w:rPr>
                <w:b/>
                <w:bCs/>
                <w:szCs w:val="21"/>
              </w:rPr>
            </w:pPr>
            <w:r w:rsidRPr="00B037CC">
              <w:rPr>
                <w:b/>
                <w:bCs/>
                <w:szCs w:val="21"/>
              </w:rPr>
              <w:t>625</w:t>
            </w:r>
          </w:p>
        </w:tc>
      </w:tr>
      <w:tr w:rsidR="00713CF0" w:rsidRPr="005D0AE0" w14:paraId="26E55E3C" w14:textId="77777777" w:rsidTr="00B037CC">
        <w:trPr>
          <w:trHeight w:val="371"/>
        </w:trPr>
        <w:tc>
          <w:tcPr>
            <w:tcW w:w="169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ED32F0D" w14:textId="77777777" w:rsidR="00713CF0" w:rsidRPr="00B037CC" w:rsidRDefault="00713CF0" w:rsidP="003421CB">
            <w:pPr>
              <w:pStyle w:val="Body"/>
              <w:rPr>
                <w:b/>
                <w:bCs/>
                <w:szCs w:val="21"/>
              </w:rPr>
            </w:pPr>
            <w:r w:rsidRPr="00B037CC">
              <w:rPr>
                <w:b/>
                <w:bCs/>
                <w:szCs w:val="21"/>
              </w:rPr>
              <w:t xml:space="preserve">2. </w:t>
            </w:r>
            <w:proofErr w:type="spellStart"/>
            <w:r w:rsidRPr="00B037CC">
              <w:rPr>
                <w:b/>
                <w:bCs/>
                <w:szCs w:val="21"/>
              </w:rPr>
              <w:t>Brimbank</w:t>
            </w:r>
            <w:proofErr w:type="spellEnd"/>
            <w:r w:rsidRPr="00B037CC">
              <w:rPr>
                <w:b/>
                <w:bCs/>
                <w:szCs w:val="21"/>
              </w:rPr>
              <w:t xml:space="preserve"> Melton and Western Melbourne Area</w:t>
            </w: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6C0C93B" w14:textId="77777777" w:rsidR="00713CF0" w:rsidRPr="003421CB" w:rsidRDefault="00713CF0" w:rsidP="003421CB">
            <w:pPr>
              <w:pStyle w:val="Body"/>
              <w:rPr>
                <w:szCs w:val="21"/>
              </w:rPr>
            </w:pPr>
            <w:r w:rsidRPr="003421CB">
              <w:rPr>
                <w:szCs w:val="21"/>
              </w:rPr>
              <w:t>Owned / Head Leased Dwellings</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F4CF86"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6CA2185" w14:textId="77777777" w:rsidR="00713CF0" w:rsidRPr="003421CB" w:rsidRDefault="00713CF0" w:rsidP="003421CB">
            <w:pPr>
              <w:pStyle w:val="Body"/>
              <w:rPr>
                <w:szCs w:val="21"/>
              </w:rPr>
            </w:pPr>
            <w:r w:rsidRPr="003421CB">
              <w:rPr>
                <w:szCs w:val="21"/>
              </w:rPr>
              <w:t>116</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374BCFE" w14:textId="77777777" w:rsidR="00713CF0" w:rsidRPr="003421CB" w:rsidRDefault="00713CF0" w:rsidP="003421CB">
            <w:pPr>
              <w:pStyle w:val="Body"/>
              <w:rPr>
                <w:szCs w:val="21"/>
              </w:rPr>
            </w:pPr>
            <w:r w:rsidRPr="003421CB">
              <w:rPr>
                <w:szCs w:val="21"/>
              </w:rPr>
              <w:t>124</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0830F4D" w14:textId="77777777" w:rsidR="00713CF0" w:rsidRPr="003421CB" w:rsidRDefault="00713CF0" w:rsidP="003421CB">
            <w:pPr>
              <w:pStyle w:val="Body"/>
              <w:rPr>
                <w:szCs w:val="21"/>
              </w:rPr>
            </w:pPr>
            <w:r w:rsidRPr="003421CB">
              <w:rPr>
                <w:szCs w:val="21"/>
              </w:rPr>
              <w:t>9</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EEECB33" w14:textId="77777777" w:rsidR="00713CF0" w:rsidRPr="003421CB" w:rsidRDefault="00713CF0" w:rsidP="003421CB">
            <w:pPr>
              <w:pStyle w:val="Body"/>
              <w:rPr>
                <w:szCs w:val="21"/>
              </w:rPr>
            </w:pPr>
            <w:r w:rsidRPr="003421CB">
              <w:rPr>
                <w:szCs w:val="21"/>
              </w:rPr>
              <w:t>5</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9F62F48" w14:textId="77777777" w:rsidR="00713CF0" w:rsidRPr="003421CB" w:rsidRDefault="00713CF0" w:rsidP="003421CB">
            <w:pPr>
              <w:pStyle w:val="Body"/>
              <w:rPr>
                <w:szCs w:val="21"/>
              </w:rPr>
            </w:pPr>
            <w:r w:rsidRPr="003421CB">
              <w:rPr>
                <w:szCs w:val="21"/>
              </w:rPr>
              <w:t>2</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480A923" w14:textId="77777777" w:rsidR="00713CF0" w:rsidRPr="003421CB" w:rsidRDefault="00713CF0" w:rsidP="003421CB">
            <w:pPr>
              <w:pStyle w:val="Body"/>
              <w:rPr>
                <w:szCs w:val="21"/>
              </w:rPr>
            </w:pPr>
            <w:r w:rsidRPr="003421CB">
              <w:rPr>
                <w:szCs w:val="21"/>
              </w:rPr>
              <w:t>140</w:t>
            </w:r>
          </w:p>
        </w:tc>
      </w:tr>
      <w:tr w:rsidR="00713CF0" w:rsidRPr="005D0AE0" w14:paraId="336A3F83"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485CF851"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31AF1112"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2EAA9F"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D544964" w14:textId="77777777" w:rsidR="00713CF0" w:rsidRPr="003421CB" w:rsidRDefault="00713CF0" w:rsidP="003421CB">
            <w:pPr>
              <w:pStyle w:val="Body"/>
              <w:rPr>
                <w:szCs w:val="21"/>
              </w:rPr>
            </w:pPr>
            <w:r w:rsidRPr="003421CB">
              <w:rPr>
                <w:szCs w:val="21"/>
              </w:rPr>
              <w:t>24</w:t>
            </w:r>
          </w:p>
        </w:tc>
        <w:tc>
          <w:tcPr>
            <w:tcW w:w="992" w:type="dxa"/>
            <w:vMerge/>
            <w:tcBorders>
              <w:top w:val="nil"/>
              <w:left w:val="nil"/>
              <w:bottom w:val="single" w:sz="8" w:space="0" w:color="auto"/>
              <w:right w:val="single" w:sz="8" w:space="0" w:color="auto"/>
            </w:tcBorders>
            <w:shd w:val="clear" w:color="auto" w:fill="auto"/>
            <w:vAlign w:val="center"/>
            <w:hideMark/>
          </w:tcPr>
          <w:p w14:paraId="15903A94"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5923EA8C"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51E9F232"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16FD533D"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0F6F144B" w14:textId="77777777" w:rsidR="00713CF0" w:rsidRPr="003421CB" w:rsidRDefault="00713CF0" w:rsidP="003421CB">
            <w:pPr>
              <w:pStyle w:val="Body"/>
              <w:rPr>
                <w:rFonts w:eastAsiaTheme="minorHAnsi"/>
                <w:szCs w:val="21"/>
              </w:rPr>
            </w:pPr>
          </w:p>
        </w:tc>
      </w:tr>
      <w:tr w:rsidR="00713CF0" w:rsidRPr="005D0AE0" w14:paraId="6044E6CD" w14:textId="77777777" w:rsidTr="00B037CC">
        <w:trPr>
          <w:trHeight w:val="341"/>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0E135C42"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7C71763" w14:textId="77777777" w:rsidR="00713CF0" w:rsidRPr="003421CB" w:rsidRDefault="00713CF0" w:rsidP="003421CB">
            <w:pPr>
              <w:pStyle w:val="Body"/>
              <w:rPr>
                <w:szCs w:val="21"/>
              </w:rPr>
            </w:pPr>
            <w:r w:rsidRPr="003421CB">
              <w:rPr>
                <w:szCs w:val="21"/>
              </w:rPr>
              <w:t>Spot Purchase/ General Lease</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BD8E869"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B58EDDE" w14:textId="77777777" w:rsidR="00713CF0" w:rsidRPr="003421CB" w:rsidRDefault="00713CF0" w:rsidP="003421CB">
            <w:pPr>
              <w:pStyle w:val="Body"/>
              <w:rPr>
                <w:szCs w:val="21"/>
              </w:rPr>
            </w:pPr>
            <w:r w:rsidRPr="003421CB">
              <w:rPr>
                <w:szCs w:val="21"/>
              </w:rPr>
              <w:t>0</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DAA42CC" w14:textId="77777777" w:rsidR="00713CF0" w:rsidRPr="003421CB" w:rsidRDefault="00713CF0" w:rsidP="003421CB">
            <w:pPr>
              <w:pStyle w:val="Body"/>
              <w:rPr>
                <w:szCs w:val="21"/>
              </w:rPr>
            </w:pPr>
            <w:r w:rsidRPr="003421CB">
              <w:rPr>
                <w:szCs w:val="21"/>
              </w:rPr>
              <w:t>82</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7D1948F" w14:textId="77777777" w:rsidR="00713CF0" w:rsidRPr="003421CB" w:rsidRDefault="00713CF0" w:rsidP="003421CB">
            <w:pPr>
              <w:pStyle w:val="Body"/>
              <w:rPr>
                <w:szCs w:val="21"/>
              </w:rPr>
            </w:pPr>
            <w:r w:rsidRPr="003421CB">
              <w:rPr>
                <w:szCs w:val="21"/>
              </w:rPr>
              <w:t>4</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E3CDC96" w14:textId="77777777" w:rsidR="00713CF0" w:rsidRPr="003421CB" w:rsidRDefault="00713CF0" w:rsidP="003421CB">
            <w:pPr>
              <w:pStyle w:val="Body"/>
              <w:rPr>
                <w:szCs w:val="21"/>
              </w:rPr>
            </w:pPr>
            <w:r w:rsidRPr="003421CB">
              <w:rPr>
                <w:szCs w:val="21"/>
              </w:rPr>
              <w:t>0</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FE72788" w14:textId="77777777" w:rsidR="00713CF0" w:rsidRPr="003421CB" w:rsidRDefault="00713CF0" w:rsidP="003421CB">
            <w:pPr>
              <w:pStyle w:val="Body"/>
              <w:rPr>
                <w:szCs w:val="21"/>
              </w:rPr>
            </w:pPr>
            <w:r w:rsidRPr="003421CB">
              <w:rPr>
                <w:szCs w:val="21"/>
              </w:rPr>
              <w:t>1</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1E4595B" w14:textId="77777777" w:rsidR="00713CF0" w:rsidRPr="003421CB" w:rsidRDefault="00713CF0" w:rsidP="003421CB">
            <w:pPr>
              <w:pStyle w:val="Body"/>
              <w:rPr>
                <w:szCs w:val="21"/>
              </w:rPr>
            </w:pPr>
            <w:r w:rsidRPr="003421CB">
              <w:rPr>
                <w:szCs w:val="21"/>
              </w:rPr>
              <w:t>87</w:t>
            </w:r>
          </w:p>
        </w:tc>
      </w:tr>
      <w:tr w:rsidR="00713CF0" w:rsidRPr="005D0AE0" w14:paraId="09FA8A45"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4E57324B"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02314FB3"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CB4172"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89A8DD4" w14:textId="77777777" w:rsidR="00713CF0" w:rsidRPr="003421CB" w:rsidRDefault="00713CF0" w:rsidP="003421CB">
            <w:pPr>
              <w:pStyle w:val="Body"/>
              <w:rPr>
                <w:szCs w:val="21"/>
              </w:rPr>
            </w:pPr>
            <w:r w:rsidRPr="003421CB">
              <w:rPr>
                <w:szCs w:val="21"/>
              </w:rPr>
              <w:t>87</w:t>
            </w:r>
          </w:p>
        </w:tc>
        <w:tc>
          <w:tcPr>
            <w:tcW w:w="992" w:type="dxa"/>
            <w:vMerge/>
            <w:tcBorders>
              <w:top w:val="nil"/>
              <w:left w:val="nil"/>
              <w:bottom w:val="single" w:sz="8" w:space="0" w:color="auto"/>
              <w:right w:val="single" w:sz="8" w:space="0" w:color="auto"/>
            </w:tcBorders>
            <w:shd w:val="clear" w:color="auto" w:fill="auto"/>
            <w:vAlign w:val="center"/>
            <w:hideMark/>
          </w:tcPr>
          <w:p w14:paraId="0C3FDF93"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0970D0EA"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480B5190"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7544CFC2"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6BE34C7F" w14:textId="77777777" w:rsidR="00713CF0" w:rsidRPr="003421CB" w:rsidRDefault="00713CF0" w:rsidP="003421CB">
            <w:pPr>
              <w:pStyle w:val="Body"/>
              <w:rPr>
                <w:rFonts w:eastAsiaTheme="minorHAnsi"/>
                <w:szCs w:val="21"/>
              </w:rPr>
            </w:pPr>
          </w:p>
        </w:tc>
      </w:tr>
      <w:tr w:rsidR="00713CF0" w:rsidRPr="005D0AE0" w14:paraId="0B79012C" w14:textId="77777777" w:rsidTr="00B037CC">
        <w:trPr>
          <w:trHeight w:val="325"/>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6B971C5B"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F27BE1B" w14:textId="77777777" w:rsidR="00713CF0" w:rsidRPr="003421CB" w:rsidRDefault="00713CF0" w:rsidP="003421CB">
            <w:pPr>
              <w:pStyle w:val="Body"/>
              <w:rPr>
                <w:szCs w:val="21"/>
              </w:rPr>
            </w:pPr>
            <w:proofErr w:type="spellStart"/>
            <w:r w:rsidRPr="003421CB">
              <w:rPr>
                <w:szCs w:val="21"/>
              </w:rPr>
              <w:t>DoH</w:t>
            </w:r>
            <w:proofErr w:type="spellEnd"/>
            <w:r w:rsidRPr="003421CB">
              <w:rPr>
                <w:szCs w:val="21"/>
              </w:rPr>
              <w:t xml:space="preserve"> Dwellings (Existing)</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B4CCC7"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D20C641" w14:textId="77777777" w:rsidR="00713CF0" w:rsidRPr="003421CB" w:rsidRDefault="00713CF0" w:rsidP="003421CB">
            <w:pPr>
              <w:pStyle w:val="Body"/>
              <w:rPr>
                <w:szCs w:val="21"/>
              </w:rPr>
            </w:pPr>
            <w:r w:rsidRPr="003421CB">
              <w:rPr>
                <w:szCs w:val="21"/>
              </w:rPr>
              <w:t>0</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D62B541" w14:textId="77777777" w:rsidR="00713CF0" w:rsidRPr="003421CB" w:rsidRDefault="00713CF0" w:rsidP="003421CB">
            <w:pPr>
              <w:pStyle w:val="Body"/>
              <w:rPr>
                <w:szCs w:val="21"/>
              </w:rPr>
            </w:pPr>
            <w:r w:rsidRPr="003421CB">
              <w:rPr>
                <w:szCs w:val="21"/>
              </w:rPr>
              <w:t>52</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ED07260" w14:textId="77777777" w:rsidR="00713CF0" w:rsidRPr="003421CB" w:rsidRDefault="00713CF0" w:rsidP="003421CB">
            <w:pPr>
              <w:pStyle w:val="Body"/>
              <w:rPr>
                <w:szCs w:val="21"/>
              </w:rPr>
            </w:pPr>
            <w:r w:rsidRPr="003421CB">
              <w:rPr>
                <w:szCs w:val="21"/>
              </w:rPr>
              <w:t>3</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DC0BF25" w14:textId="77777777" w:rsidR="00713CF0" w:rsidRPr="003421CB" w:rsidRDefault="00713CF0" w:rsidP="003421CB">
            <w:pPr>
              <w:pStyle w:val="Body"/>
              <w:rPr>
                <w:szCs w:val="21"/>
              </w:rPr>
            </w:pPr>
            <w:r w:rsidRPr="003421CB">
              <w:rPr>
                <w:szCs w:val="21"/>
              </w:rPr>
              <w:t>0</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671A212"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06345C9" w14:textId="77777777" w:rsidR="00713CF0" w:rsidRPr="003421CB" w:rsidRDefault="00713CF0" w:rsidP="003421CB">
            <w:pPr>
              <w:pStyle w:val="Body"/>
              <w:rPr>
                <w:szCs w:val="21"/>
              </w:rPr>
            </w:pPr>
            <w:r w:rsidRPr="003421CB">
              <w:rPr>
                <w:szCs w:val="21"/>
              </w:rPr>
              <w:t>55</w:t>
            </w:r>
          </w:p>
        </w:tc>
      </w:tr>
      <w:tr w:rsidR="00713CF0" w:rsidRPr="005D0AE0" w14:paraId="5E418418"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3C2E9D99"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6360BB4A"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0FDF561"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9BB4880" w14:textId="77777777" w:rsidR="00713CF0" w:rsidRPr="003421CB" w:rsidRDefault="00713CF0" w:rsidP="003421CB">
            <w:pPr>
              <w:pStyle w:val="Body"/>
              <w:rPr>
                <w:szCs w:val="21"/>
              </w:rPr>
            </w:pPr>
            <w:r w:rsidRPr="003421CB">
              <w:rPr>
                <w:szCs w:val="21"/>
              </w:rPr>
              <w:t>55</w:t>
            </w:r>
          </w:p>
        </w:tc>
        <w:tc>
          <w:tcPr>
            <w:tcW w:w="992" w:type="dxa"/>
            <w:vMerge/>
            <w:tcBorders>
              <w:top w:val="nil"/>
              <w:left w:val="nil"/>
              <w:bottom w:val="single" w:sz="8" w:space="0" w:color="auto"/>
              <w:right w:val="single" w:sz="8" w:space="0" w:color="auto"/>
            </w:tcBorders>
            <w:shd w:val="clear" w:color="auto" w:fill="auto"/>
            <w:vAlign w:val="center"/>
            <w:hideMark/>
          </w:tcPr>
          <w:p w14:paraId="20D95488"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4C8CACF6"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4BD4451D"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296C4B05"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3A86BE5B" w14:textId="77777777" w:rsidR="00713CF0" w:rsidRPr="003421CB" w:rsidRDefault="00713CF0" w:rsidP="003421CB">
            <w:pPr>
              <w:pStyle w:val="Body"/>
              <w:rPr>
                <w:rFonts w:eastAsiaTheme="minorHAnsi"/>
                <w:szCs w:val="21"/>
              </w:rPr>
            </w:pPr>
          </w:p>
        </w:tc>
      </w:tr>
      <w:tr w:rsidR="00B037CC" w:rsidRPr="005D0AE0" w14:paraId="4A87DD45"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12758129" w14:textId="77777777" w:rsidR="00713CF0" w:rsidRPr="00B037CC" w:rsidRDefault="00713CF0" w:rsidP="003421CB">
            <w:pPr>
              <w:pStyle w:val="Body"/>
              <w:rPr>
                <w:rFonts w:eastAsiaTheme="minorHAnsi"/>
                <w:b/>
                <w:bCs/>
                <w:szCs w:val="21"/>
              </w:rPr>
            </w:pP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0E8BFB6" w14:textId="77777777" w:rsidR="00713CF0" w:rsidRPr="00B037CC" w:rsidRDefault="00713CF0" w:rsidP="003421CB">
            <w:pPr>
              <w:pStyle w:val="Body"/>
              <w:rPr>
                <w:b/>
                <w:bCs/>
                <w:szCs w:val="21"/>
              </w:rPr>
            </w:pPr>
            <w:r w:rsidRPr="00B037CC">
              <w:rPr>
                <w:b/>
                <w:bCs/>
                <w:szCs w:val="21"/>
              </w:rPr>
              <w:t>Total</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C0F7D56" w14:textId="77777777" w:rsidR="00713CF0" w:rsidRPr="00B037CC" w:rsidRDefault="00713CF0" w:rsidP="003421CB">
            <w:pPr>
              <w:pStyle w:val="Body"/>
              <w:rPr>
                <w:b/>
                <w:bCs/>
                <w:szCs w:val="21"/>
              </w:rPr>
            </w:pPr>
            <w:r w:rsidRPr="00B037CC">
              <w:rPr>
                <w:b/>
                <w:bCs/>
                <w:szCs w:val="21"/>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9482C60" w14:textId="77777777" w:rsidR="00713CF0" w:rsidRPr="00B037CC" w:rsidRDefault="00713CF0" w:rsidP="003421CB">
            <w:pPr>
              <w:pStyle w:val="Body"/>
              <w:rPr>
                <w:b/>
                <w:bCs/>
                <w:szCs w:val="21"/>
              </w:rPr>
            </w:pPr>
            <w:r w:rsidRPr="00B037CC">
              <w:rPr>
                <w:b/>
                <w:bCs/>
                <w:szCs w:val="21"/>
              </w:rPr>
              <w:t> </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0DB3A71" w14:textId="77777777" w:rsidR="00713CF0" w:rsidRPr="00B037CC" w:rsidRDefault="00713CF0" w:rsidP="003421CB">
            <w:pPr>
              <w:pStyle w:val="Body"/>
              <w:rPr>
                <w:b/>
                <w:bCs/>
                <w:szCs w:val="21"/>
              </w:rPr>
            </w:pPr>
            <w:r w:rsidRPr="00B037CC">
              <w:rPr>
                <w:b/>
                <w:bCs/>
                <w:szCs w:val="21"/>
              </w:rPr>
              <w:t>258</w:t>
            </w:r>
          </w:p>
        </w:tc>
        <w:tc>
          <w:tcPr>
            <w:tcW w:w="85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55DB32E" w14:textId="77777777" w:rsidR="00713CF0" w:rsidRPr="00B037CC" w:rsidRDefault="00713CF0" w:rsidP="003421CB">
            <w:pPr>
              <w:pStyle w:val="Body"/>
              <w:rPr>
                <w:b/>
                <w:bCs/>
                <w:szCs w:val="21"/>
              </w:rPr>
            </w:pPr>
            <w:r w:rsidRPr="00B037CC">
              <w:rPr>
                <w:b/>
                <w:bCs/>
                <w:szCs w:val="21"/>
              </w:rPr>
              <w:t>16</w:t>
            </w:r>
          </w:p>
        </w:tc>
        <w:tc>
          <w:tcPr>
            <w:tcW w:w="85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6AFB30B" w14:textId="77777777" w:rsidR="00713CF0" w:rsidRPr="00B037CC" w:rsidRDefault="00713CF0" w:rsidP="003421CB">
            <w:pPr>
              <w:pStyle w:val="Body"/>
              <w:rPr>
                <w:b/>
                <w:bCs/>
                <w:szCs w:val="21"/>
              </w:rPr>
            </w:pPr>
            <w:r w:rsidRPr="00B037CC">
              <w:rPr>
                <w:b/>
                <w:bCs/>
                <w:szCs w:val="21"/>
              </w:rPr>
              <w:t>5</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D7483D6" w14:textId="77777777" w:rsidR="00713CF0" w:rsidRPr="00B037CC" w:rsidRDefault="00713CF0" w:rsidP="003421CB">
            <w:pPr>
              <w:pStyle w:val="Body"/>
              <w:rPr>
                <w:b/>
                <w:bCs/>
                <w:szCs w:val="21"/>
              </w:rPr>
            </w:pPr>
            <w:r w:rsidRPr="00B037CC">
              <w:rPr>
                <w:b/>
                <w:bCs/>
                <w:szCs w:val="21"/>
              </w:rPr>
              <w:t>3</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9F29696" w14:textId="77777777" w:rsidR="00713CF0" w:rsidRPr="00B037CC" w:rsidRDefault="00713CF0" w:rsidP="003421CB">
            <w:pPr>
              <w:pStyle w:val="Body"/>
              <w:rPr>
                <w:b/>
                <w:bCs/>
                <w:szCs w:val="21"/>
              </w:rPr>
            </w:pPr>
            <w:r w:rsidRPr="00B037CC">
              <w:rPr>
                <w:b/>
                <w:bCs/>
                <w:szCs w:val="21"/>
              </w:rPr>
              <w:t>282</w:t>
            </w:r>
          </w:p>
        </w:tc>
      </w:tr>
      <w:tr w:rsidR="00713CF0" w:rsidRPr="005D0AE0" w14:paraId="6281A9F7" w14:textId="77777777" w:rsidTr="00B037CC">
        <w:trPr>
          <w:trHeight w:val="399"/>
        </w:trPr>
        <w:tc>
          <w:tcPr>
            <w:tcW w:w="169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94085AB" w14:textId="77777777" w:rsidR="00713CF0" w:rsidRPr="00B037CC" w:rsidRDefault="00713CF0" w:rsidP="003421CB">
            <w:pPr>
              <w:pStyle w:val="Body"/>
              <w:rPr>
                <w:b/>
                <w:bCs/>
                <w:szCs w:val="21"/>
              </w:rPr>
            </w:pPr>
            <w:r w:rsidRPr="00B037CC">
              <w:rPr>
                <w:b/>
                <w:bCs/>
                <w:szCs w:val="21"/>
              </w:rPr>
              <w:t>3. Goulburn and Ovens Murray Areas</w:t>
            </w: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B54D6A7" w14:textId="77777777" w:rsidR="00713CF0" w:rsidRPr="003421CB" w:rsidRDefault="00713CF0" w:rsidP="003421CB">
            <w:pPr>
              <w:pStyle w:val="Body"/>
              <w:rPr>
                <w:szCs w:val="21"/>
              </w:rPr>
            </w:pPr>
            <w:r w:rsidRPr="003421CB">
              <w:rPr>
                <w:szCs w:val="21"/>
              </w:rPr>
              <w:t>Owned / Head Leased Dwellings</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0BB7CDE"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3B20CF7" w14:textId="77777777" w:rsidR="00713CF0" w:rsidRPr="003421CB" w:rsidRDefault="00713CF0" w:rsidP="003421CB">
            <w:pPr>
              <w:pStyle w:val="Body"/>
              <w:rPr>
                <w:szCs w:val="21"/>
              </w:rPr>
            </w:pPr>
            <w:r w:rsidRPr="003421CB">
              <w:rPr>
                <w:szCs w:val="21"/>
              </w:rPr>
              <w:t>8</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0A84209" w14:textId="77777777" w:rsidR="00713CF0" w:rsidRPr="003421CB" w:rsidRDefault="00713CF0" w:rsidP="003421CB">
            <w:pPr>
              <w:pStyle w:val="Body"/>
              <w:rPr>
                <w:szCs w:val="21"/>
              </w:rPr>
            </w:pPr>
            <w:r w:rsidRPr="003421CB">
              <w:rPr>
                <w:szCs w:val="21"/>
              </w:rPr>
              <w:t>8</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1FA391A" w14:textId="77777777" w:rsidR="00713CF0" w:rsidRPr="003421CB" w:rsidRDefault="00713CF0" w:rsidP="003421CB">
            <w:pPr>
              <w:pStyle w:val="Body"/>
              <w:rPr>
                <w:szCs w:val="21"/>
              </w:rPr>
            </w:pPr>
            <w:r w:rsidRPr="003421CB">
              <w:rPr>
                <w:szCs w:val="21"/>
              </w:rPr>
              <w:t>0</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76D4839" w14:textId="77777777" w:rsidR="00713CF0" w:rsidRPr="003421CB" w:rsidRDefault="00713CF0" w:rsidP="003421CB">
            <w:pPr>
              <w:pStyle w:val="Body"/>
              <w:rPr>
                <w:szCs w:val="21"/>
              </w:rPr>
            </w:pPr>
            <w:r w:rsidRPr="003421CB">
              <w:rPr>
                <w:szCs w:val="21"/>
              </w:rPr>
              <w:t>0</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678B23D"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F5A9E8F" w14:textId="77777777" w:rsidR="00713CF0" w:rsidRPr="003421CB" w:rsidRDefault="00713CF0" w:rsidP="003421CB">
            <w:pPr>
              <w:pStyle w:val="Body"/>
              <w:rPr>
                <w:szCs w:val="21"/>
              </w:rPr>
            </w:pPr>
            <w:r w:rsidRPr="003421CB">
              <w:rPr>
                <w:szCs w:val="21"/>
              </w:rPr>
              <w:t>8</w:t>
            </w:r>
          </w:p>
        </w:tc>
      </w:tr>
      <w:tr w:rsidR="00713CF0" w:rsidRPr="005D0AE0" w14:paraId="29206CBF"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236256A7"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0EA30A0E"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FC57635"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548ECA" w14:textId="77777777" w:rsidR="00713CF0" w:rsidRPr="003421CB" w:rsidRDefault="00713CF0" w:rsidP="003421CB">
            <w:pPr>
              <w:pStyle w:val="Body"/>
              <w:rPr>
                <w:szCs w:val="21"/>
              </w:rPr>
            </w:pPr>
            <w:r w:rsidRPr="003421CB">
              <w:rPr>
                <w:szCs w:val="21"/>
              </w:rPr>
              <w:t>0</w:t>
            </w:r>
          </w:p>
        </w:tc>
        <w:tc>
          <w:tcPr>
            <w:tcW w:w="992" w:type="dxa"/>
            <w:vMerge/>
            <w:tcBorders>
              <w:top w:val="nil"/>
              <w:left w:val="nil"/>
              <w:bottom w:val="single" w:sz="8" w:space="0" w:color="auto"/>
              <w:right w:val="single" w:sz="8" w:space="0" w:color="auto"/>
            </w:tcBorders>
            <w:shd w:val="clear" w:color="auto" w:fill="auto"/>
            <w:vAlign w:val="center"/>
            <w:hideMark/>
          </w:tcPr>
          <w:p w14:paraId="47F6DCC9"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6480D92B"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3E1831C5"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413A22AA"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6E50B443" w14:textId="77777777" w:rsidR="00713CF0" w:rsidRPr="003421CB" w:rsidRDefault="00713CF0" w:rsidP="003421CB">
            <w:pPr>
              <w:pStyle w:val="Body"/>
              <w:rPr>
                <w:rFonts w:eastAsiaTheme="minorHAnsi"/>
                <w:szCs w:val="21"/>
              </w:rPr>
            </w:pPr>
          </w:p>
        </w:tc>
      </w:tr>
      <w:tr w:rsidR="00713CF0" w:rsidRPr="005D0AE0" w14:paraId="78D3179B" w14:textId="77777777" w:rsidTr="00B037CC">
        <w:trPr>
          <w:trHeight w:val="381"/>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5BF89F58"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C05E981" w14:textId="77777777" w:rsidR="00713CF0" w:rsidRPr="003421CB" w:rsidRDefault="00713CF0" w:rsidP="003421CB">
            <w:pPr>
              <w:pStyle w:val="Body"/>
              <w:rPr>
                <w:szCs w:val="21"/>
              </w:rPr>
            </w:pPr>
            <w:r w:rsidRPr="003421CB">
              <w:rPr>
                <w:szCs w:val="21"/>
              </w:rPr>
              <w:t xml:space="preserve">Spot Purchase/ </w:t>
            </w:r>
            <w:r w:rsidRPr="003421CB">
              <w:rPr>
                <w:szCs w:val="21"/>
              </w:rPr>
              <w:lastRenderedPageBreak/>
              <w:t>General Lease</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9DBE157" w14:textId="77777777" w:rsidR="00713CF0" w:rsidRPr="003421CB" w:rsidRDefault="00713CF0" w:rsidP="003421CB">
            <w:pPr>
              <w:pStyle w:val="Body"/>
              <w:rPr>
                <w:szCs w:val="21"/>
              </w:rPr>
            </w:pPr>
            <w:r w:rsidRPr="003421CB">
              <w:rPr>
                <w:szCs w:val="21"/>
              </w:rPr>
              <w:lastRenderedPageBreak/>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609A9A" w14:textId="77777777" w:rsidR="00713CF0" w:rsidRPr="003421CB" w:rsidRDefault="00713CF0" w:rsidP="003421CB">
            <w:pPr>
              <w:pStyle w:val="Body"/>
              <w:rPr>
                <w:szCs w:val="21"/>
              </w:rPr>
            </w:pPr>
            <w:r w:rsidRPr="003421CB">
              <w:rPr>
                <w:szCs w:val="21"/>
              </w:rPr>
              <w:t>3</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C17D12C" w14:textId="77777777" w:rsidR="00713CF0" w:rsidRPr="003421CB" w:rsidRDefault="00713CF0" w:rsidP="003421CB">
            <w:pPr>
              <w:pStyle w:val="Body"/>
              <w:rPr>
                <w:szCs w:val="21"/>
              </w:rPr>
            </w:pPr>
            <w:r w:rsidRPr="003421CB">
              <w:rPr>
                <w:szCs w:val="21"/>
              </w:rPr>
              <w:t>6</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8C06CE8" w14:textId="77777777" w:rsidR="00713CF0" w:rsidRPr="003421CB" w:rsidRDefault="00713CF0" w:rsidP="003421CB">
            <w:pPr>
              <w:pStyle w:val="Body"/>
              <w:rPr>
                <w:szCs w:val="21"/>
              </w:rPr>
            </w:pPr>
            <w:r w:rsidRPr="003421CB">
              <w:rPr>
                <w:szCs w:val="21"/>
              </w:rPr>
              <w:t>1</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91EFE16" w14:textId="77777777" w:rsidR="00713CF0" w:rsidRPr="003421CB" w:rsidRDefault="00713CF0" w:rsidP="003421CB">
            <w:pPr>
              <w:pStyle w:val="Body"/>
              <w:rPr>
                <w:szCs w:val="21"/>
              </w:rPr>
            </w:pPr>
            <w:r w:rsidRPr="003421CB">
              <w:rPr>
                <w:szCs w:val="21"/>
              </w:rPr>
              <w:t>1</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5066ADB"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23E3DBC" w14:textId="77777777" w:rsidR="00713CF0" w:rsidRPr="003421CB" w:rsidRDefault="00713CF0" w:rsidP="003421CB">
            <w:pPr>
              <w:pStyle w:val="Body"/>
              <w:rPr>
                <w:szCs w:val="21"/>
              </w:rPr>
            </w:pPr>
            <w:r w:rsidRPr="003421CB">
              <w:rPr>
                <w:szCs w:val="21"/>
              </w:rPr>
              <w:t>8</w:t>
            </w:r>
          </w:p>
        </w:tc>
      </w:tr>
      <w:tr w:rsidR="00713CF0" w:rsidRPr="005D0AE0" w14:paraId="3F5F675B"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553D8BFE"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353084B0"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15F1F9E"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94CB568" w14:textId="77777777" w:rsidR="00713CF0" w:rsidRPr="003421CB" w:rsidRDefault="00713CF0" w:rsidP="003421CB">
            <w:pPr>
              <w:pStyle w:val="Body"/>
              <w:rPr>
                <w:szCs w:val="21"/>
              </w:rPr>
            </w:pPr>
            <w:r w:rsidRPr="003421CB">
              <w:rPr>
                <w:szCs w:val="21"/>
              </w:rPr>
              <w:t>5</w:t>
            </w:r>
          </w:p>
        </w:tc>
        <w:tc>
          <w:tcPr>
            <w:tcW w:w="992" w:type="dxa"/>
            <w:vMerge/>
            <w:tcBorders>
              <w:top w:val="nil"/>
              <w:left w:val="nil"/>
              <w:bottom w:val="single" w:sz="8" w:space="0" w:color="auto"/>
              <w:right w:val="single" w:sz="8" w:space="0" w:color="auto"/>
            </w:tcBorders>
            <w:shd w:val="clear" w:color="auto" w:fill="auto"/>
            <w:vAlign w:val="center"/>
            <w:hideMark/>
          </w:tcPr>
          <w:p w14:paraId="6ED83BC8"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787A6229"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0A14BE80"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58DCF4DD"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2FAA9D40" w14:textId="77777777" w:rsidR="00713CF0" w:rsidRPr="003421CB" w:rsidRDefault="00713CF0" w:rsidP="003421CB">
            <w:pPr>
              <w:pStyle w:val="Body"/>
              <w:rPr>
                <w:rFonts w:eastAsiaTheme="minorHAnsi"/>
                <w:szCs w:val="21"/>
              </w:rPr>
            </w:pPr>
          </w:p>
        </w:tc>
      </w:tr>
      <w:tr w:rsidR="00713CF0" w:rsidRPr="005D0AE0" w14:paraId="185FA7EB" w14:textId="77777777" w:rsidTr="00B037CC">
        <w:trPr>
          <w:trHeight w:val="244"/>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4A0CF65C"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E53FB44" w14:textId="77777777" w:rsidR="00713CF0" w:rsidRPr="003421CB" w:rsidRDefault="00713CF0" w:rsidP="003421CB">
            <w:pPr>
              <w:pStyle w:val="Body"/>
              <w:rPr>
                <w:szCs w:val="21"/>
              </w:rPr>
            </w:pPr>
            <w:proofErr w:type="spellStart"/>
            <w:r w:rsidRPr="003421CB">
              <w:rPr>
                <w:szCs w:val="21"/>
              </w:rPr>
              <w:t>DoH</w:t>
            </w:r>
            <w:proofErr w:type="spellEnd"/>
            <w:r w:rsidRPr="003421CB">
              <w:rPr>
                <w:szCs w:val="21"/>
              </w:rPr>
              <w:t xml:space="preserve"> Dwellings (Existing)</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6DB435C"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4B3EA60" w14:textId="77777777" w:rsidR="00713CF0" w:rsidRPr="003421CB" w:rsidRDefault="00713CF0" w:rsidP="003421CB">
            <w:pPr>
              <w:pStyle w:val="Body"/>
              <w:rPr>
                <w:szCs w:val="21"/>
              </w:rPr>
            </w:pPr>
            <w:r w:rsidRPr="003421CB">
              <w:rPr>
                <w:szCs w:val="21"/>
              </w:rPr>
              <w:t>2</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533496E" w14:textId="77777777" w:rsidR="00713CF0" w:rsidRPr="003421CB" w:rsidRDefault="00713CF0" w:rsidP="003421CB">
            <w:pPr>
              <w:pStyle w:val="Body"/>
              <w:rPr>
                <w:szCs w:val="21"/>
              </w:rPr>
            </w:pPr>
            <w:r w:rsidRPr="003421CB">
              <w:rPr>
                <w:szCs w:val="21"/>
              </w:rPr>
              <w:t>4</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B94D1A8" w14:textId="77777777" w:rsidR="00713CF0" w:rsidRPr="003421CB" w:rsidRDefault="00713CF0" w:rsidP="003421CB">
            <w:pPr>
              <w:pStyle w:val="Body"/>
              <w:rPr>
                <w:szCs w:val="21"/>
              </w:rPr>
            </w:pPr>
            <w:r w:rsidRPr="003421CB">
              <w:rPr>
                <w:szCs w:val="21"/>
              </w:rPr>
              <w:t>0</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73C0BEB" w14:textId="77777777" w:rsidR="00713CF0" w:rsidRPr="003421CB" w:rsidRDefault="00713CF0" w:rsidP="003421CB">
            <w:pPr>
              <w:pStyle w:val="Body"/>
              <w:rPr>
                <w:szCs w:val="21"/>
              </w:rPr>
            </w:pPr>
            <w:r w:rsidRPr="003421CB">
              <w:rPr>
                <w:szCs w:val="21"/>
              </w:rPr>
              <w:t>0</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5A23A2B"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B9E70F1" w14:textId="77777777" w:rsidR="00713CF0" w:rsidRPr="003421CB" w:rsidRDefault="00713CF0" w:rsidP="003421CB">
            <w:pPr>
              <w:pStyle w:val="Body"/>
              <w:rPr>
                <w:szCs w:val="21"/>
              </w:rPr>
            </w:pPr>
            <w:r w:rsidRPr="003421CB">
              <w:rPr>
                <w:szCs w:val="21"/>
              </w:rPr>
              <w:t>4</w:t>
            </w:r>
          </w:p>
        </w:tc>
      </w:tr>
      <w:tr w:rsidR="00713CF0" w:rsidRPr="005D0AE0" w14:paraId="149F0E34"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28B99819"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730CB39F"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953D1F9"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AB16FF" w14:textId="77777777" w:rsidR="00713CF0" w:rsidRPr="003421CB" w:rsidRDefault="00713CF0" w:rsidP="003421CB">
            <w:pPr>
              <w:pStyle w:val="Body"/>
              <w:rPr>
                <w:szCs w:val="21"/>
              </w:rPr>
            </w:pPr>
            <w:r w:rsidRPr="003421CB">
              <w:rPr>
                <w:szCs w:val="21"/>
              </w:rPr>
              <w:t>2</w:t>
            </w:r>
          </w:p>
        </w:tc>
        <w:tc>
          <w:tcPr>
            <w:tcW w:w="992" w:type="dxa"/>
            <w:vMerge/>
            <w:tcBorders>
              <w:top w:val="nil"/>
              <w:left w:val="nil"/>
              <w:bottom w:val="single" w:sz="8" w:space="0" w:color="auto"/>
              <w:right w:val="single" w:sz="8" w:space="0" w:color="auto"/>
            </w:tcBorders>
            <w:shd w:val="clear" w:color="auto" w:fill="auto"/>
            <w:vAlign w:val="center"/>
            <w:hideMark/>
          </w:tcPr>
          <w:p w14:paraId="519E10CC"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37F74BFC"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252ACF47"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765E8A44"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23EB4ABE" w14:textId="77777777" w:rsidR="00713CF0" w:rsidRPr="003421CB" w:rsidRDefault="00713CF0" w:rsidP="003421CB">
            <w:pPr>
              <w:pStyle w:val="Body"/>
              <w:rPr>
                <w:rFonts w:eastAsiaTheme="minorHAnsi"/>
                <w:szCs w:val="21"/>
              </w:rPr>
            </w:pPr>
          </w:p>
        </w:tc>
      </w:tr>
      <w:tr w:rsidR="00B037CC" w:rsidRPr="005D0AE0" w14:paraId="4F22A984"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34F096B1" w14:textId="77777777" w:rsidR="00713CF0" w:rsidRPr="00B037CC" w:rsidRDefault="00713CF0" w:rsidP="003421CB">
            <w:pPr>
              <w:pStyle w:val="Body"/>
              <w:rPr>
                <w:rFonts w:eastAsiaTheme="minorHAnsi"/>
                <w:b/>
                <w:bCs/>
                <w:szCs w:val="21"/>
              </w:rPr>
            </w:pP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CD1C7D1" w14:textId="77777777" w:rsidR="00713CF0" w:rsidRPr="00B037CC" w:rsidRDefault="00713CF0" w:rsidP="003421CB">
            <w:pPr>
              <w:pStyle w:val="Body"/>
              <w:rPr>
                <w:b/>
                <w:bCs/>
                <w:szCs w:val="21"/>
              </w:rPr>
            </w:pPr>
            <w:r w:rsidRPr="00B037CC">
              <w:rPr>
                <w:b/>
                <w:bCs/>
                <w:szCs w:val="21"/>
              </w:rPr>
              <w:t>Total</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6EB4349" w14:textId="77777777" w:rsidR="00713CF0" w:rsidRPr="00B037CC" w:rsidRDefault="00713CF0" w:rsidP="003421CB">
            <w:pPr>
              <w:pStyle w:val="Body"/>
              <w:rPr>
                <w:b/>
                <w:bCs/>
                <w:szCs w:val="21"/>
              </w:rPr>
            </w:pPr>
            <w:r w:rsidRPr="00B037CC">
              <w:rPr>
                <w:b/>
                <w:bCs/>
                <w:szCs w:val="21"/>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A8147B8" w14:textId="77777777" w:rsidR="00713CF0" w:rsidRPr="00B037CC" w:rsidRDefault="00713CF0" w:rsidP="003421CB">
            <w:pPr>
              <w:pStyle w:val="Body"/>
              <w:rPr>
                <w:b/>
                <w:bCs/>
                <w:szCs w:val="21"/>
              </w:rPr>
            </w:pPr>
            <w:r w:rsidRPr="00B037CC">
              <w:rPr>
                <w:b/>
                <w:bCs/>
                <w:szCs w:val="21"/>
              </w:rPr>
              <w:t> </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CA955E0" w14:textId="77777777" w:rsidR="00713CF0" w:rsidRPr="00B037CC" w:rsidRDefault="00713CF0" w:rsidP="003421CB">
            <w:pPr>
              <w:pStyle w:val="Body"/>
              <w:rPr>
                <w:b/>
                <w:bCs/>
                <w:szCs w:val="21"/>
              </w:rPr>
            </w:pPr>
            <w:r w:rsidRPr="00B037CC">
              <w:rPr>
                <w:b/>
                <w:bCs/>
                <w:szCs w:val="21"/>
              </w:rPr>
              <w:t>18</w:t>
            </w:r>
          </w:p>
        </w:tc>
        <w:tc>
          <w:tcPr>
            <w:tcW w:w="85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7507222" w14:textId="77777777" w:rsidR="00713CF0" w:rsidRPr="00B037CC" w:rsidRDefault="00713CF0" w:rsidP="003421CB">
            <w:pPr>
              <w:pStyle w:val="Body"/>
              <w:rPr>
                <w:b/>
                <w:bCs/>
                <w:szCs w:val="21"/>
              </w:rPr>
            </w:pPr>
            <w:r w:rsidRPr="00B037CC">
              <w:rPr>
                <w:b/>
                <w:bCs/>
                <w:szCs w:val="21"/>
              </w:rPr>
              <w:t>1</w:t>
            </w:r>
          </w:p>
        </w:tc>
        <w:tc>
          <w:tcPr>
            <w:tcW w:w="85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4372A4A" w14:textId="77777777" w:rsidR="00713CF0" w:rsidRPr="00B037CC" w:rsidRDefault="00713CF0" w:rsidP="003421CB">
            <w:pPr>
              <w:pStyle w:val="Body"/>
              <w:rPr>
                <w:b/>
                <w:bCs/>
                <w:szCs w:val="21"/>
              </w:rPr>
            </w:pPr>
            <w:r w:rsidRPr="00B037CC">
              <w:rPr>
                <w:b/>
                <w:bCs/>
                <w:szCs w:val="21"/>
              </w:rPr>
              <w:t>1</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35E2B9B" w14:textId="77777777" w:rsidR="00713CF0" w:rsidRPr="00B037CC" w:rsidRDefault="00713CF0" w:rsidP="003421CB">
            <w:pPr>
              <w:pStyle w:val="Body"/>
              <w:rPr>
                <w:b/>
                <w:bCs/>
                <w:szCs w:val="21"/>
              </w:rPr>
            </w:pPr>
            <w:r w:rsidRPr="00B037CC">
              <w:rPr>
                <w:b/>
                <w:bCs/>
                <w:szCs w:val="21"/>
              </w:rPr>
              <w:t>0</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EBBA12B" w14:textId="77777777" w:rsidR="00713CF0" w:rsidRPr="00B037CC" w:rsidRDefault="00713CF0" w:rsidP="003421CB">
            <w:pPr>
              <w:pStyle w:val="Body"/>
              <w:rPr>
                <w:b/>
                <w:bCs/>
                <w:szCs w:val="21"/>
              </w:rPr>
            </w:pPr>
            <w:r w:rsidRPr="00B037CC">
              <w:rPr>
                <w:b/>
                <w:bCs/>
                <w:szCs w:val="21"/>
              </w:rPr>
              <w:t>20</w:t>
            </w:r>
          </w:p>
        </w:tc>
      </w:tr>
      <w:tr w:rsidR="00713CF0" w:rsidRPr="005D0AE0" w14:paraId="09357384" w14:textId="77777777" w:rsidTr="00B037CC">
        <w:trPr>
          <w:trHeight w:val="345"/>
        </w:trPr>
        <w:tc>
          <w:tcPr>
            <w:tcW w:w="169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FCDFDF2" w14:textId="77777777" w:rsidR="00713CF0" w:rsidRPr="00B037CC" w:rsidRDefault="00713CF0" w:rsidP="003421CB">
            <w:pPr>
              <w:pStyle w:val="Body"/>
              <w:rPr>
                <w:b/>
                <w:bCs/>
                <w:szCs w:val="21"/>
              </w:rPr>
            </w:pPr>
            <w:r w:rsidRPr="00B037CC">
              <w:rPr>
                <w:b/>
                <w:bCs/>
                <w:szCs w:val="21"/>
              </w:rPr>
              <w:t>4. Loddon and Mallee Areas</w:t>
            </w: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C943AAE" w14:textId="77777777" w:rsidR="00713CF0" w:rsidRPr="003421CB" w:rsidRDefault="00713CF0" w:rsidP="003421CB">
            <w:pPr>
              <w:pStyle w:val="Body"/>
              <w:rPr>
                <w:szCs w:val="21"/>
              </w:rPr>
            </w:pPr>
            <w:r w:rsidRPr="003421CB">
              <w:rPr>
                <w:szCs w:val="21"/>
              </w:rPr>
              <w:t>Owned / Head Leased Dwellings</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D9BF229"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A5FDA3" w14:textId="77777777" w:rsidR="00713CF0" w:rsidRPr="003421CB" w:rsidRDefault="00713CF0" w:rsidP="003421CB">
            <w:pPr>
              <w:pStyle w:val="Body"/>
              <w:rPr>
                <w:szCs w:val="21"/>
              </w:rPr>
            </w:pPr>
            <w:r w:rsidRPr="003421CB">
              <w:rPr>
                <w:szCs w:val="21"/>
              </w:rPr>
              <w:t>53</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500420A" w14:textId="77777777" w:rsidR="00713CF0" w:rsidRPr="003421CB" w:rsidRDefault="00713CF0" w:rsidP="003421CB">
            <w:pPr>
              <w:pStyle w:val="Body"/>
              <w:rPr>
                <w:szCs w:val="21"/>
              </w:rPr>
            </w:pPr>
            <w:r w:rsidRPr="003421CB">
              <w:rPr>
                <w:szCs w:val="21"/>
              </w:rPr>
              <w:t>40</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5F23BB8" w14:textId="77777777" w:rsidR="00713CF0" w:rsidRPr="003421CB" w:rsidRDefault="00713CF0" w:rsidP="003421CB">
            <w:pPr>
              <w:pStyle w:val="Body"/>
              <w:rPr>
                <w:szCs w:val="21"/>
              </w:rPr>
            </w:pPr>
            <w:r w:rsidRPr="003421CB">
              <w:rPr>
                <w:szCs w:val="21"/>
              </w:rPr>
              <w:t>7</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8E9E39F" w14:textId="77777777" w:rsidR="00713CF0" w:rsidRPr="003421CB" w:rsidRDefault="00713CF0" w:rsidP="003421CB">
            <w:pPr>
              <w:pStyle w:val="Body"/>
              <w:rPr>
                <w:szCs w:val="21"/>
              </w:rPr>
            </w:pPr>
            <w:r w:rsidRPr="003421CB">
              <w:rPr>
                <w:szCs w:val="21"/>
              </w:rPr>
              <w:t>6</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FCE4C8A"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85B14AF" w14:textId="77777777" w:rsidR="00713CF0" w:rsidRPr="003421CB" w:rsidRDefault="00713CF0" w:rsidP="003421CB">
            <w:pPr>
              <w:pStyle w:val="Body"/>
              <w:rPr>
                <w:szCs w:val="21"/>
              </w:rPr>
            </w:pPr>
            <w:r w:rsidRPr="003421CB">
              <w:rPr>
                <w:szCs w:val="21"/>
              </w:rPr>
              <w:t>53</w:t>
            </w:r>
          </w:p>
        </w:tc>
      </w:tr>
      <w:tr w:rsidR="00713CF0" w:rsidRPr="005D0AE0" w14:paraId="5EA5249D"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629D3EAE"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457A8E19"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9AA3CB6"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E7CD9C" w14:textId="77777777" w:rsidR="00713CF0" w:rsidRPr="003421CB" w:rsidRDefault="00713CF0" w:rsidP="003421CB">
            <w:pPr>
              <w:pStyle w:val="Body"/>
              <w:rPr>
                <w:szCs w:val="21"/>
              </w:rPr>
            </w:pPr>
            <w:r w:rsidRPr="003421CB">
              <w:rPr>
                <w:szCs w:val="21"/>
              </w:rPr>
              <w:t>0</w:t>
            </w:r>
          </w:p>
        </w:tc>
        <w:tc>
          <w:tcPr>
            <w:tcW w:w="992" w:type="dxa"/>
            <w:vMerge/>
            <w:tcBorders>
              <w:top w:val="nil"/>
              <w:left w:val="nil"/>
              <w:bottom w:val="single" w:sz="8" w:space="0" w:color="auto"/>
              <w:right w:val="single" w:sz="8" w:space="0" w:color="auto"/>
            </w:tcBorders>
            <w:shd w:val="clear" w:color="auto" w:fill="auto"/>
            <w:vAlign w:val="center"/>
            <w:hideMark/>
          </w:tcPr>
          <w:p w14:paraId="71C7BC0D"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16862B85"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34405D44"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2446CC47"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4B1779B6" w14:textId="77777777" w:rsidR="00713CF0" w:rsidRPr="003421CB" w:rsidRDefault="00713CF0" w:rsidP="003421CB">
            <w:pPr>
              <w:pStyle w:val="Body"/>
              <w:rPr>
                <w:rFonts w:eastAsiaTheme="minorHAnsi"/>
                <w:szCs w:val="21"/>
              </w:rPr>
            </w:pPr>
          </w:p>
        </w:tc>
      </w:tr>
      <w:tr w:rsidR="00713CF0" w:rsidRPr="005D0AE0" w14:paraId="7C31748C" w14:textId="77777777" w:rsidTr="00B037CC">
        <w:trPr>
          <w:trHeight w:val="159"/>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007A91A7"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9325562" w14:textId="77777777" w:rsidR="00713CF0" w:rsidRPr="003421CB" w:rsidRDefault="00713CF0" w:rsidP="003421CB">
            <w:pPr>
              <w:pStyle w:val="Body"/>
              <w:rPr>
                <w:szCs w:val="21"/>
              </w:rPr>
            </w:pPr>
            <w:r w:rsidRPr="003421CB">
              <w:rPr>
                <w:szCs w:val="21"/>
              </w:rPr>
              <w:t>Spot Purchase/ General Lease</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B0286C4"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AF8DD73" w14:textId="77777777" w:rsidR="00713CF0" w:rsidRPr="003421CB" w:rsidRDefault="00713CF0" w:rsidP="003421CB">
            <w:pPr>
              <w:pStyle w:val="Body"/>
              <w:rPr>
                <w:szCs w:val="21"/>
              </w:rPr>
            </w:pPr>
            <w:r w:rsidRPr="003421CB">
              <w:rPr>
                <w:szCs w:val="21"/>
              </w:rPr>
              <w:t>0</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8547339" w14:textId="77777777" w:rsidR="00713CF0" w:rsidRPr="003421CB" w:rsidRDefault="00713CF0" w:rsidP="003421CB">
            <w:pPr>
              <w:pStyle w:val="Body"/>
              <w:rPr>
                <w:szCs w:val="21"/>
              </w:rPr>
            </w:pPr>
            <w:r w:rsidRPr="003421CB">
              <w:rPr>
                <w:szCs w:val="21"/>
              </w:rPr>
              <w:t>28</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AD52181" w14:textId="77777777" w:rsidR="00713CF0" w:rsidRPr="003421CB" w:rsidRDefault="00713CF0" w:rsidP="003421CB">
            <w:pPr>
              <w:pStyle w:val="Body"/>
              <w:rPr>
                <w:szCs w:val="21"/>
              </w:rPr>
            </w:pPr>
            <w:r w:rsidRPr="003421CB">
              <w:rPr>
                <w:szCs w:val="21"/>
              </w:rPr>
              <w:t>2</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D733CDD" w14:textId="77777777" w:rsidR="00713CF0" w:rsidRPr="003421CB" w:rsidRDefault="00713CF0" w:rsidP="003421CB">
            <w:pPr>
              <w:pStyle w:val="Body"/>
              <w:rPr>
                <w:szCs w:val="21"/>
              </w:rPr>
            </w:pPr>
            <w:r w:rsidRPr="003421CB">
              <w:rPr>
                <w:szCs w:val="21"/>
              </w:rPr>
              <w:t>2</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8F2AC73" w14:textId="77777777" w:rsidR="00713CF0" w:rsidRPr="003421CB" w:rsidRDefault="00713CF0" w:rsidP="003421CB">
            <w:pPr>
              <w:pStyle w:val="Body"/>
              <w:rPr>
                <w:szCs w:val="21"/>
              </w:rPr>
            </w:pPr>
            <w:r w:rsidRPr="003421CB">
              <w:rPr>
                <w:szCs w:val="21"/>
              </w:rPr>
              <w:t>1</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0CE7A2A" w14:textId="77777777" w:rsidR="00713CF0" w:rsidRPr="003421CB" w:rsidRDefault="00713CF0" w:rsidP="003421CB">
            <w:pPr>
              <w:pStyle w:val="Body"/>
              <w:rPr>
                <w:szCs w:val="21"/>
              </w:rPr>
            </w:pPr>
            <w:r w:rsidRPr="003421CB">
              <w:rPr>
                <w:szCs w:val="21"/>
              </w:rPr>
              <w:t>33</w:t>
            </w:r>
          </w:p>
        </w:tc>
      </w:tr>
      <w:tr w:rsidR="00713CF0" w:rsidRPr="005D0AE0" w14:paraId="7E8CE0CF"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10511027"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10E57439"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DA87032"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E4FE90" w14:textId="77777777" w:rsidR="00713CF0" w:rsidRPr="003421CB" w:rsidRDefault="00713CF0" w:rsidP="003421CB">
            <w:pPr>
              <w:pStyle w:val="Body"/>
              <w:rPr>
                <w:szCs w:val="21"/>
              </w:rPr>
            </w:pPr>
            <w:r w:rsidRPr="003421CB">
              <w:rPr>
                <w:szCs w:val="21"/>
              </w:rPr>
              <w:t>33</w:t>
            </w:r>
          </w:p>
        </w:tc>
        <w:tc>
          <w:tcPr>
            <w:tcW w:w="992" w:type="dxa"/>
            <w:vMerge/>
            <w:tcBorders>
              <w:top w:val="nil"/>
              <w:left w:val="nil"/>
              <w:bottom w:val="single" w:sz="8" w:space="0" w:color="auto"/>
              <w:right w:val="single" w:sz="8" w:space="0" w:color="auto"/>
            </w:tcBorders>
            <w:shd w:val="clear" w:color="auto" w:fill="auto"/>
            <w:vAlign w:val="center"/>
            <w:hideMark/>
          </w:tcPr>
          <w:p w14:paraId="5906B054"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70A7746F"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632AB212"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77FE3E2B"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6FA3EB75" w14:textId="77777777" w:rsidR="00713CF0" w:rsidRPr="003421CB" w:rsidRDefault="00713CF0" w:rsidP="003421CB">
            <w:pPr>
              <w:pStyle w:val="Body"/>
              <w:rPr>
                <w:rFonts w:eastAsiaTheme="minorHAnsi"/>
                <w:szCs w:val="21"/>
              </w:rPr>
            </w:pPr>
          </w:p>
        </w:tc>
      </w:tr>
      <w:tr w:rsidR="00713CF0" w:rsidRPr="005D0AE0" w14:paraId="5EF0C6C4" w14:textId="77777777" w:rsidTr="00B037CC">
        <w:trPr>
          <w:trHeight w:val="271"/>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7D996865"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146ECFF" w14:textId="77777777" w:rsidR="00713CF0" w:rsidRPr="003421CB" w:rsidRDefault="00713CF0" w:rsidP="003421CB">
            <w:pPr>
              <w:pStyle w:val="Body"/>
              <w:rPr>
                <w:szCs w:val="21"/>
              </w:rPr>
            </w:pPr>
            <w:proofErr w:type="spellStart"/>
            <w:r w:rsidRPr="003421CB">
              <w:rPr>
                <w:szCs w:val="21"/>
              </w:rPr>
              <w:t>DoH</w:t>
            </w:r>
            <w:proofErr w:type="spellEnd"/>
            <w:r w:rsidRPr="003421CB">
              <w:rPr>
                <w:szCs w:val="21"/>
              </w:rPr>
              <w:t xml:space="preserve"> Dwellings (Existing)</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8FEA152"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B7F807B" w14:textId="77777777" w:rsidR="00713CF0" w:rsidRPr="003421CB" w:rsidRDefault="00713CF0" w:rsidP="003421CB">
            <w:pPr>
              <w:pStyle w:val="Body"/>
              <w:rPr>
                <w:szCs w:val="21"/>
              </w:rPr>
            </w:pPr>
            <w:r w:rsidRPr="003421CB">
              <w:rPr>
                <w:szCs w:val="21"/>
              </w:rPr>
              <w:t>0</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570F524" w14:textId="77777777" w:rsidR="00713CF0" w:rsidRPr="003421CB" w:rsidRDefault="00713CF0" w:rsidP="003421CB">
            <w:pPr>
              <w:pStyle w:val="Body"/>
              <w:rPr>
                <w:szCs w:val="21"/>
              </w:rPr>
            </w:pPr>
            <w:r w:rsidRPr="003421CB">
              <w:rPr>
                <w:szCs w:val="21"/>
              </w:rPr>
              <w:t>17</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9795173" w14:textId="77777777" w:rsidR="00713CF0" w:rsidRPr="003421CB" w:rsidRDefault="00713CF0" w:rsidP="003421CB">
            <w:pPr>
              <w:pStyle w:val="Body"/>
              <w:rPr>
                <w:szCs w:val="21"/>
              </w:rPr>
            </w:pPr>
            <w:r w:rsidRPr="003421CB">
              <w:rPr>
                <w:szCs w:val="21"/>
              </w:rPr>
              <w:t>2</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E368DC7" w14:textId="77777777" w:rsidR="00713CF0" w:rsidRPr="003421CB" w:rsidRDefault="00713CF0" w:rsidP="003421CB">
            <w:pPr>
              <w:pStyle w:val="Body"/>
              <w:rPr>
                <w:szCs w:val="21"/>
              </w:rPr>
            </w:pPr>
            <w:r w:rsidRPr="003421CB">
              <w:rPr>
                <w:szCs w:val="21"/>
              </w:rPr>
              <w:t>1</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DEA05CE"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5ED62B6" w14:textId="77777777" w:rsidR="00713CF0" w:rsidRPr="003421CB" w:rsidRDefault="00713CF0" w:rsidP="003421CB">
            <w:pPr>
              <w:pStyle w:val="Body"/>
              <w:rPr>
                <w:szCs w:val="21"/>
              </w:rPr>
            </w:pPr>
            <w:r w:rsidRPr="003421CB">
              <w:rPr>
                <w:szCs w:val="21"/>
              </w:rPr>
              <w:t>20</w:t>
            </w:r>
          </w:p>
        </w:tc>
      </w:tr>
      <w:tr w:rsidR="00713CF0" w:rsidRPr="005D0AE0" w14:paraId="28DEA1A9"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5606478F"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49F42A8A"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710D80F"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C3D8ED1" w14:textId="77777777" w:rsidR="00713CF0" w:rsidRPr="003421CB" w:rsidRDefault="00713CF0" w:rsidP="003421CB">
            <w:pPr>
              <w:pStyle w:val="Body"/>
              <w:rPr>
                <w:szCs w:val="21"/>
              </w:rPr>
            </w:pPr>
            <w:r w:rsidRPr="003421CB">
              <w:rPr>
                <w:szCs w:val="21"/>
              </w:rPr>
              <w:t>20</w:t>
            </w:r>
          </w:p>
        </w:tc>
        <w:tc>
          <w:tcPr>
            <w:tcW w:w="992" w:type="dxa"/>
            <w:vMerge/>
            <w:tcBorders>
              <w:top w:val="nil"/>
              <w:left w:val="nil"/>
              <w:bottom w:val="single" w:sz="8" w:space="0" w:color="auto"/>
              <w:right w:val="single" w:sz="8" w:space="0" w:color="auto"/>
            </w:tcBorders>
            <w:shd w:val="clear" w:color="auto" w:fill="auto"/>
            <w:vAlign w:val="center"/>
            <w:hideMark/>
          </w:tcPr>
          <w:p w14:paraId="009CB9D4"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17919B96"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480A8B5B"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5790FA6F"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6FE46AB5" w14:textId="77777777" w:rsidR="00713CF0" w:rsidRPr="003421CB" w:rsidRDefault="00713CF0" w:rsidP="003421CB">
            <w:pPr>
              <w:pStyle w:val="Body"/>
              <w:rPr>
                <w:rFonts w:eastAsiaTheme="minorHAnsi"/>
                <w:szCs w:val="21"/>
              </w:rPr>
            </w:pPr>
          </w:p>
        </w:tc>
      </w:tr>
      <w:tr w:rsidR="00B037CC" w:rsidRPr="005D0AE0" w14:paraId="6E218F82"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7FEC8644" w14:textId="77777777" w:rsidR="00713CF0" w:rsidRPr="00B037CC" w:rsidRDefault="00713CF0" w:rsidP="003421CB">
            <w:pPr>
              <w:pStyle w:val="Body"/>
              <w:rPr>
                <w:rFonts w:eastAsiaTheme="minorHAnsi"/>
                <w:b/>
                <w:bCs/>
                <w:szCs w:val="21"/>
              </w:rPr>
            </w:pP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FE7CF8C" w14:textId="77777777" w:rsidR="00713CF0" w:rsidRPr="00B037CC" w:rsidRDefault="00713CF0" w:rsidP="003421CB">
            <w:pPr>
              <w:pStyle w:val="Body"/>
              <w:rPr>
                <w:b/>
                <w:bCs/>
                <w:szCs w:val="21"/>
              </w:rPr>
            </w:pPr>
            <w:r w:rsidRPr="00B037CC">
              <w:rPr>
                <w:b/>
                <w:bCs/>
                <w:szCs w:val="21"/>
              </w:rPr>
              <w:t>Total</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B11F69D" w14:textId="77777777" w:rsidR="00713CF0" w:rsidRPr="00B037CC" w:rsidRDefault="00713CF0" w:rsidP="003421CB">
            <w:pPr>
              <w:pStyle w:val="Body"/>
              <w:rPr>
                <w:b/>
                <w:bCs/>
                <w:szCs w:val="21"/>
              </w:rPr>
            </w:pPr>
            <w:r w:rsidRPr="00B037CC">
              <w:rPr>
                <w:b/>
                <w:bCs/>
                <w:szCs w:val="21"/>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B2ECD30" w14:textId="77777777" w:rsidR="00713CF0" w:rsidRPr="00B037CC" w:rsidRDefault="00713CF0" w:rsidP="003421CB">
            <w:pPr>
              <w:pStyle w:val="Body"/>
              <w:rPr>
                <w:b/>
                <w:bCs/>
                <w:szCs w:val="21"/>
              </w:rPr>
            </w:pPr>
            <w:r w:rsidRPr="00B037CC">
              <w:rPr>
                <w:b/>
                <w:bCs/>
                <w:szCs w:val="21"/>
              </w:rPr>
              <w:t> </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D82707F" w14:textId="77777777" w:rsidR="00713CF0" w:rsidRPr="00B037CC" w:rsidRDefault="00713CF0" w:rsidP="003421CB">
            <w:pPr>
              <w:pStyle w:val="Body"/>
              <w:rPr>
                <w:b/>
                <w:bCs/>
                <w:szCs w:val="21"/>
              </w:rPr>
            </w:pPr>
            <w:r w:rsidRPr="00B037CC">
              <w:rPr>
                <w:b/>
                <w:bCs/>
                <w:szCs w:val="21"/>
              </w:rPr>
              <w:t>85</w:t>
            </w:r>
          </w:p>
        </w:tc>
        <w:tc>
          <w:tcPr>
            <w:tcW w:w="85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0228B9B" w14:textId="77777777" w:rsidR="00713CF0" w:rsidRPr="00B037CC" w:rsidRDefault="00713CF0" w:rsidP="003421CB">
            <w:pPr>
              <w:pStyle w:val="Body"/>
              <w:rPr>
                <w:b/>
                <w:bCs/>
                <w:szCs w:val="21"/>
              </w:rPr>
            </w:pPr>
            <w:r w:rsidRPr="00B037CC">
              <w:rPr>
                <w:b/>
                <w:bCs/>
                <w:szCs w:val="21"/>
              </w:rPr>
              <w:t>11</w:t>
            </w:r>
          </w:p>
        </w:tc>
        <w:tc>
          <w:tcPr>
            <w:tcW w:w="85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852A07C" w14:textId="77777777" w:rsidR="00713CF0" w:rsidRPr="00B037CC" w:rsidRDefault="00713CF0" w:rsidP="003421CB">
            <w:pPr>
              <w:pStyle w:val="Body"/>
              <w:rPr>
                <w:b/>
                <w:bCs/>
                <w:szCs w:val="21"/>
              </w:rPr>
            </w:pPr>
            <w:r w:rsidRPr="00B037CC">
              <w:rPr>
                <w:b/>
                <w:bCs/>
                <w:szCs w:val="21"/>
              </w:rPr>
              <w:t>9</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4E39374" w14:textId="77777777" w:rsidR="00713CF0" w:rsidRPr="00B037CC" w:rsidRDefault="00713CF0" w:rsidP="003421CB">
            <w:pPr>
              <w:pStyle w:val="Body"/>
              <w:rPr>
                <w:b/>
                <w:bCs/>
                <w:szCs w:val="21"/>
              </w:rPr>
            </w:pPr>
            <w:r w:rsidRPr="00B037CC">
              <w:rPr>
                <w:b/>
                <w:bCs/>
                <w:szCs w:val="21"/>
              </w:rPr>
              <w:t>1</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99CC43F" w14:textId="77777777" w:rsidR="00713CF0" w:rsidRPr="00B037CC" w:rsidRDefault="00713CF0" w:rsidP="003421CB">
            <w:pPr>
              <w:pStyle w:val="Body"/>
              <w:rPr>
                <w:b/>
                <w:bCs/>
                <w:szCs w:val="21"/>
              </w:rPr>
            </w:pPr>
            <w:r w:rsidRPr="00B037CC">
              <w:rPr>
                <w:b/>
                <w:bCs/>
                <w:szCs w:val="21"/>
              </w:rPr>
              <w:t>106</w:t>
            </w:r>
          </w:p>
        </w:tc>
      </w:tr>
      <w:tr w:rsidR="00713CF0" w:rsidRPr="005D0AE0" w14:paraId="624F53E0" w14:textId="77777777" w:rsidTr="00B037CC">
        <w:trPr>
          <w:trHeight w:val="359"/>
        </w:trPr>
        <w:tc>
          <w:tcPr>
            <w:tcW w:w="169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88B5A47" w14:textId="77777777" w:rsidR="00713CF0" w:rsidRPr="00B037CC" w:rsidRDefault="00713CF0" w:rsidP="003421CB">
            <w:pPr>
              <w:pStyle w:val="Body"/>
              <w:rPr>
                <w:b/>
                <w:bCs/>
                <w:szCs w:val="21"/>
              </w:rPr>
            </w:pPr>
            <w:r w:rsidRPr="00B037CC">
              <w:rPr>
                <w:b/>
                <w:bCs/>
                <w:szCs w:val="21"/>
              </w:rPr>
              <w:t>5. Inner Eastern and Outer Eastern Melbourne Areas</w:t>
            </w: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5130693" w14:textId="77777777" w:rsidR="00713CF0" w:rsidRPr="003421CB" w:rsidRDefault="00713CF0" w:rsidP="003421CB">
            <w:pPr>
              <w:pStyle w:val="Body"/>
              <w:rPr>
                <w:szCs w:val="21"/>
              </w:rPr>
            </w:pPr>
            <w:r w:rsidRPr="003421CB">
              <w:rPr>
                <w:szCs w:val="21"/>
              </w:rPr>
              <w:t>Owned / Head Leased Dwellings</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5EFF265"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32E0FC" w14:textId="77777777" w:rsidR="00713CF0" w:rsidRPr="003421CB" w:rsidRDefault="00713CF0" w:rsidP="003421CB">
            <w:pPr>
              <w:pStyle w:val="Body"/>
              <w:rPr>
                <w:szCs w:val="21"/>
              </w:rPr>
            </w:pPr>
            <w:r w:rsidRPr="003421CB">
              <w:rPr>
                <w:szCs w:val="21"/>
              </w:rPr>
              <w:t>62</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7EE0AA6" w14:textId="77777777" w:rsidR="00713CF0" w:rsidRPr="003421CB" w:rsidRDefault="00713CF0" w:rsidP="003421CB">
            <w:pPr>
              <w:pStyle w:val="Body"/>
              <w:rPr>
                <w:szCs w:val="21"/>
              </w:rPr>
            </w:pPr>
            <w:r w:rsidRPr="003421CB">
              <w:rPr>
                <w:szCs w:val="21"/>
              </w:rPr>
              <w:t>59</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21B59BE" w14:textId="77777777" w:rsidR="00713CF0" w:rsidRPr="003421CB" w:rsidRDefault="00713CF0" w:rsidP="003421CB">
            <w:pPr>
              <w:pStyle w:val="Body"/>
              <w:rPr>
                <w:szCs w:val="21"/>
              </w:rPr>
            </w:pPr>
            <w:r w:rsidRPr="003421CB">
              <w:rPr>
                <w:szCs w:val="21"/>
              </w:rPr>
              <w:t>3</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E4ECD41" w14:textId="77777777" w:rsidR="00713CF0" w:rsidRPr="003421CB" w:rsidRDefault="00713CF0" w:rsidP="003421CB">
            <w:pPr>
              <w:pStyle w:val="Body"/>
              <w:rPr>
                <w:szCs w:val="21"/>
              </w:rPr>
            </w:pPr>
            <w:r w:rsidRPr="003421CB">
              <w:rPr>
                <w:szCs w:val="21"/>
              </w:rPr>
              <w:t>2</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024FA93" w14:textId="77777777" w:rsidR="00713CF0" w:rsidRPr="003421CB" w:rsidRDefault="00713CF0" w:rsidP="003421CB">
            <w:pPr>
              <w:pStyle w:val="Body"/>
              <w:rPr>
                <w:szCs w:val="21"/>
              </w:rPr>
            </w:pPr>
            <w:r w:rsidRPr="003421CB">
              <w:rPr>
                <w:szCs w:val="21"/>
              </w:rPr>
              <w:t>1</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5ADA994" w14:textId="77777777" w:rsidR="00713CF0" w:rsidRPr="003421CB" w:rsidRDefault="00713CF0" w:rsidP="003421CB">
            <w:pPr>
              <w:pStyle w:val="Body"/>
              <w:rPr>
                <w:szCs w:val="21"/>
              </w:rPr>
            </w:pPr>
            <w:r w:rsidRPr="003421CB">
              <w:rPr>
                <w:szCs w:val="21"/>
              </w:rPr>
              <w:t>65</w:t>
            </w:r>
          </w:p>
        </w:tc>
      </w:tr>
      <w:tr w:rsidR="00713CF0" w:rsidRPr="005D0AE0" w14:paraId="54253B62"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1851B2A9"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113FC1A8"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5F50FB7"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568B679" w14:textId="77777777" w:rsidR="00713CF0" w:rsidRPr="003421CB" w:rsidRDefault="00713CF0" w:rsidP="003421CB">
            <w:pPr>
              <w:pStyle w:val="Body"/>
              <w:rPr>
                <w:szCs w:val="21"/>
              </w:rPr>
            </w:pPr>
            <w:r w:rsidRPr="003421CB">
              <w:rPr>
                <w:szCs w:val="21"/>
              </w:rPr>
              <w:t>3</w:t>
            </w:r>
          </w:p>
        </w:tc>
        <w:tc>
          <w:tcPr>
            <w:tcW w:w="992" w:type="dxa"/>
            <w:vMerge/>
            <w:tcBorders>
              <w:top w:val="nil"/>
              <w:left w:val="nil"/>
              <w:bottom w:val="single" w:sz="8" w:space="0" w:color="auto"/>
              <w:right w:val="single" w:sz="8" w:space="0" w:color="auto"/>
            </w:tcBorders>
            <w:shd w:val="clear" w:color="auto" w:fill="auto"/>
            <w:vAlign w:val="center"/>
            <w:hideMark/>
          </w:tcPr>
          <w:p w14:paraId="0D2D1561"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1599E06A"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4B43027F"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64C3A09F"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3FF5CF79" w14:textId="77777777" w:rsidR="00713CF0" w:rsidRPr="003421CB" w:rsidRDefault="00713CF0" w:rsidP="003421CB">
            <w:pPr>
              <w:pStyle w:val="Body"/>
              <w:rPr>
                <w:rFonts w:eastAsiaTheme="minorHAnsi"/>
                <w:szCs w:val="21"/>
              </w:rPr>
            </w:pPr>
          </w:p>
        </w:tc>
      </w:tr>
      <w:tr w:rsidR="00713CF0" w:rsidRPr="005D0AE0" w14:paraId="05406BB9" w14:textId="77777777" w:rsidTr="00B037CC">
        <w:trPr>
          <w:trHeight w:val="329"/>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3364040E"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EFC64AE" w14:textId="77777777" w:rsidR="00713CF0" w:rsidRPr="003421CB" w:rsidRDefault="00713CF0" w:rsidP="003421CB">
            <w:pPr>
              <w:pStyle w:val="Body"/>
              <w:rPr>
                <w:szCs w:val="21"/>
              </w:rPr>
            </w:pPr>
            <w:r w:rsidRPr="003421CB">
              <w:rPr>
                <w:szCs w:val="21"/>
              </w:rPr>
              <w:t>Spot Purchase/ General Lease</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3AF27A6"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190ED3D" w14:textId="77777777" w:rsidR="00713CF0" w:rsidRPr="003421CB" w:rsidRDefault="00713CF0" w:rsidP="003421CB">
            <w:pPr>
              <w:pStyle w:val="Body"/>
              <w:rPr>
                <w:szCs w:val="21"/>
              </w:rPr>
            </w:pPr>
            <w:r w:rsidRPr="003421CB">
              <w:rPr>
                <w:szCs w:val="21"/>
              </w:rPr>
              <w:t>0</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FEA0026" w14:textId="77777777" w:rsidR="00713CF0" w:rsidRPr="003421CB" w:rsidRDefault="00713CF0" w:rsidP="003421CB">
            <w:pPr>
              <w:pStyle w:val="Body"/>
              <w:rPr>
                <w:szCs w:val="21"/>
              </w:rPr>
            </w:pPr>
            <w:r w:rsidRPr="003421CB">
              <w:rPr>
                <w:szCs w:val="21"/>
              </w:rPr>
              <w:t>37</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F14741E" w14:textId="77777777" w:rsidR="00713CF0" w:rsidRPr="003421CB" w:rsidRDefault="00713CF0" w:rsidP="003421CB">
            <w:pPr>
              <w:pStyle w:val="Body"/>
              <w:rPr>
                <w:szCs w:val="21"/>
              </w:rPr>
            </w:pPr>
            <w:r w:rsidRPr="003421CB">
              <w:rPr>
                <w:szCs w:val="21"/>
              </w:rPr>
              <w:t>2</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EB77EBA" w14:textId="77777777" w:rsidR="00713CF0" w:rsidRPr="003421CB" w:rsidRDefault="00713CF0" w:rsidP="003421CB">
            <w:pPr>
              <w:pStyle w:val="Body"/>
              <w:rPr>
                <w:szCs w:val="21"/>
              </w:rPr>
            </w:pPr>
            <w:r w:rsidRPr="003421CB">
              <w:rPr>
                <w:szCs w:val="21"/>
              </w:rPr>
              <w:t>1</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0855CDE"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7488C70" w14:textId="77777777" w:rsidR="00713CF0" w:rsidRPr="003421CB" w:rsidRDefault="00713CF0" w:rsidP="003421CB">
            <w:pPr>
              <w:pStyle w:val="Body"/>
              <w:rPr>
                <w:szCs w:val="21"/>
              </w:rPr>
            </w:pPr>
            <w:r w:rsidRPr="003421CB">
              <w:rPr>
                <w:szCs w:val="21"/>
              </w:rPr>
              <w:t>40</w:t>
            </w:r>
          </w:p>
        </w:tc>
      </w:tr>
      <w:tr w:rsidR="00713CF0" w:rsidRPr="005D0AE0" w14:paraId="6918B0B0"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1371532E"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7D90BD4F"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4BB8958"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990C25F" w14:textId="77777777" w:rsidR="00713CF0" w:rsidRPr="003421CB" w:rsidRDefault="00713CF0" w:rsidP="003421CB">
            <w:pPr>
              <w:pStyle w:val="Body"/>
              <w:rPr>
                <w:szCs w:val="21"/>
              </w:rPr>
            </w:pPr>
            <w:r w:rsidRPr="003421CB">
              <w:rPr>
                <w:szCs w:val="21"/>
              </w:rPr>
              <w:t>40</w:t>
            </w:r>
          </w:p>
        </w:tc>
        <w:tc>
          <w:tcPr>
            <w:tcW w:w="992" w:type="dxa"/>
            <w:vMerge/>
            <w:tcBorders>
              <w:top w:val="nil"/>
              <w:left w:val="nil"/>
              <w:bottom w:val="single" w:sz="8" w:space="0" w:color="auto"/>
              <w:right w:val="single" w:sz="8" w:space="0" w:color="auto"/>
            </w:tcBorders>
            <w:shd w:val="clear" w:color="auto" w:fill="auto"/>
            <w:vAlign w:val="center"/>
            <w:hideMark/>
          </w:tcPr>
          <w:p w14:paraId="617D8256"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26FE168E"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7CB3FBFB"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1FD6C771"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0DAE0C40" w14:textId="77777777" w:rsidR="00713CF0" w:rsidRPr="003421CB" w:rsidRDefault="00713CF0" w:rsidP="003421CB">
            <w:pPr>
              <w:pStyle w:val="Body"/>
              <w:rPr>
                <w:rFonts w:eastAsiaTheme="minorHAnsi"/>
                <w:szCs w:val="21"/>
              </w:rPr>
            </w:pPr>
          </w:p>
        </w:tc>
      </w:tr>
      <w:tr w:rsidR="00713CF0" w:rsidRPr="005D0AE0" w14:paraId="5DAC2FF8" w14:textId="77777777" w:rsidTr="00B037CC">
        <w:trPr>
          <w:trHeight w:val="313"/>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733F4E0A"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EA1CA5F" w14:textId="77777777" w:rsidR="00713CF0" w:rsidRPr="003421CB" w:rsidRDefault="00713CF0" w:rsidP="003421CB">
            <w:pPr>
              <w:pStyle w:val="Body"/>
              <w:rPr>
                <w:szCs w:val="21"/>
              </w:rPr>
            </w:pPr>
            <w:proofErr w:type="spellStart"/>
            <w:r w:rsidRPr="003421CB">
              <w:rPr>
                <w:szCs w:val="21"/>
              </w:rPr>
              <w:t>DoH</w:t>
            </w:r>
            <w:proofErr w:type="spellEnd"/>
            <w:r w:rsidRPr="003421CB">
              <w:rPr>
                <w:szCs w:val="21"/>
              </w:rPr>
              <w:t xml:space="preserve"> Dwellings (Existing)</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DD7859"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E5EE65D" w14:textId="77777777" w:rsidR="00713CF0" w:rsidRPr="003421CB" w:rsidRDefault="00713CF0" w:rsidP="003421CB">
            <w:pPr>
              <w:pStyle w:val="Body"/>
              <w:rPr>
                <w:szCs w:val="21"/>
              </w:rPr>
            </w:pPr>
            <w:r w:rsidRPr="003421CB">
              <w:rPr>
                <w:szCs w:val="21"/>
              </w:rPr>
              <w:t>0</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9B87DB0" w14:textId="77777777" w:rsidR="00713CF0" w:rsidRPr="003421CB" w:rsidRDefault="00713CF0" w:rsidP="003421CB">
            <w:pPr>
              <w:pStyle w:val="Body"/>
              <w:rPr>
                <w:szCs w:val="21"/>
              </w:rPr>
            </w:pPr>
            <w:r w:rsidRPr="003421CB">
              <w:rPr>
                <w:szCs w:val="21"/>
              </w:rPr>
              <w:t>23</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5BAA52D" w14:textId="77777777" w:rsidR="00713CF0" w:rsidRPr="003421CB" w:rsidRDefault="00713CF0" w:rsidP="003421CB">
            <w:pPr>
              <w:pStyle w:val="Body"/>
              <w:rPr>
                <w:szCs w:val="21"/>
              </w:rPr>
            </w:pPr>
            <w:r w:rsidRPr="003421CB">
              <w:rPr>
                <w:szCs w:val="21"/>
              </w:rPr>
              <w:t>1</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45F79D4" w14:textId="77777777" w:rsidR="00713CF0" w:rsidRPr="003421CB" w:rsidRDefault="00713CF0" w:rsidP="003421CB">
            <w:pPr>
              <w:pStyle w:val="Body"/>
              <w:rPr>
                <w:szCs w:val="21"/>
              </w:rPr>
            </w:pPr>
            <w:r w:rsidRPr="003421CB">
              <w:rPr>
                <w:szCs w:val="21"/>
              </w:rPr>
              <w:t>1</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DD1829E"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98CE7F9" w14:textId="77777777" w:rsidR="00713CF0" w:rsidRPr="003421CB" w:rsidRDefault="00713CF0" w:rsidP="003421CB">
            <w:pPr>
              <w:pStyle w:val="Body"/>
              <w:rPr>
                <w:szCs w:val="21"/>
              </w:rPr>
            </w:pPr>
            <w:r w:rsidRPr="003421CB">
              <w:rPr>
                <w:szCs w:val="21"/>
              </w:rPr>
              <w:t>25</w:t>
            </w:r>
          </w:p>
        </w:tc>
      </w:tr>
      <w:tr w:rsidR="00713CF0" w:rsidRPr="005D0AE0" w14:paraId="06C573B8"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31B9283E"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2749A2A0"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F08E45"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D8EC51B" w14:textId="77777777" w:rsidR="00713CF0" w:rsidRPr="003421CB" w:rsidRDefault="00713CF0" w:rsidP="003421CB">
            <w:pPr>
              <w:pStyle w:val="Body"/>
              <w:rPr>
                <w:szCs w:val="21"/>
              </w:rPr>
            </w:pPr>
            <w:r w:rsidRPr="003421CB">
              <w:rPr>
                <w:szCs w:val="21"/>
              </w:rPr>
              <w:t>25</w:t>
            </w:r>
          </w:p>
        </w:tc>
        <w:tc>
          <w:tcPr>
            <w:tcW w:w="992" w:type="dxa"/>
            <w:vMerge/>
            <w:tcBorders>
              <w:top w:val="nil"/>
              <w:left w:val="nil"/>
              <w:bottom w:val="single" w:sz="8" w:space="0" w:color="auto"/>
              <w:right w:val="single" w:sz="8" w:space="0" w:color="auto"/>
            </w:tcBorders>
            <w:shd w:val="clear" w:color="auto" w:fill="auto"/>
            <w:vAlign w:val="center"/>
            <w:hideMark/>
          </w:tcPr>
          <w:p w14:paraId="692C870E"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6C4613CD"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57729901"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6264AD2D"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4B54942E" w14:textId="77777777" w:rsidR="00713CF0" w:rsidRPr="003421CB" w:rsidRDefault="00713CF0" w:rsidP="003421CB">
            <w:pPr>
              <w:pStyle w:val="Body"/>
              <w:rPr>
                <w:rFonts w:eastAsiaTheme="minorHAnsi"/>
                <w:szCs w:val="21"/>
              </w:rPr>
            </w:pPr>
          </w:p>
        </w:tc>
      </w:tr>
      <w:tr w:rsidR="00B037CC" w:rsidRPr="005D0AE0" w14:paraId="63F9196F"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5FF50680" w14:textId="77777777" w:rsidR="00713CF0" w:rsidRPr="00B037CC" w:rsidRDefault="00713CF0" w:rsidP="003421CB">
            <w:pPr>
              <w:pStyle w:val="Body"/>
              <w:rPr>
                <w:rFonts w:eastAsiaTheme="minorHAnsi"/>
                <w:b/>
                <w:bCs/>
                <w:szCs w:val="21"/>
              </w:rPr>
            </w:pP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607403B" w14:textId="77777777" w:rsidR="00713CF0" w:rsidRPr="00B037CC" w:rsidRDefault="00713CF0" w:rsidP="003421CB">
            <w:pPr>
              <w:pStyle w:val="Body"/>
              <w:rPr>
                <w:b/>
                <w:bCs/>
                <w:szCs w:val="21"/>
              </w:rPr>
            </w:pPr>
            <w:r w:rsidRPr="00B037CC">
              <w:rPr>
                <w:b/>
                <w:bCs/>
                <w:szCs w:val="21"/>
              </w:rPr>
              <w:t>Total</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F37E834" w14:textId="77777777" w:rsidR="00713CF0" w:rsidRPr="00B037CC" w:rsidRDefault="00713CF0" w:rsidP="003421CB">
            <w:pPr>
              <w:pStyle w:val="Body"/>
              <w:rPr>
                <w:b/>
                <w:bCs/>
                <w:szCs w:val="21"/>
              </w:rPr>
            </w:pPr>
            <w:r w:rsidRPr="00B037CC">
              <w:rPr>
                <w:b/>
                <w:bCs/>
                <w:szCs w:val="21"/>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D40BC0" w14:textId="77777777" w:rsidR="00713CF0" w:rsidRPr="00B037CC" w:rsidRDefault="00713CF0" w:rsidP="003421CB">
            <w:pPr>
              <w:pStyle w:val="Body"/>
              <w:rPr>
                <w:b/>
                <w:bCs/>
                <w:szCs w:val="21"/>
              </w:rPr>
            </w:pPr>
            <w:r w:rsidRPr="00B037CC">
              <w:rPr>
                <w:b/>
                <w:bCs/>
                <w:szCs w:val="21"/>
              </w:rPr>
              <w:t> </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7D39E24" w14:textId="77777777" w:rsidR="00713CF0" w:rsidRPr="00B037CC" w:rsidRDefault="00713CF0" w:rsidP="003421CB">
            <w:pPr>
              <w:pStyle w:val="Body"/>
              <w:rPr>
                <w:b/>
                <w:bCs/>
                <w:szCs w:val="21"/>
              </w:rPr>
            </w:pPr>
            <w:r w:rsidRPr="00B037CC">
              <w:rPr>
                <w:b/>
                <w:bCs/>
                <w:szCs w:val="21"/>
              </w:rPr>
              <w:t>119</w:t>
            </w:r>
          </w:p>
        </w:tc>
        <w:tc>
          <w:tcPr>
            <w:tcW w:w="85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C66994E" w14:textId="77777777" w:rsidR="00713CF0" w:rsidRPr="00B037CC" w:rsidRDefault="00713CF0" w:rsidP="003421CB">
            <w:pPr>
              <w:pStyle w:val="Body"/>
              <w:rPr>
                <w:b/>
                <w:bCs/>
                <w:szCs w:val="21"/>
              </w:rPr>
            </w:pPr>
            <w:r w:rsidRPr="00B037CC">
              <w:rPr>
                <w:b/>
                <w:bCs/>
                <w:szCs w:val="21"/>
              </w:rPr>
              <w:t>6</w:t>
            </w:r>
          </w:p>
        </w:tc>
        <w:tc>
          <w:tcPr>
            <w:tcW w:w="85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7141117" w14:textId="77777777" w:rsidR="00713CF0" w:rsidRPr="00B037CC" w:rsidRDefault="00713CF0" w:rsidP="003421CB">
            <w:pPr>
              <w:pStyle w:val="Body"/>
              <w:rPr>
                <w:b/>
                <w:bCs/>
                <w:szCs w:val="21"/>
              </w:rPr>
            </w:pPr>
            <w:r w:rsidRPr="00B037CC">
              <w:rPr>
                <w:b/>
                <w:bCs/>
                <w:szCs w:val="21"/>
              </w:rPr>
              <w:t>4</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7E06B54" w14:textId="77777777" w:rsidR="00713CF0" w:rsidRPr="00B037CC" w:rsidRDefault="00713CF0" w:rsidP="003421CB">
            <w:pPr>
              <w:pStyle w:val="Body"/>
              <w:rPr>
                <w:b/>
                <w:bCs/>
                <w:szCs w:val="21"/>
              </w:rPr>
            </w:pPr>
            <w:r w:rsidRPr="00B037CC">
              <w:rPr>
                <w:b/>
                <w:bCs/>
                <w:szCs w:val="21"/>
              </w:rPr>
              <w:t>1</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7827CC2" w14:textId="77777777" w:rsidR="00713CF0" w:rsidRPr="00B037CC" w:rsidRDefault="00713CF0" w:rsidP="003421CB">
            <w:pPr>
              <w:pStyle w:val="Body"/>
              <w:rPr>
                <w:b/>
                <w:bCs/>
                <w:szCs w:val="21"/>
              </w:rPr>
            </w:pPr>
            <w:r w:rsidRPr="00B037CC">
              <w:rPr>
                <w:b/>
                <w:bCs/>
                <w:szCs w:val="21"/>
              </w:rPr>
              <w:t>130</w:t>
            </w:r>
          </w:p>
        </w:tc>
      </w:tr>
      <w:tr w:rsidR="00713CF0" w:rsidRPr="005D0AE0" w14:paraId="5B11803F" w14:textId="77777777" w:rsidTr="00B037CC">
        <w:trPr>
          <w:trHeight w:val="259"/>
        </w:trPr>
        <w:tc>
          <w:tcPr>
            <w:tcW w:w="169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6519402" w14:textId="77777777" w:rsidR="00713CF0" w:rsidRPr="00B037CC" w:rsidRDefault="00713CF0" w:rsidP="003421CB">
            <w:pPr>
              <w:pStyle w:val="Body"/>
              <w:rPr>
                <w:b/>
                <w:bCs/>
                <w:szCs w:val="21"/>
              </w:rPr>
            </w:pPr>
            <w:r w:rsidRPr="00B037CC">
              <w:rPr>
                <w:b/>
                <w:bCs/>
                <w:szCs w:val="21"/>
              </w:rPr>
              <w:t>6. Inner Gippsland and Outer Gippsland Areas</w:t>
            </w: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2A80503" w14:textId="77777777" w:rsidR="00713CF0" w:rsidRPr="003421CB" w:rsidRDefault="00713CF0" w:rsidP="003421CB">
            <w:pPr>
              <w:pStyle w:val="Body"/>
              <w:rPr>
                <w:szCs w:val="21"/>
              </w:rPr>
            </w:pPr>
            <w:r w:rsidRPr="003421CB">
              <w:rPr>
                <w:szCs w:val="21"/>
              </w:rPr>
              <w:t>Owned / Head Leased Dwellings</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D540B2"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1FC921" w14:textId="77777777" w:rsidR="00713CF0" w:rsidRPr="003421CB" w:rsidRDefault="00713CF0" w:rsidP="003421CB">
            <w:pPr>
              <w:pStyle w:val="Body"/>
              <w:rPr>
                <w:szCs w:val="21"/>
              </w:rPr>
            </w:pPr>
            <w:r w:rsidRPr="003421CB">
              <w:rPr>
                <w:szCs w:val="21"/>
              </w:rPr>
              <w:t>0</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073B003" w14:textId="77777777" w:rsidR="00713CF0" w:rsidRPr="003421CB" w:rsidRDefault="00713CF0" w:rsidP="003421CB">
            <w:pPr>
              <w:pStyle w:val="Body"/>
              <w:rPr>
                <w:szCs w:val="21"/>
              </w:rPr>
            </w:pPr>
            <w:r w:rsidRPr="003421CB">
              <w:rPr>
                <w:szCs w:val="21"/>
              </w:rPr>
              <w:t>0</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1341F56" w14:textId="77777777" w:rsidR="00713CF0" w:rsidRPr="003421CB" w:rsidRDefault="00713CF0" w:rsidP="003421CB">
            <w:pPr>
              <w:pStyle w:val="Body"/>
              <w:rPr>
                <w:szCs w:val="21"/>
              </w:rPr>
            </w:pPr>
            <w:r w:rsidRPr="003421CB">
              <w:rPr>
                <w:szCs w:val="21"/>
              </w:rPr>
              <w:t>0</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7A2DB38" w14:textId="77777777" w:rsidR="00713CF0" w:rsidRPr="003421CB" w:rsidRDefault="00713CF0" w:rsidP="003421CB">
            <w:pPr>
              <w:pStyle w:val="Body"/>
              <w:rPr>
                <w:szCs w:val="21"/>
              </w:rPr>
            </w:pPr>
            <w:r w:rsidRPr="003421CB">
              <w:rPr>
                <w:szCs w:val="21"/>
              </w:rPr>
              <w:t>0</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DC0B6ED"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5369C28" w14:textId="77777777" w:rsidR="00713CF0" w:rsidRPr="003421CB" w:rsidRDefault="00713CF0" w:rsidP="003421CB">
            <w:pPr>
              <w:pStyle w:val="Body"/>
              <w:rPr>
                <w:szCs w:val="21"/>
              </w:rPr>
            </w:pPr>
            <w:r w:rsidRPr="003421CB">
              <w:rPr>
                <w:szCs w:val="21"/>
              </w:rPr>
              <w:t>0</w:t>
            </w:r>
          </w:p>
        </w:tc>
      </w:tr>
      <w:tr w:rsidR="00713CF0" w:rsidRPr="005D0AE0" w14:paraId="6CD8B1D9"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4971E94C"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320FDE7A"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D6CE4E"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CB553F6" w14:textId="77777777" w:rsidR="00713CF0" w:rsidRPr="003421CB" w:rsidRDefault="00713CF0" w:rsidP="003421CB">
            <w:pPr>
              <w:pStyle w:val="Body"/>
              <w:rPr>
                <w:szCs w:val="21"/>
              </w:rPr>
            </w:pPr>
            <w:r w:rsidRPr="003421CB">
              <w:rPr>
                <w:szCs w:val="21"/>
              </w:rPr>
              <w:t>0</w:t>
            </w:r>
          </w:p>
        </w:tc>
        <w:tc>
          <w:tcPr>
            <w:tcW w:w="992" w:type="dxa"/>
            <w:vMerge/>
            <w:tcBorders>
              <w:top w:val="nil"/>
              <w:left w:val="nil"/>
              <w:bottom w:val="single" w:sz="8" w:space="0" w:color="auto"/>
              <w:right w:val="single" w:sz="8" w:space="0" w:color="auto"/>
            </w:tcBorders>
            <w:shd w:val="clear" w:color="auto" w:fill="auto"/>
            <w:vAlign w:val="center"/>
            <w:hideMark/>
          </w:tcPr>
          <w:p w14:paraId="1362E51A"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53FBDD07"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005B336F"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45D0CD4A"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766070EA" w14:textId="77777777" w:rsidR="00713CF0" w:rsidRPr="003421CB" w:rsidRDefault="00713CF0" w:rsidP="003421CB">
            <w:pPr>
              <w:pStyle w:val="Body"/>
              <w:rPr>
                <w:rFonts w:eastAsiaTheme="minorHAnsi"/>
                <w:szCs w:val="21"/>
              </w:rPr>
            </w:pPr>
          </w:p>
        </w:tc>
      </w:tr>
      <w:tr w:rsidR="00713CF0" w:rsidRPr="005D0AE0" w14:paraId="124354AE" w14:textId="77777777" w:rsidTr="00B037CC">
        <w:trPr>
          <w:trHeight w:val="371"/>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502BC0F3"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9961281" w14:textId="77777777" w:rsidR="00713CF0" w:rsidRPr="003421CB" w:rsidRDefault="00713CF0" w:rsidP="003421CB">
            <w:pPr>
              <w:pStyle w:val="Body"/>
              <w:rPr>
                <w:szCs w:val="21"/>
              </w:rPr>
            </w:pPr>
            <w:r w:rsidRPr="003421CB">
              <w:rPr>
                <w:szCs w:val="21"/>
              </w:rPr>
              <w:t xml:space="preserve">Spot Purchase/ </w:t>
            </w:r>
            <w:r w:rsidRPr="003421CB">
              <w:rPr>
                <w:szCs w:val="21"/>
              </w:rPr>
              <w:lastRenderedPageBreak/>
              <w:t>General Lease</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D50ABBD" w14:textId="77777777" w:rsidR="00713CF0" w:rsidRPr="003421CB" w:rsidRDefault="00713CF0" w:rsidP="003421CB">
            <w:pPr>
              <w:pStyle w:val="Body"/>
              <w:rPr>
                <w:szCs w:val="21"/>
              </w:rPr>
            </w:pPr>
            <w:r w:rsidRPr="003421CB">
              <w:rPr>
                <w:szCs w:val="21"/>
              </w:rPr>
              <w:lastRenderedPageBreak/>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D95970" w14:textId="77777777" w:rsidR="00713CF0" w:rsidRPr="003421CB" w:rsidRDefault="00713CF0" w:rsidP="003421CB">
            <w:pPr>
              <w:pStyle w:val="Body"/>
              <w:rPr>
                <w:szCs w:val="21"/>
              </w:rPr>
            </w:pPr>
            <w:r w:rsidRPr="003421CB">
              <w:rPr>
                <w:szCs w:val="21"/>
              </w:rPr>
              <w:t>21</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F48E71D" w14:textId="77777777" w:rsidR="00713CF0" w:rsidRPr="003421CB" w:rsidRDefault="00713CF0" w:rsidP="003421CB">
            <w:pPr>
              <w:pStyle w:val="Body"/>
              <w:rPr>
                <w:szCs w:val="21"/>
              </w:rPr>
            </w:pPr>
            <w:r w:rsidRPr="003421CB">
              <w:rPr>
                <w:szCs w:val="21"/>
              </w:rPr>
              <w:t>47</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AD74409" w14:textId="77777777" w:rsidR="00713CF0" w:rsidRPr="003421CB" w:rsidRDefault="00713CF0" w:rsidP="003421CB">
            <w:pPr>
              <w:pStyle w:val="Body"/>
              <w:rPr>
                <w:szCs w:val="21"/>
              </w:rPr>
            </w:pPr>
            <w:r w:rsidRPr="003421CB">
              <w:rPr>
                <w:szCs w:val="21"/>
              </w:rPr>
              <w:t>4</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F59FAE5" w14:textId="77777777" w:rsidR="00713CF0" w:rsidRPr="003421CB" w:rsidRDefault="00713CF0" w:rsidP="003421CB">
            <w:pPr>
              <w:pStyle w:val="Body"/>
              <w:rPr>
                <w:szCs w:val="21"/>
              </w:rPr>
            </w:pPr>
            <w:r w:rsidRPr="003421CB">
              <w:rPr>
                <w:szCs w:val="21"/>
              </w:rPr>
              <w:t>1</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9FACCB5"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58BE0FE" w14:textId="77777777" w:rsidR="00713CF0" w:rsidRPr="003421CB" w:rsidRDefault="00713CF0" w:rsidP="003421CB">
            <w:pPr>
              <w:pStyle w:val="Body"/>
              <w:rPr>
                <w:szCs w:val="21"/>
              </w:rPr>
            </w:pPr>
            <w:r w:rsidRPr="003421CB">
              <w:rPr>
                <w:szCs w:val="21"/>
              </w:rPr>
              <w:t>52</w:t>
            </w:r>
          </w:p>
        </w:tc>
      </w:tr>
      <w:tr w:rsidR="00713CF0" w:rsidRPr="005D0AE0" w14:paraId="64B7D188"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3C1459F9"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73CC7939"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65382C3"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CCC1A7A" w14:textId="77777777" w:rsidR="00713CF0" w:rsidRPr="003421CB" w:rsidRDefault="00713CF0" w:rsidP="003421CB">
            <w:pPr>
              <w:pStyle w:val="Body"/>
              <w:rPr>
                <w:szCs w:val="21"/>
              </w:rPr>
            </w:pPr>
            <w:r w:rsidRPr="003421CB">
              <w:rPr>
                <w:szCs w:val="21"/>
              </w:rPr>
              <w:t>31</w:t>
            </w:r>
          </w:p>
        </w:tc>
        <w:tc>
          <w:tcPr>
            <w:tcW w:w="992" w:type="dxa"/>
            <w:vMerge/>
            <w:tcBorders>
              <w:top w:val="nil"/>
              <w:left w:val="nil"/>
              <w:bottom w:val="single" w:sz="8" w:space="0" w:color="auto"/>
              <w:right w:val="single" w:sz="8" w:space="0" w:color="auto"/>
            </w:tcBorders>
            <w:shd w:val="clear" w:color="auto" w:fill="auto"/>
            <w:vAlign w:val="center"/>
            <w:hideMark/>
          </w:tcPr>
          <w:p w14:paraId="4D209788"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766214BE"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2BC2C326"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69C541AC"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4F755E84" w14:textId="77777777" w:rsidR="00713CF0" w:rsidRPr="003421CB" w:rsidRDefault="00713CF0" w:rsidP="003421CB">
            <w:pPr>
              <w:pStyle w:val="Body"/>
              <w:rPr>
                <w:rFonts w:eastAsiaTheme="minorHAnsi"/>
                <w:szCs w:val="21"/>
              </w:rPr>
            </w:pPr>
          </w:p>
        </w:tc>
      </w:tr>
      <w:tr w:rsidR="00713CF0" w:rsidRPr="005D0AE0" w14:paraId="0F54CDD3" w14:textId="77777777" w:rsidTr="00B037CC">
        <w:trPr>
          <w:trHeight w:val="367"/>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7AEE379A"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FD8100D" w14:textId="77777777" w:rsidR="00713CF0" w:rsidRPr="003421CB" w:rsidRDefault="00713CF0" w:rsidP="003421CB">
            <w:pPr>
              <w:pStyle w:val="Body"/>
              <w:rPr>
                <w:szCs w:val="21"/>
              </w:rPr>
            </w:pPr>
            <w:proofErr w:type="spellStart"/>
            <w:r w:rsidRPr="003421CB">
              <w:rPr>
                <w:szCs w:val="21"/>
              </w:rPr>
              <w:t>DoH</w:t>
            </w:r>
            <w:proofErr w:type="spellEnd"/>
            <w:r w:rsidRPr="003421CB">
              <w:rPr>
                <w:szCs w:val="21"/>
              </w:rPr>
              <w:t xml:space="preserve"> Dwellings (Existing)</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EEC7500"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0515646" w14:textId="77777777" w:rsidR="00713CF0" w:rsidRPr="003421CB" w:rsidRDefault="00713CF0" w:rsidP="003421CB">
            <w:pPr>
              <w:pStyle w:val="Body"/>
              <w:rPr>
                <w:szCs w:val="21"/>
              </w:rPr>
            </w:pPr>
            <w:r w:rsidRPr="003421CB">
              <w:rPr>
                <w:szCs w:val="21"/>
              </w:rPr>
              <w:t>13</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B6763AB" w14:textId="77777777" w:rsidR="00713CF0" w:rsidRPr="003421CB" w:rsidRDefault="00713CF0" w:rsidP="003421CB">
            <w:pPr>
              <w:pStyle w:val="Body"/>
              <w:rPr>
                <w:szCs w:val="21"/>
              </w:rPr>
            </w:pPr>
            <w:r w:rsidRPr="003421CB">
              <w:rPr>
                <w:szCs w:val="21"/>
              </w:rPr>
              <w:t>30</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8675F5A" w14:textId="77777777" w:rsidR="00713CF0" w:rsidRPr="003421CB" w:rsidRDefault="00713CF0" w:rsidP="003421CB">
            <w:pPr>
              <w:pStyle w:val="Body"/>
              <w:rPr>
                <w:szCs w:val="21"/>
              </w:rPr>
            </w:pPr>
            <w:r w:rsidRPr="003421CB">
              <w:rPr>
                <w:szCs w:val="21"/>
              </w:rPr>
              <w:t>3</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0C1DD6E" w14:textId="77777777" w:rsidR="00713CF0" w:rsidRPr="003421CB" w:rsidRDefault="00713CF0" w:rsidP="003421CB">
            <w:pPr>
              <w:pStyle w:val="Body"/>
              <w:rPr>
                <w:szCs w:val="21"/>
              </w:rPr>
            </w:pPr>
            <w:r w:rsidRPr="003421CB">
              <w:rPr>
                <w:szCs w:val="21"/>
              </w:rPr>
              <w:t>0</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858A7B8"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C2700C1" w14:textId="77777777" w:rsidR="00713CF0" w:rsidRPr="003421CB" w:rsidRDefault="00713CF0" w:rsidP="003421CB">
            <w:pPr>
              <w:pStyle w:val="Body"/>
              <w:rPr>
                <w:szCs w:val="21"/>
              </w:rPr>
            </w:pPr>
            <w:r w:rsidRPr="003421CB">
              <w:rPr>
                <w:szCs w:val="21"/>
              </w:rPr>
              <w:t>33</w:t>
            </w:r>
          </w:p>
        </w:tc>
      </w:tr>
      <w:tr w:rsidR="00713CF0" w:rsidRPr="005D0AE0" w14:paraId="65AF9624"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4368C5BC"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25768BF9"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FE49EA8"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0A76CA6" w14:textId="77777777" w:rsidR="00713CF0" w:rsidRPr="003421CB" w:rsidRDefault="00713CF0" w:rsidP="003421CB">
            <w:pPr>
              <w:pStyle w:val="Body"/>
              <w:rPr>
                <w:szCs w:val="21"/>
              </w:rPr>
            </w:pPr>
            <w:r w:rsidRPr="003421CB">
              <w:rPr>
                <w:szCs w:val="21"/>
              </w:rPr>
              <w:t>20</w:t>
            </w:r>
          </w:p>
        </w:tc>
        <w:tc>
          <w:tcPr>
            <w:tcW w:w="992" w:type="dxa"/>
            <w:vMerge/>
            <w:tcBorders>
              <w:top w:val="nil"/>
              <w:left w:val="nil"/>
              <w:bottom w:val="single" w:sz="8" w:space="0" w:color="auto"/>
              <w:right w:val="single" w:sz="8" w:space="0" w:color="auto"/>
            </w:tcBorders>
            <w:shd w:val="clear" w:color="auto" w:fill="auto"/>
            <w:vAlign w:val="center"/>
            <w:hideMark/>
          </w:tcPr>
          <w:p w14:paraId="01FFD913"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4F376D4B"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1C68A35A"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754F7AA6"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05213309" w14:textId="77777777" w:rsidR="00713CF0" w:rsidRPr="003421CB" w:rsidRDefault="00713CF0" w:rsidP="003421CB">
            <w:pPr>
              <w:pStyle w:val="Body"/>
              <w:rPr>
                <w:rFonts w:eastAsiaTheme="minorHAnsi"/>
                <w:szCs w:val="21"/>
              </w:rPr>
            </w:pPr>
          </w:p>
        </w:tc>
      </w:tr>
      <w:tr w:rsidR="00B037CC" w:rsidRPr="005D0AE0" w14:paraId="63B8515F"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1C1FD3EC" w14:textId="77777777" w:rsidR="00713CF0" w:rsidRPr="00B037CC" w:rsidRDefault="00713CF0" w:rsidP="003421CB">
            <w:pPr>
              <w:pStyle w:val="Body"/>
              <w:rPr>
                <w:rFonts w:eastAsiaTheme="minorHAnsi"/>
                <w:b/>
                <w:bCs/>
                <w:szCs w:val="21"/>
              </w:rPr>
            </w:pP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C11CD58" w14:textId="77777777" w:rsidR="00713CF0" w:rsidRPr="00B037CC" w:rsidRDefault="00713CF0" w:rsidP="003421CB">
            <w:pPr>
              <w:pStyle w:val="Body"/>
              <w:rPr>
                <w:b/>
                <w:bCs/>
                <w:szCs w:val="21"/>
              </w:rPr>
            </w:pPr>
            <w:r w:rsidRPr="00B037CC">
              <w:rPr>
                <w:b/>
                <w:bCs/>
                <w:szCs w:val="21"/>
              </w:rPr>
              <w:t>Total</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1FF5CD2" w14:textId="77777777" w:rsidR="00713CF0" w:rsidRPr="00B037CC" w:rsidRDefault="00713CF0" w:rsidP="003421CB">
            <w:pPr>
              <w:pStyle w:val="Body"/>
              <w:rPr>
                <w:b/>
                <w:bCs/>
                <w:szCs w:val="21"/>
              </w:rPr>
            </w:pPr>
            <w:r w:rsidRPr="00B037CC">
              <w:rPr>
                <w:b/>
                <w:bCs/>
                <w:szCs w:val="21"/>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C98B270" w14:textId="77777777" w:rsidR="00713CF0" w:rsidRPr="00B037CC" w:rsidRDefault="00713CF0" w:rsidP="003421CB">
            <w:pPr>
              <w:pStyle w:val="Body"/>
              <w:rPr>
                <w:b/>
                <w:bCs/>
                <w:szCs w:val="21"/>
              </w:rPr>
            </w:pPr>
            <w:r w:rsidRPr="00B037CC">
              <w:rPr>
                <w:b/>
                <w:bCs/>
                <w:szCs w:val="21"/>
              </w:rPr>
              <w:t> </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9025DD5" w14:textId="77777777" w:rsidR="00713CF0" w:rsidRPr="00B037CC" w:rsidRDefault="00713CF0" w:rsidP="003421CB">
            <w:pPr>
              <w:pStyle w:val="Body"/>
              <w:rPr>
                <w:b/>
                <w:bCs/>
                <w:szCs w:val="21"/>
              </w:rPr>
            </w:pPr>
            <w:r w:rsidRPr="00B037CC">
              <w:rPr>
                <w:b/>
                <w:bCs/>
                <w:szCs w:val="21"/>
              </w:rPr>
              <w:t>77</w:t>
            </w:r>
          </w:p>
        </w:tc>
        <w:tc>
          <w:tcPr>
            <w:tcW w:w="85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AD6AAD8" w14:textId="77777777" w:rsidR="00713CF0" w:rsidRPr="00B037CC" w:rsidRDefault="00713CF0" w:rsidP="003421CB">
            <w:pPr>
              <w:pStyle w:val="Body"/>
              <w:rPr>
                <w:b/>
                <w:bCs/>
                <w:szCs w:val="21"/>
              </w:rPr>
            </w:pPr>
            <w:r w:rsidRPr="00B037CC">
              <w:rPr>
                <w:b/>
                <w:bCs/>
                <w:szCs w:val="21"/>
              </w:rPr>
              <w:t>7</w:t>
            </w:r>
          </w:p>
        </w:tc>
        <w:tc>
          <w:tcPr>
            <w:tcW w:w="85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864DA9D" w14:textId="77777777" w:rsidR="00713CF0" w:rsidRPr="00B037CC" w:rsidRDefault="00713CF0" w:rsidP="003421CB">
            <w:pPr>
              <w:pStyle w:val="Body"/>
              <w:rPr>
                <w:b/>
                <w:bCs/>
                <w:szCs w:val="21"/>
              </w:rPr>
            </w:pPr>
            <w:r w:rsidRPr="00B037CC">
              <w:rPr>
                <w:b/>
                <w:bCs/>
                <w:szCs w:val="21"/>
              </w:rPr>
              <w:t>1</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0239114" w14:textId="77777777" w:rsidR="00713CF0" w:rsidRPr="00B037CC" w:rsidRDefault="00713CF0" w:rsidP="003421CB">
            <w:pPr>
              <w:pStyle w:val="Body"/>
              <w:rPr>
                <w:b/>
                <w:bCs/>
                <w:szCs w:val="21"/>
              </w:rPr>
            </w:pPr>
            <w:r w:rsidRPr="00B037CC">
              <w:rPr>
                <w:b/>
                <w:bCs/>
                <w:szCs w:val="21"/>
              </w:rPr>
              <w:t>0</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F817027" w14:textId="77777777" w:rsidR="00713CF0" w:rsidRPr="00B037CC" w:rsidRDefault="00713CF0" w:rsidP="003421CB">
            <w:pPr>
              <w:pStyle w:val="Body"/>
              <w:rPr>
                <w:b/>
                <w:bCs/>
                <w:szCs w:val="21"/>
              </w:rPr>
            </w:pPr>
            <w:r w:rsidRPr="00B037CC">
              <w:rPr>
                <w:b/>
                <w:bCs/>
                <w:szCs w:val="21"/>
              </w:rPr>
              <w:t>85</w:t>
            </w:r>
          </w:p>
        </w:tc>
      </w:tr>
      <w:tr w:rsidR="00713CF0" w:rsidRPr="005D0AE0" w14:paraId="5A86EE63" w14:textId="77777777" w:rsidTr="00B037CC">
        <w:trPr>
          <w:trHeight w:val="361"/>
        </w:trPr>
        <w:tc>
          <w:tcPr>
            <w:tcW w:w="169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116951C" w14:textId="77777777" w:rsidR="00713CF0" w:rsidRPr="00B037CC" w:rsidRDefault="00713CF0" w:rsidP="003421CB">
            <w:pPr>
              <w:pStyle w:val="Body"/>
              <w:rPr>
                <w:b/>
                <w:bCs/>
                <w:szCs w:val="21"/>
              </w:rPr>
            </w:pPr>
            <w:r w:rsidRPr="00B037CC">
              <w:rPr>
                <w:b/>
                <w:bCs/>
                <w:szCs w:val="21"/>
              </w:rPr>
              <w:t>7. Central Highlands and Western District Areas (Wimmera and South West)</w:t>
            </w: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A6326B7" w14:textId="77777777" w:rsidR="00713CF0" w:rsidRPr="003421CB" w:rsidRDefault="00713CF0" w:rsidP="003421CB">
            <w:pPr>
              <w:pStyle w:val="Body"/>
              <w:rPr>
                <w:szCs w:val="21"/>
              </w:rPr>
            </w:pPr>
            <w:r w:rsidRPr="003421CB">
              <w:rPr>
                <w:szCs w:val="21"/>
              </w:rPr>
              <w:t>Owned / Head Leased Dwellings</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8D128A0"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B105C69" w14:textId="77777777" w:rsidR="00713CF0" w:rsidRPr="003421CB" w:rsidRDefault="00713CF0" w:rsidP="003421CB">
            <w:pPr>
              <w:pStyle w:val="Body"/>
              <w:rPr>
                <w:szCs w:val="21"/>
              </w:rPr>
            </w:pPr>
            <w:r w:rsidRPr="003421CB">
              <w:rPr>
                <w:szCs w:val="21"/>
              </w:rPr>
              <w:t>35</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DB623A0" w14:textId="77777777" w:rsidR="00713CF0" w:rsidRPr="003421CB" w:rsidRDefault="00713CF0" w:rsidP="003421CB">
            <w:pPr>
              <w:pStyle w:val="Body"/>
              <w:rPr>
                <w:szCs w:val="21"/>
              </w:rPr>
            </w:pPr>
            <w:r w:rsidRPr="003421CB">
              <w:rPr>
                <w:szCs w:val="21"/>
              </w:rPr>
              <w:t>31</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F819826" w14:textId="77777777" w:rsidR="00713CF0" w:rsidRPr="003421CB" w:rsidRDefault="00713CF0" w:rsidP="003421CB">
            <w:pPr>
              <w:pStyle w:val="Body"/>
              <w:rPr>
                <w:szCs w:val="21"/>
              </w:rPr>
            </w:pPr>
            <w:r w:rsidRPr="003421CB">
              <w:rPr>
                <w:szCs w:val="21"/>
              </w:rPr>
              <w:t>4</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9B6E0B8" w14:textId="77777777" w:rsidR="00713CF0" w:rsidRPr="003421CB" w:rsidRDefault="00713CF0" w:rsidP="003421CB">
            <w:pPr>
              <w:pStyle w:val="Body"/>
              <w:rPr>
                <w:szCs w:val="21"/>
              </w:rPr>
            </w:pPr>
            <w:r w:rsidRPr="003421CB">
              <w:rPr>
                <w:szCs w:val="21"/>
              </w:rPr>
              <w:t>0</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7D7B082"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89B57DF" w14:textId="77777777" w:rsidR="00713CF0" w:rsidRPr="003421CB" w:rsidRDefault="00713CF0" w:rsidP="003421CB">
            <w:pPr>
              <w:pStyle w:val="Body"/>
              <w:rPr>
                <w:szCs w:val="21"/>
              </w:rPr>
            </w:pPr>
            <w:r w:rsidRPr="003421CB">
              <w:rPr>
                <w:szCs w:val="21"/>
              </w:rPr>
              <w:t>35</w:t>
            </w:r>
          </w:p>
        </w:tc>
      </w:tr>
      <w:tr w:rsidR="00713CF0" w:rsidRPr="005D0AE0" w14:paraId="78CA7C70"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057426C8"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54007FD3"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234B232"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A4FB43" w14:textId="77777777" w:rsidR="00713CF0" w:rsidRPr="003421CB" w:rsidRDefault="00713CF0" w:rsidP="003421CB">
            <w:pPr>
              <w:pStyle w:val="Body"/>
              <w:rPr>
                <w:szCs w:val="21"/>
              </w:rPr>
            </w:pPr>
            <w:r w:rsidRPr="003421CB">
              <w:rPr>
                <w:szCs w:val="21"/>
              </w:rPr>
              <w:t>0</w:t>
            </w:r>
          </w:p>
        </w:tc>
        <w:tc>
          <w:tcPr>
            <w:tcW w:w="992" w:type="dxa"/>
            <w:vMerge/>
            <w:tcBorders>
              <w:top w:val="nil"/>
              <w:left w:val="nil"/>
              <w:bottom w:val="single" w:sz="8" w:space="0" w:color="auto"/>
              <w:right w:val="single" w:sz="8" w:space="0" w:color="auto"/>
            </w:tcBorders>
            <w:shd w:val="clear" w:color="auto" w:fill="auto"/>
            <w:vAlign w:val="center"/>
            <w:hideMark/>
          </w:tcPr>
          <w:p w14:paraId="1647FDAD"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62DBA27F"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1EF5DB5F"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58EDA14E"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2F52065A" w14:textId="77777777" w:rsidR="00713CF0" w:rsidRPr="003421CB" w:rsidRDefault="00713CF0" w:rsidP="003421CB">
            <w:pPr>
              <w:pStyle w:val="Body"/>
              <w:rPr>
                <w:rFonts w:eastAsiaTheme="minorHAnsi"/>
                <w:szCs w:val="21"/>
              </w:rPr>
            </w:pPr>
          </w:p>
        </w:tc>
      </w:tr>
      <w:tr w:rsidR="00713CF0" w:rsidRPr="005D0AE0" w14:paraId="6AE9F0F5" w14:textId="77777777" w:rsidTr="00B037CC">
        <w:trPr>
          <w:trHeight w:val="345"/>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0B14DB6A"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A321566" w14:textId="77777777" w:rsidR="00713CF0" w:rsidRPr="003421CB" w:rsidRDefault="00713CF0" w:rsidP="003421CB">
            <w:pPr>
              <w:pStyle w:val="Body"/>
              <w:rPr>
                <w:szCs w:val="21"/>
              </w:rPr>
            </w:pPr>
            <w:r w:rsidRPr="003421CB">
              <w:rPr>
                <w:szCs w:val="21"/>
              </w:rPr>
              <w:t>Spot Purchase/ General Lease</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E6BC41F"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74F9979" w14:textId="77777777" w:rsidR="00713CF0" w:rsidRPr="003421CB" w:rsidRDefault="00713CF0" w:rsidP="003421CB">
            <w:pPr>
              <w:pStyle w:val="Body"/>
              <w:rPr>
                <w:szCs w:val="21"/>
              </w:rPr>
            </w:pPr>
            <w:r w:rsidRPr="003421CB">
              <w:rPr>
                <w:szCs w:val="21"/>
              </w:rPr>
              <w:t>0</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3BFAA59" w14:textId="77777777" w:rsidR="00713CF0" w:rsidRPr="003421CB" w:rsidRDefault="00713CF0" w:rsidP="003421CB">
            <w:pPr>
              <w:pStyle w:val="Body"/>
              <w:rPr>
                <w:szCs w:val="21"/>
              </w:rPr>
            </w:pPr>
            <w:r w:rsidRPr="003421CB">
              <w:rPr>
                <w:szCs w:val="21"/>
              </w:rPr>
              <w:t>20</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AF6E7AF" w14:textId="77777777" w:rsidR="00713CF0" w:rsidRPr="003421CB" w:rsidRDefault="00713CF0" w:rsidP="003421CB">
            <w:pPr>
              <w:pStyle w:val="Body"/>
              <w:rPr>
                <w:szCs w:val="21"/>
              </w:rPr>
            </w:pPr>
            <w:r w:rsidRPr="003421CB">
              <w:rPr>
                <w:szCs w:val="21"/>
              </w:rPr>
              <w:t>2</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D22E5C3" w14:textId="77777777" w:rsidR="00713CF0" w:rsidRPr="003421CB" w:rsidRDefault="00713CF0" w:rsidP="003421CB">
            <w:pPr>
              <w:pStyle w:val="Body"/>
              <w:rPr>
                <w:szCs w:val="21"/>
              </w:rPr>
            </w:pPr>
            <w:r w:rsidRPr="003421CB">
              <w:rPr>
                <w:szCs w:val="21"/>
              </w:rPr>
              <w:t>1</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ED544BB" w14:textId="77777777" w:rsidR="00713CF0" w:rsidRPr="003421CB" w:rsidRDefault="00713CF0" w:rsidP="003421CB">
            <w:pPr>
              <w:pStyle w:val="Body"/>
              <w:rPr>
                <w:szCs w:val="21"/>
              </w:rPr>
            </w:pPr>
            <w:r w:rsidRPr="003421CB">
              <w:rPr>
                <w:szCs w:val="21"/>
              </w:rPr>
              <w:t>1</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6BA7A12" w14:textId="77777777" w:rsidR="00713CF0" w:rsidRPr="003421CB" w:rsidRDefault="00713CF0" w:rsidP="003421CB">
            <w:pPr>
              <w:pStyle w:val="Body"/>
              <w:rPr>
                <w:szCs w:val="21"/>
              </w:rPr>
            </w:pPr>
            <w:r w:rsidRPr="003421CB">
              <w:rPr>
                <w:szCs w:val="21"/>
              </w:rPr>
              <w:t>24</w:t>
            </w:r>
          </w:p>
        </w:tc>
      </w:tr>
      <w:tr w:rsidR="00713CF0" w:rsidRPr="005D0AE0" w14:paraId="4CF20B72"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2BCDE0EA"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143A38DE"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8A4578B"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3BF407E" w14:textId="77777777" w:rsidR="00713CF0" w:rsidRPr="003421CB" w:rsidRDefault="00713CF0" w:rsidP="003421CB">
            <w:pPr>
              <w:pStyle w:val="Body"/>
              <w:rPr>
                <w:szCs w:val="21"/>
              </w:rPr>
            </w:pPr>
            <w:r w:rsidRPr="003421CB">
              <w:rPr>
                <w:szCs w:val="21"/>
              </w:rPr>
              <w:t>24</w:t>
            </w:r>
          </w:p>
        </w:tc>
        <w:tc>
          <w:tcPr>
            <w:tcW w:w="992" w:type="dxa"/>
            <w:vMerge/>
            <w:tcBorders>
              <w:top w:val="nil"/>
              <w:left w:val="nil"/>
              <w:bottom w:val="single" w:sz="8" w:space="0" w:color="auto"/>
              <w:right w:val="single" w:sz="8" w:space="0" w:color="auto"/>
            </w:tcBorders>
            <w:shd w:val="clear" w:color="auto" w:fill="auto"/>
            <w:vAlign w:val="center"/>
            <w:hideMark/>
          </w:tcPr>
          <w:p w14:paraId="0B1A092E"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00DED04E"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7EE9E25A"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6D9D825E"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4E9F3646" w14:textId="77777777" w:rsidR="00713CF0" w:rsidRPr="003421CB" w:rsidRDefault="00713CF0" w:rsidP="003421CB">
            <w:pPr>
              <w:pStyle w:val="Body"/>
              <w:rPr>
                <w:rFonts w:eastAsiaTheme="minorHAnsi"/>
                <w:szCs w:val="21"/>
              </w:rPr>
            </w:pPr>
          </w:p>
        </w:tc>
      </w:tr>
      <w:tr w:rsidR="00713CF0" w:rsidRPr="005D0AE0" w14:paraId="2D8A722D" w14:textId="77777777" w:rsidTr="00B037CC">
        <w:trPr>
          <w:trHeight w:val="301"/>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7CAE0374"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AC780B0" w14:textId="77777777" w:rsidR="00713CF0" w:rsidRPr="003421CB" w:rsidRDefault="00713CF0" w:rsidP="003421CB">
            <w:pPr>
              <w:pStyle w:val="Body"/>
              <w:rPr>
                <w:szCs w:val="21"/>
              </w:rPr>
            </w:pPr>
            <w:proofErr w:type="spellStart"/>
            <w:r w:rsidRPr="003421CB">
              <w:rPr>
                <w:szCs w:val="21"/>
              </w:rPr>
              <w:t>DoH</w:t>
            </w:r>
            <w:proofErr w:type="spellEnd"/>
            <w:r w:rsidRPr="003421CB">
              <w:rPr>
                <w:szCs w:val="21"/>
              </w:rPr>
              <w:t xml:space="preserve"> Dwellings (Existing)</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2A0AA0B"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A83420" w14:textId="77777777" w:rsidR="00713CF0" w:rsidRPr="003421CB" w:rsidRDefault="00713CF0" w:rsidP="003421CB">
            <w:pPr>
              <w:pStyle w:val="Body"/>
              <w:rPr>
                <w:szCs w:val="21"/>
              </w:rPr>
            </w:pPr>
            <w:r w:rsidRPr="003421CB">
              <w:rPr>
                <w:szCs w:val="21"/>
              </w:rPr>
              <w:t>0</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7E47815" w14:textId="77777777" w:rsidR="00713CF0" w:rsidRPr="003421CB" w:rsidRDefault="00713CF0" w:rsidP="003421CB">
            <w:pPr>
              <w:pStyle w:val="Body"/>
              <w:rPr>
                <w:szCs w:val="21"/>
              </w:rPr>
            </w:pPr>
            <w:r w:rsidRPr="003421CB">
              <w:rPr>
                <w:szCs w:val="21"/>
              </w:rPr>
              <w:t>13</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2DF89E9" w14:textId="77777777" w:rsidR="00713CF0" w:rsidRPr="003421CB" w:rsidRDefault="00713CF0" w:rsidP="003421CB">
            <w:pPr>
              <w:pStyle w:val="Body"/>
              <w:rPr>
                <w:szCs w:val="21"/>
              </w:rPr>
            </w:pPr>
            <w:r w:rsidRPr="003421CB">
              <w:rPr>
                <w:szCs w:val="21"/>
              </w:rPr>
              <w:t>1</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4BA5FAC" w14:textId="77777777" w:rsidR="00713CF0" w:rsidRPr="003421CB" w:rsidRDefault="00713CF0" w:rsidP="003421CB">
            <w:pPr>
              <w:pStyle w:val="Body"/>
              <w:rPr>
                <w:szCs w:val="21"/>
              </w:rPr>
            </w:pPr>
            <w:r w:rsidRPr="003421CB">
              <w:rPr>
                <w:szCs w:val="21"/>
              </w:rPr>
              <w:t>1</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CF533E3"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5D4533F" w14:textId="77777777" w:rsidR="00713CF0" w:rsidRPr="003421CB" w:rsidRDefault="00713CF0" w:rsidP="003421CB">
            <w:pPr>
              <w:pStyle w:val="Body"/>
              <w:rPr>
                <w:szCs w:val="21"/>
              </w:rPr>
            </w:pPr>
            <w:r w:rsidRPr="003421CB">
              <w:rPr>
                <w:szCs w:val="21"/>
              </w:rPr>
              <w:t>15</w:t>
            </w:r>
          </w:p>
        </w:tc>
      </w:tr>
      <w:tr w:rsidR="00713CF0" w:rsidRPr="005D0AE0" w14:paraId="2469D712"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334AFD78"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5EEAA541"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AD2A572"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E2209C4" w14:textId="77777777" w:rsidR="00713CF0" w:rsidRPr="003421CB" w:rsidRDefault="00713CF0" w:rsidP="003421CB">
            <w:pPr>
              <w:pStyle w:val="Body"/>
              <w:rPr>
                <w:szCs w:val="21"/>
              </w:rPr>
            </w:pPr>
            <w:r w:rsidRPr="003421CB">
              <w:rPr>
                <w:szCs w:val="21"/>
              </w:rPr>
              <w:t>15</w:t>
            </w:r>
          </w:p>
        </w:tc>
        <w:tc>
          <w:tcPr>
            <w:tcW w:w="992" w:type="dxa"/>
            <w:vMerge/>
            <w:tcBorders>
              <w:top w:val="nil"/>
              <w:left w:val="nil"/>
              <w:bottom w:val="single" w:sz="8" w:space="0" w:color="auto"/>
              <w:right w:val="single" w:sz="8" w:space="0" w:color="auto"/>
            </w:tcBorders>
            <w:shd w:val="clear" w:color="auto" w:fill="auto"/>
            <w:vAlign w:val="center"/>
            <w:hideMark/>
          </w:tcPr>
          <w:p w14:paraId="6ADD67B6"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4AE0A435"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27085F18"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0734ED65"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1483EEB8" w14:textId="77777777" w:rsidR="00713CF0" w:rsidRPr="003421CB" w:rsidRDefault="00713CF0" w:rsidP="003421CB">
            <w:pPr>
              <w:pStyle w:val="Body"/>
              <w:rPr>
                <w:rFonts w:eastAsiaTheme="minorHAnsi"/>
                <w:szCs w:val="21"/>
              </w:rPr>
            </w:pPr>
          </w:p>
        </w:tc>
      </w:tr>
      <w:tr w:rsidR="00B037CC" w:rsidRPr="005D0AE0" w14:paraId="01825A0C"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0B6C994C" w14:textId="77777777" w:rsidR="00713CF0" w:rsidRPr="00B037CC" w:rsidRDefault="00713CF0" w:rsidP="003421CB">
            <w:pPr>
              <w:pStyle w:val="Body"/>
              <w:rPr>
                <w:rFonts w:eastAsiaTheme="minorHAnsi"/>
                <w:b/>
                <w:bCs/>
                <w:szCs w:val="21"/>
              </w:rPr>
            </w:pP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0419E39" w14:textId="77777777" w:rsidR="00713CF0" w:rsidRPr="00B037CC" w:rsidRDefault="00713CF0" w:rsidP="003421CB">
            <w:pPr>
              <w:pStyle w:val="Body"/>
              <w:rPr>
                <w:b/>
                <w:bCs/>
                <w:szCs w:val="21"/>
              </w:rPr>
            </w:pPr>
            <w:r w:rsidRPr="00B037CC">
              <w:rPr>
                <w:b/>
                <w:bCs/>
                <w:szCs w:val="21"/>
              </w:rPr>
              <w:t>Total</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05FD197" w14:textId="77777777" w:rsidR="00713CF0" w:rsidRPr="00B037CC" w:rsidRDefault="00713CF0" w:rsidP="003421CB">
            <w:pPr>
              <w:pStyle w:val="Body"/>
              <w:rPr>
                <w:b/>
                <w:bCs/>
                <w:szCs w:val="21"/>
              </w:rPr>
            </w:pPr>
            <w:r w:rsidRPr="00B037CC">
              <w:rPr>
                <w:b/>
                <w:bCs/>
                <w:szCs w:val="21"/>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6F86261" w14:textId="77777777" w:rsidR="00713CF0" w:rsidRPr="00B037CC" w:rsidRDefault="00713CF0" w:rsidP="003421CB">
            <w:pPr>
              <w:pStyle w:val="Body"/>
              <w:rPr>
                <w:b/>
                <w:bCs/>
                <w:szCs w:val="21"/>
              </w:rPr>
            </w:pPr>
            <w:r w:rsidRPr="00B037CC">
              <w:rPr>
                <w:b/>
                <w:bCs/>
                <w:szCs w:val="21"/>
              </w:rPr>
              <w:t> </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1E2D286" w14:textId="77777777" w:rsidR="00713CF0" w:rsidRPr="00B037CC" w:rsidRDefault="00713CF0" w:rsidP="003421CB">
            <w:pPr>
              <w:pStyle w:val="Body"/>
              <w:rPr>
                <w:b/>
                <w:bCs/>
                <w:szCs w:val="21"/>
              </w:rPr>
            </w:pPr>
            <w:r w:rsidRPr="00B037CC">
              <w:rPr>
                <w:b/>
                <w:bCs/>
                <w:szCs w:val="21"/>
              </w:rPr>
              <w:t>64</w:t>
            </w:r>
          </w:p>
        </w:tc>
        <w:tc>
          <w:tcPr>
            <w:tcW w:w="85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5B30364" w14:textId="77777777" w:rsidR="00713CF0" w:rsidRPr="00B037CC" w:rsidRDefault="00713CF0" w:rsidP="003421CB">
            <w:pPr>
              <w:pStyle w:val="Body"/>
              <w:rPr>
                <w:b/>
                <w:bCs/>
                <w:szCs w:val="21"/>
              </w:rPr>
            </w:pPr>
            <w:r w:rsidRPr="00B037CC">
              <w:rPr>
                <w:b/>
                <w:bCs/>
                <w:szCs w:val="21"/>
              </w:rPr>
              <w:t>7</w:t>
            </w:r>
          </w:p>
        </w:tc>
        <w:tc>
          <w:tcPr>
            <w:tcW w:w="85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F9613AE" w14:textId="77777777" w:rsidR="00713CF0" w:rsidRPr="00B037CC" w:rsidRDefault="00713CF0" w:rsidP="003421CB">
            <w:pPr>
              <w:pStyle w:val="Body"/>
              <w:rPr>
                <w:b/>
                <w:bCs/>
                <w:szCs w:val="21"/>
              </w:rPr>
            </w:pPr>
            <w:r w:rsidRPr="00B037CC">
              <w:rPr>
                <w:b/>
                <w:bCs/>
                <w:szCs w:val="21"/>
              </w:rPr>
              <w:t>2</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B7DF0D2" w14:textId="77777777" w:rsidR="00713CF0" w:rsidRPr="00B037CC" w:rsidRDefault="00713CF0" w:rsidP="003421CB">
            <w:pPr>
              <w:pStyle w:val="Body"/>
              <w:rPr>
                <w:b/>
                <w:bCs/>
                <w:szCs w:val="21"/>
              </w:rPr>
            </w:pPr>
            <w:r w:rsidRPr="00B037CC">
              <w:rPr>
                <w:b/>
                <w:bCs/>
                <w:szCs w:val="21"/>
              </w:rPr>
              <w:t>1</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98C96CF" w14:textId="77777777" w:rsidR="00713CF0" w:rsidRPr="00B037CC" w:rsidRDefault="00713CF0" w:rsidP="003421CB">
            <w:pPr>
              <w:pStyle w:val="Body"/>
              <w:rPr>
                <w:b/>
                <w:bCs/>
                <w:szCs w:val="21"/>
              </w:rPr>
            </w:pPr>
            <w:r w:rsidRPr="00B037CC">
              <w:rPr>
                <w:b/>
                <w:bCs/>
                <w:szCs w:val="21"/>
              </w:rPr>
              <w:t>74</w:t>
            </w:r>
          </w:p>
        </w:tc>
      </w:tr>
      <w:tr w:rsidR="00713CF0" w:rsidRPr="005D0AE0" w14:paraId="0126A885" w14:textId="77777777" w:rsidTr="00B037CC">
        <w:trPr>
          <w:trHeight w:val="403"/>
        </w:trPr>
        <w:tc>
          <w:tcPr>
            <w:tcW w:w="169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0C51F7B" w14:textId="77777777" w:rsidR="00713CF0" w:rsidRPr="00B037CC" w:rsidRDefault="00713CF0" w:rsidP="003421CB">
            <w:pPr>
              <w:pStyle w:val="Body"/>
              <w:rPr>
                <w:b/>
                <w:bCs/>
                <w:szCs w:val="21"/>
              </w:rPr>
            </w:pPr>
            <w:r w:rsidRPr="00B037CC">
              <w:rPr>
                <w:b/>
                <w:bCs/>
                <w:szCs w:val="21"/>
              </w:rPr>
              <w:t>8. Barwon and South West District Area (not South West)</w:t>
            </w: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555701A" w14:textId="77777777" w:rsidR="00713CF0" w:rsidRPr="003421CB" w:rsidRDefault="00713CF0" w:rsidP="003421CB">
            <w:pPr>
              <w:pStyle w:val="Body"/>
              <w:rPr>
                <w:szCs w:val="21"/>
              </w:rPr>
            </w:pPr>
            <w:r w:rsidRPr="003421CB">
              <w:rPr>
                <w:szCs w:val="21"/>
              </w:rPr>
              <w:t>Owned / Head Leased Dwellings</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9BA602F"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E08C83F" w14:textId="77777777" w:rsidR="00713CF0" w:rsidRPr="003421CB" w:rsidRDefault="00713CF0" w:rsidP="003421CB">
            <w:pPr>
              <w:pStyle w:val="Body"/>
              <w:rPr>
                <w:szCs w:val="21"/>
              </w:rPr>
            </w:pPr>
            <w:r w:rsidRPr="003421CB">
              <w:rPr>
                <w:szCs w:val="21"/>
              </w:rPr>
              <w:t>61</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1F700E4" w14:textId="77777777" w:rsidR="00713CF0" w:rsidRPr="003421CB" w:rsidRDefault="00713CF0" w:rsidP="003421CB">
            <w:pPr>
              <w:pStyle w:val="Body"/>
              <w:rPr>
                <w:szCs w:val="21"/>
              </w:rPr>
            </w:pPr>
            <w:r w:rsidRPr="003421CB">
              <w:rPr>
                <w:szCs w:val="21"/>
              </w:rPr>
              <w:t>53</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BE9E2CD" w14:textId="77777777" w:rsidR="00713CF0" w:rsidRPr="003421CB" w:rsidRDefault="00713CF0" w:rsidP="003421CB">
            <w:pPr>
              <w:pStyle w:val="Body"/>
              <w:rPr>
                <w:szCs w:val="21"/>
              </w:rPr>
            </w:pPr>
            <w:r w:rsidRPr="003421CB">
              <w:rPr>
                <w:szCs w:val="21"/>
              </w:rPr>
              <w:t>9</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6AEA03F" w14:textId="77777777" w:rsidR="00713CF0" w:rsidRPr="003421CB" w:rsidRDefault="00713CF0" w:rsidP="003421CB">
            <w:pPr>
              <w:pStyle w:val="Body"/>
              <w:rPr>
                <w:szCs w:val="21"/>
              </w:rPr>
            </w:pPr>
            <w:r w:rsidRPr="003421CB">
              <w:rPr>
                <w:szCs w:val="21"/>
              </w:rPr>
              <w:t>1</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4467F8E" w14:textId="77777777" w:rsidR="00713CF0" w:rsidRPr="003421CB" w:rsidRDefault="00713CF0" w:rsidP="003421CB">
            <w:pPr>
              <w:pStyle w:val="Body"/>
              <w:rPr>
                <w:szCs w:val="21"/>
              </w:rPr>
            </w:pPr>
            <w:r w:rsidRPr="003421CB">
              <w:rPr>
                <w:szCs w:val="21"/>
              </w:rPr>
              <w:t>2</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F984F4A" w14:textId="77777777" w:rsidR="00713CF0" w:rsidRPr="003421CB" w:rsidRDefault="00713CF0" w:rsidP="003421CB">
            <w:pPr>
              <w:pStyle w:val="Body"/>
              <w:rPr>
                <w:szCs w:val="21"/>
              </w:rPr>
            </w:pPr>
            <w:r w:rsidRPr="003421CB">
              <w:rPr>
                <w:szCs w:val="21"/>
              </w:rPr>
              <w:t>65</w:t>
            </w:r>
          </w:p>
        </w:tc>
      </w:tr>
      <w:tr w:rsidR="00713CF0" w:rsidRPr="005D0AE0" w14:paraId="27927DB7"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431BB99A"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19AC2722"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C660EA7"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24D0B8F" w14:textId="77777777" w:rsidR="00713CF0" w:rsidRPr="003421CB" w:rsidRDefault="00713CF0" w:rsidP="003421CB">
            <w:pPr>
              <w:pStyle w:val="Body"/>
              <w:rPr>
                <w:szCs w:val="21"/>
              </w:rPr>
            </w:pPr>
            <w:r w:rsidRPr="003421CB">
              <w:rPr>
                <w:szCs w:val="21"/>
              </w:rPr>
              <w:t>4</w:t>
            </w:r>
          </w:p>
        </w:tc>
        <w:tc>
          <w:tcPr>
            <w:tcW w:w="992" w:type="dxa"/>
            <w:vMerge/>
            <w:tcBorders>
              <w:top w:val="nil"/>
              <w:left w:val="nil"/>
              <w:bottom w:val="single" w:sz="8" w:space="0" w:color="auto"/>
              <w:right w:val="single" w:sz="8" w:space="0" w:color="auto"/>
            </w:tcBorders>
            <w:shd w:val="clear" w:color="auto" w:fill="auto"/>
            <w:vAlign w:val="center"/>
            <w:hideMark/>
          </w:tcPr>
          <w:p w14:paraId="10C16690"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66884E4B"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163084FD"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5E6AAD68"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3D8B6445" w14:textId="77777777" w:rsidR="00713CF0" w:rsidRPr="003421CB" w:rsidRDefault="00713CF0" w:rsidP="003421CB">
            <w:pPr>
              <w:pStyle w:val="Body"/>
              <w:rPr>
                <w:rFonts w:eastAsiaTheme="minorHAnsi"/>
                <w:szCs w:val="21"/>
              </w:rPr>
            </w:pPr>
          </w:p>
        </w:tc>
      </w:tr>
      <w:tr w:rsidR="00713CF0" w:rsidRPr="005D0AE0" w14:paraId="7570426C" w14:textId="77777777" w:rsidTr="00B037CC">
        <w:trPr>
          <w:trHeight w:val="359"/>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39ED965E"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AAE7986" w14:textId="77777777" w:rsidR="00713CF0" w:rsidRPr="003421CB" w:rsidRDefault="00713CF0" w:rsidP="003421CB">
            <w:pPr>
              <w:pStyle w:val="Body"/>
              <w:rPr>
                <w:szCs w:val="21"/>
              </w:rPr>
            </w:pPr>
            <w:r w:rsidRPr="003421CB">
              <w:rPr>
                <w:szCs w:val="21"/>
              </w:rPr>
              <w:t>Spot Purchase/ General Lease</w:t>
            </w:r>
          </w:p>
          <w:p w14:paraId="427900AA" w14:textId="77777777" w:rsidR="00713CF0" w:rsidRPr="003421CB" w:rsidRDefault="00713CF0" w:rsidP="003421CB">
            <w:pPr>
              <w:pStyle w:val="Body"/>
              <w:rPr>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71B64AE"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0F248C5" w14:textId="77777777" w:rsidR="00713CF0" w:rsidRPr="003421CB" w:rsidRDefault="00713CF0" w:rsidP="003421CB">
            <w:pPr>
              <w:pStyle w:val="Body"/>
              <w:rPr>
                <w:szCs w:val="21"/>
              </w:rPr>
            </w:pPr>
            <w:r w:rsidRPr="003421CB">
              <w:rPr>
                <w:szCs w:val="21"/>
              </w:rPr>
              <w:t>0</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9DE7413" w14:textId="77777777" w:rsidR="00713CF0" w:rsidRPr="003421CB" w:rsidRDefault="00713CF0" w:rsidP="003421CB">
            <w:pPr>
              <w:pStyle w:val="Body"/>
              <w:rPr>
                <w:szCs w:val="21"/>
              </w:rPr>
            </w:pPr>
            <w:r w:rsidRPr="003421CB">
              <w:rPr>
                <w:szCs w:val="21"/>
              </w:rPr>
              <w:t>34</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617D3D2" w14:textId="77777777" w:rsidR="00713CF0" w:rsidRPr="003421CB" w:rsidRDefault="00713CF0" w:rsidP="003421CB">
            <w:pPr>
              <w:pStyle w:val="Body"/>
              <w:rPr>
                <w:szCs w:val="21"/>
              </w:rPr>
            </w:pPr>
            <w:r w:rsidRPr="003421CB">
              <w:rPr>
                <w:szCs w:val="21"/>
              </w:rPr>
              <w:t>4</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B25EDBE" w14:textId="77777777" w:rsidR="00713CF0" w:rsidRPr="003421CB" w:rsidRDefault="00713CF0" w:rsidP="003421CB">
            <w:pPr>
              <w:pStyle w:val="Body"/>
              <w:rPr>
                <w:szCs w:val="21"/>
              </w:rPr>
            </w:pPr>
            <w:r w:rsidRPr="003421CB">
              <w:rPr>
                <w:szCs w:val="21"/>
              </w:rPr>
              <w:t>2</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91E4C52" w14:textId="77777777" w:rsidR="00713CF0" w:rsidRPr="003421CB" w:rsidRDefault="00713CF0" w:rsidP="003421CB">
            <w:pPr>
              <w:pStyle w:val="Body"/>
              <w:rPr>
                <w:szCs w:val="21"/>
              </w:rPr>
            </w:pPr>
            <w:r w:rsidRPr="003421CB">
              <w:rPr>
                <w:szCs w:val="21"/>
              </w:rPr>
              <w:t>1</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A62A567" w14:textId="77777777" w:rsidR="00713CF0" w:rsidRPr="003421CB" w:rsidRDefault="00713CF0" w:rsidP="003421CB">
            <w:pPr>
              <w:pStyle w:val="Body"/>
              <w:rPr>
                <w:szCs w:val="21"/>
              </w:rPr>
            </w:pPr>
            <w:r w:rsidRPr="003421CB">
              <w:rPr>
                <w:szCs w:val="21"/>
              </w:rPr>
              <w:t>41</w:t>
            </w:r>
          </w:p>
        </w:tc>
      </w:tr>
      <w:tr w:rsidR="00713CF0" w:rsidRPr="005D0AE0" w14:paraId="5CF57C8C"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6EB1198D"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1B2E1ADB"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C8F4EF"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696991" w14:textId="77777777" w:rsidR="00713CF0" w:rsidRPr="003421CB" w:rsidRDefault="00713CF0" w:rsidP="003421CB">
            <w:pPr>
              <w:pStyle w:val="Body"/>
              <w:rPr>
                <w:szCs w:val="21"/>
              </w:rPr>
            </w:pPr>
            <w:r w:rsidRPr="003421CB">
              <w:rPr>
                <w:szCs w:val="21"/>
              </w:rPr>
              <w:t>41</w:t>
            </w:r>
          </w:p>
        </w:tc>
        <w:tc>
          <w:tcPr>
            <w:tcW w:w="992" w:type="dxa"/>
            <w:vMerge/>
            <w:tcBorders>
              <w:top w:val="nil"/>
              <w:left w:val="nil"/>
              <w:bottom w:val="single" w:sz="8" w:space="0" w:color="auto"/>
              <w:right w:val="single" w:sz="8" w:space="0" w:color="auto"/>
            </w:tcBorders>
            <w:shd w:val="clear" w:color="auto" w:fill="auto"/>
            <w:vAlign w:val="center"/>
            <w:hideMark/>
          </w:tcPr>
          <w:p w14:paraId="21039301"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212B511A"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15D324B8"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60346B40"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5603703B" w14:textId="77777777" w:rsidR="00713CF0" w:rsidRPr="003421CB" w:rsidRDefault="00713CF0" w:rsidP="003421CB">
            <w:pPr>
              <w:pStyle w:val="Body"/>
              <w:rPr>
                <w:rFonts w:eastAsiaTheme="minorHAnsi"/>
                <w:szCs w:val="21"/>
              </w:rPr>
            </w:pPr>
          </w:p>
        </w:tc>
      </w:tr>
      <w:tr w:rsidR="00713CF0" w:rsidRPr="005D0AE0" w14:paraId="0953B8BB" w14:textId="77777777" w:rsidTr="00B037CC">
        <w:trPr>
          <w:trHeight w:val="329"/>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50B7DD07"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8A72B09" w14:textId="77777777" w:rsidR="00713CF0" w:rsidRPr="003421CB" w:rsidRDefault="00713CF0" w:rsidP="003421CB">
            <w:pPr>
              <w:pStyle w:val="Body"/>
              <w:rPr>
                <w:szCs w:val="21"/>
              </w:rPr>
            </w:pPr>
            <w:proofErr w:type="spellStart"/>
            <w:r w:rsidRPr="003421CB">
              <w:rPr>
                <w:szCs w:val="21"/>
              </w:rPr>
              <w:t>DoH</w:t>
            </w:r>
            <w:proofErr w:type="spellEnd"/>
            <w:r w:rsidRPr="003421CB">
              <w:rPr>
                <w:szCs w:val="21"/>
              </w:rPr>
              <w:t xml:space="preserve"> Dwellings (Existing)</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2ADBC7"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73E1D2A" w14:textId="77777777" w:rsidR="00713CF0" w:rsidRPr="003421CB" w:rsidRDefault="00713CF0" w:rsidP="003421CB">
            <w:pPr>
              <w:pStyle w:val="Body"/>
              <w:rPr>
                <w:szCs w:val="21"/>
              </w:rPr>
            </w:pPr>
            <w:r w:rsidRPr="003421CB">
              <w:rPr>
                <w:szCs w:val="21"/>
              </w:rPr>
              <w:t>0</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4F18CC1" w14:textId="77777777" w:rsidR="00713CF0" w:rsidRPr="003421CB" w:rsidRDefault="00713CF0" w:rsidP="003421CB">
            <w:pPr>
              <w:pStyle w:val="Body"/>
              <w:rPr>
                <w:szCs w:val="21"/>
              </w:rPr>
            </w:pPr>
            <w:r w:rsidRPr="003421CB">
              <w:rPr>
                <w:szCs w:val="21"/>
              </w:rPr>
              <w:t>22</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1B1AEAE" w14:textId="77777777" w:rsidR="00713CF0" w:rsidRPr="003421CB" w:rsidRDefault="00713CF0" w:rsidP="003421CB">
            <w:pPr>
              <w:pStyle w:val="Body"/>
              <w:rPr>
                <w:szCs w:val="21"/>
              </w:rPr>
            </w:pPr>
            <w:r w:rsidRPr="003421CB">
              <w:rPr>
                <w:szCs w:val="21"/>
              </w:rPr>
              <w:t>2</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8872D64" w14:textId="77777777" w:rsidR="00713CF0" w:rsidRPr="003421CB" w:rsidRDefault="00713CF0" w:rsidP="003421CB">
            <w:pPr>
              <w:pStyle w:val="Body"/>
              <w:rPr>
                <w:szCs w:val="21"/>
              </w:rPr>
            </w:pPr>
            <w:r w:rsidRPr="003421CB">
              <w:rPr>
                <w:szCs w:val="21"/>
              </w:rPr>
              <w:t>1</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4E529A0"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67A9FDC" w14:textId="77777777" w:rsidR="00713CF0" w:rsidRPr="003421CB" w:rsidRDefault="00713CF0" w:rsidP="003421CB">
            <w:pPr>
              <w:pStyle w:val="Body"/>
              <w:rPr>
                <w:szCs w:val="21"/>
              </w:rPr>
            </w:pPr>
            <w:r w:rsidRPr="003421CB">
              <w:rPr>
                <w:szCs w:val="21"/>
              </w:rPr>
              <w:t>25</w:t>
            </w:r>
          </w:p>
        </w:tc>
      </w:tr>
      <w:tr w:rsidR="00713CF0" w:rsidRPr="005D0AE0" w14:paraId="0553B7D9"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6BE2906F"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6DCBDC7F"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D6DCD0"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DE1E7F7" w14:textId="77777777" w:rsidR="00713CF0" w:rsidRPr="003421CB" w:rsidRDefault="00713CF0" w:rsidP="003421CB">
            <w:pPr>
              <w:pStyle w:val="Body"/>
              <w:rPr>
                <w:szCs w:val="21"/>
              </w:rPr>
            </w:pPr>
            <w:r w:rsidRPr="003421CB">
              <w:rPr>
                <w:szCs w:val="21"/>
              </w:rPr>
              <w:t>25</w:t>
            </w:r>
          </w:p>
        </w:tc>
        <w:tc>
          <w:tcPr>
            <w:tcW w:w="992" w:type="dxa"/>
            <w:vMerge/>
            <w:tcBorders>
              <w:top w:val="nil"/>
              <w:left w:val="nil"/>
              <w:bottom w:val="single" w:sz="8" w:space="0" w:color="auto"/>
              <w:right w:val="single" w:sz="8" w:space="0" w:color="auto"/>
            </w:tcBorders>
            <w:shd w:val="clear" w:color="auto" w:fill="auto"/>
            <w:vAlign w:val="center"/>
            <w:hideMark/>
          </w:tcPr>
          <w:p w14:paraId="2E8C9E63"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63A50385"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4C84F110"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2320D44C"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3D7D2726" w14:textId="77777777" w:rsidR="00713CF0" w:rsidRPr="003421CB" w:rsidRDefault="00713CF0" w:rsidP="003421CB">
            <w:pPr>
              <w:pStyle w:val="Body"/>
              <w:rPr>
                <w:rFonts w:eastAsiaTheme="minorHAnsi"/>
                <w:szCs w:val="21"/>
              </w:rPr>
            </w:pPr>
          </w:p>
        </w:tc>
      </w:tr>
      <w:tr w:rsidR="00B037CC" w:rsidRPr="005D0AE0" w14:paraId="25951089"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77C0A78A" w14:textId="77777777" w:rsidR="00713CF0" w:rsidRPr="00B037CC" w:rsidRDefault="00713CF0" w:rsidP="003421CB">
            <w:pPr>
              <w:pStyle w:val="Body"/>
              <w:rPr>
                <w:rFonts w:eastAsiaTheme="minorHAnsi"/>
                <w:b/>
                <w:bCs/>
                <w:szCs w:val="21"/>
              </w:rPr>
            </w:pP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4E863AD" w14:textId="77777777" w:rsidR="00713CF0" w:rsidRPr="00B037CC" w:rsidRDefault="00713CF0" w:rsidP="003421CB">
            <w:pPr>
              <w:pStyle w:val="Body"/>
              <w:rPr>
                <w:b/>
                <w:bCs/>
                <w:szCs w:val="21"/>
              </w:rPr>
            </w:pPr>
            <w:r w:rsidRPr="00B037CC">
              <w:rPr>
                <w:b/>
                <w:bCs/>
                <w:szCs w:val="21"/>
              </w:rPr>
              <w:t>Total</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44B824" w14:textId="77777777" w:rsidR="00713CF0" w:rsidRPr="00B037CC" w:rsidRDefault="00713CF0" w:rsidP="003421CB">
            <w:pPr>
              <w:pStyle w:val="Body"/>
              <w:rPr>
                <w:b/>
                <w:bCs/>
                <w:szCs w:val="21"/>
              </w:rPr>
            </w:pPr>
            <w:r w:rsidRPr="00B037CC">
              <w:rPr>
                <w:b/>
                <w:bCs/>
                <w:szCs w:val="21"/>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159242E" w14:textId="77777777" w:rsidR="00713CF0" w:rsidRPr="00B037CC" w:rsidRDefault="00713CF0" w:rsidP="003421CB">
            <w:pPr>
              <w:pStyle w:val="Body"/>
              <w:rPr>
                <w:b/>
                <w:bCs/>
                <w:szCs w:val="21"/>
              </w:rPr>
            </w:pPr>
            <w:r w:rsidRPr="00B037CC">
              <w:rPr>
                <w:b/>
                <w:bCs/>
                <w:szCs w:val="21"/>
              </w:rPr>
              <w:t> </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3CDD027" w14:textId="77777777" w:rsidR="00713CF0" w:rsidRPr="00B037CC" w:rsidRDefault="00713CF0" w:rsidP="003421CB">
            <w:pPr>
              <w:pStyle w:val="Body"/>
              <w:rPr>
                <w:b/>
                <w:bCs/>
                <w:szCs w:val="21"/>
              </w:rPr>
            </w:pPr>
            <w:r w:rsidRPr="00B037CC">
              <w:rPr>
                <w:b/>
                <w:bCs/>
                <w:szCs w:val="21"/>
              </w:rPr>
              <w:t>109</w:t>
            </w:r>
          </w:p>
        </w:tc>
        <w:tc>
          <w:tcPr>
            <w:tcW w:w="85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9B74108" w14:textId="77777777" w:rsidR="00713CF0" w:rsidRPr="00B037CC" w:rsidRDefault="00713CF0" w:rsidP="003421CB">
            <w:pPr>
              <w:pStyle w:val="Body"/>
              <w:rPr>
                <w:b/>
                <w:bCs/>
                <w:szCs w:val="21"/>
              </w:rPr>
            </w:pPr>
            <w:r w:rsidRPr="00B037CC">
              <w:rPr>
                <w:b/>
                <w:bCs/>
                <w:szCs w:val="21"/>
              </w:rPr>
              <w:t>15</w:t>
            </w:r>
          </w:p>
        </w:tc>
        <w:tc>
          <w:tcPr>
            <w:tcW w:w="85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646BA15" w14:textId="77777777" w:rsidR="00713CF0" w:rsidRPr="00B037CC" w:rsidRDefault="00713CF0" w:rsidP="003421CB">
            <w:pPr>
              <w:pStyle w:val="Body"/>
              <w:rPr>
                <w:b/>
                <w:bCs/>
                <w:szCs w:val="21"/>
              </w:rPr>
            </w:pPr>
            <w:r w:rsidRPr="00B037CC">
              <w:rPr>
                <w:b/>
                <w:bCs/>
                <w:szCs w:val="21"/>
              </w:rPr>
              <w:t>4</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25D79DE" w14:textId="77777777" w:rsidR="00713CF0" w:rsidRPr="00B037CC" w:rsidRDefault="00713CF0" w:rsidP="003421CB">
            <w:pPr>
              <w:pStyle w:val="Body"/>
              <w:rPr>
                <w:b/>
                <w:bCs/>
                <w:szCs w:val="21"/>
              </w:rPr>
            </w:pPr>
            <w:r w:rsidRPr="00B037CC">
              <w:rPr>
                <w:b/>
                <w:bCs/>
                <w:szCs w:val="21"/>
              </w:rPr>
              <w:t>3</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7190301" w14:textId="77777777" w:rsidR="00713CF0" w:rsidRPr="00B037CC" w:rsidRDefault="00713CF0" w:rsidP="003421CB">
            <w:pPr>
              <w:pStyle w:val="Body"/>
              <w:rPr>
                <w:b/>
                <w:bCs/>
                <w:szCs w:val="21"/>
              </w:rPr>
            </w:pPr>
            <w:r w:rsidRPr="00B037CC">
              <w:rPr>
                <w:b/>
                <w:bCs/>
                <w:szCs w:val="21"/>
              </w:rPr>
              <w:t>131</w:t>
            </w:r>
          </w:p>
        </w:tc>
      </w:tr>
      <w:tr w:rsidR="00713CF0" w:rsidRPr="005D0AE0" w14:paraId="353B5FD6" w14:textId="77777777" w:rsidTr="00B037CC">
        <w:trPr>
          <w:trHeight w:val="275"/>
        </w:trPr>
        <w:tc>
          <w:tcPr>
            <w:tcW w:w="169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2A82312" w14:textId="77777777" w:rsidR="00713CF0" w:rsidRPr="00B037CC" w:rsidRDefault="00713CF0" w:rsidP="003421CB">
            <w:pPr>
              <w:pStyle w:val="Body"/>
              <w:rPr>
                <w:b/>
                <w:bCs/>
                <w:szCs w:val="21"/>
              </w:rPr>
            </w:pPr>
            <w:r w:rsidRPr="00B037CC">
              <w:rPr>
                <w:b/>
                <w:bCs/>
                <w:szCs w:val="21"/>
              </w:rPr>
              <w:t>9. Southern Melbourne and Bayside Peninsula Areas</w:t>
            </w: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756586E" w14:textId="77777777" w:rsidR="00713CF0" w:rsidRPr="003421CB" w:rsidRDefault="00713CF0" w:rsidP="003421CB">
            <w:pPr>
              <w:pStyle w:val="Body"/>
              <w:rPr>
                <w:szCs w:val="21"/>
              </w:rPr>
            </w:pPr>
            <w:r w:rsidRPr="003421CB">
              <w:rPr>
                <w:szCs w:val="21"/>
              </w:rPr>
              <w:t>Owned / Head Leased Dwellings</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68B6D91"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DF74C4F" w14:textId="77777777" w:rsidR="00713CF0" w:rsidRPr="003421CB" w:rsidRDefault="00713CF0" w:rsidP="003421CB">
            <w:pPr>
              <w:pStyle w:val="Body"/>
              <w:rPr>
                <w:szCs w:val="21"/>
              </w:rPr>
            </w:pPr>
            <w:r w:rsidRPr="003421CB">
              <w:rPr>
                <w:szCs w:val="21"/>
              </w:rPr>
              <w:t>180</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3375D9E" w14:textId="77777777" w:rsidR="00713CF0" w:rsidRPr="003421CB" w:rsidRDefault="00713CF0" w:rsidP="003421CB">
            <w:pPr>
              <w:pStyle w:val="Body"/>
              <w:rPr>
                <w:szCs w:val="21"/>
              </w:rPr>
            </w:pPr>
            <w:r w:rsidRPr="003421CB">
              <w:rPr>
                <w:szCs w:val="21"/>
              </w:rPr>
              <w:t>178</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E0F7E52" w14:textId="77777777" w:rsidR="00713CF0" w:rsidRPr="003421CB" w:rsidRDefault="00713CF0" w:rsidP="003421CB">
            <w:pPr>
              <w:pStyle w:val="Body"/>
              <w:rPr>
                <w:szCs w:val="21"/>
              </w:rPr>
            </w:pPr>
            <w:r w:rsidRPr="003421CB">
              <w:rPr>
                <w:szCs w:val="21"/>
              </w:rPr>
              <w:t>12</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36DD673" w14:textId="77777777" w:rsidR="00713CF0" w:rsidRPr="003421CB" w:rsidRDefault="00713CF0" w:rsidP="003421CB">
            <w:pPr>
              <w:pStyle w:val="Body"/>
              <w:rPr>
                <w:szCs w:val="21"/>
              </w:rPr>
            </w:pPr>
            <w:r w:rsidRPr="003421CB">
              <w:rPr>
                <w:szCs w:val="21"/>
              </w:rPr>
              <w:t>4</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7C8B844"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A51F545" w14:textId="77777777" w:rsidR="00713CF0" w:rsidRPr="003421CB" w:rsidRDefault="00713CF0" w:rsidP="003421CB">
            <w:pPr>
              <w:pStyle w:val="Body"/>
              <w:rPr>
                <w:szCs w:val="21"/>
              </w:rPr>
            </w:pPr>
            <w:r w:rsidRPr="003421CB">
              <w:rPr>
                <w:szCs w:val="21"/>
              </w:rPr>
              <w:t>194</w:t>
            </w:r>
          </w:p>
        </w:tc>
      </w:tr>
      <w:tr w:rsidR="00713CF0" w:rsidRPr="005D0AE0" w14:paraId="284485A6"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41D873AD"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27DA9302"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746816E"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6E01A4D" w14:textId="77777777" w:rsidR="00713CF0" w:rsidRPr="003421CB" w:rsidRDefault="00713CF0" w:rsidP="003421CB">
            <w:pPr>
              <w:pStyle w:val="Body"/>
              <w:rPr>
                <w:szCs w:val="21"/>
              </w:rPr>
            </w:pPr>
            <w:r w:rsidRPr="003421CB">
              <w:rPr>
                <w:szCs w:val="21"/>
              </w:rPr>
              <w:t>14</w:t>
            </w:r>
          </w:p>
        </w:tc>
        <w:tc>
          <w:tcPr>
            <w:tcW w:w="992" w:type="dxa"/>
            <w:vMerge/>
            <w:tcBorders>
              <w:top w:val="nil"/>
              <w:left w:val="nil"/>
              <w:bottom w:val="single" w:sz="8" w:space="0" w:color="auto"/>
              <w:right w:val="single" w:sz="8" w:space="0" w:color="auto"/>
            </w:tcBorders>
            <w:shd w:val="clear" w:color="auto" w:fill="auto"/>
            <w:vAlign w:val="center"/>
            <w:hideMark/>
          </w:tcPr>
          <w:p w14:paraId="4E5DBE6F"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7D5F8695"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54BAEF4C"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227B297A"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69F2F241" w14:textId="77777777" w:rsidR="00713CF0" w:rsidRPr="003421CB" w:rsidRDefault="00713CF0" w:rsidP="003421CB">
            <w:pPr>
              <w:pStyle w:val="Body"/>
              <w:rPr>
                <w:rFonts w:eastAsiaTheme="minorHAnsi"/>
                <w:szCs w:val="21"/>
              </w:rPr>
            </w:pPr>
          </w:p>
        </w:tc>
      </w:tr>
      <w:tr w:rsidR="00713CF0" w:rsidRPr="005D0AE0" w14:paraId="58D168C7" w14:textId="77777777" w:rsidTr="00B037CC">
        <w:trPr>
          <w:trHeight w:val="259"/>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67C80991"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023FED5" w14:textId="77777777" w:rsidR="00713CF0" w:rsidRPr="003421CB" w:rsidRDefault="00713CF0" w:rsidP="003421CB">
            <w:pPr>
              <w:pStyle w:val="Body"/>
              <w:rPr>
                <w:szCs w:val="21"/>
              </w:rPr>
            </w:pPr>
            <w:r w:rsidRPr="003421CB">
              <w:rPr>
                <w:szCs w:val="21"/>
              </w:rPr>
              <w:t xml:space="preserve">Spot Purchase/ </w:t>
            </w:r>
            <w:r w:rsidRPr="003421CB">
              <w:rPr>
                <w:szCs w:val="21"/>
              </w:rPr>
              <w:lastRenderedPageBreak/>
              <w:t>General Lease</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F3EE38" w14:textId="77777777" w:rsidR="00713CF0" w:rsidRPr="003421CB" w:rsidRDefault="00713CF0" w:rsidP="003421CB">
            <w:pPr>
              <w:pStyle w:val="Body"/>
              <w:rPr>
                <w:szCs w:val="21"/>
              </w:rPr>
            </w:pPr>
            <w:r w:rsidRPr="003421CB">
              <w:rPr>
                <w:szCs w:val="21"/>
              </w:rPr>
              <w:lastRenderedPageBreak/>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C06C711" w14:textId="77777777" w:rsidR="00713CF0" w:rsidRPr="003421CB" w:rsidRDefault="00713CF0" w:rsidP="003421CB">
            <w:pPr>
              <w:pStyle w:val="Body"/>
              <w:rPr>
                <w:szCs w:val="21"/>
              </w:rPr>
            </w:pPr>
            <w:r w:rsidRPr="003421CB">
              <w:rPr>
                <w:szCs w:val="21"/>
              </w:rPr>
              <w:t>2</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B0FAE9E" w14:textId="77777777" w:rsidR="00713CF0" w:rsidRPr="003421CB" w:rsidRDefault="00713CF0" w:rsidP="003421CB">
            <w:pPr>
              <w:pStyle w:val="Body"/>
              <w:rPr>
                <w:szCs w:val="21"/>
              </w:rPr>
            </w:pPr>
            <w:r w:rsidRPr="003421CB">
              <w:rPr>
                <w:szCs w:val="21"/>
              </w:rPr>
              <w:t>116</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3AABC43" w14:textId="77777777" w:rsidR="00713CF0" w:rsidRPr="003421CB" w:rsidRDefault="00713CF0" w:rsidP="003421CB">
            <w:pPr>
              <w:pStyle w:val="Body"/>
              <w:rPr>
                <w:szCs w:val="21"/>
              </w:rPr>
            </w:pPr>
            <w:r w:rsidRPr="003421CB">
              <w:rPr>
                <w:szCs w:val="21"/>
              </w:rPr>
              <w:t>2</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8054084" w14:textId="77777777" w:rsidR="00713CF0" w:rsidRPr="003421CB" w:rsidRDefault="00713CF0" w:rsidP="003421CB">
            <w:pPr>
              <w:pStyle w:val="Body"/>
              <w:rPr>
                <w:szCs w:val="21"/>
              </w:rPr>
            </w:pPr>
            <w:r w:rsidRPr="003421CB">
              <w:rPr>
                <w:szCs w:val="21"/>
              </w:rPr>
              <w:t>2</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C88CA30" w14:textId="77777777" w:rsidR="00713CF0" w:rsidRPr="003421CB" w:rsidRDefault="00713CF0" w:rsidP="003421CB">
            <w:pPr>
              <w:pStyle w:val="Body"/>
              <w:rPr>
                <w:szCs w:val="21"/>
              </w:rPr>
            </w:pPr>
            <w:r w:rsidRPr="003421CB">
              <w:rPr>
                <w:szCs w:val="21"/>
              </w:rPr>
              <w:t>1</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6C18328" w14:textId="77777777" w:rsidR="00713CF0" w:rsidRPr="003421CB" w:rsidRDefault="00713CF0" w:rsidP="003421CB">
            <w:pPr>
              <w:pStyle w:val="Body"/>
              <w:rPr>
                <w:szCs w:val="21"/>
              </w:rPr>
            </w:pPr>
            <w:r w:rsidRPr="003421CB">
              <w:rPr>
                <w:szCs w:val="21"/>
              </w:rPr>
              <w:t>121</w:t>
            </w:r>
          </w:p>
        </w:tc>
      </w:tr>
      <w:tr w:rsidR="00713CF0" w:rsidRPr="005D0AE0" w14:paraId="72123A2E"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74AD6C90"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3C2ABB16"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580EB0"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3384BA8" w14:textId="77777777" w:rsidR="00713CF0" w:rsidRPr="003421CB" w:rsidRDefault="00713CF0" w:rsidP="003421CB">
            <w:pPr>
              <w:pStyle w:val="Body"/>
              <w:rPr>
                <w:szCs w:val="21"/>
              </w:rPr>
            </w:pPr>
            <w:r w:rsidRPr="003421CB">
              <w:rPr>
                <w:szCs w:val="21"/>
              </w:rPr>
              <w:t>119</w:t>
            </w:r>
          </w:p>
        </w:tc>
        <w:tc>
          <w:tcPr>
            <w:tcW w:w="992" w:type="dxa"/>
            <w:vMerge/>
            <w:tcBorders>
              <w:top w:val="nil"/>
              <w:left w:val="nil"/>
              <w:bottom w:val="single" w:sz="8" w:space="0" w:color="auto"/>
              <w:right w:val="single" w:sz="8" w:space="0" w:color="auto"/>
            </w:tcBorders>
            <w:shd w:val="clear" w:color="auto" w:fill="auto"/>
            <w:vAlign w:val="center"/>
            <w:hideMark/>
          </w:tcPr>
          <w:p w14:paraId="41BB3E14"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47495B22"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643A0755"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21383BDF"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055D9463" w14:textId="77777777" w:rsidR="00713CF0" w:rsidRPr="003421CB" w:rsidRDefault="00713CF0" w:rsidP="003421CB">
            <w:pPr>
              <w:pStyle w:val="Body"/>
              <w:rPr>
                <w:rFonts w:eastAsiaTheme="minorHAnsi"/>
                <w:szCs w:val="21"/>
              </w:rPr>
            </w:pPr>
          </w:p>
        </w:tc>
      </w:tr>
      <w:tr w:rsidR="00713CF0" w:rsidRPr="005D0AE0" w14:paraId="058FDC68" w14:textId="77777777" w:rsidTr="00B037CC">
        <w:trPr>
          <w:trHeight w:val="225"/>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404EFAF6" w14:textId="77777777" w:rsidR="00713CF0" w:rsidRPr="00B037CC" w:rsidRDefault="00713CF0" w:rsidP="003421CB">
            <w:pPr>
              <w:pStyle w:val="Body"/>
              <w:rPr>
                <w:rFonts w:eastAsiaTheme="minorHAnsi"/>
                <w:b/>
                <w:bCs/>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0FE79C6" w14:textId="77777777" w:rsidR="00713CF0" w:rsidRPr="003421CB" w:rsidRDefault="00713CF0" w:rsidP="003421CB">
            <w:pPr>
              <w:pStyle w:val="Body"/>
              <w:rPr>
                <w:szCs w:val="21"/>
              </w:rPr>
            </w:pPr>
            <w:proofErr w:type="spellStart"/>
            <w:r w:rsidRPr="003421CB">
              <w:rPr>
                <w:szCs w:val="21"/>
              </w:rPr>
              <w:t>DoH</w:t>
            </w:r>
            <w:proofErr w:type="spellEnd"/>
            <w:r w:rsidRPr="003421CB">
              <w:rPr>
                <w:szCs w:val="21"/>
              </w:rPr>
              <w:t xml:space="preserve"> Dwellings (Existing)</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D926291"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3DC3302" w14:textId="77777777" w:rsidR="00713CF0" w:rsidRPr="003421CB" w:rsidRDefault="00713CF0" w:rsidP="003421CB">
            <w:pPr>
              <w:pStyle w:val="Body"/>
              <w:rPr>
                <w:szCs w:val="21"/>
              </w:rPr>
            </w:pPr>
            <w:r w:rsidRPr="003421CB">
              <w:rPr>
                <w:szCs w:val="21"/>
              </w:rPr>
              <w:t>2</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19DC7DE" w14:textId="77777777" w:rsidR="00713CF0" w:rsidRPr="003421CB" w:rsidRDefault="00713CF0" w:rsidP="003421CB">
            <w:pPr>
              <w:pStyle w:val="Body"/>
              <w:rPr>
                <w:szCs w:val="21"/>
              </w:rPr>
            </w:pPr>
            <w:r w:rsidRPr="003421CB">
              <w:rPr>
                <w:szCs w:val="21"/>
              </w:rPr>
              <w:t>74</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D0957F4" w14:textId="77777777" w:rsidR="00713CF0" w:rsidRPr="003421CB" w:rsidRDefault="00713CF0" w:rsidP="003421CB">
            <w:pPr>
              <w:pStyle w:val="Body"/>
              <w:rPr>
                <w:szCs w:val="21"/>
              </w:rPr>
            </w:pPr>
            <w:r w:rsidRPr="003421CB">
              <w:rPr>
                <w:szCs w:val="21"/>
              </w:rPr>
              <w:t>2</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A801059" w14:textId="77777777" w:rsidR="00713CF0" w:rsidRPr="003421CB" w:rsidRDefault="00713CF0" w:rsidP="003421CB">
            <w:pPr>
              <w:pStyle w:val="Body"/>
              <w:rPr>
                <w:szCs w:val="21"/>
              </w:rPr>
            </w:pPr>
            <w:r w:rsidRPr="003421CB">
              <w:rPr>
                <w:szCs w:val="21"/>
              </w:rPr>
              <w:t>1</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DFFDE9B"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C0BA399" w14:textId="77777777" w:rsidR="00713CF0" w:rsidRPr="003421CB" w:rsidRDefault="00713CF0" w:rsidP="003421CB">
            <w:pPr>
              <w:pStyle w:val="Body"/>
              <w:rPr>
                <w:szCs w:val="21"/>
              </w:rPr>
            </w:pPr>
            <w:r w:rsidRPr="003421CB">
              <w:rPr>
                <w:szCs w:val="21"/>
              </w:rPr>
              <w:t>77</w:t>
            </w:r>
          </w:p>
        </w:tc>
      </w:tr>
      <w:tr w:rsidR="00713CF0" w:rsidRPr="005D0AE0" w14:paraId="63F3D4C9"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7B07419E" w14:textId="77777777" w:rsidR="00713CF0" w:rsidRPr="00B037CC" w:rsidRDefault="00713CF0" w:rsidP="003421CB">
            <w:pPr>
              <w:pStyle w:val="Body"/>
              <w:rPr>
                <w:rFonts w:eastAsiaTheme="minorHAnsi"/>
                <w:b/>
                <w:bCs/>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606D414F"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A6F57BA"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C856737" w14:textId="77777777" w:rsidR="00713CF0" w:rsidRPr="003421CB" w:rsidRDefault="00713CF0" w:rsidP="003421CB">
            <w:pPr>
              <w:pStyle w:val="Body"/>
              <w:rPr>
                <w:szCs w:val="21"/>
              </w:rPr>
            </w:pPr>
            <w:r w:rsidRPr="003421CB">
              <w:rPr>
                <w:szCs w:val="21"/>
              </w:rPr>
              <w:t>75</w:t>
            </w:r>
          </w:p>
        </w:tc>
        <w:tc>
          <w:tcPr>
            <w:tcW w:w="992" w:type="dxa"/>
            <w:vMerge/>
            <w:tcBorders>
              <w:top w:val="nil"/>
              <w:left w:val="nil"/>
              <w:bottom w:val="single" w:sz="8" w:space="0" w:color="auto"/>
              <w:right w:val="single" w:sz="8" w:space="0" w:color="auto"/>
            </w:tcBorders>
            <w:shd w:val="clear" w:color="auto" w:fill="auto"/>
            <w:vAlign w:val="center"/>
            <w:hideMark/>
          </w:tcPr>
          <w:p w14:paraId="24D5915C"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30362AF3"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291A6C6B"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75BE0AED"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16B61FEF" w14:textId="77777777" w:rsidR="00713CF0" w:rsidRPr="003421CB" w:rsidRDefault="00713CF0" w:rsidP="003421CB">
            <w:pPr>
              <w:pStyle w:val="Body"/>
              <w:rPr>
                <w:rFonts w:eastAsiaTheme="minorHAnsi"/>
                <w:szCs w:val="21"/>
              </w:rPr>
            </w:pPr>
          </w:p>
        </w:tc>
      </w:tr>
      <w:tr w:rsidR="00B037CC" w:rsidRPr="005D0AE0" w14:paraId="69504231"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1C370F5E" w14:textId="77777777" w:rsidR="00713CF0" w:rsidRPr="00B037CC" w:rsidRDefault="00713CF0" w:rsidP="003421CB">
            <w:pPr>
              <w:pStyle w:val="Body"/>
              <w:rPr>
                <w:rFonts w:eastAsiaTheme="minorHAnsi"/>
                <w:b/>
                <w:bCs/>
                <w:szCs w:val="21"/>
              </w:rPr>
            </w:pP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75555A7" w14:textId="77777777" w:rsidR="00713CF0" w:rsidRPr="00B037CC" w:rsidRDefault="00713CF0" w:rsidP="003421CB">
            <w:pPr>
              <w:pStyle w:val="Body"/>
              <w:rPr>
                <w:b/>
                <w:bCs/>
                <w:szCs w:val="21"/>
              </w:rPr>
            </w:pPr>
            <w:r w:rsidRPr="00B037CC">
              <w:rPr>
                <w:b/>
                <w:bCs/>
                <w:szCs w:val="21"/>
              </w:rPr>
              <w:t>Total</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FC3AC99" w14:textId="77777777" w:rsidR="00713CF0" w:rsidRPr="00B037CC" w:rsidRDefault="00713CF0" w:rsidP="003421CB">
            <w:pPr>
              <w:pStyle w:val="Body"/>
              <w:rPr>
                <w:b/>
                <w:bCs/>
                <w:szCs w:val="21"/>
              </w:rPr>
            </w:pPr>
            <w:r w:rsidRPr="00B037CC">
              <w:rPr>
                <w:b/>
                <w:bCs/>
                <w:szCs w:val="21"/>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C16DFB" w14:textId="77777777" w:rsidR="00713CF0" w:rsidRPr="00B037CC" w:rsidRDefault="00713CF0" w:rsidP="003421CB">
            <w:pPr>
              <w:pStyle w:val="Body"/>
              <w:rPr>
                <w:b/>
                <w:bCs/>
                <w:szCs w:val="21"/>
              </w:rPr>
            </w:pPr>
            <w:r w:rsidRPr="00B037CC">
              <w:rPr>
                <w:b/>
                <w:bCs/>
                <w:szCs w:val="21"/>
              </w:rPr>
              <w:t> </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7A50E86" w14:textId="77777777" w:rsidR="00713CF0" w:rsidRPr="00B037CC" w:rsidRDefault="00713CF0" w:rsidP="003421CB">
            <w:pPr>
              <w:pStyle w:val="Body"/>
              <w:rPr>
                <w:b/>
                <w:bCs/>
                <w:szCs w:val="21"/>
              </w:rPr>
            </w:pPr>
            <w:r w:rsidRPr="00B037CC">
              <w:rPr>
                <w:b/>
                <w:bCs/>
                <w:szCs w:val="21"/>
              </w:rPr>
              <w:t>368</w:t>
            </w:r>
          </w:p>
        </w:tc>
        <w:tc>
          <w:tcPr>
            <w:tcW w:w="85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22B0A6F" w14:textId="77777777" w:rsidR="00713CF0" w:rsidRPr="00B037CC" w:rsidRDefault="00713CF0" w:rsidP="003421CB">
            <w:pPr>
              <w:pStyle w:val="Body"/>
              <w:rPr>
                <w:b/>
                <w:bCs/>
                <w:szCs w:val="21"/>
              </w:rPr>
            </w:pPr>
            <w:r w:rsidRPr="00B037CC">
              <w:rPr>
                <w:b/>
                <w:bCs/>
                <w:szCs w:val="21"/>
              </w:rPr>
              <w:t>16</w:t>
            </w:r>
          </w:p>
        </w:tc>
        <w:tc>
          <w:tcPr>
            <w:tcW w:w="85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83C49C5" w14:textId="77777777" w:rsidR="00713CF0" w:rsidRPr="00B037CC" w:rsidRDefault="00713CF0" w:rsidP="003421CB">
            <w:pPr>
              <w:pStyle w:val="Body"/>
              <w:rPr>
                <w:b/>
                <w:bCs/>
                <w:szCs w:val="21"/>
              </w:rPr>
            </w:pPr>
            <w:r w:rsidRPr="00B037CC">
              <w:rPr>
                <w:b/>
                <w:bCs/>
                <w:szCs w:val="21"/>
              </w:rPr>
              <w:t>7</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BE6F7BD" w14:textId="77777777" w:rsidR="00713CF0" w:rsidRPr="00B037CC" w:rsidRDefault="00713CF0" w:rsidP="003421CB">
            <w:pPr>
              <w:pStyle w:val="Body"/>
              <w:rPr>
                <w:b/>
                <w:bCs/>
                <w:szCs w:val="21"/>
              </w:rPr>
            </w:pPr>
            <w:r w:rsidRPr="00B037CC">
              <w:rPr>
                <w:b/>
                <w:bCs/>
                <w:szCs w:val="21"/>
              </w:rPr>
              <w:t>1</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6BADA2A" w14:textId="77777777" w:rsidR="00713CF0" w:rsidRPr="00B037CC" w:rsidRDefault="00713CF0" w:rsidP="003421CB">
            <w:pPr>
              <w:pStyle w:val="Body"/>
              <w:rPr>
                <w:b/>
                <w:bCs/>
                <w:szCs w:val="21"/>
              </w:rPr>
            </w:pPr>
            <w:r w:rsidRPr="00B037CC">
              <w:rPr>
                <w:b/>
                <w:bCs/>
                <w:szCs w:val="21"/>
              </w:rPr>
              <w:t>392</w:t>
            </w:r>
          </w:p>
        </w:tc>
      </w:tr>
      <w:tr w:rsidR="00B037CC" w:rsidRPr="005D0AE0" w14:paraId="1CDBDF05" w14:textId="77777777" w:rsidTr="00B037CC">
        <w:trPr>
          <w:trHeight w:val="396"/>
        </w:trPr>
        <w:tc>
          <w:tcPr>
            <w:tcW w:w="169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7082FD6" w14:textId="77777777" w:rsidR="00713CF0" w:rsidRPr="00B037CC" w:rsidRDefault="00713CF0" w:rsidP="003421CB">
            <w:pPr>
              <w:pStyle w:val="Body"/>
              <w:rPr>
                <w:b/>
                <w:bCs/>
                <w:szCs w:val="21"/>
              </w:rPr>
            </w:pPr>
            <w:r w:rsidRPr="00B037CC">
              <w:rPr>
                <w:b/>
                <w:bCs/>
                <w:szCs w:val="21"/>
              </w:rPr>
              <w:t>Total</w:t>
            </w: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01FFD03" w14:textId="77777777" w:rsidR="00713CF0" w:rsidRPr="003421CB" w:rsidRDefault="00713CF0" w:rsidP="003421CB">
            <w:pPr>
              <w:pStyle w:val="Body"/>
              <w:rPr>
                <w:szCs w:val="21"/>
              </w:rPr>
            </w:pPr>
            <w:r w:rsidRPr="003421CB">
              <w:rPr>
                <w:szCs w:val="21"/>
              </w:rPr>
              <w:t>Owned / Head Leased Dwellings</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63A0E85"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C4BC128" w14:textId="77777777" w:rsidR="00713CF0" w:rsidRPr="003421CB" w:rsidRDefault="00713CF0" w:rsidP="003421CB">
            <w:pPr>
              <w:pStyle w:val="Body"/>
              <w:rPr>
                <w:szCs w:val="21"/>
              </w:rPr>
            </w:pPr>
            <w:r w:rsidRPr="003421CB">
              <w:rPr>
                <w:szCs w:val="21"/>
              </w:rPr>
              <w:t>699</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13E0842" w14:textId="77777777" w:rsidR="00713CF0" w:rsidRPr="003421CB" w:rsidRDefault="00713CF0" w:rsidP="003421CB">
            <w:pPr>
              <w:pStyle w:val="Body"/>
              <w:rPr>
                <w:szCs w:val="21"/>
              </w:rPr>
            </w:pPr>
            <w:r w:rsidRPr="003421CB">
              <w:rPr>
                <w:szCs w:val="21"/>
              </w:rPr>
              <w:t>795</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3CF6EAB" w14:textId="77777777" w:rsidR="00713CF0" w:rsidRPr="003421CB" w:rsidRDefault="00713CF0" w:rsidP="003421CB">
            <w:pPr>
              <w:pStyle w:val="Body"/>
              <w:rPr>
                <w:szCs w:val="21"/>
              </w:rPr>
            </w:pPr>
            <w:r w:rsidRPr="003421CB">
              <w:rPr>
                <w:szCs w:val="21"/>
              </w:rPr>
              <w:t>50</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7D573C9" w14:textId="77777777" w:rsidR="00713CF0" w:rsidRPr="003421CB" w:rsidRDefault="00713CF0" w:rsidP="003421CB">
            <w:pPr>
              <w:pStyle w:val="Body"/>
              <w:rPr>
                <w:szCs w:val="21"/>
              </w:rPr>
            </w:pPr>
            <w:r w:rsidRPr="003421CB">
              <w:rPr>
                <w:szCs w:val="21"/>
              </w:rPr>
              <w:t>21</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2C7A6E9" w14:textId="77777777" w:rsidR="00713CF0" w:rsidRPr="003421CB" w:rsidRDefault="00713CF0" w:rsidP="003421CB">
            <w:pPr>
              <w:pStyle w:val="Body"/>
              <w:rPr>
                <w:szCs w:val="21"/>
              </w:rPr>
            </w:pPr>
            <w:r w:rsidRPr="003421CB">
              <w:rPr>
                <w:szCs w:val="21"/>
              </w:rPr>
              <w:t>5</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05AF7A8" w14:textId="77777777" w:rsidR="00713CF0" w:rsidRPr="003421CB" w:rsidRDefault="00713CF0" w:rsidP="003421CB">
            <w:pPr>
              <w:pStyle w:val="Body"/>
              <w:rPr>
                <w:szCs w:val="21"/>
              </w:rPr>
            </w:pPr>
            <w:r w:rsidRPr="003421CB">
              <w:rPr>
                <w:szCs w:val="21"/>
              </w:rPr>
              <w:t>871</w:t>
            </w:r>
          </w:p>
        </w:tc>
      </w:tr>
      <w:tr w:rsidR="00713CF0" w:rsidRPr="005D0AE0" w14:paraId="50812595"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3A078760" w14:textId="77777777" w:rsidR="00713CF0" w:rsidRPr="003421CB" w:rsidRDefault="00713CF0" w:rsidP="003421CB">
            <w:pPr>
              <w:pStyle w:val="Body"/>
              <w:rPr>
                <w:rFonts w:eastAsiaTheme="minorHAnsi"/>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4DE14F6E"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7B11BD5"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85914C" w14:textId="77777777" w:rsidR="00713CF0" w:rsidRPr="003421CB" w:rsidRDefault="00713CF0" w:rsidP="003421CB">
            <w:pPr>
              <w:pStyle w:val="Body"/>
              <w:rPr>
                <w:szCs w:val="21"/>
              </w:rPr>
            </w:pPr>
            <w:r w:rsidRPr="003421CB">
              <w:rPr>
                <w:szCs w:val="21"/>
              </w:rPr>
              <w:t>172</w:t>
            </w:r>
          </w:p>
        </w:tc>
        <w:tc>
          <w:tcPr>
            <w:tcW w:w="992" w:type="dxa"/>
            <w:vMerge/>
            <w:tcBorders>
              <w:top w:val="nil"/>
              <w:left w:val="nil"/>
              <w:bottom w:val="single" w:sz="8" w:space="0" w:color="auto"/>
              <w:right w:val="single" w:sz="8" w:space="0" w:color="auto"/>
            </w:tcBorders>
            <w:shd w:val="clear" w:color="auto" w:fill="auto"/>
            <w:vAlign w:val="center"/>
            <w:hideMark/>
          </w:tcPr>
          <w:p w14:paraId="5F23DF0F"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7E31231A"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3E1CA8C9"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6C840919"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205DFB5F" w14:textId="77777777" w:rsidR="00713CF0" w:rsidRPr="003421CB" w:rsidRDefault="00713CF0" w:rsidP="003421CB">
            <w:pPr>
              <w:pStyle w:val="Body"/>
              <w:rPr>
                <w:rFonts w:eastAsiaTheme="minorHAnsi"/>
                <w:szCs w:val="21"/>
              </w:rPr>
            </w:pPr>
          </w:p>
        </w:tc>
      </w:tr>
      <w:tr w:rsidR="00B037CC" w:rsidRPr="005D0AE0" w14:paraId="2CE1C026" w14:textId="77777777" w:rsidTr="00B037CC">
        <w:trPr>
          <w:trHeight w:val="251"/>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058B9635" w14:textId="77777777" w:rsidR="00713CF0" w:rsidRPr="003421CB" w:rsidRDefault="00713CF0" w:rsidP="003421CB">
            <w:pPr>
              <w:pStyle w:val="Body"/>
              <w:rPr>
                <w:rFonts w:eastAsiaTheme="minorHAnsi"/>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70E10E5" w14:textId="77777777" w:rsidR="00713CF0" w:rsidRPr="003421CB" w:rsidRDefault="00713CF0" w:rsidP="003421CB">
            <w:pPr>
              <w:pStyle w:val="Body"/>
              <w:rPr>
                <w:szCs w:val="21"/>
              </w:rPr>
            </w:pPr>
            <w:r w:rsidRPr="003421CB">
              <w:rPr>
                <w:szCs w:val="21"/>
              </w:rPr>
              <w:t>Spot Purchase/ General Lease</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1AB1062"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A06EB9" w14:textId="77777777" w:rsidR="00713CF0" w:rsidRPr="003421CB" w:rsidRDefault="00713CF0" w:rsidP="003421CB">
            <w:pPr>
              <w:pStyle w:val="Body"/>
              <w:rPr>
                <w:szCs w:val="21"/>
              </w:rPr>
            </w:pPr>
            <w:r w:rsidRPr="003421CB">
              <w:rPr>
                <w:szCs w:val="21"/>
              </w:rPr>
              <w:t>26</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7C470FE" w14:textId="77777777" w:rsidR="00713CF0" w:rsidRPr="003421CB" w:rsidRDefault="00713CF0" w:rsidP="003421CB">
            <w:pPr>
              <w:pStyle w:val="Body"/>
              <w:rPr>
                <w:szCs w:val="21"/>
              </w:rPr>
            </w:pPr>
            <w:r w:rsidRPr="003421CB">
              <w:rPr>
                <w:szCs w:val="21"/>
              </w:rPr>
              <w:t>557</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62FAC8B" w14:textId="77777777" w:rsidR="00713CF0" w:rsidRPr="003421CB" w:rsidRDefault="00713CF0" w:rsidP="003421CB">
            <w:pPr>
              <w:pStyle w:val="Body"/>
              <w:rPr>
                <w:szCs w:val="21"/>
              </w:rPr>
            </w:pPr>
            <w:r w:rsidRPr="003421CB">
              <w:rPr>
                <w:szCs w:val="21"/>
              </w:rPr>
              <w:t>23</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DFB3C65" w14:textId="77777777" w:rsidR="00713CF0" w:rsidRPr="003421CB" w:rsidRDefault="00713CF0" w:rsidP="003421CB">
            <w:pPr>
              <w:pStyle w:val="Body"/>
              <w:rPr>
                <w:szCs w:val="21"/>
              </w:rPr>
            </w:pPr>
            <w:r w:rsidRPr="003421CB">
              <w:rPr>
                <w:szCs w:val="21"/>
              </w:rPr>
              <w:t>11</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A48B7BF" w14:textId="77777777" w:rsidR="00713CF0" w:rsidRPr="003421CB" w:rsidRDefault="00713CF0" w:rsidP="003421CB">
            <w:pPr>
              <w:pStyle w:val="Body"/>
              <w:rPr>
                <w:szCs w:val="21"/>
              </w:rPr>
            </w:pPr>
            <w:r w:rsidRPr="003421CB">
              <w:rPr>
                <w:szCs w:val="21"/>
              </w:rPr>
              <w:t>5</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2BDF80C" w14:textId="77777777" w:rsidR="00713CF0" w:rsidRPr="003421CB" w:rsidRDefault="00713CF0" w:rsidP="003421CB">
            <w:pPr>
              <w:pStyle w:val="Body"/>
              <w:rPr>
                <w:szCs w:val="21"/>
              </w:rPr>
            </w:pPr>
            <w:r w:rsidRPr="003421CB">
              <w:rPr>
                <w:szCs w:val="21"/>
              </w:rPr>
              <w:t>596</w:t>
            </w:r>
          </w:p>
        </w:tc>
      </w:tr>
      <w:tr w:rsidR="00713CF0" w:rsidRPr="005D0AE0" w14:paraId="3CF44535"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6B9538D6" w14:textId="77777777" w:rsidR="00713CF0" w:rsidRPr="003421CB" w:rsidRDefault="00713CF0" w:rsidP="003421CB">
            <w:pPr>
              <w:pStyle w:val="Body"/>
              <w:rPr>
                <w:rFonts w:eastAsiaTheme="minorHAnsi"/>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56B24B13"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0F6EFF2"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5FDACC" w14:textId="77777777" w:rsidR="00713CF0" w:rsidRPr="003421CB" w:rsidRDefault="00713CF0" w:rsidP="003421CB">
            <w:pPr>
              <w:pStyle w:val="Body"/>
              <w:rPr>
                <w:szCs w:val="21"/>
              </w:rPr>
            </w:pPr>
            <w:r w:rsidRPr="003421CB">
              <w:rPr>
                <w:szCs w:val="21"/>
              </w:rPr>
              <w:t>570</w:t>
            </w:r>
          </w:p>
        </w:tc>
        <w:tc>
          <w:tcPr>
            <w:tcW w:w="992" w:type="dxa"/>
            <w:vMerge/>
            <w:tcBorders>
              <w:top w:val="nil"/>
              <w:left w:val="nil"/>
              <w:bottom w:val="single" w:sz="8" w:space="0" w:color="auto"/>
              <w:right w:val="single" w:sz="8" w:space="0" w:color="auto"/>
            </w:tcBorders>
            <w:shd w:val="clear" w:color="auto" w:fill="auto"/>
            <w:vAlign w:val="center"/>
            <w:hideMark/>
          </w:tcPr>
          <w:p w14:paraId="3459B3AE"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704EDF84"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1CE1CBD5"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1D556E0B"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716B504B" w14:textId="77777777" w:rsidR="00713CF0" w:rsidRPr="003421CB" w:rsidRDefault="00713CF0" w:rsidP="003421CB">
            <w:pPr>
              <w:pStyle w:val="Body"/>
              <w:rPr>
                <w:rFonts w:eastAsiaTheme="minorHAnsi"/>
                <w:szCs w:val="21"/>
              </w:rPr>
            </w:pPr>
          </w:p>
        </w:tc>
      </w:tr>
      <w:tr w:rsidR="00B037CC" w:rsidRPr="005D0AE0" w14:paraId="5C9D856D" w14:textId="77777777" w:rsidTr="00B037CC">
        <w:trPr>
          <w:trHeight w:val="231"/>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020FD4C1" w14:textId="77777777" w:rsidR="00713CF0" w:rsidRPr="003421CB" w:rsidRDefault="00713CF0" w:rsidP="003421CB">
            <w:pPr>
              <w:pStyle w:val="Body"/>
              <w:rPr>
                <w:rFonts w:eastAsiaTheme="minorHAnsi"/>
                <w:szCs w:val="21"/>
              </w:rPr>
            </w:pPr>
          </w:p>
        </w:tc>
        <w:tc>
          <w:tcPr>
            <w:tcW w:w="170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461A311" w14:textId="77777777" w:rsidR="00713CF0" w:rsidRPr="003421CB" w:rsidRDefault="00713CF0" w:rsidP="003421CB">
            <w:pPr>
              <w:pStyle w:val="Body"/>
              <w:rPr>
                <w:szCs w:val="21"/>
              </w:rPr>
            </w:pPr>
            <w:proofErr w:type="spellStart"/>
            <w:r w:rsidRPr="003421CB">
              <w:rPr>
                <w:szCs w:val="21"/>
              </w:rPr>
              <w:t>DoH</w:t>
            </w:r>
            <w:proofErr w:type="spellEnd"/>
            <w:r w:rsidRPr="003421CB">
              <w:rPr>
                <w:szCs w:val="21"/>
              </w:rPr>
              <w:t xml:space="preserve"> Dwellings (Existing)</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0B98A70" w14:textId="77777777" w:rsidR="00713CF0" w:rsidRPr="003421CB" w:rsidRDefault="00713CF0" w:rsidP="003421CB">
            <w:pPr>
              <w:pStyle w:val="Body"/>
              <w:rPr>
                <w:szCs w:val="21"/>
              </w:rPr>
            </w:pPr>
            <w:r w:rsidRPr="003421CB">
              <w:rPr>
                <w:szCs w:val="21"/>
              </w:rPr>
              <w:t>Targeted and Tailored</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900AB34" w14:textId="77777777" w:rsidR="00713CF0" w:rsidRPr="003421CB" w:rsidRDefault="00713CF0" w:rsidP="003421CB">
            <w:pPr>
              <w:pStyle w:val="Body"/>
              <w:rPr>
                <w:szCs w:val="21"/>
              </w:rPr>
            </w:pPr>
            <w:r w:rsidRPr="003421CB">
              <w:rPr>
                <w:szCs w:val="21"/>
              </w:rPr>
              <w:t>17</w:t>
            </w:r>
          </w:p>
        </w:tc>
        <w:tc>
          <w:tcPr>
            <w:tcW w:w="992"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9B4AC6C" w14:textId="77777777" w:rsidR="00713CF0" w:rsidRPr="003421CB" w:rsidRDefault="00713CF0" w:rsidP="003421CB">
            <w:pPr>
              <w:pStyle w:val="Body"/>
              <w:rPr>
                <w:szCs w:val="21"/>
              </w:rPr>
            </w:pPr>
            <w:r w:rsidRPr="003421CB">
              <w:rPr>
                <w:szCs w:val="21"/>
              </w:rPr>
              <w:t>358</w:t>
            </w:r>
          </w:p>
        </w:tc>
        <w:tc>
          <w:tcPr>
            <w:tcW w:w="851"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347B6D4" w14:textId="77777777" w:rsidR="00713CF0" w:rsidRPr="003421CB" w:rsidRDefault="00713CF0" w:rsidP="003421CB">
            <w:pPr>
              <w:pStyle w:val="Body"/>
              <w:rPr>
                <w:szCs w:val="21"/>
              </w:rPr>
            </w:pPr>
            <w:r w:rsidRPr="003421CB">
              <w:rPr>
                <w:szCs w:val="21"/>
              </w:rPr>
              <w:t>15</w:t>
            </w:r>
          </w:p>
        </w:tc>
        <w:tc>
          <w:tcPr>
            <w:tcW w:w="850"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13DA5C8" w14:textId="77777777" w:rsidR="00713CF0" w:rsidRPr="003421CB" w:rsidRDefault="00713CF0" w:rsidP="003421CB">
            <w:pPr>
              <w:pStyle w:val="Body"/>
              <w:rPr>
                <w:szCs w:val="21"/>
              </w:rPr>
            </w:pPr>
            <w:r w:rsidRPr="003421CB">
              <w:rPr>
                <w:szCs w:val="21"/>
              </w:rPr>
              <w:t>5</w:t>
            </w:r>
          </w:p>
        </w:tc>
        <w:tc>
          <w:tcPr>
            <w:tcW w:w="993"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50D9711" w14:textId="77777777" w:rsidR="00713CF0" w:rsidRPr="003421CB" w:rsidRDefault="00713CF0" w:rsidP="003421CB">
            <w:pPr>
              <w:pStyle w:val="Body"/>
              <w:rPr>
                <w:szCs w:val="21"/>
              </w:rPr>
            </w:pPr>
            <w:r w:rsidRPr="003421CB">
              <w:rPr>
                <w:szCs w:val="21"/>
              </w:rPr>
              <w:t>0</w:t>
            </w:r>
          </w:p>
        </w:tc>
        <w:tc>
          <w:tcPr>
            <w:tcW w:w="1134" w:type="dxa"/>
            <w:vMerge w:val="restar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5691D7F" w14:textId="77777777" w:rsidR="00713CF0" w:rsidRPr="003421CB" w:rsidRDefault="00713CF0" w:rsidP="003421CB">
            <w:pPr>
              <w:pStyle w:val="Body"/>
              <w:rPr>
                <w:szCs w:val="21"/>
              </w:rPr>
            </w:pPr>
            <w:r w:rsidRPr="003421CB">
              <w:rPr>
                <w:szCs w:val="21"/>
              </w:rPr>
              <w:t>378</w:t>
            </w:r>
          </w:p>
        </w:tc>
      </w:tr>
      <w:tr w:rsidR="00713CF0" w:rsidRPr="005D0AE0" w14:paraId="028162CC"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22147CD8" w14:textId="77777777" w:rsidR="00713CF0" w:rsidRPr="003421CB" w:rsidRDefault="00713CF0" w:rsidP="003421CB">
            <w:pPr>
              <w:pStyle w:val="Body"/>
              <w:rPr>
                <w:rFonts w:eastAsiaTheme="minorHAnsi"/>
                <w:szCs w:val="21"/>
              </w:rPr>
            </w:pPr>
          </w:p>
        </w:tc>
        <w:tc>
          <w:tcPr>
            <w:tcW w:w="1701" w:type="dxa"/>
            <w:vMerge/>
            <w:tcBorders>
              <w:top w:val="nil"/>
              <w:left w:val="nil"/>
              <w:bottom w:val="single" w:sz="8" w:space="0" w:color="auto"/>
              <w:right w:val="single" w:sz="8" w:space="0" w:color="auto"/>
            </w:tcBorders>
            <w:shd w:val="clear" w:color="auto" w:fill="auto"/>
            <w:vAlign w:val="center"/>
            <w:hideMark/>
          </w:tcPr>
          <w:p w14:paraId="07062092" w14:textId="77777777" w:rsidR="00713CF0" w:rsidRPr="003421CB" w:rsidRDefault="00713CF0" w:rsidP="003421CB">
            <w:pPr>
              <w:pStyle w:val="Body"/>
              <w:rPr>
                <w:rFonts w:eastAsiaTheme="minorHAnsi"/>
                <w:szCs w:val="21"/>
              </w:rPr>
            </w:pP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11C3A10" w14:textId="77777777" w:rsidR="00713CF0" w:rsidRPr="003421CB" w:rsidRDefault="00713CF0" w:rsidP="003421CB">
            <w:pPr>
              <w:pStyle w:val="Body"/>
              <w:rPr>
                <w:szCs w:val="21"/>
              </w:rPr>
            </w:pPr>
            <w:r w:rsidRPr="003421CB">
              <w:rPr>
                <w:szCs w:val="21"/>
              </w:rPr>
              <w:t>Intensive</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EC340F" w14:textId="77777777" w:rsidR="00713CF0" w:rsidRPr="003421CB" w:rsidRDefault="00713CF0" w:rsidP="003421CB">
            <w:pPr>
              <w:pStyle w:val="Body"/>
              <w:rPr>
                <w:szCs w:val="21"/>
              </w:rPr>
            </w:pPr>
            <w:r w:rsidRPr="003421CB">
              <w:rPr>
                <w:szCs w:val="21"/>
              </w:rPr>
              <w:t>361</w:t>
            </w:r>
          </w:p>
        </w:tc>
        <w:tc>
          <w:tcPr>
            <w:tcW w:w="992" w:type="dxa"/>
            <w:vMerge/>
            <w:tcBorders>
              <w:top w:val="nil"/>
              <w:left w:val="nil"/>
              <w:bottom w:val="single" w:sz="8" w:space="0" w:color="auto"/>
              <w:right w:val="single" w:sz="8" w:space="0" w:color="auto"/>
            </w:tcBorders>
            <w:shd w:val="clear" w:color="auto" w:fill="auto"/>
            <w:vAlign w:val="center"/>
            <w:hideMark/>
          </w:tcPr>
          <w:p w14:paraId="3A95D86D" w14:textId="77777777" w:rsidR="00713CF0" w:rsidRPr="003421CB" w:rsidRDefault="00713CF0" w:rsidP="003421CB">
            <w:pPr>
              <w:pStyle w:val="Body"/>
              <w:rPr>
                <w:rFonts w:eastAsiaTheme="minorHAnsi"/>
                <w:szCs w:val="21"/>
              </w:rPr>
            </w:pPr>
          </w:p>
        </w:tc>
        <w:tc>
          <w:tcPr>
            <w:tcW w:w="851" w:type="dxa"/>
            <w:vMerge/>
            <w:tcBorders>
              <w:top w:val="nil"/>
              <w:left w:val="nil"/>
              <w:bottom w:val="single" w:sz="8" w:space="0" w:color="auto"/>
              <w:right w:val="single" w:sz="8" w:space="0" w:color="auto"/>
            </w:tcBorders>
            <w:shd w:val="clear" w:color="auto" w:fill="auto"/>
            <w:vAlign w:val="center"/>
            <w:hideMark/>
          </w:tcPr>
          <w:p w14:paraId="219C9130" w14:textId="77777777" w:rsidR="00713CF0" w:rsidRPr="003421CB" w:rsidRDefault="00713CF0" w:rsidP="003421CB">
            <w:pPr>
              <w:pStyle w:val="Body"/>
              <w:rPr>
                <w:rFonts w:eastAsiaTheme="minorHAnsi"/>
                <w:szCs w:val="21"/>
              </w:rPr>
            </w:pPr>
          </w:p>
        </w:tc>
        <w:tc>
          <w:tcPr>
            <w:tcW w:w="850" w:type="dxa"/>
            <w:vMerge/>
            <w:tcBorders>
              <w:top w:val="nil"/>
              <w:left w:val="nil"/>
              <w:bottom w:val="single" w:sz="8" w:space="0" w:color="auto"/>
              <w:right w:val="single" w:sz="8" w:space="0" w:color="auto"/>
            </w:tcBorders>
            <w:shd w:val="clear" w:color="auto" w:fill="auto"/>
            <w:vAlign w:val="center"/>
            <w:hideMark/>
          </w:tcPr>
          <w:p w14:paraId="0E7AA2C7" w14:textId="77777777" w:rsidR="00713CF0" w:rsidRPr="003421CB" w:rsidRDefault="00713CF0" w:rsidP="003421CB">
            <w:pPr>
              <w:pStyle w:val="Body"/>
              <w:rPr>
                <w:rFonts w:eastAsiaTheme="minorHAnsi"/>
                <w:szCs w:val="21"/>
              </w:rPr>
            </w:pPr>
          </w:p>
        </w:tc>
        <w:tc>
          <w:tcPr>
            <w:tcW w:w="993" w:type="dxa"/>
            <w:vMerge/>
            <w:tcBorders>
              <w:top w:val="nil"/>
              <w:left w:val="nil"/>
              <w:bottom w:val="single" w:sz="8" w:space="0" w:color="auto"/>
              <w:right w:val="single" w:sz="8" w:space="0" w:color="auto"/>
            </w:tcBorders>
            <w:shd w:val="clear" w:color="auto" w:fill="auto"/>
            <w:vAlign w:val="center"/>
            <w:hideMark/>
          </w:tcPr>
          <w:p w14:paraId="11C35296" w14:textId="77777777" w:rsidR="00713CF0" w:rsidRPr="003421CB" w:rsidRDefault="00713CF0" w:rsidP="003421CB">
            <w:pPr>
              <w:pStyle w:val="Body"/>
              <w:rPr>
                <w:rFonts w:eastAsiaTheme="minorHAnsi"/>
                <w:szCs w:val="21"/>
              </w:rPr>
            </w:pPr>
          </w:p>
        </w:tc>
        <w:tc>
          <w:tcPr>
            <w:tcW w:w="1134" w:type="dxa"/>
            <w:vMerge/>
            <w:tcBorders>
              <w:top w:val="nil"/>
              <w:left w:val="nil"/>
              <w:bottom w:val="single" w:sz="8" w:space="0" w:color="auto"/>
              <w:right w:val="single" w:sz="8" w:space="0" w:color="auto"/>
            </w:tcBorders>
            <w:shd w:val="clear" w:color="auto" w:fill="auto"/>
            <w:vAlign w:val="center"/>
            <w:hideMark/>
          </w:tcPr>
          <w:p w14:paraId="0D43F101" w14:textId="77777777" w:rsidR="00713CF0" w:rsidRPr="003421CB" w:rsidRDefault="00713CF0" w:rsidP="003421CB">
            <w:pPr>
              <w:pStyle w:val="Body"/>
              <w:rPr>
                <w:rFonts w:eastAsiaTheme="minorHAnsi"/>
                <w:szCs w:val="21"/>
              </w:rPr>
            </w:pPr>
          </w:p>
        </w:tc>
      </w:tr>
      <w:tr w:rsidR="00B037CC" w:rsidRPr="005D0AE0" w14:paraId="2495B0E8" w14:textId="77777777" w:rsidTr="00B037CC">
        <w:trPr>
          <w:trHeight w:val="288"/>
        </w:trPr>
        <w:tc>
          <w:tcPr>
            <w:tcW w:w="1692" w:type="dxa"/>
            <w:vMerge/>
            <w:tcBorders>
              <w:top w:val="nil"/>
              <w:left w:val="single" w:sz="8" w:space="0" w:color="auto"/>
              <w:bottom w:val="single" w:sz="8" w:space="0" w:color="auto"/>
              <w:right w:val="single" w:sz="8" w:space="0" w:color="auto"/>
            </w:tcBorders>
            <w:shd w:val="clear" w:color="auto" w:fill="auto"/>
            <w:vAlign w:val="center"/>
            <w:hideMark/>
          </w:tcPr>
          <w:p w14:paraId="38B7DEC3" w14:textId="77777777" w:rsidR="00713CF0" w:rsidRPr="003421CB" w:rsidRDefault="00713CF0" w:rsidP="003421CB">
            <w:pPr>
              <w:pStyle w:val="Body"/>
              <w:rPr>
                <w:rFonts w:eastAsiaTheme="minorHAnsi"/>
                <w:szCs w:val="21"/>
              </w:rPr>
            </w:pPr>
          </w:p>
        </w:tc>
        <w:tc>
          <w:tcPr>
            <w:tcW w:w="170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0E9B098" w14:textId="77777777" w:rsidR="00713CF0" w:rsidRPr="00B037CC" w:rsidRDefault="00713CF0" w:rsidP="003421CB">
            <w:pPr>
              <w:pStyle w:val="Body"/>
              <w:rPr>
                <w:b/>
                <w:bCs/>
                <w:szCs w:val="21"/>
              </w:rPr>
            </w:pPr>
            <w:r w:rsidRPr="00B037CC">
              <w:rPr>
                <w:b/>
                <w:bCs/>
                <w:szCs w:val="21"/>
              </w:rPr>
              <w:t>Total</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02861DB" w14:textId="77777777" w:rsidR="00713CF0" w:rsidRPr="00B037CC" w:rsidRDefault="00713CF0" w:rsidP="003421CB">
            <w:pPr>
              <w:pStyle w:val="Body"/>
              <w:rPr>
                <w:b/>
                <w:bCs/>
                <w:szCs w:val="21"/>
              </w:rPr>
            </w:pPr>
            <w:r w:rsidRPr="00B037CC">
              <w:rPr>
                <w:b/>
                <w:bCs/>
                <w:szCs w:val="21"/>
              </w:rPr>
              <w:t> </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3ECF99" w14:textId="77777777" w:rsidR="00713CF0" w:rsidRPr="00B037CC" w:rsidRDefault="00713CF0" w:rsidP="003421CB">
            <w:pPr>
              <w:pStyle w:val="Body"/>
              <w:rPr>
                <w:b/>
                <w:bCs/>
                <w:szCs w:val="21"/>
              </w:rPr>
            </w:pPr>
            <w:r w:rsidRPr="00B037CC">
              <w:rPr>
                <w:b/>
                <w:bCs/>
                <w:szCs w:val="21"/>
              </w:rPr>
              <w:t> </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CAEF909" w14:textId="77777777" w:rsidR="00713CF0" w:rsidRPr="00B037CC" w:rsidRDefault="00713CF0" w:rsidP="003421CB">
            <w:pPr>
              <w:pStyle w:val="Body"/>
              <w:rPr>
                <w:b/>
                <w:bCs/>
                <w:szCs w:val="21"/>
              </w:rPr>
            </w:pPr>
            <w:r w:rsidRPr="00B037CC">
              <w:rPr>
                <w:b/>
                <w:bCs/>
                <w:szCs w:val="21"/>
              </w:rPr>
              <w:t>1710</w:t>
            </w:r>
          </w:p>
        </w:tc>
        <w:tc>
          <w:tcPr>
            <w:tcW w:w="85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F94A556" w14:textId="77777777" w:rsidR="00713CF0" w:rsidRPr="00B037CC" w:rsidRDefault="00713CF0" w:rsidP="003421CB">
            <w:pPr>
              <w:pStyle w:val="Body"/>
              <w:rPr>
                <w:b/>
                <w:bCs/>
                <w:szCs w:val="21"/>
              </w:rPr>
            </w:pPr>
            <w:r w:rsidRPr="00B037CC">
              <w:rPr>
                <w:b/>
                <w:bCs/>
                <w:szCs w:val="21"/>
              </w:rPr>
              <w:t>88</w:t>
            </w:r>
          </w:p>
        </w:tc>
        <w:tc>
          <w:tcPr>
            <w:tcW w:w="85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497B0A2" w14:textId="77777777" w:rsidR="00713CF0" w:rsidRPr="00B037CC" w:rsidRDefault="00713CF0" w:rsidP="003421CB">
            <w:pPr>
              <w:pStyle w:val="Body"/>
              <w:rPr>
                <w:b/>
                <w:bCs/>
                <w:szCs w:val="21"/>
              </w:rPr>
            </w:pPr>
            <w:r w:rsidRPr="00B037CC">
              <w:rPr>
                <w:b/>
                <w:bCs/>
                <w:szCs w:val="21"/>
              </w:rPr>
              <w:t>37</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A5FE8E8" w14:textId="77777777" w:rsidR="00713CF0" w:rsidRPr="00B037CC" w:rsidRDefault="00713CF0" w:rsidP="003421CB">
            <w:pPr>
              <w:pStyle w:val="Body"/>
              <w:rPr>
                <w:b/>
                <w:bCs/>
                <w:szCs w:val="21"/>
              </w:rPr>
            </w:pPr>
            <w:r w:rsidRPr="00B037CC">
              <w:rPr>
                <w:b/>
                <w:bCs/>
                <w:szCs w:val="21"/>
              </w:rPr>
              <w:t>10</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C76CCA4" w14:textId="77777777" w:rsidR="00713CF0" w:rsidRPr="00B037CC" w:rsidRDefault="00713CF0" w:rsidP="003421CB">
            <w:pPr>
              <w:pStyle w:val="Body"/>
              <w:rPr>
                <w:b/>
                <w:bCs/>
                <w:szCs w:val="21"/>
              </w:rPr>
            </w:pPr>
            <w:r w:rsidRPr="00B037CC">
              <w:rPr>
                <w:b/>
                <w:bCs/>
                <w:szCs w:val="21"/>
              </w:rPr>
              <w:t>1845</w:t>
            </w:r>
          </w:p>
        </w:tc>
      </w:tr>
    </w:tbl>
    <w:p w14:paraId="1DB07B8A" w14:textId="77777777" w:rsidR="00713CF0" w:rsidRDefault="00713CF0" w:rsidP="00713CF0">
      <w:pPr>
        <w:pStyle w:val="DHHSbody"/>
        <w:sectPr w:rsidR="00713CF0" w:rsidSect="00C82506">
          <w:headerReference w:type="even" r:id="rId59"/>
          <w:headerReference w:type="default" r:id="rId60"/>
          <w:footerReference w:type="default" r:id="rId61"/>
          <w:headerReference w:type="first" r:id="rId62"/>
          <w:pgSz w:w="11906" w:h="16838" w:code="9"/>
          <w:pgMar w:top="1418" w:right="851" w:bottom="1134" w:left="851" w:header="567" w:footer="510" w:gutter="0"/>
          <w:cols w:space="340"/>
          <w:docGrid w:linePitch="360"/>
        </w:sectPr>
      </w:pPr>
    </w:p>
    <w:p w14:paraId="16802D02" w14:textId="0A421636" w:rsidR="00713CF0" w:rsidRPr="00A67D49" w:rsidRDefault="00713CF0" w:rsidP="00A67D49">
      <w:pPr>
        <w:pStyle w:val="Heading1"/>
      </w:pPr>
      <w:bookmarkStart w:id="253" w:name="_Toc88218428"/>
      <w:bookmarkStart w:id="254" w:name="_Toc121134153"/>
      <w:bookmarkStart w:id="255" w:name="_Hlk66611040"/>
      <w:bookmarkStart w:id="256" w:name="_Toc88218899"/>
      <w:r w:rsidRPr="00A67D49">
        <w:lastRenderedPageBreak/>
        <w:t xml:space="preserve">Appendix </w:t>
      </w:r>
      <w:r w:rsidR="008D634B">
        <w:t>4</w:t>
      </w:r>
      <w:r w:rsidRPr="00A67D49">
        <w:t xml:space="preserve"> - Mandatory disclosures and safety checks for General Lease and HPF Dwellings</w:t>
      </w:r>
      <w:bookmarkEnd w:id="253"/>
      <w:bookmarkEnd w:id="254"/>
      <w:r w:rsidRPr="00A67D49">
        <w:t xml:space="preserve"> </w:t>
      </w:r>
    </w:p>
    <w:bookmarkEnd w:id="255"/>
    <w:bookmarkEnd w:id="256"/>
    <w:p w14:paraId="4E4B7154" w14:textId="77777777" w:rsidR="00713CF0" w:rsidRDefault="00713CF0" w:rsidP="00713CF0">
      <w:r w:rsidRPr="00C80ED5">
        <w:rPr>
          <w:noProof/>
        </w:rPr>
        <w:drawing>
          <wp:inline distT="0" distB="0" distL="0" distR="0" wp14:anchorId="70DA66EB" wp14:editId="0A9DEBB1">
            <wp:extent cx="5825024" cy="7443086"/>
            <wp:effectExtent l="0" t="0" r="4445" b="5715"/>
            <wp:docPr id="15" name="Picture 15" descr="RTA General Lease and HPF Dwellings Mandatory Disclosures and Safety Checks ad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RTA General Lease and HPF Dwellings Mandatory Disclosures and Safety Checks advice"/>
                    <pic:cNvPicPr/>
                  </pic:nvPicPr>
                  <pic:blipFill>
                    <a:blip r:embed="rId63"/>
                    <a:stretch>
                      <a:fillRect/>
                    </a:stretch>
                  </pic:blipFill>
                  <pic:spPr>
                    <a:xfrm>
                      <a:off x="0" y="0"/>
                      <a:ext cx="5836648" cy="7457939"/>
                    </a:xfrm>
                    <a:prstGeom prst="rect">
                      <a:avLst/>
                    </a:prstGeom>
                  </pic:spPr>
                </pic:pic>
              </a:graphicData>
            </a:graphic>
          </wp:inline>
        </w:drawing>
      </w:r>
      <w:r>
        <w:br w:type="page"/>
      </w:r>
    </w:p>
    <w:p w14:paraId="3F4787EB" w14:textId="77777777" w:rsidR="00713CF0" w:rsidRDefault="00713CF0" w:rsidP="00DB56FC">
      <w:pPr>
        <w:pStyle w:val="Body"/>
      </w:pPr>
    </w:p>
    <w:p w14:paraId="36362B7F" w14:textId="77777777" w:rsidR="00713CF0" w:rsidRDefault="00713CF0" w:rsidP="00713CF0">
      <w:pPr>
        <w:rPr>
          <w:rFonts w:ascii="Arial" w:eastAsia="MS Gothic" w:hAnsi="Arial" w:cs="Arial"/>
          <w:bCs/>
          <w:color w:val="032833" w:themeColor="text2"/>
          <w:kern w:val="32"/>
          <w:sz w:val="36"/>
          <w:szCs w:val="40"/>
        </w:rPr>
      </w:pPr>
      <w:r w:rsidRPr="003B54AA">
        <w:rPr>
          <w:noProof/>
        </w:rPr>
        <w:drawing>
          <wp:inline distT="0" distB="0" distL="0" distR="0" wp14:anchorId="15B8B43D" wp14:editId="28BA8220">
            <wp:extent cx="6526299" cy="8601075"/>
            <wp:effectExtent l="0" t="0" r="8255" b="0"/>
            <wp:docPr id="20" name="Picture 20" descr="RTA General Lease and HPF Dwellings Mandatory Disclosures and Safety Checks advice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RTA General Lease and HPF Dwellings Mandatory Disclosures and Safety Checks advice continued"/>
                    <pic:cNvPicPr/>
                  </pic:nvPicPr>
                  <pic:blipFill>
                    <a:blip r:embed="rId64"/>
                    <a:stretch>
                      <a:fillRect/>
                    </a:stretch>
                  </pic:blipFill>
                  <pic:spPr>
                    <a:xfrm>
                      <a:off x="0" y="0"/>
                      <a:ext cx="6531874" cy="8608423"/>
                    </a:xfrm>
                    <a:prstGeom prst="rect">
                      <a:avLst/>
                    </a:prstGeom>
                  </pic:spPr>
                </pic:pic>
              </a:graphicData>
            </a:graphic>
          </wp:inline>
        </w:drawing>
      </w:r>
      <w:r>
        <w:br w:type="page"/>
      </w:r>
    </w:p>
    <w:p w14:paraId="572F7AE8" w14:textId="77777777" w:rsidR="00713CF0" w:rsidRDefault="00713CF0" w:rsidP="00713CF0"/>
    <w:p w14:paraId="538AF2F7" w14:textId="77777777" w:rsidR="00713CF0" w:rsidRDefault="00713CF0" w:rsidP="00713CF0">
      <w:r w:rsidRPr="00534502">
        <w:rPr>
          <w:noProof/>
        </w:rPr>
        <w:drawing>
          <wp:inline distT="0" distB="0" distL="0" distR="0" wp14:anchorId="6A0F698B" wp14:editId="27E3DF0C">
            <wp:extent cx="6229350" cy="8746758"/>
            <wp:effectExtent l="0" t="0" r="0" b="0"/>
            <wp:docPr id="28" name="Picture 28" descr="RTA General Lease and HPF Dwellings Mandatory Disclosures and Safety Checks advice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RTA General Lease and HPF Dwellings Mandatory Disclosures and Safety Checks advice continued"/>
                    <pic:cNvPicPr/>
                  </pic:nvPicPr>
                  <pic:blipFill>
                    <a:blip r:embed="rId65"/>
                    <a:stretch>
                      <a:fillRect/>
                    </a:stretch>
                  </pic:blipFill>
                  <pic:spPr>
                    <a:xfrm>
                      <a:off x="0" y="0"/>
                      <a:ext cx="6237967" cy="8758857"/>
                    </a:xfrm>
                    <a:prstGeom prst="rect">
                      <a:avLst/>
                    </a:prstGeom>
                  </pic:spPr>
                </pic:pic>
              </a:graphicData>
            </a:graphic>
          </wp:inline>
        </w:drawing>
      </w:r>
      <w:r>
        <w:br w:type="page"/>
      </w:r>
    </w:p>
    <w:p w14:paraId="1497E206" w14:textId="77777777" w:rsidR="00713CF0" w:rsidRDefault="00713CF0" w:rsidP="00713CF0">
      <w:r w:rsidRPr="009E5778">
        <w:rPr>
          <w:noProof/>
        </w:rPr>
        <w:lastRenderedPageBreak/>
        <w:drawing>
          <wp:inline distT="0" distB="0" distL="0" distR="0" wp14:anchorId="7865C6C2" wp14:editId="0EE54A88">
            <wp:extent cx="6479540" cy="8708457"/>
            <wp:effectExtent l="0" t="0" r="0" b="0"/>
            <wp:docPr id="18" name="Picture 18" descr="RTA General Lease and HPF Dwellings Mandatory Disclosures and Safety Checks advice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RTA General Lease and HPF Dwellings Mandatory Disclosures and Safety Checks advice continued"/>
                    <pic:cNvPicPr/>
                  </pic:nvPicPr>
                  <pic:blipFill>
                    <a:blip r:embed="rId66"/>
                    <a:stretch>
                      <a:fillRect/>
                    </a:stretch>
                  </pic:blipFill>
                  <pic:spPr>
                    <a:xfrm>
                      <a:off x="0" y="0"/>
                      <a:ext cx="6479540" cy="8708457"/>
                    </a:xfrm>
                    <a:prstGeom prst="rect">
                      <a:avLst/>
                    </a:prstGeom>
                  </pic:spPr>
                </pic:pic>
              </a:graphicData>
            </a:graphic>
          </wp:inline>
        </w:drawing>
      </w:r>
    </w:p>
    <w:p w14:paraId="21C6B010" w14:textId="77777777" w:rsidR="00713CF0" w:rsidRDefault="00713CF0" w:rsidP="00713CF0">
      <w:r>
        <w:br w:type="page"/>
      </w:r>
    </w:p>
    <w:p w14:paraId="5E5D0BE9" w14:textId="77777777" w:rsidR="00713CF0" w:rsidRDefault="00713CF0" w:rsidP="00713CF0">
      <w:pPr>
        <w:rPr>
          <w:rFonts w:ascii="Arial" w:eastAsia="MS Gothic" w:hAnsi="Arial" w:cs="Arial"/>
          <w:bCs/>
          <w:color w:val="032833" w:themeColor="text2"/>
          <w:kern w:val="32"/>
          <w:sz w:val="36"/>
          <w:szCs w:val="40"/>
        </w:rPr>
      </w:pPr>
      <w:r w:rsidRPr="00435772">
        <w:rPr>
          <w:noProof/>
        </w:rPr>
        <w:lastRenderedPageBreak/>
        <w:drawing>
          <wp:inline distT="0" distB="0" distL="0" distR="0" wp14:anchorId="1C462F91" wp14:editId="424794AD">
            <wp:extent cx="6438900" cy="8766213"/>
            <wp:effectExtent l="0" t="0" r="0" b="0"/>
            <wp:docPr id="19" name="Picture 19" descr="RTA General Lease and HPF Dwellings Mandatory Disclosures and Safety Checks advice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RTA General Lease and HPF Dwellings Mandatory Disclosures and Safety Checks advice continued"/>
                    <pic:cNvPicPr/>
                  </pic:nvPicPr>
                  <pic:blipFill>
                    <a:blip r:embed="rId67"/>
                    <a:stretch>
                      <a:fillRect/>
                    </a:stretch>
                  </pic:blipFill>
                  <pic:spPr>
                    <a:xfrm>
                      <a:off x="0" y="0"/>
                      <a:ext cx="6442680" cy="8771359"/>
                    </a:xfrm>
                    <a:prstGeom prst="rect">
                      <a:avLst/>
                    </a:prstGeom>
                  </pic:spPr>
                </pic:pic>
              </a:graphicData>
            </a:graphic>
          </wp:inline>
        </w:drawing>
      </w:r>
      <w:r>
        <w:br w:type="page"/>
      </w:r>
    </w:p>
    <w:p w14:paraId="329EC908" w14:textId="253D7A0F" w:rsidR="00713CF0" w:rsidRDefault="00713CF0" w:rsidP="00A67D49">
      <w:pPr>
        <w:pStyle w:val="Heading1"/>
      </w:pPr>
      <w:bookmarkStart w:id="257" w:name="_Toc88218429"/>
      <w:bookmarkStart w:id="258" w:name="_Toc88218900"/>
      <w:bookmarkStart w:id="259" w:name="_Toc121134154"/>
      <w:r w:rsidRPr="0024309B">
        <w:lastRenderedPageBreak/>
        <w:t xml:space="preserve">Appendix </w:t>
      </w:r>
      <w:r w:rsidR="008D634B">
        <w:t>5</w:t>
      </w:r>
      <w:r>
        <w:t xml:space="preserve"> – </w:t>
      </w:r>
      <w:r w:rsidRPr="00A67D49">
        <w:t>Portfolio</w:t>
      </w:r>
      <w:r>
        <w:t xml:space="preserve"> Approach: Allocations (Operations Policy Position)</w:t>
      </w:r>
      <w:bookmarkEnd w:id="257"/>
      <w:bookmarkEnd w:id="258"/>
      <w:bookmarkEnd w:id="259"/>
    </w:p>
    <w:p w14:paraId="526A174B" w14:textId="1156F013" w:rsidR="00713CF0" w:rsidRPr="00BB0AB0" w:rsidRDefault="00713CF0" w:rsidP="00A67D49">
      <w:pPr>
        <w:pStyle w:val="Heading2"/>
      </w:pPr>
      <w:bookmarkStart w:id="260" w:name="_Toc88218901"/>
      <w:bookmarkStart w:id="261" w:name="_Toc121134155"/>
      <w:r w:rsidRPr="00315E0D">
        <w:t>Context &amp; Background</w:t>
      </w:r>
      <w:bookmarkEnd w:id="260"/>
      <w:bookmarkEnd w:id="261"/>
    </w:p>
    <w:p w14:paraId="4B0C7130" w14:textId="77777777" w:rsidR="00713CF0" w:rsidRDefault="00713CF0" w:rsidP="00A67D49">
      <w:pPr>
        <w:pStyle w:val="Body"/>
      </w:pPr>
      <w:r w:rsidRPr="52B0A5E1">
        <w:t xml:space="preserve">The </w:t>
      </w:r>
      <w:r w:rsidRPr="52B0A5E1">
        <w:rPr>
          <w:i/>
          <w:iCs/>
        </w:rPr>
        <w:t>From Homelessness to a Home (H2H)</w:t>
      </w:r>
      <w:r w:rsidRPr="52B0A5E1">
        <w:t xml:space="preserve"> program aims to provide 1,845 households with access to stable medium- and long-term integrated housing and support packages </w:t>
      </w:r>
      <w:r>
        <w:t>These supports are provided</w:t>
      </w:r>
      <w:r w:rsidRPr="52B0A5E1">
        <w:t xml:space="preserve"> to people experiencing homelessness who </w:t>
      </w:r>
      <w:r>
        <w:t>have</w:t>
      </w:r>
      <w:r w:rsidRPr="52B0A5E1">
        <w:t xml:space="preserve"> resid</w:t>
      </w:r>
      <w:r>
        <w:t>ed</w:t>
      </w:r>
      <w:r w:rsidRPr="52B0A5E1">
        <w:t xml:space="preserve"> in emergency accommodation due to the coronavirus (COVID-19) pandemic prior to 6 December 2020. </w:t>
      </w:r>
    </w:p>
    <w:p w14:paraId="375F0937" w14:textId="77777777" w:rsidR="00713CF0" w:rsidRPr="00603AF6" w:rsidRDefault="00713CF0" w:rsidP="00A67D49">
      <w:pPr>
        <w:pStyle w:val="Body"/>
      </w:pPr>
      <w:r w:rsidRPr="52B0A5E1">
        <w:t>The program is an opportunity to make a significant, lasting impact on homelessness and rough sleeping in Victoria. Many of the people supported into emergency accommodation have experienced long-term homelessness and disadvantage and have complex needs</w:t>
      </w:r>
      <w:r>
        <w:t>. T</w:t>
      </w:r>
      <w:r w:rsidRPr="52B0A5E1">
        <w:t xml:space="preserve">he investment in H2H provides the affordable </w:t>
      </w:r>
      <w:r>
        <w:t>h</w:t>
      </w:r>
      <w:r w:rsidRPr="52B0A5E1">
        <w:t xml:space="preserve">ousing and support </w:t>
      </w:r>
      <w:r>
        <w:t>that c</w:t>
      </w:r>
      <w:r w:rsidRPr="52B0A5E1">
        <w:t xml:space="preserve">lients need to promote their health and wellbeing and prevent a return to rough sleeping. </w:t>
      </w:r>
    </w:p>
    <w:p w14:paraId="53F16775" w14:textId="77777777" w:rsidR="00713CF0" w:rsidRDefault="00713CF0" w:rsidP="00A67D49">
      <w:pPr>
        <w:pStyle w:val="Body"/>
      </w:pPr>
      <w:r w:rsidRPr="52B0A5E1">
        <w:t>The H2H program incorporates property services (including identif</w:t>
      </w:r>
      <w:r>
        <w:t>ying</w:t>
      </w:r>
      <w:r w:rsidRPr="52B0A5E1">
        <w:t xml:space="preserve"> and securing dwellings and property management), support services</w:t>
      </w:r>
      <w:r>
        <w:t>,</w:t>
      </w:r>
      <w:r w:rsidRPr="52B0A5E1">
        <w:t xml:space="preserve"> and flexible brokerage. Property Service Providers and Support Service Providers </w:t>
      </w:r>
      <w:r w:rsidRPr="004B6318">
        <w:rPr>
          <w:rFonts w:eastAsia="Arial"/>
        </w:rPr>
        <w:t>(known as H2H Community Partners)</w:t>
      </w:r>
      <w:r w:rsidRPr="007F2F98">
        <w:t xml:space="preserve"> </w:t>
      </w:r>
      <w:r w:rsidRPr="52B0A5E1">
        <w:t xml:space="preserve">work in partnership to deliver a seamless and </w:t>
      </w:r>
      <w:r>
        <w:t>high-quality</w:t>
      </w:r>
      <w:r w:rsidRPr="52B0A5E1">
        <w:t xml:space="preserve"> </w:t>
      </w:r>
      <w:r>
        <w:t xml:space="preserve">housing and support </w:t>
      </w:r>
      <w:r w:rsidRPr="52B0A5E1">
        <w:t>service</w:t>
      </w:r>
      <w:r>
        <w:t>s</w:t>
      </w:r>
      <w:r w:rsidRPr="52B0A5E1">
        <w:t xml:space="preserve"> to shared </w:t>
      </w:r>
      <w:r>
        <w:t>cl</w:t>
      </w:r>
      <w:r w:rsidRPr="52B0A5E1">
        <w:t>ients.</w:t>
      </w:r>
    </w:p>
    <w:p w14:paraId="6F1AE398" w14:textId="77777777" w:rsidR="00713CF0" w:rsidRPr="00315E0D" w:rsidRDefault="00713CF0" w:rsidP="00A67D49">
      <w:pPr>
        <w:pStyle w:val="Heading2"/>
      </w:pPr>
      <w:bookmarkStart w:id="262" w:name="_Toc88218902"/>
      <w:bookmarkStart w:id="263" w:name="_Toc121134156"/>
      <w:r w:rsidRPr="00315E0D">
        <w:t>Policy Intent</w:t>
      </w:r>
      <w:bookmarkEnd w:id="262"/>
      <w:bookmarkEnd w:id="263"/>
    </w:p>
    <w:p w14:paraId="759A343A" w14:textId="77777777" w:rsidR="00713CF0" w:rsidRPr="000C33CC" w:rsidRDefault="00713CF0" w:rsidP="00A67D49">
      <w:pPr>
        <w:pStyle w:val="Body"/>
      </w:pPr>
      <w:r w:rsidRPr="52B0A5E1">
        <w:t>Th</w:t>
      </w:r>
      <w:r>
        <w:t>is policy intends to ensure that appropriate long-</w:t>
      </w:r>
      <w:r w:rsidRPr="52B0A5E1">
        <w:t xml:space="preserve">term housing outcomes are provided </w:t>
      </w:r>
      <w:r>
        <w:t>to</w:t>
      </w:r>
      <w:r w:rsidRPr="52B0A5E1">
        <w:t xml:space="preserve"> H2H Clients who are currently housed in fixed term accommodation through the H2H </w:t>
      </w:r>
      <w:r>
        <w:t>program who require a different locations or property type that can be allocated by Community Housing Providers by taking a portfolio approach</w:t>
      </w:r>
      <w:r w:rsidRPr="52B0A5E1">
        <w:t xml:space="preserve">. </w:t>
      </w:r>
      <w:r>
        <w:br/>
      </w:r>
    </w:p>
    <w:p w14:paraId="37D29892" w14:textId="77777777" w:rsidR="00713CF0" w:rsidRDefault="00713CF0" w:rsidP="00A67D49">
      <w:pPr>
        <w:pStyle w:val="Body"/>
      </w:pPr>
      <w:r w:rsidRPr="52B0A5E1">
        <w:t xml:space="preserve">This paper outlines the policy approach to managing H2H </w:t>
      </w:r>
      <w:r w:rsidRPr="7EDFE340">
        <w:t>Clients</w:t>
      </w:r>
      <w:r w:rsidRPr="52B0A5E1">
        <w:t xml:space="preserve"> who are still in need of longer-term </w:t>
      </w:r>
      <w:r>
        <w:t>h</w:t>
      </w:r>
      <w:r w:rsidRPr="52B0A5E1">
        <w:t xml:space="preserve">ousing and are in hotel / emergency accommodation approved under the H2H initiative. Additionally, it outlines the requirement for community providers to work collaboratively across their portfolios to house these H2H </w:t>
      </w:r>
      <w:r w:rsidRPr="7EDFE340">
        <w:t>C</w:t>
      </w:r>
      <w:r w:rsidRPr="52B0A5E1">
        <w:t xml:space="preserve">lients long term. </w:t>
      </w:r>
    </w:p>
    <w:p w14:paraId="2533EA7D" w14:textId="77777777" w:rsidR="00713CF0" w:rsidRPr="00511147" w:rsidRDefault="00713CF0" w:rsidP="00A67D49">
      <w:pPr>
        <w:pStyle w:val="Heading2"/>
      </w:pPr>
      <w:bookmarkStart w:id="264" w:name="_Toc88218903"/>
      <w:bookmarkStart w:id="265" w:name="_Toc121134157"/>
      <w:r w:rsidRPr="00511147">
        <w:t>Key Policy Considerations and Settings</w:t>
      </w:r>
      <w:bookmarkEnd w:id="264"/>
      <w:bookmarkEnd w:id="265"/>
    </w:p>
    <w:p w14:paraId="53B781E5" w14:textId="77777777" w:rsidR="00713CF0" w:rsidRPr="00A67D49" w:rsidRDefault="00713CF0" w:rsidP="00713CF0">
      <w:pPr>
        <w:pStyle w:val="DHHSbody"/>
        <w:spacing w:after="0" w:line="276" w:lineRule="auto"/>
        <w:rPr>
          <w:rStyle w:val="BodyChar"/>
        </w:rPr>
      </w:pPr>
      <w:r w:rsidRPr="00603AF6">
        <w:rPr>
          <w:rFonts w:cs="Arial"/>
        </w:rPr>
        <w:t>The following are the agreed policy settings</w:t>
      </w:r>
      <w:r>
        <w:rPr>
          <w:rFonts w:cs="Arial"/>
        </w:rPr>
        <w:t xml:space="preserve">, as outlined in the </w:t>
      </w:r>
      <w:r w:rsidRPr="00A67D49">
        <w:rPr>
          <w:rStyle w:val="BodyChar"/>
        </w:rPr>
        <w:t>H2H Guidelines:</w:t>
      </w:r>
    </w:p>
    <w:p w14:paraId="41FF08C8" w14:textId="77777777" w:rsidR="00713CF0" w:rsidRDefault="00713CF0" w:rsidP="00A67D49">
      <w:pPr>
        <w:pStyle w:val="Bullet1"/>
      </w:pPr>
      <w:r>
        <w:t>The Victorian Housing Register (VHR) will be the only conduit to social housing.</w:t>
      </w:r>
    </w:p>
    <w:p w14:paraId="7000AB48" w14:textId="77777777" w:rsidR="00713CF0" w:rsidRDefault="00713CF0" w:rsidP="00A67D49">
      <w:pPr>
        <w:pStyle w:val="Bullet1"/>
      </w:pPr>
      <w:r>
        <w:t>Allocation to long term housing public housing is to be undertaken in line with the Department's Allocation Policies.</w:t>
      </w:r>
    </w:p>
    <w:p w14:paraId="64B7E60F" w14:textId="77777777" w:rsidR="00713CF0" w:rsidRDefault="00713CF0" w:rsidP="00A67D49">
      <w:pPr>
        <w:pStyle w:val="Bullet1"/>
      </w:pPr>
      <w:r>
        <w:t xml:space="preserve">Allocation to long term community housing is to be undertaken in line with the relevant agencies' business operational guidelines and must be done with a shared portfolio approach.  </w:t>
      </w:r>
    </w:p>
    <w:p w14:paraId="7E01C5DB" w14:textId="77777777" w:rsidR="00713CF0" w:rsidRDefault="00713CF0" w:rsidP="00713CF0">
      <w:pPr>
        <w:pStyle w:val="DHHSbody"/>
        <w:spacing w:after="0"/>
        <w:rPr>
          <w:rFonts w:cs="Arial"/>
          <w:b/>
          <w:sz w:val="22"/>
          <w:szCs w:val="22"/>
        </w:rPr>
      </w:pPr>
    </w:p>
    <w:p w14:paraId="691F975B" w14:textId="09E0CA21" w:rsidR="00713CF0" w:rsidRPr="00FE42D9" w:rsidRDefault="00713CF0" w:rsidP="00A67D49">
      <w:pPr>
        <w:pStyle w:val="Heading2"/>
      </w:pPr>
      <w:bookmarkStart w:id="266" w:name="_Toc121134161"/>
      <w:r w:rsidRPr="004639D4">
        <w:lastRenderedPageBreak/>
        <w:t xml:space="preserve">Changes to </w:t>
      </w:r>
      <w:r w:rsidRPr="7EDFE340">
        <w:t>H2H G</w:t>
      </w:r>
      <w:r w:rsidRPr="004639D4">
        <w:t xml:space="preserve">eneral </w:t>
      </w:r>
      <w:r w:rsidRPr="7EDFE340">
        <w:t>L</w:t>
      </w:r>
      <w:r w:rsidRPr="004639D4">
        <w:t>ease properties</w:t>
      </w:r>
      <w:bookmarkEnd w:id="266"/>
      <w:r w:rsidRPr="004639D4">
        <w:t xml:space="preserve"> </w:t>
      </w:r>
    </w:p>
    <w:p w14:paraId="7BFE63E2" w14:textId="77777777" w:rsidR="00713CF0" w:rsidRPr="004639D4" w:rsidRDefault="00713CF0" w:rsidP="00A67D49">
      <w:pPr>
        <w:pStyle w:val="Body"/>
      </w:pPr>
      <w:r w:rsidRPr="004639D4">
        <w:t>Homes Vic</w:t>
      </w:r>
      <w:r>
        <w:t>toria</w:t>
      </w:r>
      <w:r w:rsidRPr="004639D4">
        <w:t xml:space="preserve"> to convert 18-month</w:t>
      </w:r>
      <w:r w:rsidRPr="7EDFE340">
        <w:t xml:space="preserve"> General Lease</w:t>
      </w:r>
      <w:r w:rsidRPr="004639D4">
        <w:t xml:space="preserve"> properties to long term </w:t>
      </w:r>
      <w:r w:rsidRPr="7EDFE340">
        <w:t>General Lease</w:t>
      </w:r>
      <w:r w:rsidRPr="004639D4">
        <w:t xml:space="preserve"> for suitable renters.</w:t>
      </w:r>
    </w:p>
    <w:p w14:paraId="76088D1D" w14:textId="77777777" w:rsidR="00713CF0" w:rsidRPr="004639D4" w:rsidRDefault="00713CF0" w:rsidP="00B037CC">
      <w:pPr>
        <w:pStyle w:val="Body"/>
        <w:numPr>
          <w:ilvl w:val="0"/>
          <w:numId w:val="33"/>
        </w:numPr>
      </w:pPr>
      <w:r w:rsidRPr="004639D4">
        <w:t>Homes Vic</w:t>
      </w:r>
      <w:r>
        <w:t>toria</w:t>
      </w:r>
      <w:r w:rsidRPr="004639D4">
        <w:t xml:space="preserve"> will convene a panel of experts to determine a suitable housing and support plan where tenancies are not sustained.  </w:t>
      </w:r>
    </w:p>
    <w:p w14:paraId="411A8347" w14:textId="77777777" w:rsidR="00713CF0" w:rsidRPr="004639D4" w:rsidRDefault="00713CF0" w:rsidP="00B037CC">
      <w:pPr>
        <w:pStyle w:val="Body"/>
        <w:numPr>
          <w:ilvl w:val="0"/>
          <w:numId w:val="33"/>
        </w:numPr>
      </w:pPr>
      <w:r w:rsidRPr="004639D4">
        <w:t>Homes Vic</w:t>
      </w:r>
      <w:r>
        <w:t>toria</w:t>
      </w:r>
      <w:r w:rsidRPr="004639D4">
        <w:t xml:space="preserve"> </w:t>
      </w:r>
      <w:r>
        <w:t xml:space="preserve">will review the impact of the </w:t>
      </w:r>
      <w:r w:rsidRPr="004639D4">
        <w:t>rental arrears</w:t>
      </w:r>
      <w:r>
        <w:t xml:space="preserve"> on community housing providers due to this policy change</w:t>
      </w:r>
      <w:r w:rsidRPr="004639D4">
        <w:t>.</w:t>
      </w:r>
    </w:p>
    <w:p w14:paraId="4D1E9730" w14:textId="77777777" w:rsidR="00713CF0" w:rsidRPr="00A605D3" w:rsidRDefault="00713CF0" w:rsidP="00A67D49">
      <w:pPr>
        <w:pStyle w:val="Heading2"/>
      </w:pPr>
      <w:bookmarkStart w:id="267" w:name="_Toc121134162"/>
      <w:r w:rsidRPr="00A605D3">
        <w:t>Allocation approach</w:t>
      </w:r>
      <w:bookmarkEnd w:id="267"/>
    </w:p>
    <w:p w14:paraId="299AEAC6" w14:textId="77777777" w:rsidR="00713CF0" w:rsidRDefault="00713CF0" w:rsidP="00A67D49">
      <w:pPr>
        <w:pStyle w:val="Body"/>
      </w:pPr>
      <w:r>
        <w:t xml:space="preserve">Eligibility for support through the H2H program is detailed in the H2H Program Guidelines. This includes confirmation that clients were </w:t>
      </w:r>
      <w:r w:rsidRPr="004639D4">
        <w:t xml:space="preserve">placed in a hotel or other purchased accommodation </w:t>
      </w:r>
      <w:r>
        <w:t>in</w:t>
      </w:r>
      <w:r w:rsidRPr="004639D4">
        <w:t xml:space="preserve"> </w:t>
      </w:r>
      <w:r>
        <w:t>r</w:t>
      </w:r>
      <w:r w:rsidRPr="004639D4">
        <w:t>esponse</w:t>
      </w:r>
      <w:r>
        <w:t xml:space="preserve"> to the COVID 19 pandemic </w:t>
      </w:r>
      <w:r w:rsidRPr="004639D4">
        <w:t xml:space="preserve">from 16 March 2020 and </w:t>
      </w:r>
      <w:r>
        <w:t>before</w:t>
      </w:r>
      <w:r w:rsidRPr="004639D4">
        <w:t xml:space="preserve"> 6 December 2020 and meeting the eligibility criteria for a VHR application. </w:t>
      </w:r>
    </w:p>
    <w:p w14:paraId="372D7BB5" w14:textId="77777777" w:rsidR="00713CF0" w:rsidRDefault="00713CF0" w:rsidP="00A67D49">
      <w:pPr>
        <w:pStyle w:val="Body"/>
      </w:pPr>
      <w:r>
        <w:t>All allocations must be made according to the Department's Victorian Housing Register Guidelines, including eligibility and priority order.</w:t>
      </w:r>
    </w:p>
    <w:p w14:paraId="1082FF28" w14:textId="77777777" w:rsidR="00713CF0" w:rsidRDefault="00713CF0" w:rsidP="00A67D49">
      <w:pPr>
        <w:pStyle w:val="Body"/>
      </w:pPr>
      <w:r>
        <w:t>Factors to be taken into consideration across the collective portfolio include:</w:t>
      </w:r>
    </w:p>
    <w:p w14:paraId="0C8359CE" w14:textId="77777777" w:rsidR="00713CF0" w:rsidRDefault="00713CF0" w:rsidP="00A67D49">
      <w:pPr>
        <w:pStyle w:val="Bullet1"/>
      </w:pPr>
      <w:r>
        <w:t>The density of vacant properties</w:t>
      </w:r>
    </w:p>
    <w:p w14:paraId="2618F720" w14:textId="77777777" w:rsidR="00713CF0" w:rsidRDefault="00713CF0" w:rsidP="00A67D49">
      <w:pPr>
        <w:pStyle w:val="Bullet1"/>
      </w:pPr>
      <w:r>
        <w:t>Proximity to services and location of the property</w:t>
      </w:r>
    </w:p>
    <w:p w14:paraId="26CD3E73" w14:textId="77777777" w:rsidR="00713CF0" w:rsidRDefault="00713CF0" w:rsidP="00A67D49">
      <w:pPr>
        <w:pStyle w:val="Bullet1"/>
      </w:pPr>
      <w:r>
        <w:t>Design and functionality of the property</w:t>
      </w:r>
    </w:p>
    <w:p w14:paraId="2AE1819E" w14:textId="77777777" w:rsidR="00713CF0" w:rsidRDefault="00713CF0" w:rsidP="00A67D49">
      <w:pPr>
        <w:pStyle w:val="Bullet1"/>
      </w:pPr>
      <w:r>
        <w:t>Existing cohorts</w:t>
      </w:r>
    </w:p>
    <w:p w14:paraId="28365AF3" w14:textId="77777777" w:rsidR="00713CF0" w:rsidRDefault="00713CF0" w:rsidP="00A67D49">
      <w:pPr>
        <w:pStyle w:val="Bullet1"/>
      </w:pPr>
      <w:r>
        <w:t xml:space="preserve">Client's individual needs and suitability </w:t>
      </w:r>
    </w:p>
    <w:p w14:paraId="484BD9DE" w14:textId="77777777" w:rsidR="00713CF0" w:rsidRDefault="00713CF0" w:rsidP="00A67D49">
      <w:pPr>
        <w:pStyle w:val="Bullet1"/>
      </w:pPr>
      <w:r>
        <w:t xml:space="preserve">Any specific body corporate requirements/ rules. </w:t>
      </w:r>
    </w:p>
    <w:p w14:paraId="20F1FF54" w14:textId="77777777" w:rsidR="00713CF0" w:rsidRDefault="00713CF0" w:rsidP="00713CF0">
      <w:pPr>
        <w:spacing w:line="276" w:lineRule="auto"/>
      </w:pPr>
    </w:p>
    <w:p w14:paraId="7EDCFFA5" w14:textId="77777777" w:rsidR="00713CF0" w:rsidRPr="00A56132" w:rsidRDefault="00713CF0" w:rsidP="00A67D49">
      <w:pPr>
        <w:pStyle w:val="Heading2"/>
        <w:rPr>
          <w:rFonts w:eastAsia="Arial"/>
        </w:rPr>
      </w:pPr>
      <w:bookmarkStart w:id="268" w:name="_Toc121134163"/>
      <w:r w:rsidRPr="00A56132">
        <w:rPr>
          <w:rFonts w:eastAsia="Arial"/>
        </w:rPr>
        <w:t>Principles of resource allocation and prioritisation</w:t>
      </w:r>
      <w:bookmarkEnd w:id="268"/>
    </w:p>
    <w:p w14:paraId="7F485DBD" w14:textId="77777777" w:rsidR="00713CF0" w:rsidRDefault="00713CF0" w:rsidP="00A67D49">
      <w:pPr>
        <w:pStyle w:val="Body"/>
      </w:pPr>
      <w:r>
        <w:t>The H2H Program Guidelines should guide decision making around resource allocation and prioritisation</w:t>
      </w:r>
      <w:r w:rsidRPr="00A56132">
        <w:t xml:space="preserve">. </w:t>
      </w:r>
      <w:r>
        <w:t>Community partners should work with their support partners to make d</w:t>
      </w:r>
      <w:r w:rsidRPr="00A56132">
        <w:t xml:space="preserve">ecisions </w:t>
      </w:r>
      <w:r>
        <w:t>promptly</w:t>
      </w:r>
      <w:r w:rsidRPr="00A56132">
        <w:t xml:space="preserve"> to ensure clients are not residing in hotels longer than necessary.</w:t>
      </w:r>
      <w:r>
        <w:t xml:space="preserve"> </w:t>
      </w:r>
    </w:p>
    <w:p w14:paraId="16412528" w14:textId="77777777" w:rsidR="00713CF0" w:rsidRPr="00A56132" w:rsidRDefault="00713CF0" w:rsidP="00A67D49">
      <w:pPr>
        <w:pStyle w:val="Body"/>
      </w:pPr>
      <w:r>
        <w:t xml:space="preserve">Housing providers are responsible for assessing people moving into high-density apartments to ensure </w:t>
      </w:r>
      <w:r w:rsidRPr="2092CA45">
        <w:t>tenancies</w:t>
      </w:r>
      <w:r>
        <w:t xml:space="preserve"> are sustainable. </w:t>
      </w:r>
    </w:p>
    <w:p w14:paraId="6586C0B4" w14:textId="77777777" w:rsidR="00713CF0" w:rsidRPr="001F4E9F" w:rsidRDefault="00713CF0" w:rsidP="00A67D49">
      <w:pPr>
        <w:pStyle w:val="Heading2"/>
      </w:pPr>
      <w:bookmarkStart w:id="269" w:name="_Toc121134164"/>
      <w:r w:rsidRPr="00401A46">
        <w:t>Definition of Stable Housing</w:t>
      </w:r>
      <w:bookmarkEnd w:id="269"/>
      <w:r w:rsidRPr="001F4E9F">
        <w:t xml:space="preserve"> </w:t>
      </w:r>
    </w:p>
    <w:p w14:paraId="7D9BB1F2" w14:textId="77777777" w:rsidR="00713CF0" w:rsidRDefault="00713CF0" w:rsidP="00A67D49">
      <w:pPr>
        <w:pStyle w:val="Body"/>
      </w:pPr>
      <w:r>
        <w:t xml:space="preserve">Client suitability for other forms of housing needs to be considered when making decisions about alternative accommodation. </w:t>
      </w:r>
    </w:p>
    <w:p w14:paraId="59069B15" w14:textId="77777777" w:rsidR="00713CF0" w:rsidRDefault="00713CF0" w:rsidP="00A67D49">
      <w:pPr>
        <w:pStyle w:val="Body"/>
      </w:pPr>
      <w:r>
        <w:t>The understanding of what constitutes stable housing can vary; however, some of the factors that will provide clarity include:</w:t>
      </w:r>
    </w:p>
    <w:p w14:paraId="6D784C5E" w14:textId="77777777" w:rsidR="00713CF0" w:rsidRDefault="00713CF0" w:rsidP="00A67D49">
      <w:pPr>
        <w:pStyle w:val="Bullet1"/>
      </w:pPr>
      <w:r>
        <w:t>No breach of tenancy notices</w:t>
      </w:r>
    </w:p>
    <w:p w14:paraId="3B16A6E3" w14:textId="77777777" w:rsidR="00713CF0" w:rsidRDefault="00713CF0" w:rsidP="00A67D49">
      <w:pPr>
        <w:pStyle w:val="Bullet1"/>
      </w:pPr>
      <w:r>
        <w:t>Rental payments are up to date</w:t>
      </w:r>
    </w:p>
    <w:p w14:paraId="6F0D2C4D" w14:textId="77777777" w:rsidR="00713CF0" w:rsidRDefault="00713CF0" w:rsidP="00A67D49">
      <w:pPr>
        <w:pStyle w:val="Bullet1"/>
      </w:pPr>
      <w:r>
        <w:t>Little to no complaints from neighbours(substantiated)</w:t>
      </w:r>
    </w:p>
    <w:p w14:paraId="67697E01" w14:textId="77777777" w:rsidR="00713CF0" w:rsidRDefault="00713CF0" w:rsidP="00A67D49">
      <w:pPr>
        <w:pStyle w:val="Bullet1"/>
      </w:pPr>
      <w:r>
        <w:t xml:space="preserve">Feedback from the support provider </w:t>
      </w:r>
    </w:p>
    <w:p w14:paraId="5513EC44" w14:textId="77777777" w:rsidR="00713CF0" w:rsidRDefault="00713CF0" w:rsidP="00A67D49">
      <w:pPr>
        <w:pStyle w:val="Bullet1"/>
      </w:pPr>
      <w:r>
        <w:t>Ongoing engagement during the transition period with the support provider</w:t>
      </w:r>
    </w:p>
    <w:p w14:paraId="785BC8DD" w14:textId="77777777" w:rsidR="00713CF0" w:rsidRDefault="00713CF0" w:rsidP="00A67D49">
      <w:pPr>
        <w:pStyle w:val="Bullet1"/>
      </w:pPr>
      <w:r>
        <w:lastRenderedPageBreak/>
        <w:t>Establishment of the home.</w:t>
      </w:r>
    </w:p>
    <w:p w14:paraId="1EBCDF07" w14:textId="77777777" w:rsidR="00A67D49" w:rsidRDefault="00A67D49" w:rsidP="00713CF0">
      <w:pPr>
        <w:spacing w:line="276" w:lineRule="auto"/>
        <w:rPr>
          <w:rFonts w:ascii="Arial" w:hAnsi="Arial" w:cs="Arial"/>
        </w:rPr>
      </w:pPr>
    </w:p>
    <w:p w14:paraId="4AB3E1B2" w14:textId="173D1E37" w:rsidR="00713CF0" w:rsidRDefault="00713CF0" w:rsidP="00713CF0">
      <w:pPr>
        <w:spacing w:line="276" w:lineRule="auto"/>
        <w:rPr>
          <w:rFonts w:ascii="Arial" w:hAnsi="Arial" w:cs="Arial"/>
        </w:rPr>
      </w:pPr>
      <w:r>
        <w:rPr>
          <w:rFonts w:ascii="Arial" w:hAnsi="Arial" w:cs="Arial"/>
        </w:rPr>
        <w:t xml:space="preserve">This is not considered an </w:t>
      </w:r>
      <w:r w:rsidRPr="00A67D49">
        <w:rPr>
          <w:rStyle w:val="BodyChar"/>
        </w:rPr>
        <w:t>extensive list acknowledging other factors that need to be considered depending on the Client's circumstance</w:t>
      </w:r>
      <w:r>
        <w:rPr>
          <w:rFonts w:ascii="Arial" w:hAnsi="Arial" w:cs="Arial"/>
        </w:rPr>
        <w:t xml:space="preserve">. </w:t>
      </w:r>
    </w:p>
    <w:p w14:paraId="2AC6B161" w14:textId="77777777" w:rsidR="00713CF0" w:rsidRDefault="00713CF0" w:rsidP="00A67D49">
      <w:pPr>
        <w:pStyle w:val="Body"/>
      </w:pPr>
      <w:r>
        <w:t>Where a renter does not meet the definition of stable housing, it is proposed that they are moved to another property and provided an additional year of supports to ensure the success of a new tenancy.  These additional supports would need to be presented by the provider with the evidence that they do not meet the definition of a stable tenancy and be approved by the H2H team to be considered for further support beyond the original support package.</w:t>
      </w:r>
    </w:p>
    <w:p w14:paraId="59C1C82E" w14:textId="71C5408F" w:rsidR="00713CF0" w:rsidRPr="00407A6B" w:rsidRDefault="00713CF0" w:rsidP="00A67D49">
      <w:pPr>
        <w:pStyle w:val="Heading2"/>
      </w:pPr>
      <w:bookmarkStart w:id="270" w:name="_Toc121134165"/>
      <w:r w:rsidRPr="00407A6B">
        <w:t>Cultural Safety</w:t>
      </w:r>
      <w:bookmarkEnd w:id="270"/>
      <w:r w:rsidRPr="00407A6B">
        <w:t xml:space="preserve"> </w:t>
      </w:r>
    </w:p>
    <w:p w14:paraId="7A2966B2" w14:textId="77777777" w:rsidR="00713CF0" w:rsidRPr="00A67D49" w:rsidRDefault="00713CF0" w:rsidP="00A67D49">
      <w:pPr>
        <w:pStyle w:val="Body"/>
      </w:pPr>
      <w:r w:rsidRPr="00A67D49">
        <w:t>Services delivered under this program will be provided in a culturally appropriate way and in partnership with local Aboriginal services where possible. The Victorian Aboriginal Housing and Homelessness Framework - Mana-</w:t>
      </w:r>
      <w:proofErr w:type="spellStart"/>
      <w:r w:rsidRPr="00A67D49">
        <w:t>na</w:t>
      </w:r>
      <w:proofErr w:type="spellEnd"/>
      <w:r w:rsidRPr="00A67D49">
        <w:t xml:space="preserve"> </w:t>
      </w:r>
      <w:proofErr w:type="spellStart"/>
      <w:r w:rsidRPr="00A67D49">
        <w:t>Woorn-tyeen</w:t>
      </w:r>
      <w:proofErr w:type="spellEnd"/>
      <w:r w:rsidRPr="00A67D49">
        <w:t xml:space="preserve"> Maar-</w:t>
      </w:r>
      <w:proofErr w:type="spellStart"/>
      <w:r w:rsidRPr="00A67D49">
        <w:t>takoort</w:t>
      </w:r>
      <w:proofErr w:type="spellEnd"/>
      <w:r w:rsidRPr="00A67D49">
        <w:t xml:space="preserve"> – sets out an approach to ensuring all Aboriginal Victorians have safe, secure and stable housing  </w:t>
      </w:r>
      <w:hyperlink>
        <w:r w:rsidRPr="00A67D49">
          <w:rPr>
            <w:rStyle w:val="Hyperlink"/>
            <w:color w:val="auto"/>
            <w:u w:val="none"/>
          </w:rPr>
          <w:t>https://www.vahhf.org.au/</w:t>
        </w:r>
      </w:hyperlink>
      <w:r w:rsidRPr="00A67D49">
        <w:rPr>
          <w:rStyle w:val="Hyperlink"/>
          <w:color w:val="auto"/>
          <w:u w:val="none"/>
        </w:rPr>
        <w:t xml:space="preserve">. The framework is a </w:t>
      </w:r>
      <w:r w:rsidRPr="00A67D49">
        <w:t>guiding document for delivering H2H to Aboriginal people.</w:t>
      </w:r>
    </w:p>
    <w:p w14:paraId="2155C0A3" w14:textId="77777777" w:rsidR="00713CF0" w:rsidRPr="00511147" w:rsidRDefault="00713CF0" w:rsidP="00A67D49">
      <w:pPr>
        <w:pStyle w:val="Heading2"/>
      </w:pPr>
      <w:bookmarkStart w:id="271" w:name="_Toc88218904"/>
      <w:bookmarkStart w:id="272" w:name="_Toc121134166"/>
      <w:r w:rsidRPr="00511147">
        <w:t>Risk mitigations</w:t>
      </w:r>
      <w:bookmarkEnd w:id="271"/>
      <w:bookmarkEnd w:id="272"/>
    </w:p>
    <w:p w14:paraId="71CBFE5C" w14:textId="77777777" w:rsidR="00713CF0" w:rsidRDefault="00713CF0" w:rsidP="00A67D49">
      <w:pPr>
        <w:pStyle w:val="Body"/>
      </w:pPr>
      <w:r>
        <w:t xml:space="preserve">There are potential Relationship and Financial risks involved. Early conversations with the H2H team and </w:t>
      </w:r>
      <w:r w:rsidRPr="6EB2BFD3">
        <w:t>C</w:t>
      </w:r>
      <w:r>
        <w:t xml:space="preserve">ommunity </w:t>
      </w:r>
      <w:r w:rsidRPr="6EB2BFD3">
        <w:t>H</w:t>
      </w:r>
      <w:r>
        <w:t xml:space="preserve">ousing </w:t>
      </w:r>
      <w:r w:rsidRPr="6EB2BFD3">
        <w:t>P</w:t>
      </w:r>
      <w:r>
        <w:t>rovider'</w:t>
      </w:r>
      <w:r w:rsidRPr="6EB2BFD3">
        <w:t>s</w:t>
      </w:r>
      <w:r>
        <w:t xml:space="preserve"> will assist in understanding the capability of the </w:t>
      </w:r>
      <w:r w:rsidRPr="6EB2BFD3">
        <w:t>C</w:t>
      </w:r>
      <w:r>
        <w:t xml:space="preserve">ommunity </w:t>
      </w:r>
      <w:r w:rsidRPr="6EB2BFD3">
        <w:t>H</w:t>
      </w:r>
      <w:r>
        <w:t xml:space="preserve">ousing </w:t>
      </w:r>
      <w:r w:rsidRPr="6EB2BFD3">
        <w:t>P</w:t>
      </w:r>
      <w:r>
        <w:t>rovider'</w:t>
      </w:r>
      <w:r w:rsidRPr="6EB2BFD3">
        <w:t>s</w:t>
      </w:r>
      <w:r>
        <w:t xml:space="preserve"> to respond and mitigate the risk of the negotiations dragging on if parameters can be agreed well before any transfers are required. </w:t>
      </w:r>
    </w:p>
    <w:p w14:paraId="61C571B2" w14:textId="77777777" w:rsidR="00713CF0" w:rsidRPr="00897332" w:rsidRDefault="00713CF0" w:rsidP="00A67D49">
      <w:pPr>
        <w:pStyle w:val="Heading3"/>
      </w:pPr>
      <w:r w:rsidRPr="00897332">
        <w:t>Financial</w:t>
      </w:r>
    </w:p>
    <w:p w14:paraId="6EA7B717" w14:textId="77777777" w:rsidR="00713CF0" w:rsidRDefault="00713CF0" w:rsidP="00A67D49">
      <w:pPr>
        <w:pStyle w:val="Body"/>
      </w:pPr>
      <w:r>
        <w:t xml:space="preserve">Some of the proposed suggestions will require additional funding and or staff to support the required transition and maximise the capacity to achieve stable individuals/ households. </w:t>
      </w:r>
    </w:p>
    <w:p w14:paraId="3327F01B" w14:textId="77777777" w:rsidR="00713CF0" w:rsidRPr="00511147" w:rsidRDefault="00713CF0" w:rsidP="00A67D49">
      <w:pPr>
        <w:pStyle w:val="Heading2"/>
      </w:pPr>
      <w:bookmarkStart w:id="273" w:name="_Toc88218905"/>
      <w:bookmarkStart w:id="274" w:name="_Toc121134167"/>
      <w:r w:rsidRPr="00511147">
        <w:t>Agreed policy position</w:t>
      </w:r>
      <w:bookmarkEnd w:id="273"/>
      <w:bookmarkEnd w:id="274"/>
      <w:r w:rsidRPr="00511147">
        <w:t xml:space="preserve"> </w:t>
      </w:r>
    </w:p>
    <w:p w14:paraId="1E33144D" w14:textId="77777777" w:rsidR="00713CF0" w:rsidRDefault="00713CF0" w:rsidP="00A67D49">
      <w:pPr>
        <w:pStyle w:val="Body"/>
      </w:pPr>
      <w:r>
        <w:t xml:space="preserve">H2H </w:t>
      </w:r>
      <w:r w:rsidRPr="7EDFE340">
        <w:t>C</w:t>
      </w:r>
      <w:r>
        <w:t xml:space="preserve">lients should, where possible, remain in their homes, ensuring stability and continuity. However, where this is deemed not to be possible or suitable, based on the individual circumstances of the Client, they should transition to community housing, public housing or private rental. Further policy guidance on exits from leased properties will follow separately.  </w:t>
      </w:r>
    </w:p>
    <w:p w14:paraId="289E954E" w14:textId="77777777" w:rsidR="00713CF0" w:rsidRDefault="00713CF0" w:rsidP="00A67D49">
      <w:pPr>
        <w:pStyle w:val="Body"/>
      </w:pPr>
      <w:r w:rsidRPr="08835A12">
        <w:t>All clients t</w:t>
      </w:r>
      <w:r>
        <w:t>ransitioning</w:t>
      </w:r>
      <w:r w:rsidRPr="08835A12">
        <w:t xml:space="preserve"> from </w:t>
      </w:r>
      <w:r>
        <w:t xml:space="preserve">fixed-term </w:t>
      </w:r>
      <w:r w:rsidRPr="08835A12">
        <w:t xml:space="preserve">leases must be processed through the VHR to their long-term accommodation outcome (except those transitioning into private rental). </w:t>
      </w:r>
    </w:p>
    <w:p w14:paraId="66D2A82D" w14:textId="77777777" w:rsidR="00713CF0" w:rsidRDefault="00713CF0" w:rsidP="00A67D49">
      <w:pPr>
        <w:pStyle w:val="Body"/>
      </w:pPr>
      <w:r>
        <w:t xml:space="preserve">A collective approach must be used by </w:t>
      </w:r>
      <w:r w:rsidRPr="7EDFE340">
        <w:t>Community P</w:t>
      </w:r>
      <w:r>
        <w:t>artners to house H2H clients and is outlined in this paper.</w:t>
      </w:r>
    </w:p>
    <w:p w14:paraId="334972BE" w14:textId="77777777" w:rsidR="00A67D49" w:rsidRDefault="00A67D49">
      <w:pPr>
        <w:spacing w:after="0" w:line="240" w:lineRule="auto"/>
        <w:rPr>
          <w:rFonts w:ascii="Arial" w:eastAsia="Times" w:hAnsi="Arial" w:cs="Arial"/>
          <w:b/>
          <w:bCs/>
          <w:sz w:val="28"/>
          <w:szCs w:val="28"/>
        </w:rPr>
      </w:pPr>
      <w:r>
        <w:rPr>
          <w:rFonts w:cs="Arial"/>
          <w:b/>
          <w:bCs/>
          <w:sz w:val="28"/>
          <w:szCs w:val="28"/>
        </w:rPr>
        <w:br w:type="page"/>
      </w:r>
    </w:p>
    <w:p w14:paraId="3A8AB431" w14:textId="01123A0B" w:rsidR="00713CF0" w:rsidRPr="00511147" w:rsidRDefault="00713CF0" w:rsidP="00A67D49">
      <w:pPr>
        <w:pStyle w:val="Heading1"/>
      </w:pPr>
      <w:bookmarkStart w:id="275" w:name="_Toc121134168"/>
      <w:r w:rsidRPr="00511147">
        <w:lastRenderedPageBreak/>
        <w:t>References</w:t>
      </w:r>
      <w:bookmarkEnd w:id="275"/>
    </w:p>
    <w:p w14:paraId="762FA094" w14:textId="77777777" w:rsidR="00713CF0" w:rsidRPr="006F2810" w:rsidRDefault="00713CF0" w:rsidP="00A67D49">
      <w:pPr>
        <w:pStyle w:val="Body"/>
        <w:rPr>
          <w:i/>
          <w:iCs/>
        </w:rPr>
      </w:pPr>
      <w:r w:rsidRPr="006F2810">
        <w:rPr>
          <w:i/>
          <w:iCs/>
        </w:rPr>
        <w:t>Residential Tenancies Act 1997</w:t>
      </w:r>
    </w:p>
    <w:p w14:paraId="1C30335F" w14:textId="77777777" w:rsidR="00713CF0" w:rsidRPr="006F2810" w:rsidRDefault="00713CF0" w:rsidP="00A67D49">
      <w:pPr>
        <w:pStyle w:val="Body"/>
        <w:rPr>
          <w:i/>
          <w:iCs/>
        </w:rPr>
      </w:pPr>
      <w:r w:rsidRPr="006F2810">
        <w:rPr>
          <w:i/>
          <w:iCs/>
        </w:rPr>
        <w:t>Residential Tenancies Amendment Act 2018</w:t>
      </w:r>
    </w:p>
    <w:p w14:paraId="002F82AE" w14:textId="77777777" w:rsidR="00713CF0" w:rsidRPr="006F2810" w:rsidRDefault="00713CF0" w:rsidP="00A67D49">
      <w:pPr>
        <w:pStyle w:val="Body"/>
        <w:rPr>
          <w:i/>
          <w:iCs/>
        </w:rPr>
      </w:pPr>
      <w:r w:rsidRPr="006F2810">
        <w:rPr>
          <w:i/>
          <w:iCs/>
        </w:rPr>
        <w:t>Residential Tenancies Regulations 2021</w:t>
      </w:r>
    </w:p>
    <w:p w14:paraId="39B50568" w14:textId="77777777" w:rsidR="00713CF0" w:rsidRPr="006F2810" w:rsidRDefault="00713CF0" w:rsidP="00A67D49">
      <w:pPr>
        <w:pStyle w:val="Body"/>
        <w:rPr>
          <w:i/>
          <w:iCs/>
        </w:rPr>
      </w:pPr>
      <w:r w:rsidRPr="006F2810">
        <w:rPr>
          <w:i/>
          <w:iCs/>
        </w:rPr>
        <w:t>Victorian Model Litigant guidelines 2011</w:t>
      </w:r>
    </w:p>
    <w:p w14:paraId="709D4976" w14:textId="77777777" w:rsidR="00713CF0" w:rsidRPr="006F2810" w:rsidRDefault="00713CF0" w:rsidP="00A67D49">
      <w:pPr>
        <w:pStyle w:val="Body"/>
        <w:rPr>
          <w:i/>
          <w:iCs/>
        </w:rPr>
      </w:pPr>
      <w:r w:rsidRPr="006F2810">
        <w:rPr>
          <w:i/>
          <w:iCs/>
        </w:rPr>
        <w:t>Charter of Human Rights and Responsibilities 2006</w:t>
      </w:r>
    </w:p>
    <w:p w14:paraId="5D18248F" w14:textId="28879F4B" w:rsidR="00713CF0" w:rsidRPr="006F2810" w:rsidRDefault="00713CF0" w:rsidP="00A67D49">
      <w:pPr>
        <w:pStyle w:val="Body"/>
        <w:rPr>
          <w:i/>
          <w:iCs/>
        </w:rPr>
      </w:pPr>
      <w:r w:rsidRPr="006F2810">
        <w:rPr>
          <w:i/>
          <w:iCs/>
        </w:rPr>
        <w:t>Equal Opportunity Act 2010</w:t>
      </w:r>
    </w:p>
    <w:p w14:paraId="75F6CD58" w14:textId="77777777" w:rsidR="003421CB" w:rsidRDefault="003421CB" w:rsidP="00A67D49">
      <w:pPr>
        <w:pStyle w:val="Body"/>
      </w:pPr>
    </w:p>
    <w:p w14:paraId="7AD46A0E" w14:textId="4AC47E80" w:rsidR="00AE0DE3" w:rsidRPr="00CF5F35" w:rsidRDefault="00AE0DE3" w:rsidP="00AE0DE3">
      <w:pPr>
        <w:pStyle w:val="Heading1"/>
      </w:pPr>
      <w:r>
        <w:t>Version information</w:t>
      </w:r>
    </w:p>
    <w:p w14:paraId="7CAFE2FE" w14:textId="5097E7ED" w:rsidR="00AE0DE3" w:rsidRDefault="00AE0DE3" w:rsidP="003421CB">
      <w:pPr>
        <w:pStyle w:val="Body"/>
        <w:pBdr>
          <w:top w:val="single" w:sz="4" w:space="1" w:color="auto"/>
          <w:left w:val="single" w:sz="4" w:space="4" w:color="auto"/>
          <w:bottom w:val="single" w:sz="4" w:space="1" w:color="auto"/>
          <w:right w:val="single" w:sz="4" w:space="4" w:color="auto"/>
        </w:pBdr>
      </w:pPr>
      <w:r>
        <w:t>Version: 3.3</w:t>
      </w:r>
    </w:p>
    <w:p w14:paraId="023F62FC" w14:textId="6F35C412" w:rsidR="00713CF0" w:rsidRPr="00B47888" w:rsidRDefault="00713CF0" w:rsidP="003421CB">
      <w:pPr>
        <w:pStyle w:val="Body"/>
        <w:pBdr>
          <w:top w:val="single" w:sz="4" w:space="1" w:color="auto"/>
          <w:left w:val="single" w:sz="4" w:space="4" w:color="auto"/>
          <w:bottom w:val="single" w:sz="4" w:space="1" w:color="auto"/>
          <w:right w:val="single" w:sz="4" w:space="4" w:color="auto"/>
        </w:pBdr>
      </w:pPr>
      <w:r w:rsidRPr="00B47888">
        <w:t xml:space="preserve">Authored: </w:t>
      </w:r>
      <w:r w:rsidR="006F2810">
        <w:t>Integrated Housing Responses</w:t>
      </w:r>
      <w:r w:rsidRPr="00B47888">
        <w:t xml:space="preserve">, </w:t>
      </w:r>
      <w:r w:rsidR="0045066B">
        <w:t>Homelessness and Housing Support</w:t>
      </w:r>
      <w:r w:rsidRPr="00B47888">
        <w:t>, Homes</w:t>
      </w:r>
      <w:r w:rsidR="004309AD">
        <w:t xml:space="preserve"> </w:t>
      </w:r>
      <w:r w:rsidRPr="00B47888">
        <w:t>Vic</w:t>
      </w:r>
      <w:r w:rsidR="004309AD">
        <w:t>toria</w:t>
      </w:r>
    </w:p>
    <w:p w14:paraId="54C519A3" w14:textId="677B530A" w:rsidR="00713CF0" w:rsidRPr="00B47888" w:rsidRDefault="00713CF0" w:rsidP="003421CB">
      <w:pPr>
        <w:pStyle w:val="Body"/>
        <w:pBdr>
          <w:top w:val="single" w:sz="4" w:space="1" w:color="auto"/>
          <w:left w:val="single" w:sz="4" w:space="4" w:color="auto"/>
          <w:bottom w:val="single" w:sz="4" w:space="1" w:color="auto"/>
          <w:right w:val="single" w:sz="4" w:space="4" w:color="auto"/>
        </w:pBdr>
      </w:pPr>
      <w:r w:rsidRPr="00B47888">
        <w:t xml:space="preserve">Endorsed: Director, </w:t>
      </w:r>
      <w:r w:rsidR="0045066B">
        <w:t>Integrated Housing Responses</w:t>
      </w:r>
      <w:r w:rsidRPr="00B47888">
        <w:t>, Homes</w:t>
      </w:r>
      <w:r w:rsidR="004309AD">
        <w:t xml:space="preserve"> </w:t>
      </w:r>
      <w:r w:rsidRPr="00B47888">
        <w:t>Vic</w:t>
      </w:r>
      <w:r w:rsidR="004309AD">
        <w:t>toria</w:t>
      </w:r>
    </w:p>
    <w:p w14:paraId="287575FC" w14:textId="46C601AD" w:rsidR="00713CF0" w:rsidRPr="00B47888" w:rsidRDefault="00713CF0" w:rsidP="003421CB">
      <w:pPr>
        <w:pStyle w:val="Body"/>
        <w:pBdr>
          <w:top w:val="single" w:sz="4" w:space="1" w:color="auto"/>
          <w:left w:val="single" w:sz="4" w:space="4" w:color="auto"/>
          <w:bottom w:val="single" w:sz="4" w:space="1" w:color="auto"/>
          <w:right w:val="single" w:sz="4" w:space="4" w:color="auto"/>
        </w:pBdr>
      </w:pPr>
      <w:r w:rsidRPr="00B47888">
        <w:t xml:space="preserve">Date of writing: </w:t>
      </w:r>
      <w:r w:rsidR="00AE0DE3">
        <w:t>December 2022</w:t>
      </w:r>
    </w:p>
    <w:p w14:paraId="3D3C0104" w14:textId="56C3DD25" w:rsidR="00713CF0" w:rsidRPr="00B47888" w:rsidRDefault="00713CF0" w:rsidP="003421CB">
      <w:pPr>
        <w:pStyle w:val="Body"/>
        <w:pBdr>
          <w:top w:val="single" w:sz="4" w:space="1" w:color="auto"/>
          <w:left w:val="single" w:sz="4" w:space="4" w:color="auto"/>
          <w:bottom w:val="single" w:sz="4" w:space="1" w:color="auto"/>
          <w:right w:val="single" w:sz="4" w:space="4" w:color="auto"/>
        </w:pBdr>
      </w:pPr>
      <w:r w:rsidRPr="00B47888">
        <w:t>Date of approval:</w:t>
      </w:r>
      <w:r w:rsidR="00AE0DE3">
        <w:t xml:space="preserve"> December 202</w:t>
      </w:r>
      <w:r w:rsidR="00F2020E">
        <w:t>2</w:t>
      </w:r>
    </w:p>
    <w:p w14:paraId="09C42E6A" w14:textId="77777777" w:rsidR="00713CF0" w:rsidRDefault="00713CF0" w:rsidP="00713CF0">
      <w:pPr>
        <w:pStyle w:val="DHHSbody"/>
        <w:spacing w:line="276" w:lineRule="auto"/>
        <w:rPr>
          <w:rFonts w:cs="Arial"/>
        </w:rPr>
      </w:pPr>
    </w:p>
    <w:tbl>
      <w:tblPr>
        <w:tblStyle w:val="TableGrid"/>
        <w:tblW w:w="0" w:type="auto"/>
        <w:tblCellMar>
          <w:bottom w:w="108" w:type="dxa"/>
        </w:tblCellMar>
        <w:tblLook w:val="0600" w:firstRow="0" w:lastRow="0" w:firstColumn="0" w:lastColumn="0" w:noHBand="1" w:noVBand="1"/>
      </w:tblPr>
      <w:tblGrid>
        <w:gridCol w:w="9288"/>
      </w:tblGrid>
      <w:tr w:rsidR="00B6286A" w14:paraId="38CD96F0" w14:textId="77777777" w:rsidTr="00F2020E">
        <w:tc>
          <w:tcPr>
            <w:tcW w:w="10194" w:type="dxa"/>
          </w:tcPr>
          <w:p w14:paraId="6EE8B310" w14:textId="77777777" w:rsidR="00B6286A" w:rsidRDefault="00B6286A" w:rsidP="00F2020E">
            <w:pPr>
              <w:pStyle w:val="Accessibilitypara"/>
            </w:pPr>
            <w:bookmarkStart w:id="276" w:name="_Hlk37240926"/>
            <w:r w:rsidRPr="00F22C88">
              <w:t xml:space="preserve">If you would like to receive this publication in an accessible or interpreted format, phone 1300 650 172, using the National Relay Service 13 36 77 if required, or </w:t>
            </w:r>
            <w:hyperlink r:id="rId68" w:history="1">
              <w:r w:rsidRPr="0072060F">
                <w:rPr>
                  <w:rStyle w:val="Hyperlink"/>
                </w:rPr>
                <w:t>email Homes Victoria</w:t>
              </w:r>
            </w:hyperlink>
            <w:r>
              <w:t xml:space="preserve"> &lt;</w:t>
            </w:r>
            <w:r w:rsidRPr="00F22C88">
              <w:t>enquiries@homes.vic.gov.au</w:t>
            </w:r>
            <w:r>
              <w:t>&gt;.</w:t>
            </w:r>
          </w:p>
          <w:p w14:paraId="702A4D9E" w14:textId="77777777" w:rsidR="00B6286A" w:rsidRPr="0055119B" w:rsidRDefault="00B6286A" w:rsidP="00F2020E">
            <w:pPr>
              <w:pStyle w:val="Imprint"/>
            </w:pPr>
            <w:r w:rsidRPr="0055119B">
              <w:t>Authorised and published by the Victorian Government, 1 Treasury Place, Melbourne.</w:t>
            </w:r>
          </w:p>
          <w:p w14:paraId="21F09A51" w14:textId="744F1DEC" w:rsidR="00B6286A" w:rsidRPr="0072060F" w:rsidRDefault="00B6286A" w:rsidP="00F2020E">
            <w:pPr>
              <w:pStyle w:val="Imprint"/>
              <w:rPr>
                <w:color w:val="8761A9"/>
              </w:rPr>
            </w:pPr>
            <w:r w:rsidRPr="0055119B">
              <w:t xml:space="preserve">© State of Victoria, Australia, </w:t>
            </w:r>
            <w:r>
              <w:t>Homes Victoria</w:t>
            </w:r>
            <w:r w:rsidRPr="00B6286A">
              <w:t>, December 2022.</w:t>
            </w:r>
          </w:p>
          <w:p w14:paraId="265CC8E7" w14:textId="77777777" w:rsidR="00B6286A" w:rsidRPr="00746D5D" w:rsidRDefault="00B6286A" w:rsidP="00F2020E">
            <w:pPr>
              <w:pStyle w:val="Imprint"/>
            </w:pPr>
            <w:bookmarkStart w:id="277" w:name="_Hlk62746129"/>
            <w:r w:rsidRPr="00746D5D">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50941797" w14:textId="77777777" w:rsidR="00B6286A" w:rsidRPr="00746D5D" w:rsidRDefault="00B6286A" w:rsidP="00F2020E">
            <w:pPr>
              <w:pStyle w:val="Imprint"/>
            </w:pPr>
            <w:r w:rsidRPr="00746D5D">
              <w:t>In this document, ‘Aboriginal’ refers to both Aboriginal and Torres Strait Islander people. ‘Indigenous’ or ‘Koori/</w:t>
            </w:r>
            <w:proofErr w:type="spellStart"/>
            <w:r w:rsidRPr="00746D5D">
              <w:t>Koorie</w:t>
            </w:r>
            <w:proofErr w:type="spellEnd"/>
            <w:r w:rsidRPr="00746D5D">
              <w:t>’ is retained when part of the title of a report, program or quotation.</w:t>
            </w:r>
          </w:p>
          <w:p w14:paraId="7F494449" w14:textId="041AFB13" w:rsidR="00B6286A" w:rsidRDefault="00B6286A" w:rsidP="00F2020E">
            <w:pPr>
              <w:pStyle w:val="Imprint"/>
            </w:pPr>
            <w:r w:rsidRPr="0055119B">
              <w:t xml:space="preserve">Available at </w:t>
            </w:r>
            <w:r w:rsidRPr="00C85210">
              <w:t>&lt;</w:t>
            </w:r>
            <w:r w:rsidR="009929E8" w:rsidRPr="00C85210">
              <w:t>https://providers.dffh.vic.gov.au/homelessness-home-h2h-program-guidelines</w:t>
            </w:r>
            <w:r w:rsidRPr="00C85210">
              <w:t>&gt;</w:t>
            </w:r>
            <w:bookmarkEnd w:id="277"/>
          </w:p>
        </w:tc>
      </w:tr>
      <w:bookmarkEnd w:id="276"/>
    </w:tbl>
    <w:p w14:paraId="64F08AD6" w14:textId="7062C321" w:rsidR="00E47345" w:rsidRDefault="00E47345" w:rsidP="00E47345">
      <w:pPr>
        <w:pStyle w:val="Body"/>
        <w:rPr>
          <w:rFonts w:eastAsia="MS Gothic" w:cs="Arial"/>
          <w:bCs/>
          <w:color w:val="032833" w:themeColor="text1"/>
          <w:kern w:val="32"/>
          <w:sz w:val="44"/>
          <w:szCs w:val="44"/>
        </w:rPr>
      </w:pPr>
    </w:p>
    <w:p w14:paraId="754902B9" w14:textId="5B9C7386" w:rsidR="00E47345" w:rsidRDefault="00E47345">
      <w:pPr>
        <w:spacing w:after="0" w:line="240" w:lineRule="auto"/>
        <w:rPr>
          <w:rFonts w:eastAsia="MS Gothic" w:cs="Arial"/>
          <w:bCs/>
          <w:color w:val="032833" w:themeColor="text1"/>
          <w:kern w:val="32"/>
          <w:sz w:val="44"/>
          <w:szCs w:val="44"/>
        </w:rPr>
      </w:pPr>
    </w:p>
    <w:sectPr w:rsidR="00E47345" w:rsidSect="00916BF3">
      <w:headerReference w:type="even" r:id="rId69"/>
      <w:headerReference w:type="default" r:id="rId70"/>
      <w:footerReference w:type="even" r:id="rId71"/>
      <w:footerReference w:type="default" r:id="rId72"/>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491D8" w14:textId="77777777" w:rsidR="008F03A8" w:rsidRDefault="008F03A8">
      <w:r>
        <w:separator/>
      </w:r>
    </w:p>
    <w:p w14:paraId="3C4BEFF3" w14:textId="77777777" w:rsidR="008F03A8" w:rsidRDefault="008F03A8"/>
  </w:endnote>
  <w:endnote w:type="continuationSeparator" w:id="0">
    <w:p w14:paraId="01B6A761" w14:textId="77777777" w:rsidR="008F03A8" w:rsidRDefault="008F03A8">
      <w:r>
        <w:continuationSeparator/>
      </w:r>
    </w:p>
    <w:p w14:paraId="573FEAEF" w14:textId="77777777" w:rsidR="008F03A8" w:rsidRDefault="008F03A8"/>
  </w:endnote>
  <w:endnote w:type="continuationNotice" w:id="1">
    <w:p w14:paraId="7F7076DB" w14:textId="77777777" w:rsidR="008F03A8" w:rsidRDefault="008F03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ova Light">
    <w:panose1 w:val="020B03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B945" w14:textId="77777777" w:rsidR="00EB4BC7" w:rsidRDefault="00EB4BC7">
    <w:pPr>
      <w:pStyle w:val="Footer"/>
    </w:pPr>
    <w:r>
      <w:rPr>
        <w:noProof/>
      </w:rPr>
      <mc:AlternateContent>
        <mc:Choice Requires="wps">
          <w:drawing>
            <wp:anchor distT="0" distB="0" distL="114300" distR="114300" simplePos="0" relativeHeight="251658241" behindDoc="0" locked="0" layoutInCell="0" allowOverlap="1" wp14:anchorId="5D2EEE7B" wp14:editId="6C7FBA79">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E47420"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20EA8AEE">
            <v:shapetype id="_x0000_t202" coordsize="21600,21600" o:spt="202" path="m,l,21600r21600,l21600,xe" w14:anchorId="5D2EEE7B">
              <v:stroke joinstyle="miter"/>
              <v:path gradientshapeok="t" o:connecttype="rect"/>
            </v:shapetype>
            <v:shape id="MSIPCM9dd54572b391b968e538fedc"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OddAndEven&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v:textbox inset=",0,,0">
                <w:txbxContent>
                  <w:p w:rsidRPr="00EB4BC7" w:rsidR="00EB4BC7" w:rsidP="00EB4BC7" w:rsidRDefault="00EB4BC7" w14:paraId="171AAEBA" w14:textId="7777777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6398522"/>
      <w:docPartObj>
        <w:docPartGallery w:val="Page Numbers (Bottom of Page)"/>
        <w:docPartUnique/>
      </w:docPartObj>
    </w:sdtPr>
    <w:sdtEndPr>
      <w:rPr>
        <w:noProof/>
      </w:rPr>
    </w:sdtEndPr>
    <w:sdtContent>
      <w:p w14:paraId="082BE449" w14:textId="6326FEE9" w:rsidR="006130F1" w:rsidRDefault="006130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0A4C20" w14:textId="2F7720A3" w:rsidR="00431A70" w:rsidRDefault="00431A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A26C" w14:textId="77777777" w:rsidR="00EB4BC7" w:rsidRDefault="00EB4BC7">
    <w:pPr>
      <w:pStyle w:val="Footer"/>
    </w:pPr>
    <w:r>
      <w:rPr>
        <w:noProof/>
      </w:rPr>
      <mc:AlternateContent>
        <mc:Choice Requires="wps">
          <w:drawing>
            <wp:anchor distT="0" distB="0" distL="114300" distR="114300" simplePos="0" relativeHeight="251658240" behindDoc="0" locked="0" layoutInCell="0" allowOverlap="1" wp14:anchorId="5FDDB957" wp14:editId="581C360A">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6EA1F1"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6B9B1B8F">
            <v:shapetype id="_x0000_t202" coordsize="21600,21600" o:spt="202" path="m,l,21600r21600,l21600,xe" w14:anchorId="5FDDB957">
              <v:stroke joinstyle="miter"/>
              <v:path gradientshapeok="t" o:connecttype="rect"/>
            </v:shapetype>
            <v:shape id="MSIPCMf6504bf684e4519137a7274a"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EB4BC7" w:rsidR="00EB4BC7" w:rsidP="00EB4BC7" w:rsidRDefault="00EB4BC7" w14:paraId="09E77742" w14:textId="7777777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011AD" w14:textId="77777777" w:rsidR="00713CF0" w:rsidRPr="00A11421" w:rsidRDefault="00713CF0" w:rsidP="0051568D">
    <w:pPr>
      <w:pStyle w:val="DHHSfooter"/>
    </w:pPr>
    <w:r>
      <w:rPr>
        <w:i/>
        <w:iCs/>
        <w:noProof/>
        <w:color w:val="000000"/>
      </w:rPr>
      <mc:AlternateContent>
        <mc:Choice Requires="wps">
          <w:drawing>
            <wp:anchor distT="0" distB="0" distL="114300" distR="114300" simplePos="0" relativeHeight="251658244" behindDoc="0" locked="0" layoutInCell="0" allowOverlap="1" wp14:anchorId="0FA32B34" wp14:editId="01BD3486">
              <wp:simplePos x="0" y="0"/>
              <wp:positionH relativeFrom="page">
                <wp:posOffset>0</wp:posOffset>
              </wp:positionH>
              <wp:positionV relativeFrom="page">
                <wp:posOffset>10189845</wp:posOffset>
              </wp:positionV>
              <wp:extent cx="7560310" cy="311785"/>
              <wp:effectExtent l="0" t="0" r="0" b="12065"/>
              <wp:wrapNone/>
              <wp:docPr id="24" name="MSIPCM959d42e58a12057b24c2fe4e" descr="{&quot;HashCode&quot;:904758361,&quot;Height&quot;:841.0,&quot;Width&quot;:595.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5706DA" w14:textId="77777777" w:rsidR="00713CF0" w:rsidRPr="004843B6" w:rsidRDefault="00713CF0" w:rsidP="007516E6">
                          <w:pPr>
                            <w:spacing w:after="0"/>
                            <w:jc w:val="center"/>
                            <w:rPr>
                              <w:rFonts w:ascii="Arial Black" w:hAnsi="Arial Black"/>
                              <w:color w:val="000000"/>
                            </w:rPr>
                          </w:pPr>
                          <w:r w:rsidRPr="004843B6">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75169DDE">
            <v:shapetype id="_x0000_t202" coordsize="21600,21600" o:spt="202" path="m,l,21600r21600,l21600,xe" w14:anchorId="0FA32B34">
              <v:stroke joinstyle="miter"/>
              <v:path gradientshapeok="t" o:connecttype="rect"/>
            </v:shapetype>
            <v:shape id="MSIPCM959d42e58a12057b24c2fe4e" style="position:absolute;margin-left:0;margin-top:802.3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5,&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v:textbox inset=",0,,0">
                <w:txbxContent>
                  <w:p w:rsidRPr="004843B6" w:rsidR="00713CF0" w:rsidP="007516E6" w:rsidRDefault="00713CF0" w14:paraId="08CE8BEA" w14:textId="77777777">
                    <w:pPr>
                      <w:spacing w:after="0"/>
                      <w:jc w:val="center"/>
                      <w:rPr>
                        <w:rFonts w:ascii="Arial Black" w:hAnsi="Arial Black"/>
                        <w:color w:val="000000"/>
                      </w:rPr>
                    </w:pPr>
                    <w:r w:rsidRPr="004843B6">
                      <w:rPr>
                        <w:rFonts w:ascii="Arial Black" w:hAnsi="Arial Black"/>
                        <w:color w:val="000000"/>
                      </w:rPr>
                      <w:t>OFFICIAL</w:t>
                    </w:r>
                  </w:p>
                </w:txbxContent>
              </v:textbox>
              <w10:wrap anchorx="page" anchory="page"/>
            </v:shape>
          </w:pict>
        </mc:Fallback>
      </mc:AlternateContent>
    </w:r>
    <w:r w:rsidRPr="008060C4">
      <w:rPr>
        <w:i/>
        <w:iCs/>
        <w:color w:val="000000"/>
        <w:shd w:val="clear" w:color="auto" w:fill="FFFFFF"/>
      </w:rPr>
      <w:t>From Homelessness to a Home</w:t>
    </w:r>
    <w:r w:rsidRPr="008060C4">
      <w:rPr>
        <w:color w:val="000000"/>
        <w:shd w:val="clear" w:color="auto" w:fill="FFFFFF"/>
      </w:rPr>
      <w:t xml:space="preserve"> -</w:t>
    </w:r>
    <w:r w:rsidRPr="0045660E">
      <w:t xml:space="preserve"> Program Guidelines (As </w:t>
    </w:r>
    <w:r>
      <w:t>of</w:t>
    </w:r>
    <w:r w:rsidRPr="0045660E">
      <w:t xml:space="preserve"> </w:t>
    </w:r>
    <w:r>
      <w:t>September</w:t>
    </w:r>
    <w:r w:rsidRPr="0045660E">
      <w:t xml:space="preserve"> 202</w:t>
    </w:r>
    <w:r>
      <w:t>2</w:t>
    </w:r>
    <w:r w:rsidRPr="0045660E">
      <w:t>)</w:t>
    </w:r>
    <w:r w:rsidRPr="00A11421">
      <w:tab/>
    </w:r>
    <w:r w:rsidRPr="00A11421">
      <w:fldChar w:fldCharType="begin"/>
    </w:r>
    <w:r w:rsidRPr="00A11421">
      <w:instrText xml:space="preserve"> PAGE </w:instrText>
    </w:r>
    <w:r w:rsidRPr="00A11421">
      <w:fldChar w:fldCharType="separate"/>
    </w:r>
    <w:r>
      <w:rPr>
        <w:noProof/>
      </w:rPr>
      <w:t>2</w:t>
    </w:r>
    <w:r w:rsidRPr="00A11421">
      <w:fldChar w:fldCharType="end"/>
    </w:r>
  </w:p>
  <w:p w14:paraId="710305F7" w14:textId="77777777" w:rsidR="00713CF0" w:rsidRDefault="00713CF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76FE" w14:textId="77777777" w:rsidR="00D63636" w:rsidRDefault="002C5B7C">
    <w:pPr>
      <w:pStyle w:val="Footer"/>
    </w:pPr>
    <w:r>
      <w:rPr>
        <w:noProof/>
        <w:lang w:eastAsia="en-AU"/>
      </w:rPr>
      <mc:AlternateContent>
        <mc:Choice Requires="wps">
          <w:drawing>
            <wp:anchor distT="0" distB="0" distL="114300" distR="114300" simplePos="0" relativeHeight="251658243" behindDoc="0" locked="0" layoutInCell="0" allowOverlap="1" wp14:anchorId="4D520C00" wp14:editId="5FA34B31">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F02D08"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53BDAD3A">
            <v:shapetype id="_x0000_t202" coordsize="21600,21600" o:spt="202" path="m,l,21600r21600,l21600,xe" w14:anchorId="4D520C00">
              <v:stroke joinstyle="miter"/>
              <v:path gradientshapeok="t" o:connecttype="rect"/>
            </v:shapetype>
            <v:shape id="MSIPCMd3f54469bd0204c6fb2f3fa8"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OddAndEven&quot;,&quot;Section&quot;:3,&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v:textbox inset=",0,,0">
                <w:txbxContent>
                  <w:p w:rsidRPr="002C5B7C" w:rsidR="002C5B7C" w:rsidP="002C5B7C" w:rsidRDefault="002C5B7C" w14:paraId="2CCFEE10" w14:textId="77777777">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CC7BF" w14:textId="7F69E4C0" w:rsidR="00431A70" w:rsidRDefault="00B037CC"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1C79A8B7" wp14:editId="6735B304">
              <wp:simplePos x="0" y="0"/>
              <wp:positionH relativeFrom="page">
                <wp:posOffset>0</wp:posOffset>
              </wp:positionH>
              <wp:positionV relativeFrom="page">
                <wp:posOffset>10189210</wp:posOffset>
              </wp:positionV>
              <wp:extent cx="7560310" cy="311785"/>
              <wp:effectExtent l="0" t="0" r="0" b="12065"/>
              <wp:wrapNone/>
              <wp:docPr id="22" name="MSIPCMe48646ed862bac57298f847b" descr="{&quot;HashCode&quot;:904758361,&quot;Height&quot;:841.0,&quot;Width&quot;:595.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A99550" w14:textId="47725296" w:rsidR="00B037CC" w:rsidRPr="00B037CC" w:rsidRDefault="00B037CC" w:rsidP="00B037CC">
                          <w:pPr>
                            <w:spacing w:after="0"/>
                            <w:jc w:val="center"/>
                            <w:rPr>
                              <w:rFonts w:ascii="Arial Black" w:hAnsi="Arial Black"/>
                              <w:color w:val="000000"/>
                              <w:sz w:val="20"/>
                            </w:rPr>
                          </w:pPr>
                          <w:r w:rsidRPr="00B037C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09F580E2">
            <v:shapetype id="_x0000_t202" coordsize="21600,21600" o:spt="202" path="m,l,21600r21600,l21600,xe" w14:anchorId="1C79A8B7">
              <v:stroke joinstyle="miter"/>
              <v:path gradientshapeok="t" o:connecttype="rect"/>
            </v:shapetype>
            <v:shape id="MSIPCMe48646ed862bac57298f847b"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4,&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v:textbox inset=",0,,0">
                <w:txbxContent>
                  <w:p w:rsidRPr="00B037CC" w:rsidR="00B037CC" w:rsidP="00B037CC" w:rsidRDefault="00B037CC" w14:paraId="75F360E3" w14:textId="47725296">
                    <w:pPr>
                      <w:spacing w:after="0"/>
                      <w:jc w:val="center"/>
                      <w:rPr>
                        <w:rFonts w:ascii="Arial Black" w:hAnsi="Arial Black"/>
                        <w:color w:val="000000"/>
                        <w:sz w:val="20"/>
                      </w:rPr>
                    </w:pPr>
                    <w:r w:rsidRPr="00B037CC">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2" behindDoc="0" locked="0" layoutInCell="0" allowOverlap="1" wp14:anchorId="56978A96" wp14:editId="0EAC8864">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77864A"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40F6C8A1">
            <v:shape id="MSIPCM82764d688816a9dc96a1b608"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3,&quot;Top&quot;:0.0,&quot;Left&quot;:0.0}" o:spid="_x0000_s1031"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w14:anchorId="56978A96">
              <v:textbox inset=",0,,0">
                <w:txbxContent>
                  <w:p w:rsidRPr="00EB4BC7" w:rsidR="00EB4BC7" w:rsidP="00EB4BC7" w:rsidRDefault="00EB4BC7" w14:paraId="17D1F485" w14:textId="7777777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61583" w14:textId="77777777" w:rsidR="008F03A8" w:rsidRDefault="008F03A8" w:rsidP="00207717">
      <w:pPr>
        <w:spacing w:before="120"/>
      </w:pPr>
      <w:r>
        <w:separator/>
      </w:r>
    </w:p>
  </w:footnote>
  <w:footnote w:type="continuationSeparator" w:id="0">
    <w:p w14:paraId="48A18C72" w14:textId="77777777" w:rsidR="008F03A8" w:rsidRDefault="008F03A8">
      <w:r>
        <w:continuationSeparator/>
      </w:r>
    </w:p>
    <w:p w14:paraId="7895BAD7" w14:textId="77777777" w:rsidR="008F03A8" w:rsidRDefault="008F03A8"/>
  </w:footnote>
  <w:footnote w:type="continuationNotice" w:id="1">
    <w:p w14:paraId="2EC289EE" w14:textId="77777777" w:rsidR="008F03A8" w:rsidRDefault="008F03A8">
      <w:pPr>
        <w:spacing w:after="0" w:line="240" w:lineRule="auto"/>
      </w:pPr>
    </w:p>
  </w:footnote>
  <w:footnote w:id="2">
    <w:p w14:paraId="3B8AE438" w14:textId="77777777" w:rsidR="00314E7F" w:rsidRDefault="00314E7F" w:rsidP="00314E7F">
      <w:pPr>
        <w:pStyle w:val="FootnoteText"/>
      </w:pPr>
      <w:r>
        <w:rPr>
          <w:rStyle w:val="FootnoteReference"/>
        </w:rPr>
        <w:footnoteRef/>
      </w:r>
      <w:r>
        <w:t xml:space="preserve"> </w:t>
      </w:r>
      <w:r w:rsidRPr="00336BEB">
        <w:t xml:space="preserve">HEARTs have played, and continue to play, a critical role in the coordination and delivery of support services to people in emergency accommodation. HEARTs will continue to operate and support the implementation of the </w:t>
      </w:r>
      <w:r w:rsidRPr="00336BEB">
        <w:rPr>
          <w:i/>
          <w:iCs/>
        </w:rPr>
        <w:t>From Homelessness to a Home</w:t>
      </w:r>
      <w:r w:rsidRPr="00336BEB">
        <w:t xml:space="preserve"> packages to support people to transition out of hotels. Ongoing support from the Homelessness and Accommodation Support Unit will be provided to support the HEARTs</w:t>
      </w:r>
      <w:r>
        <w:t xml:space="preserve">. Source: </w:t>
      </w:r>
      <w:r w:rsidRPr="00336BEB">
        <w:t>COVID-19 Amendment to Homelessness Services Guidelines Conditions of Funding</w:t>
      </w:r>
      <w:r>
        <w:t>, 1 December 2020.</w:t>
      </w:r>
    </w:p>
  </w:footnote>
  <w:footnote w:id="3">
    <w:p w14:paraId="0033EB40" w14:textId="77777777" w:rsidR="00314E7F" w:rsidRDefault="00314E7F" w:rsidP="00314E7F">
      <w:pPr>
        <w:pStyle w:val="FootnoteText"/>
      </w:pPr>
      <w:r w:rsidRPr="282326EA">
        <w:rPr>
          <w:rStyle w:val="FootnoteReference"/>
        </w:rPr>
        <w:footnoteRef/>
      </w:r>
      <w:r>
        <w:t xml:space="preserve"> A model which prescribes safe and permanent housing as the first priority for people experiencing homelessness. Source: Australian Institute for Health and Welfare. “</w:t>
      </w:r>
      <w:r w:rsidRPr="65125D09">
        <w:rPr>
          <w:i/>
          <w:iCs/>
        </w:rPr>
        <w:t>What is the Housing First model and how does it help those experiencing homelessness?</w:t>
      </w:r>
      <w:r>
        <w:t>”, AHURI Brief published on 25th May 2018, accessed on 9 January 2020 (https://www.ahuri.edu.au/policy/ahuri-briefs/what-is-the-housing-first-model)</w:t>
      </w:r>
    </w:p>
  </w:footnote>
  <w:footnote w:id="4">
    <w:p w14:paraId="695ABCF1" w14:textId="77777777" w:rsidR="006901E2" w:rsidRDefault="006901E2" w:rsidP="006901E2">
      <w:pPr>
        <w:pStyle w:val="FootnoteText"/>
      </w:pPr>
      <w:r w:rsidRPr="4B87ACF0">
        <w:rPr>
          <w:rStyle w:val="FootnoteReference"/>
        </w:rPr>
        <w:footnoteRef/>
      </w:r>
      <w:r>
        <w:t xml:space="preserve"> The </w:t>
      </w:r>
      <w:r>
        <w:rPr>
          <w:rFonts w:eastAsia="Times"/>
        </w:rPr>
        <w:t>H2H Community Partners</w:t>
      </w:r>
      <w:r>
        <w:t xml:space="preserve"> must acquit against activity-based targets for the delivery of Client support (activity 94842); housing and tenancy administration (activity 94843); and flexible funding (activity 94844), as established in their Service Agreement. These targets constitute the expected service delivery for the </w:t>
      </w:r>
      <w:r>
        <w:rPr>
          <w:rFonts w:eastAsia="Times"/>
        </w:rPr>
        <w:t>H2H Community Partners</w:t>
      </w:r>
      <w:r>
        <w:t>, stating the quantity of the output units to be delivered yearly.</w:t>
      </w:r>
    </w:p>
  </w:footnote>
  <w:footnote w:id="5">
    <w:p w14:paraId="590F6601" w14:textId="77777777" w:rsidR="006901E2" w:rsidRDefault="006901E2" w:rsidP="006901E2">
      <w:pPr>
        <w:pStyle w:val="FootnoteText"/>
      </w:pPr>
      <w:r w:rsidRPr="2D087094">
        <w:rPr>
          <w:rStyle w:val="FootnoteReference"/>
        </w:rPr>
        <w:footnoteRef/>
      </w:r>
      <w:r>
        <w:t xml:space="preserve"> Worker and client-feedback data will be collected to measure the impact of the programs on Clients (i) housing stability; (ii) improvement in mental and physical health; (iii) social inclusion; (iv) perception of safety; and (v) the ability of homelessness services to address their housing needs.</w:t>
      </w:r>
    </w:p>
  </w:footnote>
  <w:footnote w:id="6">
    <w:p w14:paraId="73471755" w14:textId="77777777" w:rsidR="00713CF0" w:rsidRDefault="00713CF0" w:rsidP="00713CF0">
      <w:pPr>
        <w:pStyle w:val="FootnoteText"/>
      </w:pPr>
      <w:r>
        <w:rPr>
          <w:rStyle w:val="FootnoteReference"/>
        </w:rPr>
        <w:footnoteRef/>
      </w:r>
      <w:r>
        <w:t xml:space="preserve"> Department of health and Human Services (2019); “</w:t>
      </w:r>
      <w:r w:rsidRPr="005B3EFB">
        <w:rPr>
          <w:i/>
          <w:iCs/>
        </w:rPr>
        <w:t>Agency Monitoring Framework</w:t>
      </w:r>
      <w:r>
        <w:t xml:space="preserve">”, </w:t>
      </w:r>
      <w:r w:rsidRPr="005B3EFB">
        <w:t xml:space="preserve">Victorian Government, </w:t>
      </w:r>
      <w:r>
        <w:t>July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01F4C" w14:textId="77777777" w:rsidR="00E47345" w:rsidRDefault="00E473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7EACA" w14:textId="77777777" w:rsidR="00E47345" w:rsidRPr="002C2352" w:rsidRDefault="00E47345" w:rsidP="007516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8C30" w14:textId="77777777" w:rsidR="00E47345" w:rsidRDefault="00E473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E8D1E" w14:textId="77777777" w:rsidR="00713CF0" w:rsidRDefault="00713C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67743" w14:textId="77777777" w:rsidR="00713CF0" w:rsidRPr="0051568D" w:rsidRDefault="00713CF0" w:rsidP="0051568D">
    <w:pPr>
      <w:pStyle w:val="DHHSheader"/>
    </w:pPr>
  </w:p>
  <w:p w14:paraId="5F0A3C2D" w14:textId="77777777" w:rsidR="00713CF0" w:rsidRDefault="00713CF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BBF89" w14:textId="77777777" w:rsidR="00713CF0" w:rsidRDefault="00713CF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BF3E2" w14:textId="77777777"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A418" w14:textId="4DD32862" w:rsidR="00562811" w:rsidRPr="001C7128" w:rsidRDefault="00314E7F" w:rsidP="001C7128">
    <w:pPr>
      <w:pStyle w:val="Header"/>
    </w:pPr>
    <w:r>
      <w:t>Homelessness to a Home (H2H) Program Guidelines – V3.3</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E6810"/>
    <w:multiLevelType w:val="hybridMultilevel"/>
    <w:tmpl w:val="D7D48A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1B3912"/>
    <w:multiLevelType w:val="hybridMultilevel"/>
    <w:tmpl w:val="6EC640A0"/>
    <w:lvl w:ilvl="0" w:tplc="BC547A78">
      <w:start w:val="1"/>
      <w:numFmt w:val="decimal"/>
      <w:lvlText w:val="%1."/>
      <w:lvlJc w:val="left"/>
      <w:pPr>
        <w:ind w:left="72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8D43DB"/>
    <w:multiLevelType w:val="hybridMultilevel"/>
    <w:tmpl w:val="9C40C040"/>
    <w:numStyleLink w:val="ZZNumbersdigit"/>
  </w:abstractNum>
  <w:abstractNum w:abstractNumId="3" w15:restartNumberingAfterBreak="0">
    <w:nsid w:val="0BAD2E30"/>
    <w:multiLevelType w:val="multilevel"/>
    <w:tmpl w:val="4D10C7E2"/>
    <w:styleLink w:val="ZZNumbersloweralpha"/>
    <w:lvl w:ilvl="0">
      <w:start w:val="1"/>
      <w:numFmt w:val="lowerLetter"/>
      <w:pStyle w:val="Numberloweralpha"/>
      <w:lvlText w:val="(%1)"/>
      <w:lvlJc w:val="left"/>
      <w:pPr>
        <w:tabs>
          <w:tab w:val="num" w:pos="454"/>
        </w:tabs>
        <w:ind w:left="454" w:hanging="454"/>
      </w:pPr>
      <w:rPr>
        <w:rFonts w:hint="default"/>
      </w:rPr>
    </w:lvl>
    <w:lvl w:ilvl="1">
      <w:start w:val="1"/>
      <w:numFmt w:val="lowerLetter"/>
      <w:pStyle w:val="Numberloweralphaindent"/>
      <w:lvlText w:val="(%2)"/>
      <w:lvlJc w:val="left"/>
      <w:pPr>
        <w:tabs>
          <w:tab w:val="num" w:pos="907"/>
        </w:tabs>
        <w:ind w:left="907" w:hanging="453"/>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D55211B"/>
    <w:multiLevelType w:val="hybridMultilevel"/>
    <w:tmpl w:val="66E00A7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3F988E"/>
    <w:multiLevelType w:val="hybridMultilevel"/>
    <w:tmpl w:val="843C8CEC"/>
    <w:lvl w:ilvl="0" w:tplc="CB761D46">
      <w:start w:val="1"/>
      <w:numFmt w:val="bullet"/>
      <w:lvlText w:val="•"/>
      <w:lvlJc w:val="left"/>
      <w:pPr>
        <w:ind w:left="720" w:hanging="360"/>
      </w:pPr>
      <w:rPr>
        <w:rFonts w:ascii="Calibri" w:hAnsi="Calibri" w:hint="default"/>
      </w:rPr>
    </w:lvl>
    <w:lvl w:ilvl="1" w:tplc="5C0E07DC">
      <w:start w:val="1"/>
      <w:numFmt w:val="bullet"/>
      <w:lvlText w:val="o"/>
      <w:lvlJc w:val="left"/>
      <w:pPr>
        <w:ind w:left="1440" w:hanging="360"/>
      </w:pPr>
      <w:rPr>
        <w:rFonts w:ascii="Courier New" w:hAnsi="Courier New" w:hint="default"/>
      </w:rPr>
    </w:lvl>
    <w:lvl w:ilvl="2" w:tplc="CBF65092">
      <w:start w:val="1"/>
      <w:numFmt w:val="bullet"/>
      <w:lvlText w:val=""/>
      <w:lvlJc w:val="left"/>
      <w:pPr>
        <w:ind w:left="2160" w:hanging="360"/>
      </w:pPr>
      <w:rPr>
        <w:rFonts w:ascii="Wingdings" w:hAnsi="Wingdings" w:hint="default"/>
      </w:rPr>
    </w:lvl>
    <w:lvl w:ilvl="3" w:tplc="4AB2F670">
      <w:start w:val="1"/>
      <w:numFmt w:val="bullet"/>
      <w:lvlText w:val=""/>
      <w:lvlJc w:val="left"/>
      <w:pPr>
        <w:ind w:left="2880" w:hanging="360"/>
      </w:pPr>
      <w:rPr>
        <w:rFonts w:ascii="Symbol" w:hAnsi="Symbol" w:hint="default"/>
      </w:rPr>
    </w:lvl>
    <w:lvl w:ilvl="4" w:tplc="E2521514">
      <w:start w:val="1"/>
      <w:numFmt w:val="bullet"/>
      <w:lvlText w:val="o"/>
      <w:lvlJc w:val="left"/>
      <w:pPr>
        <w:ind w:left="3600" w:hanging="360"/>
      </w:pPr>
      <w:rPr>
        <w:rFonts w:ascii="Courier New" w:hAnsi="Courier New" w:hint="default"/>
      </w:rPr>
    </w:lvl>
    <w:lvl w:ilvl="5" w:tplc="E056E454">
      <w:start w:val="1"/>
      <w:numFmt w:val="bullet"/>
      <w:lvlText w:val=""/>
      <w:lvlJc w:val="left"/>
      <w:pPr>
        <w:ind w:left="4320" w:hanging="360"/>
      </w:pPr>
      <w:rPr>
        <w:rFonts w:ascii="Wingdings" w:hAnsi="Wingdings" w:hint="default"/>
      </w:rPr>
    </w:lvl>
    <w:lvl w:ilvl="6" w:tplc="2D7AEDA6">
      <w:start w:val="1"/>
      <w:numFmt w:val="bullet"/>
      <w:lvlText w:val=""/>
      <w:lvlJc w:val="left"/>
      <w:pPr>
        <w:ind w:left="5040" w:hanging="360"/>
      </w:pPr>
      <w:rPr>
        <w:rFonts w:ascii="Symbol" w:hAnsi="Symbol" w:hint="default"/>
      </w:rPr>
    </w:lvl>
    <w:lvl w:ilvl="7" w:tplc="C2826C4E">
      <w:start w:val="1"/>
      <w:numFmt w:val="bullet"/>
      <w:lvlText w:val="o"/>
      <w:lvlJc w:val="left"/>
      <w:pPr>
        <w:ind w:left="5760" w:hanging="360"/>
      </w:pPr>
      <w:rPr>
        <w:rFonts w:ascii="Courier New" w:hAnsi="Courier New" w:hint="default"/>
      </w:rPr>
    </w:lvl>
    <w:lvl w:ilvl="8" w:tplc="6FFCADB6">
      <w:start w:val="1"/>
      <w:numFmt w:val="bullet"/>
      <w:lvlText w:val=""/>
      <w:lvlJc w:val="left"/>
      <w:pPr>
        <w:ind w:left="6480" w:hanging="360"/>
      </w:pPr>
      <w:rPr>
        <w:rFonts w:ascii="Wingdings" w:hAnsi="Wingdings" w:hint="default"/>
      </w:rPr>
    </w:lvl>
  </w:abstractNum>
  <w:abstractNum w:abstractNumId="6" w15:restartNumberingAfterBreak="0">
    <w:nsid w:val="11B05B8E"/>
    <w:multiLevelType w:val="hybridMultilevel"/>
    <w:tmpl w:val="0F04923A"/>
    <w:lvl w:ilvl="0" w:tplc="494C3FB6">
      <w:start w:val="1"/>
      <w:numFmt w:val="bullet"/>
      <w:lvlText w:val="•"/>
      <w:lvlJc w:val="left"/>
      <w:pPr>
        <w:ind w:left="720" w:hanging="360"/>
      </w:pPr>
      <w:rPr>
        <w:rFonts w:ascii="Calibri" w:hAnsi="Calibri" w:hint="default"/>
      </w:rPr>
    </w:lvl>
    <w:lvl w:ilvl="1" w:tplc="9A286E30">
      <w:start w:val="1"/>
      <w:numFmt w:val="bullet"/>
      <w:lvlText w:val="o"/>
      <w:lvlJc w:val="left"/>
      <w:pPr>
        <w:ind w:left="1440" w:hanging="360"/>
      </w:pPr>
      <w:rPr>
        <w:rFonts w:ascii="Courier New" w:hAnsi="Courier New" w:hint="default"/>
      </w:rPr>
    </w:lvl>
    <w:lvl w:ilvl="2" w:tplc="A7E81C32">
      <w:start w:val="1"/>
      <w:numFmt w:val="bullet"/>
      <w:lvlText w:val=""/>
      <w:lvlJc w:val="left"/>
      <w:pPr>
        <w:ind w:left="2160" w:hanging="360"/>
      </w:pPr>
      <w:rPr>
        <w:rFonts w:ascii="Wingdings" w:hAnsi="Wingdings" w:hint="default"/>
      </w:rPr>
    </w:lvl>
    <w:lvl w:ilvl="3" w:tplc="1ED67BFA">
      <w:start w:val="1"/>
      <w:numFmt w:val="bullet"/>
      <w:lvlText w:val=""/>
      <w:lvlJc w:val="left"/>
      <w:pPr>
        <w:ind w:left="2880" w:hanging="360"/>
      </w:pPr>
      <w:rPr>
        <w:rFonts w:ascii="Symbol" w:hAnsi="Symbol" w:hint="default"/>
      </w:rPr>
    </w:lvl>
    <w:lvl w:ilvl="4" w:tplc="94341E90">
      <w:start w:val="1"/>
      <w:numFmt w:val="bullet"/>
      <w:lvlText w:val="o"/>
      <w:lvlJc w:val="left"/>
      <w:pPr>
        <w:ind w:left="3600" w:hanging="360"/>
      </w:pPr>
      <w:rPr>
        <w:rFonts w:ascii="Courier New" w:hAnsi="Courier New" w:hint="default"/>
      </w:rPr>
    </w:lvl>
    <w:lvl w:ilvl="5" w:tplc="E27AF480">
      <w:start w:val="1"/>
      <w:numFmt w:val="bullet"/>
      <w:lvlText w:val=""/>
      <w:lvlJc w:val="left"/>
      <w:pPr>
        <w:ind w:left="4320" w:hanging="360"/>
      </w:pPr>
      <w:rPr>
        <w:rFonts w:ascii="Wingdings" w:hAnsi="Wingdings" w:hint="default"/>
      </w:rPr>
    </w:lvl>
    <w:lvl w:ilvl="6" w:tplc="679C4670">
      <w:start w:val="1"/>
      <w:numFmt w:val="bullet"/>
      <w:lvlText w:val=""/>
      <w:lvlJc w:val="left"/>
      <w:pPr>
        <w:ind w:left="5040" w:hanging="360"/>
      </w:pPr>
      <w:rPr>
        <w:rFonts w:ascii="Symbol" w:hAnsi="Symbol" w:hint="default"/>
      </w:rPr>
    </w:lvl>
    <w:lvl w:ilvl="7" w:tplc="A5821A50">
      <w:start w:val="1"/>
      <w:numFmt w:val="bullet"/>
      <w:lvlText w:val="o"/>
      <w:lvlJc w:val="left"/>
      <w:pPr>
        <w:ind w:left="5760" w:hanging="360"/>
      </w:pPr>
      <w:rPr>
        <w:rFonts w:ascii="Courier New" w:hAnsi="Courier New" w:hint="default"/>
      </w:rPr>
    </w:lvl>
    <w:lvl w:ilvl="8" w:tplc="E3827E94">
      <w:start w:val="1"/>
      <w:numFmt w:val="bullet"/>
      <w:lvlText w:val=""/>
      <w:lvlJc w:val="left"/>
      <w:pPr>
        <w:ind w:left="6480" w:hanging="360"/>
      </w:pPr>
      <w:rPr>
        <w:rFonts w:ascii="Wingdings" w:hAnsi="Wingdings" w:hint="default"/>
      </w:rPr>
    </w:lvl>
  </w:abstractNum>
  <w:abstractNum w:abstractNumId="7" w15:restartNumberingAfterBreak="0">
    <w:nsid w:val="14CD4392"/>
    <w:multiLevelType w:val="hybridMultilevel"/>
    <w:tmpl w:val="1D4AEE90"/>
    <w:lvl w:ilvl="0" w:tplc="2C645A14">
      <w:start w:val="1"/>
      <w:numFmt w:val="bullet"/>
      <w:pStyle w:val="Bulletpoints"/>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97B2DD7"/>
    <w:multiLevelType w:val="hybridMultilevel"/>
    <w:tmpl w:val="7C8EC3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DB1E03"/>
    <w:multiLevelType w:val="hybridMultilevel"/>
    <w:tmpl w:val="152810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F96745"/>
    <w:multiLevelType w:val="hybridMultilevel"/>
    <w:tmpl w:val="5E44F0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A1165E"/>
    <w:multiLevelType w:val="hybridMultilevel"/>
    <w:tmpl w:val="C08408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104CAB"/>
    <w:multiLevelType w:val="hybridMultilevel"/>
    <w:tmpl w:val="04BE5F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595BD3"/>
    <w:multiLevelType w:val="hybridMultilevel"/>
    <w:tmpl w:val="F11C886E"/>
    <w:lvl w:ilvl="0" w:tplc="8EC6D914">
      <w:start w:val="1"/>
      <w:numFmt w:val="bullet"/>
      <w:lvlText w:val="•"/>
      <w:lvlJc w:val="left"/>
      <w:pPr>
        <w:ind w:left="720" w:hanging="360"/>
      </w:pPr>
      <w:rPr>
        <w:rFonts w:ascii="Calibri" w:hAnsi="Calibri" w:hint="default"/>
      </w:rPr>
    </w:lvl>
    <w:lvl w:ilvl="1" w:tplc="935A5A6C">
      <w:start w:val="1"/>
      <w:numFmt w:val="bullet"/>
      <w:lvlText w:val="o"/>
      <w:lvlJc w:val="left"/>
      <w:pPr>
        <w:ind w:left="1440" w:hanging="360"/>
      </w:pPr>
      <w:rPr>
        <w:rFonts w:ascii="Courier New" w:hAnsi="Courier New" w:hint="default"/>
      </w:rPr>
    </w:lvl>
    <w:lvl w:ilvl="2" w:tplc="7BA285F6">
      <w:start w:val="1"/>
      <w:numFmt w:val="bullet"/>
      <w:lvlText w:val=""/>
      <w:lvlJc w:val="left"/>
      <w:pPr>
        <w:ind w:left="2160" w:hanging="360"/>
      </w:pPr>
      <w:rPr>
        <w:rFonts w:ascii="Wingdings" w:hAnsi="Wingdings" w:hint="default"/>
      </w:rPr>
    </w:lvl>
    <w:lvl w:ilvl="3" w:tplc="BB8C901C">
      <w:start w:val="1"/>
      <w:numFmt w:val="bullet"/>
      <w:lvlText w:val=""/>
      <w:lvlJc w:val="left"/>
      <w:pPr>
        <w:ind w:left="2880" w:hanging="360"/>
      </w:pPr>
      <w:rPr>
        <w:rFonts w:ascii="Symbol" w:hAnsi="Symbol" w:hint="default"/>
      </w:rPr>
    </w:lvl>
    <w:lvl w:ilvl="4" w:tplc="F36E621C">
      <w:start w:val="1"/>
      <w:numFmt w:val="bullet"/>
      <w:lvlText w:val="o"/>
      <w:lvlJc w:val="left"/>
      <w:pPr>
        <w:ind w:left="3600" w:hanging="360"/>
      </w:pPr>
      <w:rPr>
        <w:rFonts w:ascii="Courier New" w:hAnsi="Courier New" w:hint="default"/>
      </w:rPr>
    </w:lvl>
    <w:lvl w:ilvl="5" w:tplc="200E25AA">
      <w:start w:val="1"/>
      <w:numFmt w:val="bullet"/>
      <w:lvlText w:val=""/>
      <w:lvlJc w:val="left"/>
      <w:pPr>
        <w:ind w:left="4320" w:hanging="360"/>
      </w:pPr>
      <w:rPr>
        <w:rFonts w:ascii="Wingdings" w:hAnsi="Wingdings" w:hint="default"/>
      </w:rPr>
    </w:lvl>
    <w:lvl w:ilvl="6" w:tplc="6560B018">
      <w:start w:val="1"/>
      <w:numFmt w:val="bullet"/>
      <w:lvlText w:val=""/>
      <w:lvlJc w:val="left"/>
      <w:pPr>
        <w:ind w:left="5040" w:hanging="360"/>
      </w:pPr>
      <w:rPr>
        <w:rFonts w:ascii="Symbol" w:hAnsi="Symbol" w:hint="default"/>
      </w:rPr>
    </w:lvl>
    <w:lvl w:ilvl="7" w:tplc="123021B0">
      <w:start w:val="1"/>
      <w:numFmt w:val="bullet"/>
      <w:lvlText w:val="o"/>
      <w:lvlJc w:val="left"/>
      <w:pPr>
        <w:ind w:left="5760" w:hanging="360"/>
      </w:pPr>
      <w:rPr>
        <w:rFonts w:ascii="Courier New" w:hAnsi="Courier New" w:hint="default"/>
      </w:rPr>
    </w:lvl>
    <w:lvl w:ilvl="8" w:tplc="DAA82092">
      <w:start w:val="1"/>
      <w:numFmt w:val="bullet"/>
      <w:lvlText w:val=""/>
      <w:lvlJc w:val="left"/>
      <w:pPr>
        <w:ind w:left="6480" w:hanging="360"/>
      </w:pPr>
      <w:rPr>
        <w:rFonts w:ascii="Wingdings" w:hAnsi="Wingdings" w:hint="default"/>
      </w:rPr>
    </w:lvl>
  </w:abstractNum>
  <w:abstractNum w:abstractNumId="14" w15:restartNumberingAfterBreak="0">
    <w:nsid w:val="2DCA5B7E"/>
    <w:multiLevelType w:val="hybridMultilevel"/>
    <w:tmpl w:val="7C646F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D70CCF"/>
    <w:multiLevelType w:val="hybridMultilevel"/>
    <w:tmpl w:val="486E0BFA"/>
    <w:lvl w:ilvl="0" w:tplc="FDFEA42E">
      <w:start w:val="1"/>
      <w:numFmt w:val="decimal"/>
      <w:pStyle w:val="DHHSNumberText"/>
      <w:lvlText w:val="%1."/>
      <w:lvlJc w:val="left"/>
      <w:pPr>
        <w:ind w:left="397" w:hanging="39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B96CDA"/>
    <w:multiLevelType w:val="hybridMultilevel"/>
    <w:tmpl w:val="ACFE2276"/>
    <w:lvl w:ilvl="0" w:tplc="BBD68FB0">
      <w:start w:val="1"/>
      <w:numFmt w:val="decimal"/>
      <w:pStyle w:val="DHHSnumberdigit"/>
      <w:lvlText w:val="%1."/>
      <w:lvlJc w:val="left"/>
      <w:pPr>
        <w:tabs>
          <w:tab w:val="num" w:pos="397"/>
        </w:tabs>
        <w:ind w:left="397" w:hanging="397"/>
      </w:pPr>
      <w:rPr>
        <w:rFonts w:hint="default"/>
      </w:rPr>
    </w:lvl>
    <w:lvl w:ilvl="1" w:tplc="E9DAF2F0">
      <w:start w:val="1"/>
      <w:numFmt w:val="decimal"/>
      <w:lvlRestart w:val="0"/>
      <w:lvlText w:val="%2."/>
      <w:lvlJc w:val="left"/>
      <w:pPr>
        <w:tabs>
          <w:tab w:val="num" w:pos="794"/>
        </w:tabs>
        <w:ind w:left="794" w:hanging="397"/>
      </w:pPr>
      <w:rPr>
        <w:rFonts w:hint="default"/>
      </w:rPr>
    </w:lvl>
    <w:lvl w:ilvl="2" w:tplc="77F2DB36">
      <w:start w:val="1"/>
      <w:numFmt w:val="bullet"/>
      <w:lvlRestart w:val="0"/>
      <w:lvlText w:val="•"/>
      <w:lvlJc w:val="left"/>
      <w:pPr>
        <w:tabs>
          <w:tab w:val="num" w:pos="794"/>
        </w:tabs>
        <w:ind w:left="794" w:hanging="397"/>
      </w:pPr>
      <w:rPr>
        <w:rFonts w:ascii="Calibri" w:hAnsi="Calibri" w:hint="default"/>
      </w:rPr>
    </w:lvl>
    <w:lvl w:ilvl="3" w:tplc="28A8FF56">
      <w:start w:val="1"/>
      <w:numFmt w:val="bullet"/>
      <w:lvlRestart w:val="0"/>
      <w:lvlText w:val="–"/>
      <w:lvlJc w:val="left"/>
      <w:pPr>
        <w:tabs>
          <w:tab w:val="num" w:pos="1191"/>
        </w:tabs>
        <w:ind w:left="1191" w:hanging="397"/>
      </w:pPr>
      <w:rPr>
        <w:rFonts w:ascii="Calibri" w:hAnsi="Calibri" w:hint="default"/>
      </w:rPr>
    </w:lvl>
    <w:lvl w:ilvl="4" w:tplc="4AF280EA">
      <w:start w:val="1"/>
      <w:numFmt w:val="none"/>
      <w:lvlRestart w:val="0"/>
      <w:lvlText w:val=""/>
      <w:lvlJc w:val="left"/>
      <w:pPr>
        <w:ind w:left="0" w:firstLine="0"/>
      </w:pPr>
      <w:rPr>
        <w:rFonts w:hint="default"/>
      </w:rPr>
    </w:lvl>
    <w:lvl w:ilvl="5" w:tplc="2C0E6EF2">
      <w:start w:val="1"/>
      <w:numFmt w:val="none"/>
      <w:lvlRestart w:val="0"/>
      <w:lvlText w:val=""/>
      <w:lvlJc w:val="left"/>
      <w:pPr>
        <w:ind w:left="0" w:firstLine="0"/>
      </w:pPr>
      <w:rPr>
        <w:rFonts w:hint="default"/>
      </w:rPr>
    </w:lvl>
    <w:lvl w:ilvl="6" w:tplc="B1103716">
      <w:start w:val="1"/>
      <w:numFmt w:val="none"/>
      <w:lvlRestart w:val="0"/>
      <w:lvlText w:val=""/>
      <w:lvlJc w:val="left"/>
      <w:pPr>
        <w:ind w:left="0" w:firstLine="0"/>
      </w:pPr>
      <w:rPr>
        <w:rFonts w:hint="default"/>
      </w:rPr>
    </w:lvl>
    <w:lvl w:ilvl="7" w:tplc="AA889576">
      <w:start w:val="1"/>
      <w:numFmt w:val="none"/>
      <w:lvlRestart w:val="0"/>
      <w:lvlText w:val=""/>
      <w:lvlJc w:val="left"/>
      <w:pPr>
        <w:ind w:left="0" w:firstLine="0"/>
      </w:pPr>
      <w:rPr>
        <w:rFonts w:hint="default"/>
      </w:rPr>
    </w:lvl>
    <w:lvl w:ilvl="8" w:tplc="52B6874E">
      <w:start w:val="1"/>
      <w:numFmt w:val="none"/>
      <w:lvlRestart w:val="0"/>
      <w:lvlText w:val=""/>
      <w:lvlJc w:val="right"/>
      <w:pPr>
        <w:ind w:left="0" w:firstLine="0"/>
      </w:pPr>
      <w:rPr>
        <w:rFonts w:hint="default"/>
      </w:rPr>
    </w:lvl>
  </w:abstractNum>
  <w:abstractNum w:abstractNumId="17"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DC734DC"/>
    <w:multiLevelType w:val="hybridMultilevel"/>
    <w:tmpl w:val="21C4C0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6C68D4"/>
    <w:multiLevelType w:val="multilevel"/>
    <w:tmpl w:val="9C40C040"/>
    <w:styleLink w:val="ZZNumbersdigit"/>
    <w:lvl w:ilvl="0">
      <w:start w:val="1"/>
      <w:numFmt w:val="decimal"/>
      <w:pStyle w:val="Numberdigit"/>
      <w:lvlText w:val="%1."/>
      <w:lvlJc w:val="left"/>
      <w:pPr>
        <w:tabs>
          <w:tab w:val="num" w:pos="454"/>
        </w:tabs>
        <w:ind w:left="454" w:hanging="454"/>
      </w:pPr>
      <w:rPr>
        <w:rFonts w:hint="default"/>
      </w:rPr>
    </w:lvl>
    <w:lvl w:ilvl="1">
      <w:start w:val="1"/>
      <w:numFmt w:val="decimal"/>
      <w:pStyle w:val="Numberdigitindent"/>
      <w:lvlText w:val="%2."/>
      <w:lvlJc w:val="left"/>
      <w:pPr>
        <w:tabs>
          <w:tab w:val="num" w:pos="907"/>
        </w:tabs>
        <w:ind w:left="907" w:hanging="453"/>
      </w:pPr>
      <w:rPr>
        <w:rFonts w:hint="default"/>
      </w:rPr>
    </w:lvl>
    <w:lvl w:ilvl="2">
      <w:start w:val="1"/>
      <w:numFmt w:val="bullet"/>
      <w:lvlRestart w:val="0"/>
      <w:pStyle w:val="Bulletafternumbers1"/>
      <w:lvlText w:val="•"/>
      <w:lvlJc w:val="left"/>
      <w:pPr>
        <w:ind w:left="907" w:hanging="453"/>
      </w:pPr>
      <w:rPr>
        <w:rFonts w:ascii="Calibri" w:hAnsi="Calibri" w:hint="default"/>
        <w:color w:val="auto"/>
      </w:rPr>
    </w:lvl>
    <w:lvl w:ilvl="3">
      <w:start w:val="1"/>
      <w:numFmt w:val="bullet"/>
      <w:lvlRestart w:val="0"/>
      <w:pStyle w:val="Bulletafternumbers2"/>
      <w:lvlText w:val="–"/>
      <w:lvlJc w:val="left"/>
      <w:pPr>
        <w:ind w:left="1361" w:hanging="45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580635D0"/>
    <w:styleLink w:val="ZZNumberslowerroman"/>
    <w:lvl w:ilvl="0">
      <w:start w:val="1"/>
      <w:numFmt w:val="lowerRoman"/>
      <w:pStyle w:val="Numberlowerroman"/>
      <w:lvlText w:val="(%1)"/>
      <w:lvlJc w:val="left"/>
      <w:pPr>
        <w:tabs>
          <w:tab w:val="num" w:pos="454"/>
        </w:tabs>
        <w:ind w:left="454" w:hanging="454"/>
      </w:pPr>
      <w:rPr>
        <w:rFonts w:hint="default"/>
      </w:rPr>
    </w:lvl>
    <w:lvl w:ilvl="1">
      <w:start w:val="1"/>
      <w:numFmt w:val="lowerRoman"/>
      <w:pStyle w:val="Numberlowerromanindent"/>
      <w:lvlText w:val="(%2)"/>
      <w:lvlJc w:val="left"/>
      <w:pPr>
        <w:tabs>
          <w:tab w:val="num" w:pos="907"/>
        </w:tabs>
        <w:ind w:left="907" w:hanging="453"/>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7BF7A87"/>
    <w:multiLevelType w:val="hybridMultilevel"/>
    <w:tmpl w:val="5846FE72"/>
    <w:lvl w:ilvl="0" w:tplc="F7F416F6">
      <w:start w:val="1"/>
      <w:numFmt w:val="bullet"/>
      <w:lvlText w:val="•"/>
      <w:lvlJc w:val="left"/>
      <w:pPr>
        <w:ind w:left="720" w:hanging="360"/>
      </w:pPr>
      <w:rPr>
        <w:rFonts w:ascii="Calibri" w:hAnsi="Calibri" w:hint="default"/>
      </w:rPr>
    </w:lvl>
    <w:lvl w:ilvl="1" w:tplc="4B72DAF0">
      <w:start w:val="1"/>
      <w:numFmt w:val="bullet"/>
      <w:lvlText w:val="o"/>
      <w:lvlJc w:val="left"/>
      <w:pPr>
        <w:ind w:left="1440" w:hanging="360"/>
      </w:pPr>
      <w:rPr>
        <w:rFonts w:ascii="Courier New" w:hAnsi="Courier New" w:hint="default"/>
      </w:rPr>
    </w:lvl>
    <w:lvl w:ilvl="2" w:tplc="A796A5AC">
      <w:start w:val="1"/>
      <w:numFmt w:val="bullet"/>
      <w:lvlText w:val=""/>
      <w:lvlJc w:val="left"/>
      <w:pPr>
        <w:ind w:left="2160" w:hanging="360"/>
      </w:pPr>
      <w:rPr>
        <w:rFonts w:ascii="Wingdings" w:hAnsi="Wingdings" w:hint="default"/>
      </w:rPr>
    </w:lvl>
    <w:lvl w:ilvl="3" w:tplc="40E62EF2">
      <w:start w:val="1"/>
      <w:numFmt w:val="bullet"/>
      <w:lvlText w:val=""/>
      <w:lvlJc w:val="left"/>
      <w:pPr>
        <w:ind w:left="2880" w:hanging="360"/>
      </w:pPr>
      <w:rPr>
        <w:rFonts w:ascii="Symbol" w:hAnsi="Symbol" w:hint="default"/>
      </w:rPr>
    </w:lvl>
    <w:lvl w:ilvl="4" w:tplc="69F098A2">
      <w:start w:val="1"/>
      <w:numFmt w:val="bullet"/>
      <w:lvlText w:val="o"/>
      <w:lvlJc w:val="left"/>
      <w:pPr>
        <w:ind w:left="3600" w:hanging="360"/>
      </w:pPr>
      <w:rPr>
        <w:rFonts w:ascii="Courier New" w:hAnsi="Courier New" w:hint="default"/>
      </w:rPr>
    </w:lvl>
    <w:lvl w:ilvl="5" w:tplc="F828D20C">
      <w:start w:val="1"/>
      <w:numFmt w:val="bullet"/>
      <w:lvlText w:val=""/>
      <w:lvlJc w:val="left"/>
      <w:pPr>
        <w:ind w:left="4320" w:hanging="360"/>
      </w:pPr>
      <w:rPr>
        <w:rFonts w:ascii="Wingdings" w:hAnsi="Wingdings" w:hint="default"/>
      </w:rPr>
    </w:lvl>
    <w:lvl w:ilvl="6" w:tplc="D0C8106C">
      <w:start w:val="1"/>
      <w:numFmt w:val="bullet"/>
      <w:lvlText w:val=""/>
      <w:lvlJc w:val="left"/>
      <w:pPr>
        <w:ind w:left="5040" w:hanging="360"/>
      </w:pPr>
      <w:rPr>
        <w:rFonts w:ascii="Symbol" w:hAnsi="Symbol" w:hint="default"/>
      </w:rPr>
    </w:lvl>
    <w:lvl w:ilvl="7" w:tplc="4FA8419C">
      <w:start w:val="1"/>
      <w:numFmt w:val="bullet"/>
      <w:lvlText w:val="o"/>
      <w:lvlJc w:val="left"/>
      <w:pPr>
        <w:ind w:left="5760" w:hanging="360"/>
      </w:pPr>
      <w:rPr>
        <w:rFonts w:ascii="Courier New" w:hAnsi="Courier New" w:hint="default"/>
      </w:rPr>
    </w:lvl>
    <w:lvl w:ilvl="8" w:tplc="4774BA04">
      <w:start w:val="1"/>
      <w:numFmt w:val="bullet"/>
      <w:lvlText w:val=""/>
      <w:lvlJc w:val="left"/>
      <w:pPr>
        <w:ind w:left="6480" w:hanging="360"/>
      </w:pPr>
      <w:rPr>
        <w:rFonts w:ascii="Wingdings" w:hAnsi="Wingdings" w:hint="default"/>
      </w:rPr>
    </w:lvl>
  </w:abstractNum>
  <w:abstractNum w:abstractNumId="22" w15:restartNumberingAfterBreak="0">
    <w:nsid w:val="4ABA03FE"/>
    <w:multiLevelType w:val="hybridMultilevel"/>
    <w:tmpl w:val="3C028524"/>
    <w:lvl w:ilvl="0" w:tplc="5CD823C8">
      <w:start w:val="1"/>
      <w:numFmt w:val="bullet"/>
      <w:lvlText w:val="•"/>
      <w:lvlJc w:val="left"/>
      <w:pPr>
        <w:ind w:left="720" w:hanging="360"/>
      </w:pPr>
      <w:rPr>
        <w:rFonts w:ascii="Calibri" w:hAnsi="Calibri" w:hint="default"/>
      </w:rPr>
    </w:lvl>
    <w:lvl w:ilvl="1" w:tplc="01F0972C">
      <w:start w:val="1"/>
      <w:numFmt w:val="bullet"/>
      <w:lvlText w:val="o"/>
      <w:lvlJc w:val="left"/>
      <w:pPr>
        <w:ind w:left="1440" w:hanging="360"/>
      </w:pPr>
      <w:rPr>
        <w:rFonts w:ascii="Courier New" w:hAnsi="Courier New" w:hint="default"/>
      </w:rPr>
    </w:lvl>
    <w:lvl w:ilvl="2" w:tplc="1EAE6CC6">
      <w:start w:val="1"/>
      <w:numFmt w:val="bullet"/>
      <w:lvlText w:val=""/>
      <w:lvlJc w:val="left"/>
      <w:pPr>
        <w:ind w:left="2160" w:hanging="360"/>
      </w:pPr>
      <w:rPr>
        <w:rFonts w:ascii="Wingdings" w:hAnsi="Wingdings" w:hint="default"/>
      </w:rPr>
    </w:lvl>
    <w:lvl w:ilvl="3" w:tplc="7B829850">
      <w:start w:val="1"/>
      <w:numFmt w:val="bullet"/>
      <w:lvlText w:val=""/>
      <w:lvlJc w:val="left"/>
      <w:pPr>
        <w:ind w:left="2880" w:hanging="360"/>
      </w:pPr>
      <w:rPr>
        <w:rFonts w:ascii="Symbol" w:hAnsi="Symbol" w:hint="default"/>
      </w:rPr>
    </w:lvl>
    <w:lvl w:ilvl="4" w:tplc="E38E7E8C">
      <w:start w:val="1"/>
      <w:numFmt w:val="bullet"/>
      <w:lvlText w:val="o"/>
      <w:lvlJc w:val="left"/>
      <w:pPr>
        <w:ind w:left="3600" w:hanging="360"/>
      </w:pPr>
      <w:rPr>
        <w:rFonts w:ascii="Courier New" w:hAnsi="Courier New" w:hint="default"/>
      </w:rPr>
    </w:lvl>
    <w:lvl w:ilvl="5" w:tplc="642ED7C2">
      <w:start w:val="1"/>
      <w:numFmt w:val="bullet"/>
      <w:lvlText w:val=""/>
      <w:lvlJc w:val="left"/>
      <w:pPr>
        <w:ind w:left="4320" w:hanging="360"/>
      </w:pPr>
      <w:rPr>
        <w:rFonts w:ascii="Wingdings" w:hAnsi="Wingdings" w:hint="default"/>
      </w:rPr>
    </w:lvl>
    <w:lvl w:ilvl="6" w:tplc="F0884F70">
      <w:start w:val="1"/>
      <w:numFmt w:val="bullet"/>
      <w:lvlText w:val=""/>
      <w:lvlJc w:val="left"/>
      <w:pPr>
        <w:ind w:left="5040" w:hanging="360"/>
      </w:pPr>
      <w:rPr>
        <w:rFonts w:ascii="Symbol" w:hAnsi="Symbol" w:hint="default"/>
      </w:rPr>
    </w:lvl>
    <w:lvl w:ilvl="7" w:tplc="F6A84530">
      <w:start w:val="1"/>
      <w:numFmt w:val="bullet"/>
      <w:lvlText w:val="o"/>
      <w:lvlJc w:val="left"/>
      <w:pPr>
        <w:ind w:left="5760" w:hanging="360"/>
      </w:pPr>
      <w:rPr>
        <w:rFonts w:ascii="Courier New" w:hAnsi="Courier New" w:hint="default"/>
      </w:rPr>
    </w:lvl>
    <w:lvl w:ilvl="8" w:tplc="B192C0A8">
      <w:start w:val="1"/>
      <w:numFmt w:val="bullet"/>
      <w:lvlText w:val=""/>
      <w:lvlJc w:val="left"/>
      <w:pPr>
        <w:ind w:left="6480" w:hanging="360"/>
      </w:pPr>
      <w:rPr>
        <w:rFonts w:ascii="Wingdings" w:hAnsi="Wingdings" w:hint="default"/>
      </w:rPr>
    </w:lvl>
  </w:abstractNum>
  <w:abstractNum w:abstractNumId="23" w15:restartNumberingAfterBreak="0">
    <w:nsid w:val="4BA23DAC"/>
    <w:multiLevelType w:val="hybridMultilevel"/>
    <w:tmpl w:val="8A86A6B0"/>
    <w:styleLink w:val="Bullets"/>
    <w:lvl w:ilvl="0" w:tplc="FE6ABA3A">
      <w:start w:val="1"/>
      <w:numFmt w:val="bullet"/>
      <w:lvlText w:val=""/>
      <w:lvlJc w:val="left"/>
      <w:pPr>
        <w:ind w:left="284" w:hanging="284"/>
      </w:pPr>
      <w:rPr>
        <w:rFonts w:ascii="Symbol" w:hAnsi="Symbol" w:hint="default"/>
      </w:rPr>
    </w:lvl>
    <w:lvl w:ilvl="1" w:tplc="B56C909C">
      <w:start w:val="1"/>
      <w:numFmt w:val="bullet"/>
      <w:lvlRestart w:val="0"/>
      <w:lvlText w:val=""/>
      <w:lvlJc w:val="left"/>
      <w:pPr>
        <w:ind w:left="284" w:hanging="284"/>
      </w:pPr>
      <w:rPr>
        <w:rFonts w:ascii="Symbol" w:hAnsi="Symbol" w:hint="default"/>
      </w:rPr>
    </w:lvl>
    <w:lvl w:ilvl="2" w:tplc="4E0CB48A">
      <w:start w:val="1"/>
      <w:numFmt w:val="bullet"/>
      <w:lvlRestart w:val="0"/>
      <w:lvlText w:val="–"/>
      <w:lvlJc w:val="left"/>
      <w:pPr>
        <w:ind w:left="567" w:hanging="283"/>
      </w:pPr>
    </w:lvl>
    <w:lvl w:ilvl="3" w:tplc="B0843F76">
      <w:start w:val="1"/>
      <w:numFmt w:val="bullet"/>
      <w:lvlRestart w:val="0"/>
      <w:lvlText w:val="–"/>
      <w:lvlJc w:val="left"/>
      <w:pPr>
        <w:ind w:left="567" w:hanging="283"/>
      </w:pPr>
    </w:lvl>
    <w:lvl w:ilvl="4" w:tplc="FD5C684C">
      <w:start w:val="1"/>
      <w:numFmt w:val="bullet"/>
      <w:lvlRestart w:val="0"/>
      <w:lvlText w:val=""/>
      <w:lvlJc w:val="left"/>
      <w:pPr>
        <w:ind w:left="680" w:hanging="283"/>
      </w:pPr>
      <w:rPr>
        <w:rFonts w:ascii="Symbol" w:hAnsi="Symbol" w:hint="default"/>
      </w:rPr>
    </w:lvl>
    <w:lvl w:ilvl="5" w:tplc="8ADEE272">
      <w:start w:val="1"/>
      <w:numFmt w:val="bullet"/>
      <w:lvlRestart w:val="0"/>
      <w:lvlText w:val=""/>
      <w:lvlJc w:val="left"/>
      <w:pPr>
        <w:ind w:left="680" w:hanging="283"/>
      </w:pPr>
      <w:rPr>
        <w:rFonts w:ascii="Symbol" w:hAnsi="Symbol" w:hint="default"/>
      </w:rPr>
    </w:lvl>
    <w:lvl w:ilvl="6" w:tplc="D8B6442C">
      <w:start w:val="1"/>
      <w:numFmt w:val="bullet"/>
      <w:lvlRestart w:val="0"/>
      <w:lvlText w:val=""/>
      <w:lvlJc w:val="left"/>
      <w:pPr>
        <w:ind w:left="227" w:hanging="227"/>
      </w:pPr>
      <w:rPr>
        <w:rFonts w:ascii="Symbol" w:hAnsi="Symbol" w:hint="default"/>
      </w:rPr>
    </w:lvl>
    <w:lvl w:ilvl="7" w:tplc="BCA83246">
      <w:start w:val="1"/>
      <w:numFmt w:val="none"/>
      <w:lvlRestart w:val="0"/>
      <w:lvlText w:val=""/>
      <w:lvlJc w:val="left"/>
      <w:rPr>
        <w:rFonts w:cs="Times New Roman"/>
      </w:rPr>
    </w:lvl>
    <w:lvl w:ilvl="8" w:tplc="0D8C04D6">
      <w:start w:val="1"/>
      <w:numFmt w:val="none"/>
      <w:lvlRestart w:val="0"/>
      <w:lvlText w:val=""/>
      <w:lvlJc w:val="left"/>
      <w:rPr>
        <w:rFonts w:cs="Times New Roman"/>
      </w:rPr>
    </w:lvl>
  </w:abstractNum>
  <w:abstractNum w:abstractNumId="24" w15:restartNumberingAfterBreak="0">
    <w:nsid w:val="4EAA28AB"/>
    <w:multiLevelType w:val="hybridMultilevel"/>
    <w:tmpl w:val="E026CC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4120A96"/>
    <w:multiLevelType w:val="hybridMultilevel"/>
    <w:tmpl w:val="7B06290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19FE3D1"/>
    <w:multiLevelType w:val="hybridMultilevel"/>
    <w:tmpl w:val="BADAB17C"/>
    <w:lvl w:ilvl="0" w:tplc="941A24B8">
      <w:start w:val="1"/>
      <w:numFmt w:val="bullet"/>
      <w:lvlText w:val="•"/>
      <w:lvlJc w:val="left"/>
      <w:pPr>
        <w:ind w:left="720" w:hanging="360"/>
      </w:pPr>
      <w:rPr>
        <w:rFonts w:ascii="Calibri" w:hAnsi="Calibri" w:hint="default"/>
      </w:rPr>
    </w:lvl>
    <w:lvl w:ilvl="1" w:tplc="2CBC8CD6">
      <w:start w:val="1"/>
      <w:numFmt w:val="bullet"/>
      <w:lvlText w:val="o"/>
      <w:lvlJc w:val="left"/>
      <w:pPr>
        <w:ind w:left="1440" w:hanging="360"/>
      </w:pPr>
      <w:rPr>
        <w:rFonts w:ascii="Courier New" w:hAnsi="Courier New" w:hint="default"/>
      </w:rPr>
    </w:lvl>
    <w:lvl w:ilvl="2" w:tplc="8BA26C18">
      <w:start w:val="1"/>
      <w:numFmt w:val="bullet"/>
      <w:lvlText w:val=""/>
      <w:lvlJc w:val="left"/>
      <w:pPr>
        <w:ind w:left="2160" w:hanging="360"/>
      </w:pPr>
      <w:rPr>
        <w:rFonts w:ascii="Wingdings" w:hAnsi="Wingdings" w:hint="default"/>
      </w:rPr>
    </w:lvl>
    <w:lvl w:ilvl="3" w:tplc="73B8BB62">
      <w:start w:val="1"/>
      <w:numFmt w:val="bullet"/>
      <w:lvlText w:val=""/>
      <w:lvlJc w:val="left"/>
      <w:pPr>
        <w:ind w:left="2880" w:hanging="360"/>
      </w:pPr>
      <w:rPr>
        <w:rFonts w:ascii="Symbol" w:hAnsi="Symbol" w:hint="default"/>
      </w:rPr>
    </w:lvl>
    <w:lvl w:ilvl="4" w:tplc="4D447BF0">
      <w:start w:val="1"/>
      <w:numFmt w:val="bullet"/>
      <w:lvlText w:val="o"/>
      <w:lvlJc w:val="left"/>
      <w:pPr>
        <w:ind w:left="3600" w:hanging="360"/>
      </w:pPr>
      <w:rPr>
        <w:rFonts w:ascii="Courier New" w:hAnsi="Courier New" w:hint="default"/>
      </w:rPr>
    </w:lvl>
    <w:lvl w:ilvl="5" w:tplc="2C7A8D96">
      <w:start w:val="1"/>
      <w:numFmt w:val="bullet"/>
      <w:lvlText w:val=""/>
      <w:lvlJc w:val="left"/>
      <w:pPr>
        <w:ind w:left="4320" w:hanging="360"/>
      </w:pPr>
      <w:rPr>
        <w:rFonts w:ascii="Wingdings" w:hAnsi="Wingdings" w:hint="default"/>
      </w:rPr>
    </w:lvl>
    <w:lvl w:ilvl="6" w:tplc="31C49214">
      <w:start w:val="1"/>
      <w:numFmt w:val="bullet"/>
      <w:lvlText w:val=""/>
      <w:lvlJc w:val="left"/>
      <w:pPr>
        <w:ind w:left="5040" w:hanging="360"/>
      </w:pPr>
      <w:rPr>
        <w:rFonts w:ascii="Symbol" w:hAnsi="Symbol" w:hint="default"/>
      </w:rPr>
    </w:lvl>
    <w:lvl w:ilvl="7" w:tplc="85D23E08">
      <w:start w:val="1"/>
      <w:numFmt w:val="bullet"/>
      <w:lvlText w:val="o"/>
      <w:lvlJc w:val="left"/>
      <w:pPr>
        <w:ind w:left="5760" w:hanging="360"/>
      </w:pPr>
      <w:rPr>
        <w:rFonts w:ascii="Courier New" w:hAnsi="Courier New" w:hint="default"/>
      </w:rPr>
    </w:lvl>
    <w:lvl w:ilvl="8" w:tplc="3FC84C78">
      <w:start w:val="1"/>
      <w:numFmt w:val="bullet"/>
      <w:lvlText w:val=""/>
      <w:lvlJc w:val="left"/>
      <w:pPr>
        <w:ind w:left="6480" w:hanging="360"/>
      </w:pPr>
      <w:rPr>
        <w:rFonts w:ascii="Wingdings" w:hAnsi="Wingdings" w:hint="default"/>
      </w:rPr>
    </w:lvl>
  </w:abstractNum>
  <w:abstractNum w:abstractNumId="29" w15:restartNumberingAfterBreak="0">
    <w:nsid w:val="61C9374F"/>
    <w:multiLevelType w:val="hybridMultilevel"/>
    <w:tmpl w:val="0E565A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74FA4CCF"/>
    <w:multiLevelType w:val="hybridMultilevel"/>
    <w:tmpl w:val="33165EEC"/>
    <w:lvl w:ilvl="0" w:tplc="DC0EA928">
      <w:start w:val="1"/>
      <w:numFmt w:val="bullet"/>
      <w:lvlText w:val=""/>
      <w:lvlJc w:val="left"/>
      <w:pPr>
        <w:ind w:left="720" w:hanging="360"/>
      </w:pPr>
      <w:rPr>
        <w:rFonts w:ascii="Symbol" w:hAnsi="Symbol" w:hint="default"/>
      </w:rPr>
    </w:lvl>
    <w:lvl w:ilvl="1" w:tplc="D56E7580">
      <w:start w:val="1"/>
      <w:numFmt w:val="bullet"/>
      <w:lvlText w:val=""/>
      <w:lvlJc w:val="left"/>
      <w:pPr>
        <w:ind w:left="1440" w:hanging="360"/>
      </w:pPr>
      <w:rPr>
        <w:rFonts w:ascii="Symbol" w:hAnsi="Symbol" w:hint="default"/>
      </w:rPr>
    </w:lvl>
    <w:lvl w:ilvl="2" w:tplc="15F49678">
      <w:start w:val="1"/>
      <w:numFmt w:val="bullet"/>
      <w:lvlText w:val=""/>
      <w:lvlJc w:val="left"/>
      <w:pPr>
        <w:ind w:left="2160" w:hanging="360"/>
      </w:pPr>
      <w:rPr>
        <w:rFonts w:ascii="Wingdings" w:hAnsi="Wingdings" w:hint="default"/>
      </w:rPr>
    </w:lvl>
    <w:lvl w:ilvl="3" w:tplc="06207220">
      <w:start w:val="1"/>
      <w:numFmt w:val="bullet"/>
      <w:lvlText w:val=""/>
      <w:lvlJc w:val="left"/>
      <w:pPr>
        <w:ind w:left="2880" w:hanging="360"/>
      </w:pPr>
      <w:rPr>
        <w:rFonts w:ascii="Symbol" w:hAnsi="Symbol" w:hint="default"/>
      </w:rPr>
    </w:lvl>
    <w:lvl w:ilvl="4" w:tplc="B34CE542">
      <w:start w:val="1"/>
      <w:numFmt w:val="bullet"/>
      <w:lvlText w:val="o"/>
      <w:lvlJc w:val="left"/>
      <w:pPr>
        <w:ind w:left="3600" w:hanging="360"/>
      </w:pPr>
      <w:rPr>
        <w:rFonts w:ascii="Courier New" w:hAnsi="Courier New" w:hint="default"/>
      </w:rPr>
    </w:lvl>
    <w:lvl w:ilvl="5" w:tplc="C3541898">
      <w:start w:val="1"/>
      <w:numFmt w:val="bullet"/>
      <w:lvlText w:val=""/>
      <w:lvlJc w:val="left"/>
      <w:pPr>
        <w:ind w:left="4320" w:hanging="360"/>
      </w:pPr>
      <w:rPr>
        <w:rFonts w:ascii="Wingdings" w:hAnsi="Wingdings" w:hint="default"/>
      </w:rPr>
    </w:lvl>
    <w:lvl w:ilvl="6" w:tplc="E25A2E60">
      <w:start w:val="1"/>
      <w:numFmt w:val="bullet"/>
      <w:lvlText w:val=""/>
      <w:lvlJc w:val="left"/>
      <w:pPr>
        <w:ind w:left="5040" w:hanging="360"/>
      </w:pPr>
      <w:rPr>
        <w:rFonts w:ascii="Symbol" w:hAnsi="Symbol" w:hint="default"/>
      </w:rPr>
    </w:lvl>
    <w:lvl w:ilvl="7" w:tplc="6E1A5CD6">
      <w:start w:val="1"/>
      <w:numFmt w:val="bullet"/>
      <w:lvlText w:val="o"/>
      <w:lvlJc w:val="left"/>
      <w:pPr>
        <w:ind w:left="5760" w:hanging="360"/>
      </w:pPr>
      <w:rPr>
        <w:rFonts w:ascii="Courier New" w:hAnsi="Courier New" w:hint="default"/>
      </w:rPr>
    </w:lvl>
    <w:lvl w:ilvl="8" w:tplc="F18072C8">
      <w:start w:val="1"/>
      <w:numFmt w:val="bullet"/>
      <w:lvlText w:val=""/>
      <w:lvlJc w:val="left"/>
      <w:pPr>
        <w:ind w:left="6480" w:hanging="360"/>
      </w:pPr>
      <w:rPr>
        <w:rFonts w:ascii="Wingdings" w:hAnsi="Wingdings" w:hint="default"/>
      </w:rPr>
    </w:lvl>
  </w:abstractNum>
  <w:abstractNum w:abstractNumId="32" w15:restartNumberingAfterBreak="0">
    <w:nsid w:val="75F5A6F0"/>
    <w:multiLevelType w:val="hybridMultilevel"/>
    <w:tmpl w:val="85688C2C"/>
    <w:lvl w:ilvl="0" w:tplc="D55E0A24">
      <w:start w:val="1"/>
      <w:numFmt w:val="bullet"/>
      <w:lvlText w:val="•"/>
      <w:lvlJc w:val="left"/>
      <w:pPr>
        <w:ind w:left="720" w:hanging="360"/>
      </w:pPr>
      <w:rPr>
        <w:rFonts w:ascii="Calibri" w:hAnsi="Calibri" w:hint="default"/>
      </w:rPr>
    </w:lvl>
    <w:lvl w:ilvl="1" w:tplc="8A98654A">
      <w:start w:val="1"/>
      <w:numFmt w:val="bullet"/>
      <w:lvlText w:val="o"/>
      <w:lvlJc w:val="left"/>
      <w:pPr>
        <w:ind w:left="1440" w:hanging="360"/>
      </w:pPr>
      <w:rPr>
        <w:rFonts w:ascii="Courier New" w:hAnsi="Courier New" w:hint="default"/>
      </w:rPr>
    </w:lvl>
    <w:lvl w:ilvl="2" w:tplc="1CC4FD3C">
      <w:start w:val="1"/>
      <w:numFmt w:val="bullet"/>
      <w:lvlText w:val=""/>
      <w:lvlJc w:val="left"/>
      <w:pPr>
        <w:ind w:left="2160" w:hanging="360"/>
      </w:pPr>
      <w:rPr>
        <w:rFonts w:ascii="Wingdings" w:hAnsi="Wingdings" w:hint="default"/>
      </w:rPr>
    </w:lvl>
    <w:lvl w:ilvl="3" w:tplc="AA4A57A4">
      <w:start w:val="1"/>
      <w:numFmt w:val="bullet"/>
      <w:lvlText w:val=""/>
      <w:lvlJc w:val="left"/>
      <w:pPr>
        <w:ind w:left="2880" w:hanging="360"/>
      </w:pPr>
      <w:rPr>
        <w:rFonts w:ascii="Symbol" w:hAnsi="Symbol" w:hint="default"/>
      </w:rPr>
    </w:lvl>
    <w:lvl w:ilvl="4" w:tplc="97BA3A2A">
      <w:start w:val="1"/>
      <w:numFmt w:val="bullet"/>
      <w:lvlText w:val="o"/>
      <w:lvlJc w:val="left"/>
      <w:pPr>
        <w:ind w:left="3600" w:hanging="360"/>
      </w:pPr>
      <w:rPr>
        <w:rFonts w:ascii="Courier New" w:hAnsi="Courier New" w:hint="default"/>
      </w:rPr>
    </w:lvl>
    <w:lvl w:ilvl="5" w:tplc="EDF8D062">
      <w:start w:val="1"/>
      <w:numFmt w:val="bullet"/>
      <w:lvlText w:val=""/>
      <w:lvlJc w:val="left"/>
      <w:pPr>
        <w:ind w:left="4320" w:hanging="360"/>
      </w:pPr>
      <w:rPr>
        <w:rFonts w:ascii="Wingdings" w:hAnsi="Wingdings" w:hint="default"/>
      </w:rPr>
    </w:lvl>
    <w:lvl w:ilvl="6" w:tplc="D070EBF0">
      <w:start w:val="1"/>
      <w:numFmt w:val="bullet"/>
      <w:lvlText w:val=""/>
      <w:lvlJc w:val="left"/>
      <w:pPr>
        <w:ind w:left="5040" w:hanging="360"/>
      </w:pPr>
      <w:rPr>
        <w:rFonts w:ascii="Symbol" w:hAnsi="Symbol" w:hint="default"/>
      </w:rPr>
    </w:lvl>
    <w:lvl w:ilvl="7" w:tplc="DD6E775E">
      <w:start w:val="1"/>
      <w:numFmt w:val="bullet"/>
      <w:lvlText w:val="o"/>
      <w:lvlJc w:val="left"/>
      <w:pPr>
        <w:ind w:left="5760" w:hanging="360"/>
      </w:pPr>
      <w:rPr>
        <w:rFonts w:ascii="Courier New" w:hAnsi="Courier New" w:hint="default"/>
      </w:rPr>
    </w:lvl>
    <w:lvl w:ilvl="8" w:tplc="B788961C">
      <w:start w:val="1"/>
      <w:numFmt w:val="bullet"/>
      <w:lvlText w:val=""/>
      <w:lvlJc w:val="left"/>
      <w:pPr>
        <w:ind w:left="6480" w:hanging="360"/>
      </w:pPr>
      <w:rPr>
        <w:rFonts w:ascii="Wingdings" w:hAnsi="Wingdings" w:hint="default"/>
      </w:rPr>
    </w:lvl>
  </w:abstractNum>
  <w:abstractNum w:abstractNumId="33" w15:restartNumberingAfterBreak="0">
    <w:nsid w:val="7992DEB1"/>
    <w:multiLevelType w:val="hybridMultilevel"/>
    <w:tmpl w:val="DF9267EC"/>
    <w:lvl w:ilvl="0" w:tplc="3F1207CA">
      <w:start w:val="1"/>
      <w:numFmt w:val="bullet"/>
      <w:lvlText w:val="•"/>
      <w:lvlJc w:val="left"/>
      <w:pPr>
        <w:ind w:left="720" w:hanging="360"/>
      </w:pPr>
      <w:rPr>
        <w:rFonts w:ascii="Calibri" w:hAnsi="Calibri" w:hint="default"/>
      </w:rPr>
    </w:lvl>
    <w:lvl w:ilvl="1" w:tplc="36884650">
      <w:start w:val="1"/>
      <w:numFmt w:val="bullet"/>
      <w:lvlText w:val="o"/>
      <w:lvlJc w:val="left"/>
      <w:pPr>
        <w:ind w:left="1440" w:hanging="360"/>
      </w:pPr>
      <w:rPr>
        <w:rFonts w:ascii="Courier New" w:hAnsi="Courier New" w:hint="default"/>
      </w:rPr>
    </w:lvl>
    <w:lvl w:ilvl="2" w:tplc="D03A0246">
      <w:start w:val="1"/>
      <w:numFmt w:val="bullet"/>
      <w:lvlText w:val=""/>
      <w:lvlJc w:val="left"/>
      <w:pPr>
        <w:ind w:left="2160" w:hanging="360"/>
      </w:pPr>
      <w:rPr>
        <w:rFonts w:ascii="Wingdings" w:hAnsi="Wingdings" w:hint="default"/>
      </w:rPr>
    </w:lvl>
    <w:lvl w:ilvl="3" w:tplc="74461044">
      <w:start w:val="1"/>
      <w:numFmt w:val="bullet"/>
      <w:lvlText w:val=""/>
      <w:lvlJc w:val="left"/>
      <w:pPr>
        <w:ind w:left="2880" w:hanging="360"/>
      </w:pPr>
      <w:rPr>
        <w:rFonts w:ascii="Symbol" w:hAnsi="Symbol" w:hint="default"/>
      </w:rPr>
    </w:lvl>
    <w:lvl w:ilvl="4" w:tplc="61323662">
      <w:start w:val="1"/>
      <w:numFmt w:val="bullet"/>
      <w:lvlText w:val="o"/>
      <w:lvlJc w:val="left"/>
      <w:pPr>
        <w:ind w:left="3600" w:hanging="360"/>
      </w:pPr>
      <w:rPr>
        <w:rFonts w:ascii="Courier New" w:hAnsi="Courier New" w:hint="default"/>
      </w:rPr>
    </w:lvl>
    <w:lvl w:ilvl="5" w:tplc="DE68CD50">
      <w:start w:val="1"/>
      <w:numFmt w:val="bullet"/>
      <w:lvlText w:val=""/>
      <w:lvlJc w:val="left"/>
      <w:pPr>
        <w:ind w:left="4320" w:hanging="360"/>
      </w:pPr>
      <w:rPr>
        <w:rFonts w:ascii="Wingdings" w:hAnsi="Wingdings" w:hint="default"/>
      </w:rPr>
    </w:lvl>
    <w:lvl w:ilvl="6" w:tplc="EF52A1D8">
      <w:start w:val="1"/>
      <w:numFmt w:val="bullet"/>
      <w:lvlText w:val=""/>
      <w:lvlJc w:val="left"/>
      <w:pPr>
        <w:ind w:left="5040" w:hanging="360"/>
      </w:pPr>
      <w:rPr>
        <w:rFonts w:ascii="Symbol" w:hAnsi="Symbol" w:hint="default"/>
      </w:rPr>
    </w:lvl>
    <w:lvl w:ilvl="7" w:tplc="58FE629E">
      <w:start w:val="1"/>
      <w:numFmt w:val="bullet"/>
      <w:lvlText w:val="o"/>
      <w:lvlJc w:val="left"/>
      <w:pPr>
        <w:ind w:left="5760" w:hanging="360"/>
      </w:pPr>
      <w:rPr>
        <w:rFonts w:ascii="Courier New" w:hAnsi="Courier New" w:hint="default"/>
      </w:rPr>
    </w:lvl>
    <w:lvl w:ilvl="8" w:tplc="DD42E4D4">
      <w:start w:val="1"/>
      <w:numFmt w:val="bullet"/>
      <w:lvlText w:val=""/>
      <w:lvlJc w:val="left"/>
      <w:pPr>
        <w:ind w:left="6480" w:hanging="360"/>
      </w:pPr>
      <w:rPr>
        <w:rFonts w:ascii="Wingdings" w:hAnsi="Wingdings" w:hint="default"/>
      </w:rPr>
    </w:lvl>
  </w:abstractNum>
  <w:num w:numId="1" w16cid:durableId="1425758802">
    <w:abstractNumId w:val="32"/>
  </w:num>
  <w:num w:numId="2" w16cid:durableId="1247031925">
    <w:abstractNumId w:val="31"/>
  </w:num>
  <w:num w:numId="3" w16cid:durableId="2027514981">
    <w:abstractNumId w:val="13"/>
  </w:num>
  <w:num w:numId="4" w16cid:durableId="566961563">
    <w:abstractNumId w:val="33"/>
  </w:num>
  <w:num w:numId="5" w16cid:durableId="1799493159">
    <w:abstractNumId w:val="22"/>
  </w:num>
  <w:num w:numId="6" w16cid:durableId="370421628">
    <w:abstractNumId w:val="5"/>
  </w:num>
  <w:num w:numId="7" w16cid:durableId="1980721922">
    <w:abstractNumId w:val="28"/>
  </w:num>
  <w:num w:numId="8" w16cid:durableId="1834490137">
    <w:abstractNumId w:val="6"/>
  </w:num>
  <w:num w:numId="9" w16cid:durableId="343367379">
    <w:abstractNumId w:val="21"/>
  </w:num>
  <w:num w:numId="10" w16cid:durableId="12611974">
    <w:abstractNumId w:val="27"/>
  </w:num>
  <w:num w:numId="11" w16cid:durableId="1784690554">
    <w:abstractNumId w:val="19"/>
  </w:num>
  <w:num w:numId="12" w16cid:durableId="17321574">
    <w:abstractNumId w:val="3"/>
  </w:num>
  <w:num w:numId="13" w16cid:durableId="1706372312">
    <w:abstractNumId w:val="30"/>
  </w:num>
  <w:num w:numId="14" w16cid:durableId="336856639">
    <w:abstractNumId w:val="20"/>
  </w:num>
  <w:num w:numId="15" w16cid:durableId="1039622645">
    <w:abstractNumId w:val="26"/>
  </w:num>
  <w:num w:numId="16" w16cid:durableId="1175344802">
    <w:abstractNumId w:val="7"/>
  </w:num>
  <w:num w:numId="17" w16cid:durableId="1492063391">
    <w:abstractNumId w:val="14"/>
  </w:num>
  <w:num w:numId="18" w16cid:durableId="1423988520">
    <w:abstractNumId w:val="18"/>
  </w:num>
  <w:num w:numId="19" w16cid:durableId="1487819066">
    <w:abstractNumId w:val="11"/>
  </w:num>
  <w:num w:numId="20" w16cid:durableId="1767266028">
    <w:abstractNumId w:val="16"/>
  </w:num>
  <w:num w:numId="21" w16cid:durableId="1935744114">
    <w:abstractNumId w:val="15"/>
  </w:num>
  <w:num w:numId="22" w16cid:durableId="2041583179">
    <w:abstractNumId w:val="12"/>
  </w:num>
  <w:num w:numId="23" w16cid:durableId="1588420069">
    <w:abstractNumId w:val="10"/>
  </w:num>
  <w:num w:numId="24" w16cid:durableId="1661301602">
    <w:abstractNumId w:val="1"/>
  </w:num>
  <w:num w:numId="25" w16cid:durableId="885458382">
    <w:abstractNumId w:val="9"/>
  </w:num>
  <w:num w:numId="26" w16cid:durableId="1644388342">
    <w:abstractNumId w:val="29"/>
  </w:num>
  <w:num w:numId="27" w16cid:durableId="459955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64261936">
    <w:abstractNumId w:val="23"/>
  </w:num>
  <w:num w:numId="29" w16cid:durableId="1290668317">
    <w:abstractNumId w:val="17"/>
  </w:num>
  <w:num w:numId="30" w16cid:durableId="1536381927">
    <w:abstractNumId w:val="4"/>
  </w:num>
  <w:num w:numId="31" w16cid:durableId="72625216">
    <w:abstractNumId w:val="25"/>
  </w:num>
  <w:num w:numId="32" w16cid:durableId="1499268632">
    <w:abstractNumId w:val="24"/>
  </w:num>
  <w:num w:numId="33" w16cid:durableId="2054842693">
    <w:abstractNumId w:val="0"/>
  </w:num>
  <w:num w:numId="34" w16cid:durableId="1180969057">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S2MDc3NDEwNzAxNDdU0lEKTi0uzszPAykwqgUA3UBR1ywAAAA="/>
  </w:docVars>
  <w:rsids>
    <w:rsidRoot w:val="00314E7F"/>
    <w:rsid w:val="00000719"/>
    <w:rsid w:val="00000AC1"/>
    <w:rsid w:val="00001788"/>
    <w:rsid w:val="00002771"/>
    <w:rsid w:val="00002D68"/>
    <w:rsid w:val="000033F7"/>
    <w:rsid w:val="00003403"/>
    <w:rsid w:val="00005347"/>
    <w:rsid w:val="000072B6"/>
    <w:rsid w:val="0001021B"/>
    <w:rsid w:val="00010B4D"/>
    <w:rsid w:val="00010FC1"/>
    <w:rsid w:val="00011D89"/>
    <w:rsid w:val="000154FD"/>
    <w:rsid w:val="00020678"/>
    <w:rsid w:val="00021980"/>
    <w:rsid w:val="00022271"/>
    <w:rsid w:val="000235E8"/>
    <w:rsid w:val="00024D89"/>
    <w:rsid w:val="000250B6"/>
    <w:rsid w:val="00026888"/>
    <w:rsid w:val="00027C1F"/>
    <w:rsid w:val="00033D81"/>
    <w:rsid w:val="00033DC9"/>
    <w:rsid w:val="00035842"/>
    <w:rsid w:val="00037366"/>
    <w:rsid w:val="00041BF0"/>
    <w:rsid w:val="00042C8A"/>
    <w:rsid w:val="00043C11"/>
    <w:rsid w:val="0004536B"/>
    <w:rsid w:val="00045A85"/>
    <w:rsid w:val="00046B68"/>
    <w:rsid w:val="000527DD"/>
    <w:rsid w:val="000559C9"/>
    <w:rsid w:val="00056EC4"/>
    <w:rsid w:val="000578B2"/>
    <w:rsid w:val="00060959"/>
    <w:rsid w:val="00060C8F"/>
    <w:rsid w:val="0006298A"/>
    <w:rsid w:val="00065E08"/>
    <w:rsid w:val="000663CD"/>
    <w:rsid w:val="00071AE1"/>
    <w:rsid w:val="000720AC"/>
    <w:rsid w:val="000733FE"/>
    <w:rsid w:val="00074219"/>
    <w:rsid w:val="00074ED5"/>
    <w:rsid w:val="0008170F"/>
    <w:rsid w:val="000819BA"/>
    <w:rsid w:val="00081AEB"/>
    <w:rsid w:val="0008204A"/>
    <w:rsid w:val="0008508E"/>
    <w:rsid w:val="00087951"/>
    <w:rsid w:val="0009113B"/>
    <w:rsid w:val="00093402"/>
    <w:rsid w:val="000939ED"/>
    <w:rsid w:val="00094DA3"/>
    <w:rsid w:val="00096CD1"/>
    <w:rsid w:val="000A012C"/>
    <w:rsid w:val="000A0997"/>
    <w:rsid w:val="000A0EB9"/>
    <w:rsid w:val="000A0F5A"/>
    <w:rsid w:val="000A186C"/>
    <w:rsid w:val="000A1EA4"/>
    <w:rsid w:val="000A2476"/>
    <w:rsid w:val="000A641A"/>
    <w:rsid w:val="000B0296"/>
    <w:rsid w:val="000B3EDB"/>
    <w:rsid w:val="000B45D4"/>
    <w:rsid w:val="000B543D"/>
    <w:rsid w:val="000B55F9"/>
    <w:rsid w:val="000B5BF7"/>
    <w:rsid w:val="000B6BC8"/>
    <w:rsid w:val="000C0303"/>
    <w:rsid w:val="000C42EA"/>
    <w:rsid w:val="000C4546"/>
    <w:rsid w:val="000C5834"/>
    <w:rsid w:val="000D02EC"/>
    <w:rsid w:val="000D1242"/>
    <w:rsid w:val="000D2ABA"/>
    <w:rsid w:val="000D6FB0"/>
    <w:rsid w:val="000D79C4"/>
    <w:rsid w:val="000E0689"/>
    <w:rsid w:val="000E0970"/>
    <w:rsid w:val="000E3CC7"/>
    <w:rsid w:val="000E405A"/>
    <w:rsid w:val="000E6BD4"/>
    <w:rsid w:val="000E6D6D"/>
    <w:rsid w:val="000F1F1E"/>
    <w:rsid w:val="000F2259"/>
    <w:rsid w:val="000F2DDA"/>
    <w:rsid w:val="000F2EA0"/>
    <w:rsid w:val="000F5213"/>
    <w:rsid w:val="000F59DE"/>
    <w:rsid w:val="00101001"/>
    <w:rsid w:val="0010236C"/>
    <w:rsid w:val="00103276"/>
    <w:rsid w:val="0010392D"/>
    <w:rsid w:val="0010447F"/>
    <w:rsid w:val="00104FE3"/>
    <w:rsid w:val="00105CC3"/>
    <w:rsid w:val="0010714F"/>
    <w:rsid w:val="001120C5"/>
    <w:rsid w:val="00112C7C"/>
    <w:rsid w:val="00116596"/>
    <w:rsid w:val="00120BD3"/>
    <w:rsid w:val="00122FEA"/>
    <w:rsid w:val="001232BD"/>
    <w:rsid w:val="001242C1"/>
    <w:rsid w:val="00124ED5"/>
    <w:rsid w:val="001276FA"/>
    <w:rsid w:val="00127723"/>
    <w:rsid w:val="0012B94A"/>
    <w:rsid w:val="001324DD"/>
    <w:rsid w:val="001364AC"/>
    <w:rsid w:val="00142912"/>
    <w:rsid w:val="001447B3"/>
    <w:rsid w:val="00152073"/>
    <w:rsid w:val="00152329"/>
    <w:rsid w:val="00156598"/>
    <w:rsid w:val="00161939"/>
    <w:rsid w:val="00161AA0"/>
    <w:rsid w:val="00161D2E"/>
    <w:rsid w:val="00161F3E"/>
    <w:rsid w:val="00162093"/>
    <w:rsid w:val="00162CA9"/>
    <w:rsid w:val="00165459"/>
    <w:rsid w:val="00165A57"/>
    <w:rsid w:val="001708A9"/>
    <w:rsid w:val="00170E06"/>
    <w:rsid w:val="001712C2"/>
    <w:rsid w:val="00172BAF"/>
    <w:rsid w:val="00172ED0"/>
    <w:rsid w:val="0017674D"/>
    <w:rsid w:val="001771DD"/>
    <w:rsid w:val="00177995"/>
    <w:rsid w:val="00177A8C"/>
    <w:rsid w:val="00177F7C"/>
    <w:rsid w:val="00180A43"/>
    <w:rsid w:val="0018244E"/>
    <w:rsid w:val="00183356"/>
    <w:rsid w:val="00186B33"/>
    <w:rsid w:val="00192F9D"/>
    <w:rsid w:val="00196EB8"/>
    <w:rsid w:val="00196EFB"/>
    <w:rsid w:val="001979FF"/>
    <w:rsid w:val="00197B17"/>
    <w:rsid w:val="001A170A"/>
    <w:rsid w:val="001A1950"/>
    <w:rsid w:val="001A1C54"/>
    <w:rsid w:val="001A28FE"/>
    <w:rsid w:val="001A3ACE"/>
    <w:rsid w:val="001A4766"/>
    <w:rsid w:val="001A6272"/>
    <w:rsid w:val="001B058F"/>
    <w:rsid w:val="001B6B65"/>
    <w:rsid w:val="001B6B96"/>
    <w:rsid w:val="001B738B"/>
    <w:rsid w:val="001C09DB"/>
    <w:rsid w:val="001C277E"/>
    <w:rsid w:val="001C2A72"/>
    <w:rsid w:val="001C31B7"/>
    <w:rsid w:val="001C7128"/>
    <w:rsid w:val="001D0B75"/>
    <w:rsid w:val="001D2745"/>
    <w:rsid w:val="001D3007"/>
    <w:rsid w:val="001D39A5"/>
    <w:rsid w:val="001D3C09"/>
    <w:rsid w:val="001D44E8"/>
    <w:rsid w:val="001D5B14"/>
    <w:rsid w:val="001D60EC"/>
    <w:rsid w:val="001D6F59"/>
    <w:rsid w:val="001D70B9"/>
    <w:rsid w:val="001E44DF"/>
    <w:rsid w:val="001E68A5"/>
    <w:rsid w:val="001E6BB0"/>
    <w:rsid w:val="001E7282"/>
    <w:rsid w:val="001E7CE9"/>
    <w:rsid w:val="001F3826"/>
    <w:rsid w:val="001F57BD"/>
    <w:rsid w:val="001F6E46"/>
    <w:rsid w:val="001F7C91"/>
    <w:rsid w:val="00200267"/>
    <w:rsid w:val="002033B7"/>
    <w:rsid w:val="002037E6"/>
    <w:rsid w:val="00204CFD"/>
    <w:rsid w:val="00206463"/>
    <w:rsid w:val="00206F2F"/>
    <w:rsid w:val="00207717"/>
    <w:rsid w:val="0021053D"/>
    <w:rsid w:val="002105B7"/>
    <w:rsid w:val="00210A92"/>
    <w:rsid w:val="002112FE"/>
    <w:rsid w:val="00212B95"/>
    <w:rsid w:val="00215CC8"/>
    <w:rsid w:val="00216C03"/>
    <w:rsid w:val="00220A1A"/>
    <w:rsid w:val="00220C04"/>
    <w:rsid w:val="0022278D"/>
    <w:rsid w:val="0022701F"/>
    <w:rsid w:val="00227C68"/>
    <w:rsid w:val="002333F5"/>
    <w:rsid w:val="00233724"/>
    <w:rsid w:val="002365B4"/>
    <w:rsid w:val="00242541"/>
    <w:rsid w:val="002432E1"/>
    <w:rsid w:val="00246207"/>
    <w:rsid w:val="00246C5E"/>
    <w:rsid w:val="002474D2"/>
    <w:rsid w:val="00250960"/>
    <w:rsid w:val="00251343"/>
    <w:rsid w:val="002536A4"/>
    <w:rsid w:val="00253A3E"/>
    <w:rsid w:val="002540F2"/>
    <w:rsid w:val="00254F58"/>
    <w:rsid w:val="002600BD"/>
    <w:rsid w:val="002620BC"/>
    <w:rsid w:val="00262802"/>
    <w:rsid w:val="00263A90"/>
    <w:rsid w:val="0026408B"/>
    <w:rsid w:val="00267C3E"/>
    <w:rsid w:val="002709BB"/>
    <w:rsid w:val="0027131C"/>
    <w:rsid w:val="00273BAC"/>
    <w:rsid w:val="00275B09"/>
    <w:rsid w:val="002763B3"/>
    <w:rsid w:val="002802E3"/>
    <w:rsid w:val="002808D6"/>
    <w:rsid w:val="0028213D"/>
    <w:rsid w:val="00282A7F"/>
    <w:rsid w:val="00285C7B"/>
    <w:rsid w:val="002862F1"/>
    <w:rsid w:val="00287A18"/>
    <w:rsid w:val="00291373"/>
    <w:rsid w:val="0029597D"/>
    <w:rsid w:val="002962C3"/>
    <w:rsid w:val="00296E34"/>
    <w:rsid w:val="0029752B"/>
    <w:rsid w:val="002A0A9C"/>
    <w:rsid w:val="002A483C"/>
    <w:rsid w:val="002B0C7C"/>
    <w:rsid w:val="002B108A"/>
    <w:rsid w:val="002B1729"/>
    <w:rsid w:val="002B2ACE"/>
    <w:rsid w:val="002B36B7"/>
    <w:rsid w:val="002B36C7"/>
    <w:rsid w:val="002B3D58"/>
    <w:rsid w:val="002B4DD4"/>
    <w:rsid w:val="002B5277"/>
    <w:rsid w:val="002B5375"/>
    <w:rsid w:val="002B66E1"/>
    <w:rsid w:val="002B6A28"/>
    <w:rsid w:val="002B77C1"/>
    <w:rsid w:val="002C0ED7"/>
    <w:rsid w:val="002C2728"/>
    <w:rsid w:val="002C5B7C"/>
    <w:rsid w:val="002D0A87"/>
    <w:rsid w:val="002D1E0D"/>
    <w:rsid w:val="002D5006"/>
    <w:rsid w:val="002D7C61"/>
    <w:rsid w:val="002E01D0"/>
    <w:rsid w:val="002E0EB9"/>
    <w:rsid w:val="002E13B7"/>
    <w:rsid w:val="002E161D"/>
    <w:rsid w:val="002E28A2"/>
    <w:rsid w:val="002E29D9"/>
    <w:rsid w:val="002E3100"/>
    <w:rsid w:val="002E6C95"/>
    <w:rsid w:val="002E7C09"/>
    <w:rsid w:val="002E7C36"/>
    <w:rsid w:val="002F0627"/>
    <w:rsid w:val="002F3D32"/>
    <w:rsid w:val="002F5F31"/>
    <w:rsid w:val="002F5F46"/>
    <w:rsid w:val="00302216"/>
    <w:rsid w:val="00303E53"/>
    <w:rsid w:val="00305C86"/>
    <w:rsid w:val="00305CC1"/>
    <w:rsid w:val="00306E5F"/>
    <w:rsid w:val="00307E14"/>
    <w:rsid w:val="00314054"/>
    <w:rsid w:val="00314E7F"/>
    <w:rsid w:val="00316F27"/>
    <w:rsid w:val="00317888"/>
    <w:rsid w:val="0032019A"/>
    <w:rsid w:val="003211E2"/>
    <w:rsid w:val="003214F1"/>
    <w:rsid w:val="003217CE"/>
    <w:rsid w:val="00322E4B"/>
    <w:rsid w:val="00327870"/>
    <w:rsid w:val="0033259D"/>
    <w:rsid w:val="003333D2"/>
    <w:rsid w:val="00334686"/>
    <w:rsid w:val="00337339"/>
    <w:rsid w:val="00340345"/>
    <w:rsid w:val="003406C6"/>
    <w:rsid w:val="003418CC"/>
    <w:rsid w:val="003421CB"/>
    <w:rsid w:val="003434EE"/>
    <w:rsid w:val="003459BD"/>
    <w:rsid w:val="00345DC2"/>
    <w:rsid w:val="00350D38"/>
    <w:rsid w:val="00351B36"/>
    <w:rsid w:val="00355670"/>
    <w:rsid w:val="00357B4E"/>
    <w:rsid w:val="003604F1"/>
    <w:rsid w:val="003716FD"/>
    <w:rsid w:val="0037204B"/>
    <w:rsid w:val="003744CF"/>
    <w:rsid w:val="00374717"/>
    <w:rsid w:val="0037676C"/>
    <w:rsid w:val="00381043"/>
    <w:rsid w:val="0038187B"/>
    <w:rsid w:val="003829E5"/>
    <w:rsid w:val="00386109"/>
    <w:rsid w:val="00386944"/>
    <w:rsid w:val="003871A3"/>
    <w:rsid w:val="00393559"/>
    <w:rsid w:val="0039521B"/>
    <w:rsid w:val="003956CC"/>
    <w:rsid w:val="00395C9A"/>
    <w:rsid w:val="003964F6"/>
    <w:rsid w:val="0039737B"/>
    <w:rsid w:val="003A0853"/>
    <w:rsid w:val="003A6B67"/>
    <w:rsid w:val="003B0C30"/>
    <w:rsid w:val="003B13B6"/>
    <w:rsid w:val="003B14C3"/>
    <w:rsid w:val="003B15E6"/>
    <w:rsid w:val="003B22EF"/>
    <w:rsid w:val="003B408A"/>
    <w:rsid w:val="003C059A"/>
    <w:rsid w:val="003C08A2"/>
    <w:rsid w:val="003C2045"/>
    <w:rsid w:val="003C3176"/>
    <w:rsid w:val="003C3288"/>
    <w:rsid w:val="003C43A1"/>
    <w:rsid w:val="003C4FC0"/>
    <w:rsid w:val="003C55F4"/>
    <w:rsid w:val="003C7897"/>
    <w:rsid w:val="003C7A3F"/>
    <w:rsid w:val="003D2766"/>
    <w:rsid w:val="003D2A74"/>
    <w:rsid w:val="003D3D88"/>
    <w:rsid w:val="003D3E8F"/>
    <w:rsid w:val="003D4454"/>
    <w:rsid w:val="003D6475"/>
    <w:rsid w:val="003D6EE6"/>
    <w:rsid w:val="003E375C"/>
    <w:rsid w:val="003E4086"/>
    <w:rsid w:val="003E5158"/>
    <w:rsid w:val="003E639E"/>
    <w:rsid w:val="003E71E5"/>
    <w:rsid w:val="003F0445"/>
    <w:rsid w:val="003F0CF0"/>
    <w:rsid w:val="003F14B1"/>
    <w:rsid w:val="003F2B20"/>
    <w:rsid w:val="003F3289"/>
    <w:rsid w:val="003F3C62"/>
    <w:rsid w:val="003F5CB9"/>
    <w:rsid w:val="003F7B13"/>
    <w:rsid w:val="00400338"/>
    <w:rsid w:val="00400F16"/>
    <w:rsid w:val="004013C7"/>
    <w:rsid w:val="00401FCF"/>
    <w:rsid w:val="00406285"/>
    <w:rsid w:val="004100C7"/>
    <w:rsid w:val="004115A2"/>
    <w:rsid w:val="004148F9"/>
    <w:rsid w:val="00416C83"/>
    <w:rsid w:val="00417BF4"/>
    <w:rsid w:val="0042084E"/>
    <w:rsid w:val="00421EEF"/>
    <w:rsid w:val="00423C09"/>
    <w:rsid w:val="00424D65"/>
    <w:rsid w:val="0042526D"/>
    <w:rsid w:val="00430393"/>
    <w:rsid w:val="004309AD"/>
    <w:rsid w:val="00431806"/>
    <w:rsid w:val="00431A70"/>
    <w:rsid w:val="00431F42"/>
    <w:rsid w:val="00434017"/>
    <w:rsid w:val="00435AB7"/>
    <w:rsid w:val="00435D54"/>
    <w:rsid w:val="0044031C"/>
    <w:rsid w:val="00441DFE"/>
    <w:rsid w:val="00442C6C"/>
    <w:rsid w:val="00443CBE"/>
    <w:rsid w:val="00443E8A"/>
    <w:rsid w:val="004441BC"/>
    <w:rsid w:val="0044539B"/>
    <w:rsid w:val="004468B4"/>
    <w:rsid w:val="00446D86"/>
    <w:rsid w:val="004476FE"/>
    <w:rsid w:val="004501C5"/>
    <w:rsid w:val="0045066B"/>
    <w:rsid w:val="0045230A"/>
    <w:rsid w:val="00454AD0"/>
    <w:rsid w:val="00455B76"/>
    <w:rsid w:val="00457337"/>
    <w:rsid w:val="00460D6E"/>
    <w:rsid w:val="00462E3D"/>
    <w:rsid w:val="00466829"/>
    <w:rsid w:val="00466E79"/>
    <w:rsid w:val="00467021"/>
    <w:rsid w:val="00470D7D"/>
    <w:rsid w:val="004720B6"/>
    <w:rsid w:val="0047372D"/>
    <w:rsid w:val="00473BA3"/>
    <w:rsid w:val="004743DD"/>
    <w:rsid w:val="00474CEA"/>
    <w:rsid w:val="004828E3"/>
    <w:rsid w:val="00483968"/>
    <w:rsid w:val="004841BE"/>
    <w:rsid w:val="00484F86"/>
    <w:rsid w:val="00490746"/>
    <w:rsid w:val="00490852"/>
    <w:rsid w:val="00491298"/>
    <w:rsid w:val="004916C7"/>
    <w:rsid w:val="00491C9C"/>
    <w:rsid w:val="00492F30"/>
    <w:rsid w:val="004946F4"/>
    <w:rsid w:val="0049487E"/>
    <w:rsid w:val="00497110"/>
    <w:rsid w:val="004A160D"/>
    <w:rsid w:val="004A1EDD"/>
    <w:rsid w:val="004A3E81"/>
    <w:rsid w:val="004A401B"/>
    <w:rsid w:val="004A4195"/>
    <w:rsid w:val="004A4585"/>
    <w:rsid w:val="004A5C62"/>
    <w:rsid w:val="004A5CE5"/>
    <w:rsid w:val="004A707D"/>
    <w:rsid w:val="004B0974"/>
    <w:rsid w:val="004B301D"/>
    <w:rsid w:val="004B4185"/>
    <w:rsid w:val="004C014B"/>
    <w:rsid w:val="004C5541"/>
    <w:rsid w:val="004C6EEE"/>
    <w:rsid w:val="004C702B"/>
    <w:rsid w:val="004D0033"/>
    <w:rsid w:val="004D016B"/>
    <w:rsid w:val="004D1B22"/>
    <w:rsid w:val="004D23CC"/>
    <w:rsid w:val="004D36F2"/>
    <w:rsid w:val="004D765C"/>
    <w:rsid w:val="004E1106"/>
    <w:rsid w:val="004E138F"/>
    <w:rsid w:val="004E4649"/>
    <w:rsid w:val="004E51DA"/>
    <w:rsid w:val="004E5C2B"/>
    <w:rsid w:val="004F00DD"/>
    <w:rsid w:val="004F2133"/>
    <w:rsid w:val="004F5398"/>
    <w:rsid w:val="004F55F1"/>
    <w:rsid w:val="004F6936"/>
    <w:rsid w:val="00501E57"/>
    <w:rsid w:val="00503DC6"/>
    <w:rsid w:val="00506F5D"/>
    <w:rsid w:val="00507C02"/>
    <w:rsid w:val="005100BD"/>
    <w:rsid w:val="00510C37"/>
    <w:rsid w:val="005126D0"/>
    <w:rsid w:val="00514556"/>
    <w:rsid w:val="00514667"/>
    <w:rsid w:val="0051568D"/>
    <w:rsid w:val="00517D66"/>
    <w:rsid w:val="00526AC7"/>
    <w:rsid w:val="00526C15"/>
    <w:rsid w:val="00526F61"/>
    <w:rsid w:val="0053224A"/>
    <w:rsid w:val="00534B01"/>
    <w:rsid w:val="00536499"/>
    <w:rsid w:val="005373F6"/>
    <w:rsid w:val="00537B40"/>
    <w:rsid w:val="00542A03"/>
    <w:rsid w:val="00543903"/>
    <w:rsid w:val="00543BCC"/>
    <w:rsid w:val="00543F11"/>
    <w:rsid w:val="005446A1"/>
    <w:rsid w:val="00546305"/>
    <w:rsid w:val="00547A95"/>
    <w:rsid w:val="0055119B"/>
    <w:rsid w:val="00560D97"/>
    <w:rsid w:val="00561202"/>
    <w:rsid w:val="00562507"/>
    <w:rsid w:val="00562811"/>
    <w:rsid w:val="00566C0C"/>
    <w:rsid w:val="0057158A"/>
    <w:rsid w:val="00571DFF"/>
    <w:rsid w:val="00572031"/>
    <w:rsid w:val="00572282"/>
    <w:rsid w:val="00573CE3"/>
    <w:rsid w:val="00576A37"/>
    <w:rsid w:val="00576E84"/>
    <w:rsid w:val="00580394"/>
    <w:rsid w:val="005809CD"/>
    <w:rsid w:val="00582B8C"/>
    <w:rsid w:val="00583DBE"/>
    <w:rsid w:val="0058757E"/>
    <w:rsid w:val="00596A4B"/>
    <w:rsid w:val="00597507"/>
    <w:rsid w:val="005976E1"/>
    <w:rsid w:val="005A181E"/>
    <w:rsid w:val="005A479D"/>
    <w:rsid w:val="005B1C6D"/>
    <w:rsid w:val="005B21B6"/>
    <w:rsid w:val="005B3A08"/>
    <w:rsid w:val="005B6AB9"/>
    <w:rsid w:val="005B7320"/>
    <w:rsid w:val="005B7A63"/>
    <w:rsid w:val="005C0955"/>
    <w:rsid w:val="005C0E96"/>
    <w:rsid w:val="005C49DA"/>
    <w:rsid w:val="005C50F3"/>
    <w:rsid w:val="005C54B5"/>
    <w:rsid w:val="005C5D80"/>
    <w:rsid w:val="005C5D91"/>
    <w:rsid w:val="005C70A9"/>
    <w:rsid w:val="005D00D1"/>
    <w:rsid w:val="005D07B8"/>
    <w:rsid w:val="005D1692"/>
    <w:rsid w:val="005D6597"/>
    <w:rsid w:val="005D7B05"/>
    <w:rsid w:val="005E14E7"/>
    <w:rsid w:val="005E207A"/>
    <w:rsid w:val="005E26A3"/>
    <w:rsid w:val="005E2ECB"/>
    <w:rsid w:val="005E447E"/>
    <w:rsid w:val="005E4FD1"/>
    <w:rsid w:val="005F0775"/>
    <w:rsid w:val="005F0CF5"/>
    <w:rsid w:val="005F13EC"/>
    <w:rsid w:val="005F21EB"/>
    <w:rsid w:val="005F5E50"/>
    <w:rsid w:val="005F64CF"/>
    <w:rsid w:val="006041AD"/>
    <w:rsid w:val="00605908"/>
    <w:rsid w:val="006067C0"/>
    <w:rsid w:val="00607850"/>
    <w:rsid w:val="00607EF7"/>
    <w:rsid w:val="00610D7C"/>
    <w:rsid w:val="006130F1"/>
    <w:rsid w:val="00613414"/>
    <w:rsid w:val="00620154"/>
    <w:rsid w:val="006231BA"/>
    <w:rsid w:val="0062408D"/>
    <w:rsid w:val="006240CC"/>
    <w:rsid w:val="00624940"/>
    <w:rsid w:val="006254F8"/>
    <w:rsid w:val="00627DA7"/>
    <w:rsid w:val="00630D4C"/>
    <w:rsid w:val="00630DA4"/>
    <w:rsid w:val="00631566"/>
    <w:rsid w:val="00631CD4"/>
    <w:rsid w:val="00632597"/>
    <w:rsid w:val="00632614"/>
    <w:rsid w:val="00634D13"/>
    <w:rsid w:val="006358B4"/>
    <w:rsid w:val="00641724"/>
    <w:rsid w:val="006419AA"/>
    <w:rsid w:val="00644B1F"/>
    <w:rsid w:val="00644B7E"/>
    <w:rsid w:val="006454E6"/>
    <w:rsid w:val="00646235"/>
    <w:rsid w:val="00646A68"/>
    <w:rsid w:val="006505BD"/>
    <w:rsid w:val="006508EA"/>
    <w:rsid w:val="0065092E"/>
    <w:rsid w:val="00652546"/>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901E2"/>
    <w:rsid w:val="00691B62"/>
    <w:rsid w:val="006933B5"/>
    <w:rsid w:val="00693546"/>
    <w:rsid w:val="00693D14"/>
    <w:rsid w:val="00696F27"/>
    <w:rsid w:val="006A18C2"/>
    <w:rsid w:val="006A2717"/>
    <w:rsid w:val="006A3383"/>
    <w:rsid w:val="006A3D27"/>
    <w:rsid w:val="006A5C61"/>
    <w:rsid w:val="006A73C1"/>
    <w:rsid w:val="006B077C"/>
    <w:rsid w:val="006B0C81"/>
    <w:rsid w:val="006B4542"/>
    <w:rsid w:val="006B5619"/>
    <w:rsid w:val="006B6803"/>
    <w:rsid w:val="006C5BEA"/>
    <w:rsid w:val="006D0F16"/>
    <w:rsid w:val="006D198C"/>
    <w:rsid w:val="006D2A3F"/>
    <w:rsid w:val="006D2EBA"/>
    <w:rsid w:val="006D2FBC"/>
    <w:rsid w:val="006D3EF9"/>
    <w:rsid w:val="006D6E34"/>
    <w:rsid w:val="006E138B"/>
    <w:rsid w:val="006E1867"/>
    <w:rsid w:val="006E1CB6"/>
    <w:rsid w:val="006E4730"/>
    <w:rsid w:val="006E5FEB"/>
    <w:rsid w:val="006F0330"/>
    <w:rsid w:val="006F1FDC"/>
    <w:rsid w:val="006F2810"/>
    <w:rsid w:val="006F3492"/>
    <w:rsid w:val="006F6B76"/>
    <w:rsid w:val="006F6B8C"/>
    <w:rsid w:val="007013EF"/>
    <w:rsid w:val="007016C0"/>
    <w:rsid w:val="00704B3B"/>
    <w:rsid w:val="00704B40"/>
    <w:rsid w:val="007055BD"/>
    <w:rsid w:val="007100B0"/>
    <w:rsid w:val="00710372"/>
    <w:rsid w:val="007114FA"/>
    <w:rsid w:val="00713AE0"/>
    <w:rsid w:val="00713CF0"/>
    <w:rsid w:val="007173CA"/>
    <w:rsid w:val="007216AA"/>
    <w:rsid w:val="00721AB5"/>
    <w:rsid w:val="00721CFB"/>
    <w:rsid w:val="00721DEF"/>
    <w:rsid w:val="00721E35"/>
    <w:rsid w:val="00724A43"/>
    <w:rsid w:val="0072640F"/>
    <w:rsid w:val="007265FD"/>
    <w:rsid w:val="007273AC"/>
    <w:rsid w:val="00731AD4"/>
    <w:rsid w:val="0073275B"/>
    <w:rsid w:val="007346E4"/>
    <w:rsid w:val="00735564"/>
    <w:rsid w:val="00740D55"/>
    <w:rsid w:val="00740F22"/>
    <w:rsid w:val="00741CF0"/>
    <w:rsid w:val="00741F1A"/>
    <w:rsid w:val="00742D26"/>
    <w:rsid w:val="007447DA"/>
    <w:rsid w:val="007450F8"/>
    <w:rsid w:val="0074696E"/>
    <w:rsid w:val="00746D5D"/>
    <w:rsid w:val="00747D22"/>
    <w:rsid w:val="00750135"/>
    <w:rsid w:val="00750EC2"/>
    <w:rsid w:val="007516E6"/>
    <w:rsid w:val="00752B28"/>
    <w:rsid w:val="007536BC"/>
    <w:rsid w:val="007541A9"/>
    <w:rsid w:val="00754E36"/>
    <w:rsid w:val="00763139"/>
    <w:rsid w:val="0076749D"/>
    <w:rsid w:val="00770F37"/>
    <w:rsid w:val="007711A0"/>
    <w:rsid w:val="00772D5E"/>
    <w:rsid w:val="0077463E"/>
    <w:rsid w:val="00776928"/>
    <w:rsid w:val="00776D56"/>
    <w:rsid w:val="00776E0F"/>
    <w:rsid w:val="007774B1"/>
    <w:rsid w:val="00777BE1"/>
    <w:rsid w:val="00781FFF"/>
    <w:rsid w:val="00782222"/>
    <w:rsid w:val="007833D8"/>
    <w:rsid w:val="00785677"/>
    <w:rsid w:val="00786610"/>
    <w:rsid w:val="00786F16"/>
    <w:rsid w:val="00791BD7"/>
    <w:rsid w:val="007933F7"/>
    <w:rsid w:val="00794F1C"/>
    <w:rsid w:val="007954D6"/>
    <w:rsid w:val="00796E20"/>
    <w:rsid w:val="00797C32"/>
    <w:rsid w:val="007A11E8"/>
    <w:rsid w:val="007B0914"/>
    <w:rsid w:val="007B1374"/>
    <w:rsid w:val="007B32E5"/>
    <w:rsid w:val="007B3DB9"/>
    <w:rsid w:val="007B589F"/>
    <w:rsid w:val="007B6186"/>
    <w:rsid w:val="007B73BC"/>
    <w:rsid w:val="007C1838"/>
    <w:rsid w:val="007C20B9"/>
    <w:rsid w:val="007C424F"/>
    <w:rsid w:val="007C7301"/>
    <w:rsid w:val="007C7859"/>
    <w:rsid w:val="007C7F28"/>
    <w:rsid w:val="007D1466"/>
    <w:rsid w:val="007D2BDE"/>
    <w:rsid w:val="007D2FB6"/>
    <w:rsid w:val="007D49EB"/>
    <w:rsid w:val="007D4BA1"/>
    <w:rsid w:val="007D5E1C"/>
    <w:rsid w:val="007D5F06"/>
    <w:rsid w:val="007D7FB5"/>
    <w:rsid w:val="007E003A"/>
    <w:rsid w:val="007E0DE2"/>
    <w:rsid w:val="007E3667"/>
    <w:rsid w:val="007E3B98"/>
    <w:rsid w:val="007E417A"/>
    <w:rsid w:val="007E79A7"/>
    <w:rsid w:val="007F31B6"/>
    <w:rsid w:val="007F546C"/>
    <w:rsid w:val="007F61A7"/>
    <w:rsid w:val="007F625F"/>
    <w:rsid w:val="007F665E"/>
    <w:rsid w:val="00800412"/>
    <w:rsid w:val="0080587B"/>
    <w:rsid w:val="00805D6E"/>
    <w:rsid w:val="00806468"/>
    <w:rsid w:val="00807461"/>
    <w:rsid w:val="0080781E"/>
    <w:rsid w:val="008119CA"/>
    <w:rsid w:val="008130C4"/>
    <w:rsid w:val="008155F0"/>
    <w:rsid w:val="00816735"/>
    <w:rsid w:val="00816760"/>
    <w:rsid w:val="00820141"/>
    <w:rsid w:val="008207AF"/>
    <w:rsid w:val="00820E0C"/>
    <w:rsid w:val="00823275"/>
    <w:rsid w:val="0082366F"/>
    <w:rsid w:val="0082387F"/>
    <w:rsid w:val="00823D91"/>
    <w:rsid w:val="00825DE5"/>
    <w:rsid w:val="0083175F"/>
    <w:rsid w:val="00831B47"/>
    <w:rsid w:val="008338A2"/>
    <w:rsid w:val="00841AA9"/>
    <w:rsid w:val="008474FE"/>
    <w:rsid w:val="008531B7"/>
    <w:rsid w:val="00853EE4"/>
    <w:rsid w:val="00855535"/>
    <w:rsid w:val="00857C5A"/>
    <w:rsid w:val="0086255E"/>
    <w:rsid w:val="008633F0"/>
    <w:rsid w:val="00863B7C"/>
    <w:rsid w:val="00867D9D"/>
    <w:rsid w:val="0087115E"/>
    <w:rsid w:val="00872E0A"/>
    <w:rsid w:val="00873594"/>
    <w:rsid w:val="00875285"/>
    <w:rsid w:val="00876B35"/>
    <w:rsid w:val="00877635"/>
    <w:rsid w:val="00884034"/>
    <w:rsid w:val="00884B62"/>
    <w:rsid w:val="0088520E"/>
    <w:rsid w:val="0088529C"/>
    <w:rsid w:val="008872C1"/>
    <w:rsid w:val="00887903"/>
    <w:rsid w:val="0089270A"/>
    <w:rsid w:val="00893AF6"/>
    <w:rsid w:val="00894BC4"/>
    <w:rsid w:val="00895756"/>
    <w:rsid w:val="00896890"/>
    <w:rsid w:val="008A09F8"/>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34B"/>
    <w:rsid w:val="008D66C1"/>
    <w:rsid w:val="008D67A3"/>
    <w:rsid w:val="008D6DCF"/>
    <w:rsid w:val="008E4376"/>
    <w:rsid w:val="008E6B76"/>
    <w:rsid w:val="008E7807"/>
    <w:rsid w:val="008E7A0A"/>
    <w:rsid w:val="008E7B49"/>
    <w:rsid w:val="008F03A8"/>
    <w:rsid w:val="008F3CB3"/>
    <w:rsid w:val="008F58DC"/>
    <w:rsid w:val="008F59F6"/>
    <w:rsid w:val="009002E1"/>
    <w:rsid w:val="00900719"/>
    <w:rsid w:val="009017AC"/>
    <w:rsid w:val="009028EE"/>
    <w:rsid w:val="00902A9A"/>
    <w:rsid w:val="00904A1C"/>
    <w:rsid w:val="00905030"/>
    <w:rsid w:val="00906490"/>
    <w:rsid w:val="00910699"/>
    <w:rsid w:val="009111B2"/>
    <w:rsid w:val="009129CC"/>
    <w:rsid w:val="00913344"/>
    <w:rsid w:val="009151F5"/>
    <w:rsid w:val="00916BF3"/>
    <w:rsid w:val="0092360A"/>
    <w:rsid w:val="00923727"/>
    <w:rsid w:val="00924AE1"/>
    <w:rsid w:val="00924B57"/>
    <w:rsid w:val="009269B1"/>
    <w:rsid w:val="0092724D"/>
    <w:rsid w:val="009272B3"/>
    <w:rsid w:val="009315BE"/>
    <w:rsid w:val="009326DD"/>
    <w:rsid w:val="0093338F"/>
    <w:rsid w:val="00937BD9"/>
    <w:rsid w:val="00950E2C"/>
    <w:rsid w:val="00951D50"/>
    <w:rsid w:val="009525EB"/>
    <w:rsid w:val="0095470B"/>
    <w:rsid w:val="00954874"/>
    <w:rsid w:val="0095615A"/>
    <w:rsid w:val="00961400"/>
    <w:rsid w:val="0096278F"/>
    <w:rsid w:val="009632F5"/>
    <w:rsid w:val="00963646"/>
    <w:rsid w:val="0096506F"/>
    <w:rsid w:val="0096632D"/>
    <w:rsid w:val="00967124"/>
    <w:rsid w:val="00970000"/>
    <w:rsid w:val="0097138F"/>
    <w:rsid w:val="0097166C"/>
    <w:rsid w:val="009718C7"/>
    <w:rsid w:val="0097559F"/>
    <w:rsid w:val="009761EA"/>
    <w:rsid w:val="0097761E"/>
    <w:rsid w:val="00982454"/>
    <w:rsid w:val="00982CF0"/>
    <w:rsid w:val="009853E1"/>
    <w:rsid w:val="00986E6B"/>
    <w:rsid w:val="0098701B"/>
    <w:rsid w:val="00990032"/>
    <w:rsid w:val="00990B19"/>
    <w:rsid w:val="0099153B"/>
    <w:rsid w:val="00991769"/>
    <w:rsid w:val="0099232C"/>
    <w:rsid w:val="009929E8"/>
    <w:rsid w:val="00994386"/>
    <w:rsid w:val="009A13D8"/>
    <w:rsid w:val="009A279E"/>
    <w:rsid w:val="009A3015"/>
    <w:rsid w:val="009A3490"/>
    <w:rsid w:val="009A3ACF"/>
    <w:rsid w:val="009A5F24"/>
    <w:rsid w:val="009B05FD"/>
    <w:rsid w:val="009B0A6F"/>
    <w:rsid w:val="009B0A94"/>
    <w:rsid w:val="009B0C62"/>
    <w:rsid w:val="009B1D42"/>
    <w:rsid w:val="009B2AE8"/>
    <w:rsid w:val="009B5622"/>
    <w:rsid w:val="009B59E9"/>
    <w:rsid w:val="009B70AA"/>
    <w:rsid w:val="009C0EBE"/>
    <w:rsid w:val="009C245E"/>
    <w:rsid w:val="009C3CF1"/>
    <w:rsid w:val="009C5E77"/>
    <w:rsid w:val="009C7A7E"/>
    <w:rsid w:val="009D02E8"/>
    <w:rsid w:val="009D328F"/>
    <w:rsid w:val="009D51D0"/>
    <w:rsid w:val="009D70A4"/>
    <w:rsid w:val="009D7B14"/>
    <w:rsid w:val="009E08D1"/>
    <w:rsid w:val="009E0D96"/>
    <w:rsid w:val="009E1B95"/>
    <w:rsid w:val="009E496F"/>
    <w:rsid w:val="009E4B0D"/>
    <w:rsid w:val="009E5250"/>
    <w:rsid w:val="009E707A"/>
    <w:rsid w:val="009E70A1"/>
    <w:rsid w:val="009E7A69"/>
    <w:rsid w:val="009E7F92"/>
    <w:rsid w:val="009F02A3"/>
    <w:rsid w:val="009F2182"/>
    <w:rsid w:val="009F2F27"/>
    <w:rsid w:val="009F34AA"/>
    <w:rsid w:val="009F6BCB"/>
    <w:rsid w:val="009F7B78"/>
    <w:rsid w:val="00A0057A"/>
    <w:rsid w:val="00A01FB1"/>
    <w:rsid w:val="00A02FA1"/>
    <w:rsid w:val="00A04CCE"/>
    <w:rsid w:val="00A07421"/>
    <w:rsid w:val="00A07570"/>
    <w:rsid w:val="00A0776B"/>
    <w:rsid w:val="00A10FB9"/>
    <w:rsid w:val="00A11421"/>
    <w:rsid w:val="00A11F73"/>
    <w:rsid w:val="00A1389F"/>
    <w:rsid w:val="00A1476B"/>
    <w:rsid w:val="00A157B1"/>
    <w:rsid w:val="00A22229"/>
    <w:rsid w:val="00A23925"/>
    <w:rsid w:val="00A24442"/>
    <w:rsid w:val="00A24ADA"/>
    <w:rsid w:val="00A2793E"/>
    <w:rsid w:val="00A31871"/>
    <w:rsid w:val="00A32577"/>
    <w:rsid w:val="00A330BB"/>
    <w:rsid w:val="00A345DB"/>
    <w:rsid w:val="00A42F56"/>
    <w:rsid w:val="00A446F5"/>
    <w:rsid w:val="00A44882"/>
    <w:rsid w:val="00A45125"/>
    <w:rsid w:val="00A470CC"/>
    <w:rsid w:val="00A47D7B"/>
    <w:rsid w:val="00A54715"/>
    <w:rsid w:val="00A579C7"/>
    <w:rsid w:val="00A6061C"/>
    <w:rsid w:val="00A62D44"/>
    <w:rsid w:val="00A65F5F"/>
    <w:rsid w:val="00A67263"/>
    <w:rsid w:val="00A67D49"/>
    <w:rsid w:val="00A7161C"/>
    <w:rsid w:val="00A71CE4"/>
    <w:rsid w:val="00A77AA3"/>
    <w:rsid w:val="00A8236D"/>
    <w:rsid w:val="00A85390"/>
    <w:rsid w:val="00A854EB"/>
    <w:rsid w:val="00A866F6"/>
    <w:rsid w:val="00A872E5"/>
    <w:rsid w:val="00A91406"/>
    <w:rsid w:val="00A96E65"/>
    <w:rsid w:val="00A96ECE"/>
    <w:rsid w:val="00A97C72"/>
    <w:rsid w:val="00AA1C69"/>
    <w:rsid w:val="00AA310B"/>
    <w:rsid w:val="00AA63D4"/>
    <w:rsid w:val="00AA72AA"/>
    <w:rsid w:val="00AB06E8"/>
    <w:rsid w:val="00AB1CD3"/>
    <w:rsid w:val="00AB352F"/>
    <w:rsid w:val="00AB4285"/>
    <w:rsid w:val="00AB7B6C"/>
    <w:rsid w:val="00AC274B"/>
    <w:rsid w:val="00AC4764"/>
    <w:rsid w:val="00AC4F89"/>
    <w:rsid w:val="00AC6D36"/>
    <w:rsid w:val="00AD0CBA"/>
    <w:rsid w:val="00AD1239"/>
    <w:rsid w:val="00AD26E2"/>
    <w:rsid w:val="00AD5473"/>
    <w:rsid w:val="00AD784C"/>
    <w:rsid w:val="00AE0DE3"/>
    <w:rsid w:val="00AE126A"/>
    <w:rsid w:val="00AE1BAE"/>
    <w:rsid w:val="00AE3005"/>
    <w:rsid w:val="00AE3BD5"/>
    <w:rsid w:val="00AE59A0"/>
    <w:rsid w:val="00AF0C57"/>
    <w:rsid w:val="00AF26F3"/>
    <w:rsid w:val="00AF5F04"/>
    <w:rsid w:val="00B00672"/>
    <w:rsid w:val="00B01B4D"/>
    <w:rsid w:val="00B037CC"/>
    <w:rsid w:val="00B04489"/>
    <w:rsid w:val="00B054B5"/>
    <w:rsid w:val="00B05D73"/>
    <w:rsid w:val="00B06571"/>
    <w:rsid w:val="00B068BA"/>
    <w:rsid w:val="00B07217"/>
    <w:rsid w:val="00B07354"/>
    <w:rsid w:val="00B13851"/>
    <w:rsid w:val="00B13B1C"/>
    <w:rsid w:val="00B14B5F"/>
    <w:rsid w:val="00B161AF"/>
    <w:rsid w:val="00B21C7B"/>
    <w:rsid w:val="00B21F90"/>
    <w:rsid w:val="00B22168"/>
    <w:rsid w:val="00B22291"/>
    <w:rsid w:val="00B23F9A"/>
    <w:rsid w:val="00B2417B"/>
    <w:rsid w:val="00B24E6F"/>
    <w:rsid w:val="00B26CB5"/>
    <w:rsid w:val="00B2752E"/>
    <w:rsid w:val="00B307CC"/>
    <w:rsid w:val="00B326B7"/>
    <w:rsid w:val="00B33A51"/>
    <w:rsid w:val="00B34746"/>
    <w:rsid w:val="00B3588E"/>
    <w:rsid w:val="00B35D1C"/>
    <w:rsid w:val="00B37C2C"/>
    <w:rsid w:val="00B4198F"/>
    <w:rsid w:val="00B419D2"/>
    <w:rsid w:val="00B41F3D"/>
    <w:rsid w:val="00B42208"/>
    <w:rsid w:val="00B431E8"/>
    <w:rsid w:val="00B45141"/>
    <w:rsid w:val="00B519CD"/>
    <w:rsid w:val="00B5273A"/>
    <w:rsid w:val="00B54870"/>
    <w:rsid w:val="00B57329"/>
    <w:rsid w:val="00B579D8"/>
    <w:rsid w:val="00B60E61"/>
    <w:rsid w:val="00B6286A"/>
    <w:rsid w:val="00B62B50"/>
    <w:rsid w:val="00B635B7"/>
    <w:rsid w:val="00B63AE8"/>
    <w:rsid w:val="00B64314"/>
    <w:rsid w:val="00B65950"/>
    <w:rsid w:val="00B66D83"/>
    <w:rsid w:val="00B672C0"/>
    <w:rsid w:val="00B676FD"/>
    <w:rsid w:val="00B678B6"/>
    <w:rsid w:val="00B701A1"/>
    <w:rsid w:val="00B72CFA"/>
    <w:rsid w:val="00B75646"/>
    <w:rsid w:val="00B7629E"/>
    <w:rsid w:val="00B80603"/>
    <w:rsid w:val="00B832BF"/>
    <w:rsid w:val="00B8352E"/>
    <w:rsid w:val="00B90729"/>
    <w:rsid w:val="00B907DA"/>
    <w:rsid w:val="00B94C5E"/>
    <w:rsid w:val="00B950BC"/>
    <w:rsid w:val="00B962C7"/>
    <w:rsid w:val="00B9714C"/>
    <w:rsid w:val="00BA0D02"/>
    <w:rsid w:val="00BA29AD"/>
    <w:rsid w:val="00BA33CF"/>
    <w:rsid w:val="00BA3F8D"/>
    <w:rsid w:val="00BB08AE"/>
    <w:rsid w:val="00BB3916"/>
    <w:rsid w:val="00BB7A10"/>
    <w:rsid w:val="00BC2078"/>
    <w:rsid w:val="00BC3471"/>
    <w:rsid w:val="00BC60BE"/>
    <w:rsid w:val="00BC7468"/>
    <w:rsid w:val="00BC7D4F"/>
    <w:rsid w:val="00BC7ED7"/>
    <w:rsid w:val="00BD2850"/>
    <w:rsid w:val="00BE28D2"/>
    <w:rsid w:val="00BE39E0"/>
    <w:rsid w:val="00BE4A64"/>
    <w:rsid w:val="00BE5E43"/>
    <w:rsid w:val="00BE66DB"/>
    <w:rsid w:val="00BF4283"/>
    <w:rsid w:val="00BF557D"/>
    <w:rsid w:val="00BF658D"/>
    <w:rsid w:val="00BF7F58"/>
    <w:rsid w:val="00C01381"/>
    <w:rsid w:val="00C01AB1"/>
    <w:rsid w:val="00C026A0"/>
    <w:rsid w:val="00C06137"/>
    <w:rsid w:val="00C06929"/>
    <w:rsid w:val="00C079B8"/>
    <w:rsid w:val="00C10037"/>
    <w:rsid w:val="00C10C66"/>
    <w:rsid w:val="00C115E1"/>
    <w:rsid w:val="00C123EA"/>
    <w:rsid w:val="00C12A49"/>
    <w:rsid w:val="00C12B05"/>
    <w:rsid w:val="00C133EE"/>
    <w:rsid w:val="00C149D0"/>
    <w:rsid w:val="00C15D95"/>
    <w:rsid w:val="00C22A0F"/>
    <w:rsid w:val="00C237E4"/>
    <w:rsid w:val="00C26588"/>
    <w:rsid w:val="00C27DE9"/>
    <w:rsid w:val="00C314DD"/>
    <w:rsid w:val="00C32989"/>
    <w:rsid w:val="00C33388"/>
    <w:rsid w:val="00C34316"/>
    <w:rsid w:val="00C35484"/>
    <w:rsid w:val="00C377DB"/>
    <w:rsid w:val="00C4173A"/>
    <w:rsid w:val="00C42589"/>
    <w:rsid w:val="00C50DED"/>
    <w:rsid w:val="00C52217"/>
    <w:rsid w:val="00C55E3C"/>
    <w:rsid w:val="00C602FF"/>
    <w:rsid w:val="00C60411"/>
    <w:rsid w:val="00C6100F"/>
    <w:rsid w:val="00C61174"/>
    <w:rsid w:val="00C6148F"/>
    <w:rsid w:val="00C621B1"/>
    <w:rsid w:val="00C628A1"/>
    <w:rsid w:val="00C62F7A"/>
    <w:rsid w:val="00C63B9C"/>
    <w:rsid w:val="00C642F7"/>
    <w:rsid w:val="00C64B3E"/>
    <w:rsid w:val="00C6682F"/>
    <w:rsid w:val="00C67BF4"/>
    <w:rsid w:val="00C70096"/>
    <w:rsid w:val="00C7275E"/>
    <w:rsid w:val="00C72C7D"/>
    <w:rsid w:val="00C731AF"/>
    <w:rsid w:val="00C74C5D"/>
    <w:rsid w:val="00C82506"/>
    <w:rsid w:val="00C8311A"/>
    <w:rsid w:val="00C84503"/>
    <w:rsid w:val="00C85210"/>
    <w:rsid w:val="00C863C4"/>
    <w:rsid w:val="00C86A17"/>
    <w:rsid w:val="00C90DAB"/>
    <w:rsid w:val="00C92029"/>
    <w:rsid w:val="00C920EA"/>
    <w:rsid w:val="00C93C3E"/>
    <w:rsid w:val="00C95A20"/>
    <w:rsid w:val="00C95F06"/>
    <w:rsid w:val="00C96C38"/>
    <w:rsid w:val="00C97775"/>
    <w:rsid w:val="00CA12E3"/>
    <w:rsid w:val="00CA1476"/>
    <w:rsid w:val="00CA6611"/>
    <w:rsid w:val="00CA6AE6"/>
    <w:rsid w:val="00CA782F"/>
    <w:rsid w:val="00CB1601"/>
    <w:rsid w:val="00CB187B"/>
    <w:rsid w:val="00CB2835"/>
    <w:rsid w:val="00CB3285"/>
    <w:rsid w:val="00CB4500"/>
    <w:rsid w:val="00CB5EA8"/>
    <w:rsid w:val="00CC0C72"/>
    <w:rsid w:val="00CC2BFD"/>
    <w:rsid w:val="00CC6F40"/>
    <w:rsid w:val="00CD1687"/>
    <w:rsid w:val="00CD3476"/>
    <w:rsid w:val="00CD64DF"/>
    <w:rsid w:val="00CD768F"/>
    <w:rsid w:val="00CE09A0"/>
    <w:rsid w:val="00CE225F"/>
    <w:rsid w:val="00CF230C"/>
    <w:rsid w:val="00CF2F50"/>
    <w:rsid w:val="00CF522A"/>
    <w:rsid w:val="00CF52B1"/>
    <w:rsid w:val="00CF6198"/>
    <w:rsid w:val="00D02919"/>
    <w:rsid w:val="00D04C61"/>
    <w:rsid w:val="00D05B8D"/>
    <w:rsid w:val="00D05B9B"/>
    <w:rsid w:val="00D065A2"/>
    <w:rsid w:val="00D079AA"/>
    <w:rsid w:val="00D07F00"/>
    <w:rsid w:val="00D1130F"/>
    <w:rsid w:val="00D11D05"/>
    <w:rsid w:val="00D1571F"/>
    <w:rsid w:val="00D17B72"/>
    <w:rsid w:val="00D24BDF"/>
    <w:rsid w:val="00D254DC"/>
    <w:rsid w:val="00D3185C"/>
    <w:rsid w:val="00D3205F"/>
    <w:rsid w:val="00D3318E"/>
    <w:rsid w:val="00D33E72"/>
    <w:rsid w:val="00D35BD6"/>
    <w:rsid w:val="00D361B5"/>
    <w:rsid w:val="00D411A2"/>
    <w:rsid w:val="00D441E1"/>
    <w:rsid w:val="00D4606D"/>
    <w:rsid w:val="00D460EE"/>
    <w:rsid w:val="00D50B9C"/>
    <w:rsid w:val="00D50DEB"/>
    <w:rsid w:val="00D513AF"/>
    <w:rsid w:val="00D51C6B"/>
    <w:rsid w:val="00D52D73"/>
    <w:rsid w:val="00D52E58"/>
    <w:rsid w:val="00D56B20"/>
    <w:rsid w:val="00D578B3"/>
    <w:rsid w:val="00D618F4"/>
    <w:rsid w:val="00D63636"/>
    <w:rsid w:val="00D640AD"/>
    <w:rsid w:val="00D66646"/>
    <w:rsid w:val="00D70BC9"/>
    <w:rsid w:val="00D714CC"/>
    <w:rsid w:val="00D75EA7"/>
    <w:rsid w:val="00D77252"/>
    <w:rsid w:val="00D81ADF"/>
    <w:rsid w:val="00D81F21"/>
    <w:rsid w:val="00D83839"/>
    <w:rsid w:val="00D83D06"/>
    <w:rsid w:val="00D864F2"/>
    <w:rsid w:val="00D943F8"/>
    <w:rsid w:val="00D95470"/>
    <w:rsid w:val="00D96B55"/>
    <w:rsid w:val="00DA2619"/>
    <w:rsid w:val="00DA35B8"/>
    <w:rsid w:val="00DA4239"/>
    <w:rsid w:val="00DA588C"/>
    <w:rsid w:val="00DA65DE"/>
    <w:rsid w:val="00DB0B61"/>
    <w:rsid w:val="00DB1474"/>
    <w:rsid w:val="00DB2962"/>
    <w:rsid w:val="00DB52FB"/>
    <w:rsid w:val="00DB56FC"/>
    <w:rsid w:val="00DC00C1"/>
    <w:rsid w:val="00DC013B"/>
    <w:rsid w:val="00DC090B"/>
    <w:rsid w:val="00DC1679"/>
    <w:rsid w:val="00DC219B"/>
    <w:rsid w:val="00DC2CF1"/>
    <w:rsid w:val="00DC2DC7"/>
    <w:rsid w:val="00DC3A7C"/>
    <w:rsid w:val="00DC4FCF"/>
    <w:rsid w:val="00DC50E0"/>
    <w:rsid w:val="00DC6386"/>
    <w:rsid w:val="00DD1130"/>
    <w:rsid w:val="00DD1951"/>
    <w:rsid w:val="00DD2C46"/>
    <w:rsid w:val="00DD487D"/>
    <w:rsid w:val="00DD4E83"/>
    <w:rsid w:val="00DD6628"/>
    <w:rsid w:val="00DD6945"/>
    <w:rsid w:val="00DE0A8E"/>
    <w:rsid w:val="00DE1648"/>
    <w:rsid w:val="00DE2D04"/>
    <w:rsid w:val="00DE3250"/>
    <w:rsid w:val="00DE6028"/>
    <w:rsid w:val="00DE6C85"/>
    <w:rsid w:val="00DE78A3"/>
    <w:rsid w:val="00DF1A71"/>
    <w:rsid w:val="00DF40A5"/>
    <w:rsid w:val="00DF4F13"/>
    <w:rsid w:val="00DF50FC"/>
    <w:rsid w:val="00DF68C7"/>
    <w:rsid w:val="00DF731A"/>
    <w:rsid w:val="00E01799"/>
    <w:rsid w:val="00E04BBB"/>
    <w:rsid w:val="00E06B75"/>
    <w:rsid w:val="00E11332"/>
    <w:rsid w:val="00E11352"/>
    <w:rsid w:val="00E170DC"/>
    <w:rsid w:val="00E17546"/>
    <w:rsid w:val="00E210B5"/>
    <w:rsid w:val="00E261B3"/>
    <w:rsid w:val="00E26818"/>
    <w:rsid w:val="00E26A86"/>
    <w:rsid w:val="00E27FFC"/>
    <w:rsid w:val="00E30B15"/>
    <w:rsid w:val="00E33237"/>
    <w:rsid w:val="00E335B7"/>
    <w:rsid w:val="00E33AD8"/>
    <w:rsid w:val="00E40181"/>
    <w:rsid w:val="00E406B0"/>
    <w:rsid w:val="00E4591B"/>
    <w:rsid w:val="00E46111"/>
    <w:rsid w:val="00E47345"/>
    <w:rsid w:val="00E52FBA"/>
    <w:rsid w:val="00E54950"/>
    <w:rsid w:val="00E557CF"/>
    <w:rsid w:val="00E55FB3"/>
    <w:rsid w:val="00E56A01"/>
    <w:rsid w:val="00E629A1"/>
    <w:rsid w:val="00E6794C"/>
    <w:rsid w:val="00E71591"/>
    <w:rsid w:val="00E716D1"/>
    <w:rsid w:val="00E71CEB"/>
    <w:rsid w:val="00E7474F"/>
    <w:rsid w:val="00E758FB"/>
    <w:rsid w:val="00E77D64"/>
    <w:rsid w:val="00E80DE3"/>
    <w:rsid w:val="00E82C55"/>
    <w:rsid w:val="00E8787E"/>
    <w:rsid w:val="00E92711"/>
    <w:rsid w:val="00E92AC3"/>
    <w:rsid w:val="00EA1BED"/>
    <w:rsid w:val="00EA2EF0"/>
    <w:rsid w:val="00EA2F6A"/>
    <w:rsid w:val="00EB00E0"/>
    <w:rsid w:val="00EB05D5"/>
    <w:rsid w:val="00EB4BC7"/>
    <w:rsid w:val="00EB7A64"/>
    <w:rsid w:val="00EC059F"/>
    <w:rsid w:val="00EC1F24"/>
    <w:rsid w:val="00EC22F6"/>
    <w:rsid w:val="00EC3DB9"/>
    <w:rsid w:val="00ED27D3"/>
    <w:rsid w:val="00ED58CA"/>
    <w:rsid w:val="00ED5B9B"/>
    <w:rsid w:val="00ED649D"/>
    <w:rsid w:val="00ED6BAD"/>
    <w:rsid w:val="00ED7447"/>
    <w:rsid w:val="00ED7762"/>
    <w:rsid w:val="00EE00D6"/>
    <w:rsid w:val="00EE11E7"/>
    <w:rsid w:val="00EE1488"/>
    <w:rsid w:val="00EE29AD"/>
    <w:rsid w:val="00EE3E24"/>
    <w:rsid w:val="00EE4D5D"/>
    <w:rsid w:val="00EE5131"/>
    <w:rsid w:val="00EF010A"/>
    <w:rsid w:val="00EF09FF"/>
    <w:rsid w:val="00EF109B"/>
    <w:rsid w:val="00EF187B"/>
    <w:rsid w:val="00EF201C"/>
    <w:rsid w:val="00EF2859"/>
    <w:rsid w:val="00EF2970"/>
    <w:rsid w:val="00EF2C72"/>
    <w:rsid w:val="00EF36AF"/>
    <w:rsid w:val="00EF3923"/>
    <w:rsid w:val="00EF59A3"/>
    <w:rsid w:val="00EF6675"/>
    <w:rsid w:val="00F0063D"/>
    <w:rsid w:val="00F00F9C"/>
    <w:rsid w:val="00F01E5F"/>
    <w:rsid w:val="00F024F3"/>
    <w:rsid w:val="00F02ABA"/>
    <w:rsid w:val="00F0437A"/>
    <w:rsid w:val="00F101B8"/>
    <w:rsid w:val="00F11037"/>
    <w:rsid w:val="00F11B33"/>
    <w:rsid w:val="00F12967"/>
    <w:rsid w:val="00F15144"/>
    <w:rsid w:val="00F16F1B"/>
    <w:rsid w:val="00F2020E"/>
    <w:rsid w:val="00F250A9"/>
    <w:rsid w:val="00F267AF"/>
    <w:rsid w:val="00F30FF4"/>
    <w:rsid w:val="00F3122E"/>
    <w:rsid w:val="00F32368"/>
    <w:rsid w:val="00F331AD"/>
    <w:rsid w:val="00F33AE8"/>
    <w:rsid w:val="00F35287"/>
    <w:rsid w:val="00F360DC"/>
    <w:rsid w:val="00F40A2F"/>
    <w:rsid w:val="00F40A70"/>
    <w:rsid w:val="00F40DC4"/>
    <w:rsid w:val="00F43A37"/>
    <w:rsid w:val="00F4641B"/>
    <w:rsid w:val="00F46EB8"/>
    <w:rsid w:val="00F50CD1"/>
    <w:rsid w:val="00F511E4"/>
    <w:rsid w:val="00F52D09"/>
    <w:rsid w:val="00F52E08"/>
    <w:rsid w:val="00F53A66"/>
    <w:rsid w:val="00F5462D"/>
    <w:rsid w:val="00F555A6"/>
    <w:rsid w:val="00F55B21"/>
    <w:rsid w:val="00F56EF6"/>
    <w:rsid w:val="00F60082"/>
    <w:rsid w:val="00F60CF8"/>
    <w:rsid w:val="00F61A9F"/>
    <w:rsid w:val="00F61B5F"/>
    <w:rsid w:val="00F62A36"/>
    <w:rsid w:val="00F64696"/>
    <w:rsid w:val="00F65AA9"/>
    <w:rsid w:val="00F66BFE"/>
    <w:rsid w:val="00F6768F"/>
    <w:rsid w:val="00F72C2C"/>
    <w:rsid w:val="00F741F2"/>
    <w:rsid w:val="00F76CAB"/>
    <w:rsid w:val="00F772C6"/>
    <w:rsid w:val="00F815B5"/>
    <w:rsid w:val="00F85195"/>
    <w:rsid w:val="00F857D4"/>
    <w:rsid w:val="00F868E3"/>
    <w:rsid w:val="00F938BA"/>
    <w:rsid w:val="00F96F10"/>
    <w:rsid w:val="00F97919"/>
    <w:rsid w:val="00FA1794"/>
    <w:rsid w:val="00FA230B"/>
    <w:rsid w:val="00FA2C46"/>
    <w:rsid w:val="00FA3525"/>
    <w:rsid w:val="00FA4D49"/>
    <w:rsid w:val="00FA5A53"/>
    <w:rsid w:val="00FB117F"/>
    <w:rsid w:val="00FB1F6E"/>
    <w:rsid w:val="00FB2BFE"/>
    <w:rsid w:val="00FB4769"/>
    <w:rsid w:val="00FB4CDA"/>
    <w:rsid w:val="00FB6481"/>
    <w:rsid w:val="00FB6D36"/>
    <w:rsid w:val="00FC0965"/>
    <w:rsid w:val="00FC0F81"/>
    <w:rsid w:val="00FC252F"/>
    <w:rsid w:val="00FC395C"/>
    <w:rsid w:val="00FC4AD1"/>
    <w:rsid w:val="00FC59F7"/>
    <w:rsid w:val="00FC5A70"/>
    <w:rsid w:val="00FC5E8E"/>
    <w:rsid w:val="00FC6275"/>
    <w:rsid w:val="00FD3766"/>
    <w:rsid w:val="00FD3D05"/>
    <w:rsid w:val="00FD47C4"/>
    <w:rsid w:val="00FE060A"/>
    <w:rsid w:val="00FE2DCF"/>
    <w:rsid w:val="00FE331E"/>
    <w:rsid w:val="00FE3FA7"/>
    <w:rsid w:val="00FE4081"/>
    <w:rsid w:val="00FE53E8"/>
    <w:rsid w:val="00FF2A4E"/>
    <w:rsid w:val="00FF2FCE"/>
    <w:rsid w:val="00FF4F7D"/>
    <w:rsid w:val="00FF69BD"/>
    <w:rsid w:val="00FF6D9D"/>
    <w:rsid w:val="00FF7620"/>
    <w:rsid w:val="00FF7DD5"/>
    <w:rsid w:val="0101B878"/>
    <w:rsid w:val="02D7CF19"/>
    <w:rsid w:val="031B7979"/>
    <w:rsid w:val="03D4AC91"/>
    <w:rsid w:val="06AFC431"/>
    <w:rsid w:val="09CA6AC2"/>
    <w:rsid w:val="0AC27ACD"/>
    <w:rsid w:val="0B833554"/>
    <w:rsid w:val="0D382E12"/>
    <w:rsid w:val="0E02A0D3"/>
    <w:rsid w:val="0EDF55C1"/>
    <w:rsid w:val="1056A677"/>
    <w:rsid w:val="126B2396"/>
    <w:rsid w:val="12CACA2B"/>
    <w:rsid w:val="12E86676"/>
    <w:rsid w:val="16922A4B"/>
    <w:rsid w:val="16F69287"/>
    <w:rsid w:val="1889A3A3"/>
    <w:rsid w:val="1A057643"/>
    <w:rsid w:val="1BD08CE2"/>
    <w:rsid w:val="1C588282"/>
    <w:rsid w:val="1FBB3A1E"/>
    <w:rsid w:val="20B231DD"/>
    <w:rsid w:val="231F7D16"/>
    <w:rsid w:val="232D0821"/>
    <w:rsid w:val="23B602F3"/>
    <w:rsid w:val="23CA3CB2"/>
    <w:rsid w:val="26E3F94B"/>
    <w:rsid w:val="28046D4F"/>
    <w:rsid w:val="295D9AE3"/>
    <w:rsid w:val="2982AD41"/>
    <w:rsid w:val="2CE33980"/>
    <w:rsid w:val="2E656352"/>
    <w:rsid w:val="2EDB5C5A"/>
    <w:rsid w:val="2FC9A5C6"/>
    <w:rsid w:val="3215711B"/>
    <w:rsid w:val="322F3C30"/>
    <w:rsid w:val="37983B2E"/>
    <w:rsid w:val="3984D875"/>
    <w:rsid w:val="3B1E4AF6"/>
    <w:rsid w:val="3B2531B3"/>
    <w:rsid w:val="3CA828CE"/>
    <w:rsid w:val="3D62AB5B"/>
    <w:rsid w:val="3DF9844D"/>
    <w:rsid w:val="3EF46BDF"/>
    <w:rsid w:val="408E52F7"/>
    <w:rsid w:val="417B99F1"/>
    <w:rsid w:val="41A2DEC9"/>
    <w:rsid w:val="4287B2F4"/>
    <w:rsid w:val="4426B030"/>
    <w:rsid w:val="44B33AB3"/>
    <w:rsid w:val="46E1615D"/>
    <w:rsid w:val="492CE9D9"/>
    <w:rsid w:val="499226D4"/>
    <w:rsid w:val="4B04AEB7"/>
    <w:rsid w:val="4CAD11C1"/>
    <w:rsid w:val="4D6570FC"/>
    <w:rsid w:val="4D6D2BB9"/>
    <w:rsid w:val="4E73FD08"/>
    <w:rsid w:val="4FD33BE6"/>
    <w:rsid w:val="4FFEE2C9"/>
    <w:rsid w:val="530B2B83"/>
    <w:rsid w:val="54375143"/>
    <w:rsid w:val="5758F1D1"/>
    <w:rsid w:val="5A94E17E"/>
    <w:rsid w:val="5BC59FAE"/>
    <w:rsid w:val="609E1860"/>
    <w:rsid w:val="618D55CF"/>
    <w:rsid w:val="64263A02"/>
    <w:rsid w:val="6744B267"/>
    <w:rsid w:val="6772AF29"/>
    <w:rsid w:val="68F9AB25"/>
    <w:rsid w:val="69E58092"/>
    <w:rsid w:val="6A7C5329"/>
    <w:rsid w:val="6FC07E20"/>
    <w:rsid w:val="70EB94AD"/>
    <w:rsid w:val="72FCEBA5"/>
    <w:rsid w:val="755AA332"/>
    <w:rsid w:val="77C42970"/>
    <w:rsid w:val="79534329"/>
    <w:rsid w:val="7AA8F0A4"/>
    <w:rsid w:val="7DBA4B49"/>
    <w:rsid w:val="7DDC8D95"/>
    <w:rsid w:val="7ECA51C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F1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1A28FE"/>
    <w:pPr>
      <w:spacing w:after="120" w:line="280" w:lineRule="atLeast"/>
    </w:pPr>
    <w:rPr>
      <w:rFonts w:ascii="Verdana" w:hAnsi="Verdana"/>
      <w:sz w:val="21"/>
      <w:lang w:eastAsia="en-US"/>
    </w:rPr>
  </w:style>
  <w:style w:type="paragraph" w:styleId="Heading1">
    <w:name w:val="heading 1"/>
    <w:next w:val="Body"/>
    <w:link w:val="Heading1Char"/>
    <w:uiPriority w:val="1"/>
    <w:qFormat/>
    <w:rsid w:val="001A28FE"/>
    <w:pPr>
      <w:keepNext/>
      <w:keepLines/>
      <w:spacing w:before="520" w:after="240" w:line="480" w:lineRule="atLeast"/>
      <w:outlineLvl w:val="0"/>
    </w:pPr>
    <w:rPr>
      <w:rFonts w:ascii="Verdana" w:eastAsia="MS Gothic" w:hAnsi="Verdana" w:cs="Arial"/>
      <w:bCs/>
      <w:color w:val="032833" w:themeColor="text1"/>
      <w:kern w:val="32"/>
      <w:sz w:val="44"/>
      <w:szCs w:val="44"/>
      <w:lang w:eastAsia="en-US"/>
    </w:rPr>
  </w:style>
  <w:style w:type="paragraph" w:styleId="Heading2">
    <w:name w:val="heading 2"/>
    <w:next w:val="Body"/>
    <w:link w:val="Heading2Char"/>
    <w:uiPriority w:val="1"/>
    <w:qFormat/>
    <w:rsid w:val="001A28FE"/>
    <w:pPr>
      <w:keepNext/>
      <w:keepLines/>
      <w:spacing w:before="360" w:after="120" w:line="360" w:lineRule="atLeast"/>
      <w:outlineLvl w:val="1"/>
    </w:pPr>
    <w:rPr>
      <w:rFonts w:ascii="Verdana" w:hAnsi="Verdana"/>
      <w:b/>
      <w:color w:val="032833" w:themeColor="text1"/>
      <w:sz w:val="32"/>
      <w:szCs w:val="28"/>
      <w:lang w:eastAsia="en-US"/>
    </w:rPr>
  </w:style>
  <w:style w:type="paragraph" w:styleId="Heading3">
    <w:name w:val="heading 3"/>
    <w:next w:val="Body"/>
    <w:link w:val="Heading3Char"/>
    <w:uiPriority w:val="1"/>
    <w:qFormat/>
    <w:rsid w:val="001A28FE"/>
    <w:pPr>
      <w:keepNext/>
      <w:keepLines/>
      <w:spacing w:before="280" w:after="120" w:line="320" w:lineRule="atLeast"/>
      <w:outlineLvl w:val="2"/>
    </w:pPr>
    <w:rPr>
      <w:rFonts w:ascii="Verdana" w:eastAsia="MS Gothic" w:hAnsi="Verdana"/>
      <w:bCs/>
      <w:color w:val="032833" w:themeColor="text1"/>
      <w:sz w:val="28"/>
      <w:szCs w:val="26"/>
      <w:lang w:eastAsia="en-US"/>
    </w:rPr>
  </w:style>
  <w:style w:type="paragraph" w:styleId="Heading4">
    <w:name w:val="heading 4"/>
    <w:next w:val="Body"/>
    <w:link w:val="Heading4Char"/>
    <w:uiPriority w:val="1"/>
    <w:qFormat/>
    <w:rsid w:val="001A28FE"/>
    <w:pPr>
      <w:keepNext/>
      <w:keepLines/>
      <w:spacing w:before="240" w:after="80" w:line="280" w:lineRule="atLeast"/>
      <w:outlineLvl w:val="3"/>
    </w:pPr>
    <w:rPr>
      <w:rFonts w:ascii="Verdana" w:eastAsia="MS Mincho" w:hAnsi="Verdana"/>
      <w:b/>
      <w:bCs/>
      <w:color w:val="032833" w:themeColor="text1"/>
      <w:sz w:val="24"/>
      <w:szCs w:val="22"/>
      <w:lang w:eastAsia="en-US"/>
    </w:rPr>
  </w:style>
  <w:style w:type="paragraph" w:styleId="Heading5">
    <w:name w:val="heading 5"/>
    <w:next w:val="Body"/>
    <w:link w:val="Heading5Char"/>
    <w:uiPriority w:val="98"/>
    <w:qFormat/>
    <w:rsid w:val="001A28FE"/>
    <w:pPr>
      <w:keepNext/>
      <w:keepLines/>
      <w:spacing w:before="240" w:after="80" w:line="240" w:lineRule="atLeast"/>
      <w:outlineLvl w:val="4"/>
    </w:pPr>
    <w:rPr>
      <w:rFonts w:ascii="Verdana" w:eastAsia="MS Mincho" w:hAnsi="Verdana"/>
      <w:b/>
      <w:bCs/>
      <w:iCs/>
      <w:color w:val="032833"/>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1A28FE"/>
    <w:pPr>
      <w:spacing w:after="120" w:line="280" w:lineRule="atLeast"/>
    </w:pPr>
    <w:rPr>
      <w:rFonts w:ascii="Verdana" w:eastAsia="Times" w:hAnsi="Verdana"/>
      <w:sz w:val="21"/>
      <w:lang w:eastAsia="en-US"/>
    </w:rPr>
  </w:style>
  <w:style w:type="character" w:customStyle="1" w:styleId="Heading1Char">
    <w:name w:val="Heading 1 Char"/>
    <w:link w:val="Heading1"/>
    <w:uiPriority w:val="1"/>
    <w:rsid w:val="001A28FE"/>
    <w:rPr>
      <w:rFonts w:ascii="Verdana" w:eastAsia="MS Gothic" w:hAnsi="Verdana" w:cs="Arial"/>
      <w:bCs/>
      <w:color w:val="032833" w:themeColor="text1"/>
      <w:kern w:val="32"/>
      <w:sz w:val="44"/>
      <w:szCs w:val="44"/>
      <w:lang w:eastAsia="en-US"/>
    </w:rPr>
  </w:style>
  <w:style w:type="character" w:customStyle="1" w:styleId="Heading2Char">
    <w:name w:val="Heading 2 Char"/>
    <w:link w:val="Heading2"/>
    <w:uiPriority w:val="1"/>
    <w:rsid w:val="001A28FE"/>
    <w:rPr>
      <w:rFonts w:ascii="Verdana" w:hAnsi="Verdana"/>
      <w:b/>
      <w:color w:val="032833" w:themeColor="text1"/>
      <w:sz w:val="32"/>
      <w:szCs w:val="28"/>
      <w:lang w:eastAsia="en-US"/>
    </w:rPr>
  </w:style>
  <w:style w:type="character" w:customStyle="1" w:styleId="Heading3Char">
    <w:name w:val="Heading 3 Char"/>
    <w:link w:val="Heading3"/>
    <w:uiPriority w:val="1"/>
    <w:rsid w:val="001A28FE"/>
    <w:rPr>
      <w:rFonts w:ascii="Verdana" w:eastAsia="MS Gothic" w:hAnsi="Verdana"/>
      <w:bCs/>
      <w:color w:val="032833" w:themeColor="text1"/>
      <w:sz w:val="28"/>
      <w:szCs w:val="26"/>
      <w:lang w:eastAsia="en-US"/>
    </w:rPr>
  </w:style>
  <w:style w:type="character" w:customStyle="1" w:styleId="Heading4Char">
    <w:name w:val="Heading 4 Char"/>
    <w:link w:val="Heading4"/>
    <w:uiPriority w:val="1"/>
    <w:rsid w:val="001A28FE"/>
    <w:rPr>
      <w:rFonts w:ascii="Verdana" w:eastAsia="MS Mincho" w:hAnsi="Verdana"/>
      <w:b/>
      <w:bCs/>
      <w:color w:val="032833" w:themeColor="text1"/>
      <w:sz w:val="24"/>
      <w:szCs w:val="22"/>
      <w:lang w:eastAsia="en-US"/>
    </w:rPr>
  </w:style>
  <w:style w:type="paragraph" w:styleId="Header">
    <w:name w:val="header"/>
    <w:link w:val="HeaderChar"/>
    <w:uiPriority w:val="10"/>
    <w:rsid w:val="001A28FE"/>
    <w:rPr>
      <w:rFonts w:ascii="Verdana" w:hAnsi="Verdana" w:cs="Arial"/>
      <w:b/>
      <w:color w:val="032833" w:themeColor="text1"/>
      <w:sz w:val="18"/>
      <w:szCs w:val="18"/>
      <w:lang w:eastAsia="en-US"/>
    </w:rPr>
  </w:style>
  <w:style w:type="paragraph" w:styleId="Footer">
    <w:name w:val="footer"/>
    <w:link w:val="FooterChar"/>
    <w:uiPriority w:val="99"/>
    <w:rsid w:val="001A28FE"/>
    <w:rPr>
      <w:rFonts w:ascii="Verdana" w:hAnsi="Verdana" w:cs="Arial"/>
      <w:sz w:val="18"/>
      <w:szCs w:val="18"/>
      <w:lang w:eastAsia="en-US"/>
    </w:rPr>
  </w:style>
  <w:style w:type="character" w:styleId="FollowedHyperlink">
    <w:name w:val="FollowedHyperlink"/>
    <w:uiPriority w:val="99"/>
    <w:rsid w:val="001A28FE"/>
    <w:rPr>
      <w:rFonts w:ascii="Verdana" w:hAnsi="Verdana"/>
      <w:color w:val="8761A9" w:themeColor="accent6"/>
      <w:u w:val="dotted"/>
    </w:rPr>
  </w:style>
  <w:style w:type="paragraph" w:customStyle="1" w:styleId="Tabletext6pt">
    <w:name w:val="Table text + 6pt"/>
    <w:basedOn w:val="Tabletext"/>
    <w:rsid w:val="001A28FE"/>
    <w:pPr>
      <w:spacing w:after="120"/>
    </w:pPr>
  </w:style>
  <w:style w:type="paragraph" w:styleId="EndnoteText">
    <w:name w:val="endnote text"/>
    <w:basedOn w:val="Normal"/>
    <w:link w:val="EndnoteTextChar"/>
    <w:semiHidden/>
    <w:rsid w:val="001A28FE"/>
    <w:rPr>
      <w:sz w:val="24"/>
      <w:szCs w:val="24"/>
    </w:rPr>
  </w:style>
  <w:style w:type="character" w:customStyle="1" w:styleId="EndnoteTextChar">
    <w:name w:val="Endnote Text Char"/>
    <w:link w:val="EndnoteText"/>
    <w:semiHidden/>
    <w:rsid w:val="001A28FE"/>
    <w:rPr>
      <w:rFonts w:ascii="Verdana" w:hAnsi="Verdana"/>
      <w:sz w:val="24"/>
      <w:szCs w:val="24"/>
      <w:lang w:eastAsia="en-US"/>
    </w:rPr>
  </w:style>
  <w:style w:type="character" w:styleId="EndnoteReference">
    <w:name w:val="endnote reference"/>
    <w:semiHidden/>
    <w:rsid w:val="001A28FE"/>
    <w:rPr>
      <w:vertAlign w:val="superscript"/>
    </w:rPr>
  </w:style>
  <w:style w:type="table" w:styleId="TableGrid">
    <w:name w:val="Table Grid"/>
    <w:basedOn w:val="TableNormal"/>
    <w:rsid w:val="001A2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32833" w:themeFill="text1"/>
      </w:tcPr>
    </w:tblStylePr>
  </w:style>
  <w:style w:type="paragraph" w:customStyle="1" w:styleId="Bodynospace">
    <w:name w:val="Body no space"/>
    <w:basedOn w:val="Body"/>
    <w:uiPriority w:val="1"/>
    <w:rsid w:val="001A28FE"/>
    <w:pPr>
      <w:spacing w:after="0"/>
    </w:pPr>
  </w:style>
  <w:style w:type="paragraph" w:customStyle="1" w:styleId="Bullet1">
    <w:name w:val="Bullet 1"/>
    <w:basedOn w:val="Body"/>
    <w:qFormat/>
    <w:rsid w:val="001A28FE"/>
    <w:pPr>
      <w:numPr>
        <w:numId w:val="10"/>
      </w:numPr>
      <w:spacing w:after="40"/>
    </w:pPr>
  </w:style>
  <w:style w:type="paragraph" w:styleId="DocumentMap">
    <w:name w:val="Document Map"/>
    <w:basedOn w:val="Normal"/>
    <w:link w:val="DocumentMapChar"/>
    <w:uiPriority w:val="99"/>
    <w:semiHidden/>
    <w:unhideWhenUsed/>
    <w:rsid w:val="001A28FE"/>
    <w:rPr>
      <w:rFonts w:ascii="Lucida Grande" w:hAnsi="Lucida Grande" w:cs="Lucida Grande"/>
      <w:sz w:val="24"/>
      <w:szCs w:val="24"/>
    </w:rPr>
  </w:style>
  <w:style w:type="character" w:customStyle="1" w:styleId="DocumentMapChar">
    <w:name w:val="Document Map Char"/>
    <w:link w:val="DocumentMap"/>
    <w:uiPriority w:val="99"/>
    <w:semiHidden/>
    <w:rsid w:val="001A28FE"/>
    <w:rPr>
      <w:rFonts w:ascii="Lucida Grande" w:hAnsi="Lucida Grande" w:cs="Lucida Grande"/>
      <w:sz w:val="24"/>
      <w:szCs w:val="24"/>
      <w:lang w:eastAsia="en-US"/>
    </w:rPr>
  </w:style>
  <w:style w:type="character" w:styleId="PageNumber">
    <w:name w:val="page number"/>
    <w:uiPriority w:val="99"/>
    <w:semiHidden/>
    <w:unhideWhenUsed/>
    <w:rsid w:val="001A28FE"/>
    <w:rPr>
      <w:sz w:val="18"/>
    </w:rPr>
  </w:style>
  <w:style w:type="paragraph" w:styleId="TOC1">
    <w:name w:val="toc 1"/>
    <w:basedOn w:val="Normal"/>
    <w:next w:val="Normal"/>
    <w:uiPriority w:val="39"/>
    <w:rsid w:val="001A28FE"/>
    <w:pPr>
      <w:keepNext/>
      <w:keepLines/>
      <w:tabs>
        <w:tab w:val="right" w:leader="dot" w:pos="9299"/>
      </w:tabs>
      <w:spacing w:before="160" w:after="60"/>
    </w:pPr>
    <w:rPr>
      <w:b/>
      <w:noProof/>
    </w:rPr>
  </w:style>
  <w:style w:type="character" w:customStyle="1" w:styleId="Heading5Char">
    <w:name w:val="Heading 5 Char"/>
    <w:link w:val="Heading5"/>
    <w:uiPriority w:val="98"/>
    <w:rsid w:val="001A28FE"/>
    <w:rPr>
      <w:rFonts w:ascii="Verdana" w:eastAsia="MS Mincho" w:hAnsi="Verdana"/>
      <w:b/>
      <w:bCs/>
      <w:iCs/>
      <w:color w:val="032833"/>
      <w:sz w:val="21"/>
      <w:szCs w:val="26"/>
      <w:lang w:eastAsia="en-US"/>
    </w:rPr>
  </w:style>
  <w:style w:type="character" w:styleId="Strong">
    <w:name w:val="Strong"/>
    <w:uiPriority w:val="22"/>
    <w:qFormat/>
    <w:rsid w:val="001A28FE"/>
    <w:rPr>
      <w:b/>
      <w:bCs/>
    </w:rPr>
  </w:style>
  <w:style w:type="paragraph" w:customStyle="1" w:styleId="TOCheadingreport">
    <w:name w:val="TOC heading report"/>
    <w:basedOn w:val="Heading1"/>
    <w:next w:val="Body"/>
    <w:link w:val="TOCheadingreportChar"/>
    <w:uiPriority w:val="4"/>
    <w:rsid w:val="001A28FE"/>
    <w:pPr>
      <w:pageBreakBefore/>
      <w:spacing w:before="0"/>
      <w:outlineLvl w:val="9"/>
    </w:pPr>
  </w:style>
  <w:style w:type="character" w:customStyle="1" w:styleId="TOCheadingreportChar">
    <w:name w:val="TOC heading report Char"/>
    <w:link w:val="TOCheadingreport"/>
    <w:uiPriority w:val="4"/>
    <w:rsid w:val="001A28FE"/>
    <w:rPr>
      <w:rFonts w:ascii="Verdana" w:eastAsia="MS Gothic" w:hAnsi="Verdana" w:cs="Arial"/>
      <w:bCs/>
      <w:color w:val="032833" w:themeColor="text1"/>
      <w:kern w:val="32"/>
      <w:sz w:val="44"/>
      <w:szCs w:val="44"/>
      <w:lang w:eastAsia="en-US"/>
    </w:rPr>
  </w:style>
  <w:style w:type="paragraph" w:styleId="TOC2">
    <w:name w:val="toc 2"/>
    <w:basedOn w:val="Normal"/>
    <w:next w:val="Normal"/>
    <w:uiPriority w:val="39"/>
    <w:rsid w:val="001A28FE"/>
    <w:pPr>
      <w:keepLines/>
      <w:tabs>
        <w:tab w:val="right" w:leader="dot" w:pos="9299"/>
      </w:tabs>
      <w:spacing w:after="60"/>
    </w:pPr>
    <w:rPr>
      <w:noProof/>
    </w:rPr>
  </w:style>
  <w:style w:type="paragraph" w:styleId="TOC3">
    <w:name w:val="toc 3"/>
    <w:basedOn w:val="Normal"/>
    <w:next w:val="Normal"/>
    <w:uiPriority w:val="39"/>
    <w:rsid w:val="001A28FE"/>
    <w:pPr>
      <w:keepLines/>
      <w:tabs>
        <w:tab w:val="right" w:leader="dot" w:pos="9299"/>
      </w:tabs>
      <w:spacing w:after="60"/>
      <w:ind w:left="284"/>
    </w:pPr>
    <w:rPr>
      <w:rFonts w:cs="Arial"/>
    </w:rPr>
  </w:style>
  <w:style w:type="paragraph" w:styleId="TOC4">
    <w:name w:val="toc 4"/>
    <w:basedOn w:val="TOC3"/>
    <w:uiPriority w:val="39"/>
    <w:rsid w:val="001A28FE"/>
    <w:pPr>
      <w:ind w:left="567"/>
    </w:pPr>
  </w:style>
  <w:style w:type="paragraph" w:styleId="TOC5">
    <w:name w:val="toc 5"/>
    <w:basedOn w:val="TOC4"/>
    <w:uiPriority w:val="39"/>
    <w:rsid w:val="001A28FE"/>
    <w:pPr>
      <w:ind w:left="851"/>
    </w:pPr>
  </w:style>
  <w:style w:type="paragraph" w:styleId="TOC6">
    <w:name w:val="toc 6"/>
    <w:basedOn w:val="Normal"/>
    <w:next w:val="Normal"/>
    <w:autoRedefine/>
    <w:uiPriority w:val="39"/>
    <w:rsid w:val="001A28FE"/>
    <w:pPr>
      <w:ind w:left="1000"/>
    </w:pPr>
  </w:style>
  <w:style w:type="paragraph" w:styleId="TOC7">
    <w:name w:val="toc 7"/>
    <w:basedOn w:val="Normal"/>
    <w:next w:val="Normal"/>
    <w:autoRedefine/>
    <w:uiPriority w:val="39"/>
    <w:rsid w:val="001A28FE"/>
    <w:pPr>
      <w:ind w:left="1200"/>
    </w:pPr>
  </w:style>
  <w:style w:type="paragraph" w:styleId="TOC8">
    <w:name w:val="toc 8"/>
    <w:basedOn w:val="Normal"/>
    <w:next w:val="Normal"/>
    <w:autoRedefine/>
    <w:uiPriority w:val="39"/>
    <w:rsid w:val="001A28FE"/>
    <w:pPr>
      <w:ind w:left="1400"/>
    </w:pPr>
  </w:style>
  <w:style w:type="paragraph" w:styleId="TOC9">
    <w:name w:val="toc 9"/>
    <w:basedOn w:val="Normal"/>
    <w:next w:val="Normal"/>
    <w:autoRedefine/>
    <w:uiPriority w:val="39"/>
    <w:rsid w:val="001A28FE"/>
    <w:pPr>
      <w:ind w:left="1600"/>
    </w:pPr>
  </w:style>
  <w:style w:type="paragraph" w:styleId="Subtitle">
    <w:name w:val="Subtitle"/>
    <w:basedOn w:val="Normal"/>
    <w:next w:val="Normal"/>
    <w:link w:val="SubtitleChar"/>
    <w:uiPriority w:val="11"/>
    <w:semiHidden/>
    <w:qFormat/>
    <w:rsid w:val="001A28FE"/>
    <w:pPr>
      <w:spacing w:after="60"/>
      <w:jc w:val="center"/>
    </w:pPr>
    <w:rPr>
      <w:rFonts w:ascii="Calibri Light" w:hAnsi="Calibri Light"/>
      <w:sz w:val="24"/>
      <w:szCs w:val="24"/>
    </w:rPr>
  </w:style>
  <w:style w:type="paragraph" w:customStyle="1" w:styleId="Tabletext">
    <w:name w:val="Table text"/>
    <w:uiPriority w:val="3"/>
    <w:qFormat/>
    <w:rsid w:val="001A28FE"/>
    <w:pPr>
      <w:spacing w:before="80" w:after="60"/>
    </w:pPr>
    <w:rPr>
      <w:rFonts w:ascii="Verdana" w:hAnsi="Verdana"/>
      <w:sz w:val="21"/>
      <w:lang w:eastAsia="en-US"/>
    </w:rPr>
  </w:style>
  <w:style w:type="paragraph" w:customStyle="1" w:styleId="Tablecaption">
    <w:name w:val="Table caption"/>
    <w:next w:val="Body"/>
    <w:uiPriority w:val="3"/>
    <w:qFormat/>
    <w:rsid w:val="001A28FE"/>
    <w:pPr>
      <w:keepNext/>
      <w:keepLines/>
      <w:spacing w:before="240" w:after="120" w:line="250" w:lineRule="atLeast"/>
    </w:pPr>
    <w:rPr>
      <w:rFonts w:ascii="Verdana" w:hAnsi="Verdana"/>
      <w:b/>
      <w:sz w:val="21"/>
      <w:lang w:eastAsia="en-US"/>
    </w:rPr>
  </w:style>
  <w:style w:type="paragraph" w:customStyle="1" w:styleId="Documenttitle">
    <w:name w:val="Document title"/>
    <w:uiPriority w:val="8"/>
    <w:rsid w:val="001A28FE"/>
    <w:pPr>
      <w:spacing w:after="240" w:line="560" w:lineRule="atLeast"/>
    </w:pPr>
    <w:rPr>
      <w:rFonts w:ascii="Verdana" w:hAnsi="Verdana"/>
      <w:b/>
      <w:color w:val="032833" w:themeColor="text1"/>
      <w:sz w:val="48"/>
      <w:szCs w:val="50"/>
      <w:lang w:eastAsia="en-US"/>
    </w:rPr>
  </w:style>
  <w:style w:type="character" w:styleId="FootnoteReference">
    <w:name w:val="footnote reference"/>
    <w:uiPriority w:val="8"/>
    <w:rsid w:val="001A28FE"/>
    <w:rPr>
      <w:rFonts w:ascii="Verdana" w:hAnsi="Verdana"/>
      <w:vertAlign w:val="superscript"/>
    </w:rPr>
  </w:style>
  <w:style w:type="paragraph" w:customStyle="1" w:styleId="Accessibilitypara">
    <w:name w:val="Accessibility para"/>
    <w:uiPriority w:val="8"/>
    <w:rsid w:val="001A28FE"/>
    <w:pPr>
      <w:spacing w:before="120" w:after="200" w:line="300" w:lineRule="atLeast"/>
    </w:pPr>
    <w:rPr>
      <w:rFonts w:ascii="Verdana" w:eastAsia="Times" w:hAnsi="Verdana"/>
      <w:sz w:val="24"/>
      <w:szCs w:val="19"/>
      <w:lang w:eastAsia="en-US"/>
    </w:rPr>
  </w:style>
  <w:style w:type="paragraph" w:customStyle="1" w:styleId="Figurecaption">
    <w:name w:val="Figure caption"/>
    <w:next w:val="Body"/>
    <w:rsid w:val="001A28FE"/>
    <w:pPr>
      <w:keepNext/>
      <w:keepLines/>
      <w:spacing w:before="240" w:after="120" w:line="250" w:lineRule="atLeast"/>
    </w:pPr>
    <w:rPr>
      <w:rFonts w:ascii="Verdana" w:hAnsi="Verdana"/>
      <w:b/>
      <w:sz w:val="21"/>
      <w:lang w:eastAsia="en-US"/>
    </w:rPr>
  </w:style>
  <w:style w:type="paragraph" w:customStyle="1" w:styleId="Bullet2">
    <w:name w:val="Bullet 2"/>
    <w:basedOn w:val="Body"/>
    <w:uiPriority w:val="2"/>
    <w:qFormat/>
    <w:rsid w:val="001A28FE"/>
    <w:pPr>
      <w:numPr>
        <w:ilvl w:val="1"/>
        <w:numId w:val="10"/>
      </w:numPr>
      <w:spacing w:after="40"/>
    </w:pPr>
  </w:style>
  <w:style w:type="paragraph" w:customStyle="1" w:styleId="Bodyafterbullets">
    <w:name w:val="Body after bullets"/>
    <w:basedOn w:val="Body"/>
    <w:uiPriority w:val="11"/>
    <w:rsid w:val="001A28FE"/>
    <w:pPr>
      <w:spacing w:before="120"/>
    </w:pPr>
  </w:style>
  <w:style w:type="paragraph" w:customStyle="1" w:styleId="Tablebullet2">
    <w:name w:val="Table bullet 2"/>
    <w:basedOn w:val="Tabletext"/>
    <w:uiPriority w:val="11"/>
    <w:rsid w:val="001A28FE"/>
    <w:pPr>
      <w:numPr>
        <w:ilvl w:val="1"/>
        <w:numId w:val="15"/>
      </w:numPr>
    </w:pPr>
  </w:style>
  <w:style w:type="character" w:customStyle="1" w:styleId="SubtitleChar">
    <w:name w:val="Subtitle Char"/>
    <w:link w:val="Subtitle"/>
    <w:uiPriority w:val="11"/>
    <w:semiHidden/>
    <w:rsid w:val="001A28FE"/>
    <w:rPr>
      <w:rFonts w:ascii="Calibri Light" w:hAnsi="Calibri Light"/>
      <w:sz w:val="24"/>
      <w:szCs w:val="24"/>
      <w:lang w:eastAsia="en-US"/>
    </w:rPr>
  </w:style>
  <w:style w:type="paragraph" w:customStyle="1" w:styleId="Tablebullet1">
    <w:name w:val="Table bullet 1"/>
    <w:basedOn w:val="Tabletext"/>
    <w:uiPriority w:val="3"/>
    <w:qFormat/>
    <w:rsid w:val="001A28FE"/>
    <w:pPr>
      <w:numPr>
        <w:numId w:val="15"/>
      </w:numPr>
    </w:pPr>
  </w:style>
  <w:style w:type="numbering" w:customStyle="1" w:styleId="ZZTablebullets">
    <w:name w:val="ZZ Table bullets"/>
    <w:basedOn w:val="NoList"/>
    <w:rsid w:val="001A28FE"/>
    <w:pPr>
      <w:numPr>
        <w:numId w:val="15"/>
      </w:numPr>
    </w:pPr>
  </w:style>
  <w:style w:type="paragraph" w:customStyle="1" w:styleId="Tablecolhead">
    <w:name w:val="Table col head"/>
    <w:uiPriority w:val="3"/>
    <w:qFormat/>
    <w:rsid w:val="001A28FE"/>
    <w:pPr>
      <w:spacing w:before="80" w:after="60"/>
    </w:pPr>
    <w:rPr>
      <w:rFonts w:ascii="Verdana" w:hAnsi="Verdana"/>
      <w:b/>
      <w:color w:val="FFFFFF" w:themeColor="background1"/>
      <w:sz w:val="21"/>
      <w:lang w:eastAsia="en-US"/>
    </w:rPr>
  </w:style>
  <w:style w:type="paragraph" w:customStyle="1" w:styleId="Bulletafternumbers1">
    <w:name w:val="Bullet after numbers 1"/>
    <w:basedOn w:val="Body"/>
    <w:uiPriority w:val="4"/>
    <w:rsid w:val="001A28FE"/>
    <w:pPr>
      <w:numPr>
        <w:ilvl w:val="2"/>
        <w:numId w:val="27"/>
      </w:numPr>
    </w:pPr>
  </w:style>
  <w:style w:type="character" w:styleId="Hyperlink">
    <w:name w:val="Hyperlink"/>
    <w:uiPriority w:val="99"/>
    <w:rsid w:val="001A28FE"/>
    <w:rPr>
      <w:rFonts w:ascii="Verdana" w:hAnsi="Verdana"/>
      <w:color w:val="00865C"/>
      <w:u w:val="dotted"/>
    </w:rPr>
  </w:style>
  <w:style w:type="paragraph" w:customStyle="1" w:styleId="Documentsubtitle">
    <w:name w:val="Document subtitle"/>
    <w:uiPriority w:val="8"/>
    <w:rsid w:val="001A28FE"/>
    <w:pPr>
      <w:spacing w:after="120" w:line="360" w:lineRule="atLeast"/>
    </w:pPr>
    <w:rPr>
      <w:rFonts w:ascii="Verdana" w:hAnsi="Verdana"/>
      <w:color w:val="032833" w:themeColor="text1"/>
      <w:sz w:val="32"/>
      <w:szCs w:val="24"/>
      <w:lang w:eastAsia="en-US"/>
    </w:rPr>
  </w:style>
  <w:style w:type="paragraph" w:styleId="FootnoteText">
    <w:name w:val="footnote text"/>
    <w:basedOn w:val="Normal"/>
    <w:link w:val="FootnoteTextChar"/>
    <w:uiPriority w:val="8"/>
    <w:rsid w:val="001A28FE"/>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1A28FE"/>
    <w:rPr>
      <w:rFonts w:ascii="Verdana" w:eastAsia="MS Gothic" w:hAnsi="Verdana" w:cs="Arial"/>
      <w:sz w:val="18"/>
      <w:szCs w:val="16"/>
      <w:lang w:eastAsia="en-US"/>
    </w:rPr>
  </w:style>
  <w:style w:type="paragraph" w:customStyle="1" w:styleId="Spacerparatopoffirstpage">
    <w:name w:val="Spacer para top of first page"/>
    <w:basedOn w:val="Bodynospace"/>
    <w:semiHidden/>
    <w:rsid w:val="001A28FE"/>
    <w:pPr>
      <w:spacing w:line="240" w:lineRule="auto"/>
    </w:pPr>
    <w:rPr>
      <w:noProof/>
      <w:sz w:val="12"/>
    </w:rPr>
  </w:style>
  <w:style w:type="paragraph" w:styleId="Title">
    <w:name w:val="Title"/>
    <w:basedOn w:val="Normal"/>
    <w:next w:val="Normal"/>
    <w:link w:val="TitleChar"/>
    <w:uiPriority w:val="10"/>
    <w:semiHidden/>
    <w:qFormat/>
    <w:rsid w:val="001A28FE"/>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A28FE"/>
    <w:rPr>
      <w:rFonts w:ascii="Calibri Light" w:hAnsi="Calibri Light"/>
      <w:b/>
      <w:bCs/>
      <w:kern w:val="28"/>
      <w:sz w:val="32"/>
      <w:szCs w:val="32"/>
      <w:lang w:eastAsia="en-US"/>
    </w:rPr>
  </w:style>
  <w:style w:type="numbering" w:customStyle="1" w:styleId="ZZBullets">
    <w:name w:val="ZZ Bullets"/>
    <w:rsid w:val="001A28FE"/>
    <w:pPr>
      <w:numPr>
        <w:numId w:val="10"/>
      </w:numPr>
    </w:pPr>
  </w:style>
  <w:style w:type="numbering" w:customStyle="1" w:styleId="ZZNumbersdigit">
    <w:name w:val="ZZ Numbers digit"/>
    <w:rsid w:val="001A28FE"/>
    <w:pPr>
      <w:numPr>
        <w:numId w:val="11"/>
      </w:numPr>
    </w:pPr>
  </w:style>
  <w:style w:type="numbering" w:customStyle="1" w:styleId="ZZQuotebullets">
    <w:name w:val="ZZ Quote bullets"/>
    <w:basedOn w:val="ZZNumbersdigit"/>
    <w:rsid w:val="001A28FE"/>
    <w:pPr>
      <w:numPr>
        <w:numId w:val="13"/>
      </w:numPr>
    </w:pPr>
  </w:style>
  <w:style w:type="paragraph" w:customStyle="1" w:styleId="Numberdigit">
    <w:name w:val="Number digit"/>
    <w:basedOn w:val="Body"/>
    <w:uiPriority w:val="2"/>
    <w:rsid w:val="001A28FE"/>
    <w:pPr>
      <w:numPr>
        <w:numId w:val="27"/>
      </w:numPr>
    </w:pPr>
  </w:style>
  <w:style w:type="paragraph" w:customStyle="1" w:styleId="Numberloweralphaindent">
    <w:name w:val="Number lower alpha indent"/>
    <w:basedOn w:val="Body"/>
    <w:uiPriority w:val="3"/>
    <w:rsid w:val="001A28FE"/>
    <w:pPr>
      <w:numPr>
        <w:ilvl w:val="1"/>
        <w:numId w:val="12"/>
      </w:numPr>
    </w:pPr>
  </w:style>
  <w:style w:type="paragraph" w:customStyle="1" w:styleId="Numberdigitindent">
    <w:name w:val="Number digit indent"/>
    <w:basedOn w:val="Body"/>
    <w:uiPriority w:val="3"/>
    <w:rsid w:val="001A28FE"/>
    <w:pPr>
      <w:numPr>
        <w:ilvl w:val="1"/>
        <w:numId w:val="27"/>
      </w:numPr>
    </w:pPr>
  </w:style>
  <w:style w:type="paragraph" w:customStyle="1" w:styleId="Numberloweralpha">
    <w:name w:val="Number lower alpha"/>
    <w:basedOn w:val="Body"/>
    <w:uiPriority w:val="3"/>
    <w:rsid w:val="001A28FE"/>
    <w:pPr>
      <w:numPr>
        <w:numId w:val="12"/>
      </w:numPr>
    </w:pPr>
  </w:style>
  <w:style w:type="paragraph" w:customStyle="1" w:styleId="Numberlowerroman">
    <w:name w:val="Number lower roman"/>
    <w:basedOn w:val="Body"/>
    <w:uiPriority w:val="3"/>
    <w:rsid w:val="001A28FE"/>
    <w:pPr>
      <w:numPr>
        <w:numId w:val="14"/>
      </w:numPr>
    </w:pPr>
  </w:style>
  <w:style w:type="paragraph" w:customStyle="1" w:styleId="Numberlowerromanindent">
    <w:name w:val="Number lower roman indent"/>
    <w:basedOn w:val="Body"/>
    <w:uiPriority w:val="3"/>
    <w:rsid w:val="001A28FE"/>
    <w:pPr>
      <w:numPr>
        <w:ilvl w:val="1"/>
        <w:numId w:val="14"/>
      </w:numPr>
    </w:pPr>
  </w:style>
  <w:style w:type="paragraph" w:customStyle="1" w:styleId="Quotetext">
    <w:name w:val="Quote text"/>
    <w:basedOn w:val="Body"/>
    <w:uiPriority w:val="4"/>
    <w:rsid w:val="001A28FE"/>
    <w:pPr>
      <w:ind w:left="397"/>
    </w:pPr>
    <w:rPr>
      <w:szCs w:val="18"/>
    </w:rPr>
  </w:style>
  <w:style w:type="paragraph" w:customStyle="1" w:styleId="Tablefigurenote">
    <w:name w:val="Table/figure note"/>
    <w:uiPriority w:val="4"/>
    <w:rsid w:val="001A28FE"/>
    <w:pPr>
      <w:spacing w:before="60" w:after="60" w:line="240" w:lineRule="exact"/>
    </w:pPr>
    <w:rPr>
      <w:rFonts w:ascii="Verdana" w:hAnsi="Verdana"/>
      <w:lang w:eastAsia="en-US"/>
    </w:rPr>
  </w:style>
  <w:style w:type="paragraph" w:customStyle="1" w:styleId="Bodyaftertablefigure">
    <w:name w:val="Body after table/figure"/>
    <w:basedOn w:val="Body"/>
    <w:next w:val="Body"/>
    <w:uiPriority w:val="1"/>
    <w:rsid w:val="001A28FE"/>
    <w:pPr>
      <w:spacing w:before="240"/>
    </w:pPr>
  </w:style>
  <w:style w:type="paragraph" w:customStyle="1" w:styleId="Bulletafternumbers2">
    <w:name w:val="Bullet after numbers 2"/>
    <w:basedOn w:val="Body"/>
    <w:rsid w:val="001A28FE"/>
    <w:pPr>
      <w:numPr>
        <w:ilvl w:val="3"/>
        <w:numId w:val="27"/>
      </w:numPr>
    </w:pPr>
  </w:style>
  <w:style w:type="numbering" w:customStyle="1" w:styleId="ZZNumberslowerroman">
    <w:name w:val="ZZ Numbers lower roman"/>
    <w:basedOn w:val="ZZQuotebullets"/>
    <w:rsid w:val="001A28FE"/>
    <w:pPr>
      <w:numPr>
        <w:numId w:val="14"/>
      </w:numPr>
    </w:pPr>
  </w:style>
  <w:style w:type="numbering" w:customStyle="1" w:styleId="ZZNumbersloweralpha">
    <w:name w:val="ZZ Numbers lower alpha"/>
    <w:basedOn w:val="NoList"/>
    <w:rsid w:val="001A28FE"/>
    <w:pPr>
      <w:numPr>
        <w:numId w:val="12"/>
      </w:numPr>
    </w:pPr>
  </w:style>
  <w:style w:type="paragraph" w:customStyle="1" w:styleId="Quotebullet1">
    <w:name w:val="Quote bullet 1"/>
    <w:basedOn w:val="Quotetext"/>
    <w:rsid w:val="001A28FE"/>
    <w:pPr>
      <w:numPr>
        <w:numId w:val="13"/>
      </w:numPr>
    </w:pPr>
  </w:style>
  <w:style w:type="paragraph" w:customStyle="1" w:styleId="Quotebullet2">
    <w:name w:val="Quote bullet 2"/>
    <w:basedOn w:val="Quotetext"/>
    <w:rsid w:val="001A28FE"/>
    <w:pPr>
      <w:numPr>
        <w:ilvl w:val="1"/>
        <w:numId w:val="13"/>
      </w:numPr>
    </w:pPr>
  </w:style>
  <w:style w:type="paragraph" w:styleId="CommentText">
    <w:name w:val="annotation text"/>
    <w:basedOn w:val="Normal"/>
    <w:link w:val="CommentTextChar"/>
    <w:uiPriority w:val="99"/>
    <w:unhideWhenUsed/>
    <w:rsid w:val="001A28FE"/>
  </w:style>
  <w:style w:type="character" w:customStyle="1" w:styleId="CommentTextChar">
    <w:name w:val="Comment Text Char"/>
    <w:basedOn w:val="DefaultParagraphFont"/>
    <w:link w:val="CommentText"/>
    <w:uiPriority w:val="99"/>
    <w:rsid w:val="001A28FE"/>
    <w:rPr>
      <w:rFonts w:ascii="Verdana" w:hAnsi="Verdana"/>
      <w:sz w:val="21"/>
      <w:lang w:eastAsia="en-US"/>
    </w:rPr>
  </w:style>
  <w:style w:type="character" w:styleId="CommentReference">
    <w:name w:val="annotation reference"/>
    <w:basedOn w:val="DefaultParagraphFont"/>
    <w:uiPriority w:val="99"/>
    <w:semiHidden/>
    <w:unhideWhenUsed/>
    <w:rsid w:val="001A28FE"/>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1A28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8FE"/>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1A28FE"/>
    <w:rPr>
      <w:b/>
      <w:bCs/>
    </w:rPr>
  </w:style>
  <w:style w:type="character" w:customStyle="1" w:styleId="CommentSubjectChar">
    <w:name w:val="Comment Subject Char"/>
    <w:basedOn w:val="CommentTextChar"/>
    <w:link w:val="CommentSubject"/>
    <w:uiPriority w:val="99"/>
    <w:semiHidden/>
    <w:rsid w:val="001A28FE"/>
    <w:rPr>
      <w:rFonts w:ascii="Verdana" w:hAnsi="Verdana"/>
      <w:b/>
      <w:bCs/>
      <w:sz w:val="21"/>
      <w:lang w:eastAsia="en-US"/>
    </w:rPr>
  </w:style>
  <w:style w:type="character" w:customStyle="1" w:styleId="BodyChar">
    <w:name w:val="Body Char"/>
    <w:basedOn w:val="DefaultParagraphFont"/>
    <w:link w:val="Body"/>
    <w:rsid w:val="001A28FE"/>
    <w:rPr>
      <w:rFonts w:ascii="Verdana" w:eastAsia="Times" w:hAnsi="Verdana"/>
      <w:sz w:val="21"/>
      <w:lang w:eastAsia="en-US"/>
    </w:rPr>
  </w:style>
  <w:style w:type="paragraph" w:customStyle="1" w:styleId="Bannermarking">
    <w:name w:val="Banner marking"/>
    <w:basedOn w:val="Body"/>
    <w:uiPriority w:val="11"/>
    <w:rsid w:val="001A28FE"/>
    <w:pPr>
      <w:spacing w:after="0"/>
    </w:pPr>
    <w:rPr>
      <w:b/>
      <w:bCs/>
    </w:rPr>
  </w:style>
  <w:style w:type="character" w:styleId="UnresolvedMention">
    <w:name w:val="Unresolved Mention"/>
    <w:basedOn w:val="DefaultParagraphFont"/>
    <w:uiPriority w:val="99"/>
    <w:unhideWhenUsed/>
    <w:rsid w:val="001A28FE"/>
    <w:rPr>
      <w:color w:val="605E5C"/>
      <w:shd w:val="clear" w:color="auto" w:fill="E1DFDD"/>
    </w:rPr>
  </w:style>
  <w:style w:type="paragraph" w:customStyle="1" w:styleId="Imprint">
    <w:name w:val="Imprint"/>
    <w:basedOn w:val="Body"/>
    <w:uiPriority w:val="11"/>
    <w:rsid w:val="001A28FE"/>
    <w:pPr>
      <w:spacing w:after="60" w:line="270" w:lineRule="atLeast"/>
    </w:pPr>
    <w:rPr>
      <w:sz w:val="20"/>
    </w:rPr>
  </w:style>
  <w:style w:type="paragraph" w:customStyle="1" w:styleId="Introtext">
    <w:name w:val="Intro text"/>
    <w:basedOn w:val="Body"/>
    <w:uiPriority w:val="11"/>
    <w:rsid w:val="001A28FE"/>
    <w:pPr>
      <w:spacing w:line="320" w:lineRule="atLeast"/>
    </w:pPr>
    <w:rPr>
      <w:color w:val="032833" w:themeColor="text1"/>
      <w:sz w:val="24"/>
    </w:rPr>
  </w:style>
  <w:style w:type="character" w:customStyle="1" w:styleId="HeaderChar">
    <w:name w:val="Header Char"/>
    <w:basedOn w:val="DefaultParagraphFont"/>
    <w:link w:val="Header"/>
    <w:uiPriority w:val="10"/>
    <w:rsid w:val="001A28FE"/>
    <w:rPr>
      <w:rFonts w:ascii="Verdana" w:hAnsi="Verdana" w:cs="Arial"/>
      <w:b/>
      <w:color w:val="032833" w:themeColor="text1"/>
      <w:sz w:val="18"/>
      <w:szCs w:val="18"/>
      <w:lang w:eastAsia="en-US"/>
    </w:rPr>
  </w:style>
  <w:style w:type="character" w:styleId="Emphasis">
    <w:name w:val="Emphasis"/>
    <w:basedOn w:val="DefaultParagraphFont"/>
    <w:uiPriority w:val="20"/>
    <w:rsid w:val="001A28FE"/>
    <w:rPr>
      <w:rFonts w:ascii="Verdana" w:hAnsi="Verdana"/>
      <w:i/>
      <w:iCs/>
    </w:rPr>
  </w:style>
  <w:style w:type="paragraph" w:styleId="ListParagraph">
    <w:name w:val="List Paragraph"/>
    <w:basedOn w:val="Normal"/>
    <w:uiPriority w:val="34"/>
    <w:qFormat/>
    <w:rsid w:val="00314E7F"/>
    <w:pPr>
      <w:ind w:left="720"/>
      <w:contextualSpacing/>
    </w:pPr>
  </w:style>
  <w:style w:type="paragraph" w:customStyle="1" w:styleId="DHHSbody">
    <w:name w:val="DHHS body"/>
    <w:link w:val="DHHSbodyChar"/>
    <w:qFormat/>
    <w:rsid w:val="00314E7F"/>
    <w:pPr>
      <w:spacing w:after="120" w:line="270" w:lineRule="atLeast"/>
    </w:pPr>
    <w:rPr>
      <w:rFonts w:ascii="Arial" w:eastAsia="Times" w:hAnsi="Arial"/>
      <w:lang w:eastAsia="en-US"/>
    </w:rPr>
  </w:style>
  <w:style w:type="character" w:customStyle="1" w:styleId="DHHSbodyChar">
    <w:name w:val="DHHS body Char"/>
    <w:basedOn w:val="DefaultParagraphFont"/>
    <w:link w:val="DHHSbody"/>
    <w:qFormat/>
    <w:rsid w:val="00314E7F"/>
    <w:rPr>
      <w:rFonts w:ascii="Arial" w:eastAsia="Times" w:hAnsi="Arial"/>
      <w:lang w:eastAsia="en-US"/>
    </w:rPr>
  </w:style>
  <w:style w:type="paragraph" w:styleId="Caption">
    <w:name w:val="caption"/>
    <w:basedOn w:val="Normal"/>
    <w:next w:val="Normal"/>
    <w:uiPriority w:val="35"/>
    <w:unhideWhenUsed/>
    <w:qFormat/>
    <w:rsid w:val="00314E7F"/>
    <w:pPr>
      <w:spacing w:after="200"/>
    </w:pPr>
    <w:rPr>
      <w:i/>
      <w:iCs/>
      <w:color w:val="032833" w:themeColor="text2"/>
      <w:sz w:val="18"/>
      <w:szCs w:val="18"/>
    </w:rPr>
  </w:style>
  <w:style w:type="paragraph" w:customStyle="1" w:styleId="Bulletpoints">
    <w:name w:val="Bullet points"/>
    <w:basedOn w:val="Normal"/>
    <w:qFormat/>
    <w:rsid w:val="00314E7F"/>
    <w:pPr>
      <w:numPr>
        <w:numId w:val="16"/>
      </w:numPr>
      <w:spacing w:after="80" w:line="276" w:lineRule="auto"/>
      <w:jc w:val="both"/>
    </w:pPr>
    <w:rPr>
      <w:rFonts w:ascii="Arial" w:eastAsiaTheme="minorHAnsi" w:hAnsi="Arial" w:cs="Arial"/>
      <w:lang w:val="en-US"/>
    </w:rPr>
  </w:style>
  <w:style w:type="paragraph" w:customStyle="1" w:styleId="DHHSbullet1">
    <w:name w:val="DHHS bullet 1"/>
    <w:basedOn w:val="DHHSbody"/>
    <w:qFormat/>
    <w:rsid w:val="000559C9"/>
    <w:pPr>
      <w:spacing w:after="40"/>
      <w:ind w:left="284" w:hanging="284"/>
    </w:pPr>
  </w:style>
  <w:style w:type="paragraph" w:customStyle="1" w:styleId="DHHSbodyafterbullets">
    <w:name w:val="DHHS body after bullets"/>
    <w:basedOn w:val="DHHSbody"/>
    <w:uiPriority w:val="11"/>
    <w:rsid w:val="000559C9"/>
    <w:pPr>
      <w:spacing w:before="120"/>
    </w:pPr>
  </w:style>
  <w:style w:type="paragraph" w:customStyle="1" w:styleId="DHHSbullet1lastline">
    <w:name w:val="DHHS bullet 1 last line"/>
    <w:basedOn w:val="DHHSbullet1"/>
    <w:qFormat/>
    <w:rsid w:val="000559C9"/>
    <w:pPr>
      <w:tabs>
        <w:tab w:val="num" w:pos="360"/>
      </w:tabs>
      <w:spacing w:before="240" w:after="120" w:line="240" w:lineRule="auto"/>
    </w:pPr>
    <w:rPr>
      <w:rFonts w:cs="Arial"/>
    </w:rPr>
  </w:style>
  <w:style w:type="character" w:styleId="IntenseReference">
    <w:name w:val="Intense Reference"/>
    <w:basedOn w:val="DefaultParagraphFont"/>
    <w:uiPriority w:val="68"/>
    <w:qFormat/>
    <w:rsid w:val="000559C9"/>
    <w:rPr>
      <w:b/>
      <w:bCs/>
      <w:smallCaps/>
      <w:color w:val="0F8194" w:themeColor="accent1"/>
      <w:spacing w:val="5"/>
    </w:rPr>
  </w:style>
  <w:style w:type="character" w:styleId="Mention">
    <w:name w:val="Mention"/>
    <w:basedOn w:val="DefaultParagraphFont"/>
    <w:uiPriority w:val="99"/>
    <w:rsid w:val="000559C9"/>
    <w:rPr>
      <w:color w:val="2B579A"/>
      <w:shd w:val="clear" w:color="auto" w:fill="E1DFDD"/>
    </w:rPr>
  </w:style>
  <w:style w:type="character" w:styleId="IntenseEmphasis">
    <w:name w:val="Intense Emphasis"/>
    <w:basedOn w:val="DefaultParagraphFont"/>
    <w:uiPriority w:val="66"/>
    <w:qFormat/>
    <w:rsid w:val="000559C9"/>
    <w:rPr>
      <w:i/>
      <w:iCs/>
      <w:color w:val="0F8194" w:themeColor="accent1"/>
    </w:rPr>
  </w:style>
  <w:style w:type="paragraph" w:customStyle="1" w:styleId="DHHSbodyaftertablefigure">
    <w:name w:val="DHHS body after table/figure"/>
    <w:basedOn w:val="DHHSbody"/>
    <w:next w:val="DHHSbody"/>
    <w:uiPriority w:val="1"/>
    <w:rsid w:val="00275B09"/>
    <w:pPr>
      <w:spacing w:before="240"/>
    </w:pPr>
  </w:style>
  <w:style w:type="paragraph" w:customStyle="1" w:styleId="paragraph">
    <w:name w:val="paragraph"/>
    <w:basedOn w:val="Normal"/>
    <w:rsid w:val="00275B09"/>
    <w:pPr>
      <w:spacing w:before="100" w:beforeAutospacing="1" w:after="100" w:afterAutospacing="1"/>
    </w:pPr>
    <w:rPr>
      <w:rFonts w:ascii="Times New Roman" w:hAnsi="Times New Roman"/>
      <w:sz w:val="24"/>
      <w:szCs w:val="24"/>
      <w:lang w:eastAsia="en-AU"/>
    </w:rPr>
  </w:style>
  <w:style w:type="character" w:customStyle="1" w:styleId="normaltextrun">
    <w:name w:val="normaltextrun"/>
    <w:basedOn w:val="DefaultParagraphFont"/>
    <w:rsid w:val="00275B09"/>
  </w:style>
  <w:style w:type="character" w:customStyle="1" w:styleId="eop">
    <w:name w:val="eop"/>
    <w:basedOn w:val="DefaultParagraphFont"/>
    <w:rsid w:val="00275B09"/>
  </w:style>
  <w:style w:type="table" w:customStyle="1" w:styleId="TableGrid1">
    <w:name w:val="Table Grid1"/>
    <w:basedOn w:val="TableNormal"/>
    <w:next w:val="TableGrid"/>
    <w:uiPriority w:val="59"/>
    <w:rsid w:val="001324DD"/>
    <w:tblPr>
      <w:tblInd w:w="108" w:type="dxa"/>
      <w:tblBorders>
        <w:top w:val="single" w:sz="4" w:space="0" w:color="C2174F"/>
        <w:left w:val="single" w:sz="4" w:space="0" w:color="C2174F"/>
        <w:bottom w:val="single" w:sz="4" w:space="0" w:color="C2174F"/>
        <w:right w:val="single" w:sz="4" w:space="0" w:color="C2174F"/>
        <w:insideH w:val="single" w:sz="4" w:space="0" w:color="C2174F"/>
        <w:insideV w:val="single" w:sz="4" w:space="0" w:color="C2174F"/>
      </w:tblBorders>
    </w:tblPr>
    <w:tblStylePr w:type="firstRow">
      <w:tblPr/>
      <w:tcPr>
        <w:shd w:val="clear" w:color="auto" w:fill="C2174F"/>
      </w:tcPr>
    </w:tblStylePr>
  </w:style>
  <w:style w:type="paragraph" w:customStyle="1" w:styleId="DHHStabletext6pt">
    <w:name w:val="DHHS table text + 6pt"/>
    <w:basedOn w:val="DHHStabletext"/>
    <w:rsid w:val="00E47345"/>
    <w:pPr>
      <w:spacing w:after="120"/>
    </w:pPr>
  </w:style>
  <w:style w:type="paragraph" w:customStyle="1" w:styleId="DHHStabletext">
    <w:name w:val="DHHS table text"/>
    <w:qFormat/>
    <w:rsid w:val="00E47345"/>
    <w:pPr>
      <w:spacing w:before="80" w:after="60"/>
    </w:pPr>
    <w:rPr>
      <w:rFonts w:ascii="Arial" w:hAnsi="Arial"/>
      <w:lang w:eastAsia="en-US"/>
    </w:rPr>
  </w:style>
  <w:style w:type="paragraph" w:customStyle="1" w:styleId="DHHStablecaption">
    <w:name w:val="DHHS table caption"/>
    <w:next w:val="DHHSbody"/>
    <w:uiPriority w:val="99"/>
    <w:qFormat/>
    <w:rsid w:val="00E47345"/>
    <w:pPr>
      <w:keepNext/>
      <w:keepLines/>
      <w:spacing w:before="240" w:after="120" w:line="240" w:lineRule="atLeast"/>
    </w:pPr>
    <w:rPr>
      <w:rFonts w:ascii="Arial" w:hAnsi="Arial"/>
      <w:b/>
      <w:lang w:eastAsia="en-US"/>
    </w:rPr>
  </w:style>
  <w:style w:type="paragraph" w:customStyle="1" w:styleId="DHHStablebullet1">
    <w:name w:val="DHHS table bullet 1"/>
    <w:basedOn w:val="DHHStabletext"/>
    <w:uiPriority w:val="3"/>
    <w:qFormat/>
    <w:rsid w:val="00E47345"/>
    <w:pPr>
      <w:ind w:left="227" w:hanging="227"/>
    </w:pPr>
  </w:style>
  <w:style w:type="paragraph" w:customStyle="1" w:styleId="DHHStablecolhead">
    <w:name w:val="DHHS table col head"/>
    <w:uiPriority w:val="99"/>
    <w:qFormat/>
    <w:rsid w:val="00E47345"/>
    <w:pPr>
      <w:spacing w:before="80" w:after="60"/>
    </w:pPr>
    <w:rPr>
      <w:rFonts w:ascii="Arial" w:hAnsi="Arial"/>
      <w:b/>
      <w:color w:val="FFFFFF"/>
      <w:lang w:eastAsia="en-US"/>
    </w:rPr>
  </w:style>
  <w:style w:type="paragraph" w:customStyle="1" w:styleId="DHHSnumberdigit">
    <w:name w:val="DHHS number digit"/>
    <w:basedOn w:val="DHHSbody"/>
    <w:uiPriority w:val="2"/>
    <w:rsid w:val="00E47345"/>
    <w:pPr>
      <w:numPr>
        <w:numId w:val="20"/>
      </w:numPr>
    </w:pPr>
  </w:style>
  <w:style w:type="paragraph" w:styleId="BodyText">
    <w:name w:val="Body Text"/>
    <w:basedOn w:val="Normal"/>
    <w:link w:val="BodyTextChar1"/>
    <w:uiPriority w:val="99"/>
    <w:semiHidden/>
    <w:rsid w:val="00E47345"/>
    <w:pPr>
      <w:jc w:val="center"/>
    </w:pPr>
    <w:rPr>
      <w:rFonts w:ascii="Arial" w:hAnsi="Arial"/>
    </w:rPr>
  </w:style>
  <w:style w:type="character" w:customStyle="1" w:styleId="BodyTextChar">
    <w:name w:val="Body Text Char"/>
    <w:basedOn w:val="DefaultParagraphFont"/>
    <w:uiPriority w:val="99"/>
    <w:semiHidden/>
    <w:rsid w:val="00E47345"/>
    <w:rPr>
      <w:rFonts w:ascii="Verdana" w:hAnsi="Verdana"/>
      <w:sz w:val="21"/>
      <w:lang w:eastAsia="en-US"/>
    </w:rPr>
  </w:style>
  <w:style w:type="character" w:customStyle="1" w:styleId="BodyTextChar1">
    <w:name w:val="Body Text Char1"/>
    <w:link w:val="BodyText"/>
    <w:uiPriority w:val="99"/>
    <w:semiHidden/>
    <w:locked/>
    <w:rsid w:val="00E47345"/>
    <w:rPr>
      <w:rFonts w:ascii="Arial" w:hAnsi="Arial"/>
      <w:sz w:val="21"/>
      <w:lang w:eastAsia="en-US"/>
    </w:rPr>
  </w:style>
  <w:style w:type="paragraph" w:customStyle="1" w:styleId="DHHSNumberText">
    <w:name w:val="DHHS Number Text"/>
    <w:basedOn w:val="Normal"/>
    <w:rsid w:val="00E47345"/>
    <w:pPr>
      <w:numPr>
        <w:numId w:val="21"/>
      </w:numPr>
      <w:spacing w:line="270" w:lineRule="exact"/>
      <w:jc w:val="both"/>
    </w:pPr>
    <w:rPr>
      <w:rFonts w:ascii="Calibri" w:hAnsi="Calibri"/>
      <w:sz w:val="22"/>
    </w:rPr>
  </w:style>
  <w:style w:type="paragraph" w:customStyle="1" w:styleId="DHHSbodynospace">
    <w:name w:val="DHHS body no space"/>
    <w:basedOn w:val="DHHSbody"/>
    <w:uiPriority w:val="1"/>
    <w:rsid w:val="00713CF0"/>
    <w:pPr>
      <w:spacing w:after="0"/>
    </w:pPr>
  </w:style>
  <w:style w:type="paragraph" w:customStyle="1" w:styleId="DHHSTOCheadingfactsheet">
    <w:name w:val="DHHS TOC heading fact sheet"/>
    <w:basedOn w:val="Heading2"/>
    <w:next w:val="DHHSbody"/>
    <w:link w:val="DHHSTOCheadingfactsheetChar"/>
    <w:uiPriority w:val="4"/>
    <w:rsid w:val="00713CF0"/>
    <w:pPr>
      <w:spacing w:before="0" w:after="200"/>
      <w:outlineLvl w:val="9"/>
    </w:pPr>
  </w:style>
  <w:style w:type="character" w:customStyle="1" w:styleId="DHHSTOCheadingfactsheetChar">
    <w:name w:val="DHHS TOC heading fact sheet Char"/>
    <w:link w:val="DHHSTOCheadingfactsheet"/>
    <w:uiPriority w:val="4"/>
    <w:rsid w:val="00713CF0"/>
    <w:rPr>
      <w:rFonts w:ascii="Verdana" w:hAnsi="Verdana"/>
      <w:b/>
      <w:color w:val="032833" w:themeColor="text1"/>
      <w:sz w:val="32"/>
      <w:szCs w:val="28"/>
      <w:lang w:eastAsia="en-US"/>
    </w:rPr>
  </w:style>
  <w:style w:type="paragraph" w:customStyle="1" w:styleId="Sectionbreakfirstpage">
    <w:name w:val="Section break first page"/>
    <w:uiPriority w:val="5"/>
    <w:rsid w:val="00713CF0"/>
    <w:pPr>
      <w:spacing w:after="400"/>
    </w:pPr>
    <w:rPr>
      <w:rFonts w:ascii="Arial" w:hAnsi="Arial"/>
      <w:lang w:eastAsia="en-US"/>
    </w:rPr>
  </w:style>
  <w:style w:type="paragraph" w:customStyle="1" w:styleId="DHHSmainheading">
    <w:name w:val="DHHS main heading"/>
    <w:uiPriority w:val="8"/>
    <w:rsid w:val="00713CF0"/>
    <w:pPr>
      <w:spacing w:line="216" w:lineRule="auto"/>
    </w:pPr>
    <w:rPr>
      <w:rFonts w:ascii="Arial" w:hAnsi="Arial"/>
      <w:caps/>
      <w:color w:val="FFFFFF"/>
      <w:sz w:val="64"/>
      <w:szCs w:val="64"/>
      <w:lang w:eastAsia="en-US"/>
    </w:rPr>
  </w:style>
  <w:style w:type="paragraph" w:customStyle="1" w:styleId="DHHSaccessibilitypara">
    <w:name w:val="DHHS accessibility para"/>
    <w:uiPriority w:val="8"/>
    <w:rsid w:val="00713CF0"/>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13CF0"/>
    <w:pPr>
      <w:keepNext/>
      <w:keepLines/>
      <w:spacing w:before="240" w:after="120"/>
    </w:pPr>
    <w:rPr>
      <w:rFonts w:ascii="Arial" w:hAnsi="Arial"/>
      <w:b/>
      <w:lang w:eastAsia="en-US"/>
    </w:rPr>
  </w:style>
  <w:style w:type="paragraph" w:customStyle="1" w:styleId="DHHSbullet2">
    <w:name w:val="DHHS bullet 2"/>
    <w:basedOn w:val="DHHSbody"/>
    <w:uiPriority w:val="2"/>
    <w:qFormat/>
    <w:rsid w:val="00713CF0"/>
    <w:pPr>
      <w:spacing w:after="40"/>
      <w:ind w:left="567" w:hanging="283"/>
    </w:pPr>
  </w:style>
  <w:style w:type="paragraph" w:customStyle="1" w:styleId="DHHStablebullet2">
    <w:name w:val="DHHS table bullet 2"/>
    <w:basedOn w:val="DHHStabletext"/>
    <w:uiPriority w:val="11"/>
    <w:rsid w:val="00713CF0"/>
    <w:pPr>
      <w:tabs>
        <w:tab w:val="num" w:pos="227"/>
      </w:tabs>
      <w:ind w:left="454" w:hanging="227"/>
    </w:pPr>
  </w:style>
  <w:style w:type="paragraph" w:customStyle="1" w:styleId="DHHSbulletafternumbers1">
    <w:name w:val="DHHS bullet after numbers 1"/>
    <w:basedOn w:val="DHHSbody"/>
    <w:uiPriority w:val="4"/>
    <w:rsid w:val="00713CF0"/>
    <w:pPr>
      <w:ind w:left="907" w:hanging="453"/>
    </w:pPr>
  </w:style>
  <w:style w:type="paragraph" w:customStyle="1" w:styleId="DHHSmainsubheading">
    <w:name w:val="DHHS main subheading"/>
    <w:uiPriority w:val="8"/>
    <w:rsid w:val="00713CF0"/>
    <w:rPr>
      <w:rFonts w:ascii="Arial" w:hAnsi="Arial"/>
      <w:b/>
      <w:color w:val="FFFFFF"/>
      <w:sz w:val="28"/>
      <w:szCs w:val="28"/>
      <w:lang w:eastAsia="en-US"/>
    </w:rPr>
  </w:style>
  <w:style w:type="paragraph" w:customStyle="1" w:styleId="DHHSnumberloweralphaindent">
    <w:name w:val="DHHS number lower alpha indent"/>
    <w:basedOn w:val="DHHSbody"/>
    <w:uiPriority w:val="3"/>
    <w:rsid w:val="00713CF0"/>
    <w:pPr>
      <w:tabs>
        <w:tab w:val="num" w:pos="794"/>
      </w:tabs>
      <w:ind w:left="794" w:hanging="397"/>
    </w:pPr>
  </w:style>
  <w:style w:type="paragraph" w:customStyle="1" w:styleId="DHHSnumberdigitindent">
    <w:name w:val="DHHS number digit indent"/>
    <w:basedOn w:val="DHHSnumberloweralphaindent"/>
    <w:uiPriority w:val="3"/>
    <w:rsid w:val="00713CF0"/>
    <w:pPr>
      <w:tabs>
        <w:tab w:val="clear" w:pos="794"/>
        <w:tab w:val="num" w:pos="454"/>
      </w:tabs>
      <w:ind w:left="454" w:hanging="454"/>
    </w:pPr>
  </w:style>
  <w:style w:type="paragraph" w:customStyle="1" w:styleId="DHHSnumberloweralpha">
    <w:name w:val="DHHS number lower alpha"/>
    <w:basedOn w:val="DHHSbody"/>
    <w:uiPriority w:val="3"/>
    <w:rsid w:val="00713CF0"/>
    <w:pPr>
      <w:tabs>
        <w:tab w:val="num" w:pos="397"/>
      </w:tabs>
      <w:ind w:left="397" w:hanging="397"/>
    </w:pPr>
  </w:style>
  <w:style w:type="paragraph" w:customStyle="1" w:styleId="DHHSnumberlowerroman">
    <w:name w:val="DHHS number lower roman"/>
    <w:basedOn w:val="DHHSbody"/>
    <w:uiPriority w:val="3"/>
    <w:rsid w:val="00713CF0"/>
    <w:pPr>
      <w:tabs>
        <w:tab w:val="num" w:pos="454"/>
      </w:tabs>
      <w:ind w:left="454" w:hanging="454"/>
    </w:pPr>
  </w:style>
  <w:style w:type="paragraph" w:customStyle="1" w:styleId="DHHSnumberlowerromanindent">
    <w:name w:val="DHHS number lower roman indent"/>
    <w:basedOn w:val="DHHSbody"/>
    <w:uiPriority w:val="3"/>
    <w:rsid w:val="00713CF0"/>
    <w:pPr>
      <w:tabs>
        <w:tab w:val="num" w:pos="907"/>
      </w:tabs>
      <w:ind w:left="907" w:hanging="453"/>
    </w:pPr>
  </w:style>
  <w:style w:type="paragraph" w:customStyle="1" w:styleId="DHHSquote">
    <w:name w:val="DHHS quote"/>
    <w:basedOn w:val="DHHSbody"/>
    <w:uiPriority w:val="4"/>
    <w:rsid w:val="00713CF0"/>
    <w:pPr>
      <w:ind w:left="397"/>
    </w:pPr>
    <w:rPr>
      <w:szCs w:val="18"/>
    </w:rPr>
  </w:style>
  <w:style w:type="paragraph" w:customStyle="1" w:styleId="DHHStablefigurenote">
    <w:name w:val="DHHS table/figure note"/>
    <w:uiPriority w:val="4"/>
    <w:rsid w:val="00713CF0"/>
    <w:pPr>
      <w:spacing w:before="60" w:after="60" w:line="240" w:lineRule="exact"/>
    </w:pPr>
    <w:rPr>
      <w:rFonts w:ascii="Arial" w:hAnsi="Arial"/>
      <w:sz w:val="18"/>
      <w:lang w:eastAsia="en-US"/>
    </w:rPr>
  </w:style>
  <w:style w:type="paragraph" w:customStyle="1" w:styleId="DHHSfooter">
    <w:name w:val="DHHS footer"/>
    <w:uiPriority w:val="11"/>
    <w:rsid w:val="00713CF0"/>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713CF0"/>
  </w:style>
  <w:style w:type="paragraph" w:customStyle="1" w:styleId="DHHSbulletafternumbers2">
    <w:name w:val="DHHS bullet after numbers 2"/>
    <w:basedOn w:val="DHHSbody"/>
    <w:rsid w:val="00713CF0"/>
    <w:pPr>
      <w:ind w:left="1361" w:hanging="454"/>
    </w:pPr>
  </w:style>
  <w:style w:type="paragraph" w:customStyle="1" w:styleId="DHHSquotebullet1">
    <w:name w:val="DHHS quote bullet 1"/>
    <w:basedOn w:val="DHHSquote"/>
    <w:rsid w:val="00713CF0"/>
    <w:pPr>
      <w:tabs>
        <w:tab w:val="num" w:pos="397"/>
      </w:tabs>
      <w:ind w:left="680" w:hanging="283"/>
    </w:pPr>
  </w:style>
  <w:style w:type="paragraph" w:customStyle="1" w:styleId="DHHSquotebullet2">
    <w:name w:val="DHHS quote bullet 2"/>
    <w:basedOn w:val="DHHSquote"/>
    <w:rsid w:val="00713CF0"/>
    <w:pPr>
      <w:tabs>
        <w:tab w:val="num" w:pos="794"/>
      </w:tabs>
      <w:ind w:left="964" w:hanging="284"/>
    </w:pPr>
  </w:style>
  <w:style w:type="paragraph" w:styleId="NormalWeb">
    <w:name w:val="Normal (Web)"/>
    <w:basedOn w:val="Normal"/>
    <w:uiPriority w:val="99"/>
    <w:unhideWhenUsed/>
    <w:rsid w:val="00713CF0"/>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
    <w:rsid w:val="00713CF0"/>
    <w:rPr>
      <w:rFonts w:ascii="Calibri" w:eastAsiaTheme="minorHAnsi" w:hAnsi="Calibri" w:cs="Calibri"/>
      <w:sz w:val="22"/>
      <w:szCs w:val="22"/>
      <w:lang w:eastAsia="en-AU"/>
    </w:rPr>
  </w:style>
  <w:style w:type="paragraph" w:customStyle="1" w:styleId="xmsolistparagraph">
    <w:name w:val="x_msolistparagraph"/>
    <w:basedOn w:val="Normal"/>
    <w:rsid w:val="00713CF0"/>
    <w:pPr>
      <w:spacing w:before="100" w:beforeAutospacing="1" w:after="100" w:afterAutospacing="1"/>
    </w:pPr>
    <w:rPr>
      <w:rFonts w:ascii="Calibri" w:eastAsiaTheme="minorHAnsi" w:hAnsi="Calibri" w:cs="Calibri"/>
      <w:sz w:val="22"/>
      <w:szCs w:val="22"/>
      <w:lang w:eastAsia="en-AU"/>
    </w:rPr>
  </w:style>
  <w:style w:type="paragraph" w:customStyle="1" w:styleId="xdhhsbody">
    <w:name w:val="x_dhhsbody"/>
    <w:basedOn w:val="Normal"/>
    <w:rsid w:val="00713CF0"/>
    <w:pPr>
      <w:spacing w:before="100" w:beforeAutospacing="1" w:after="100" w:afterAutospacing="1"/>
    </w:pPr>
    <w:rPr>
      <w:rFonts w:ascii="Calibri" w:eastAsiaTheme="minorHAnsi" w:hAnsi="Calibri" w:cs="Calibri"/>
      <w:sz w:val="22"/>
      <w:szCs w:val="22"/>
      <w:lang w:eastAsia="en-AU"/>
    </w:rPr>
  </w:style>
  <w:style w:type="paragraph" w:customStyle="1" w:styleId="DPCnumberdigit">
    <w:name w:val="DPC number digit"/>
    <w:basedOn w:val="Normal"/>
    <w:uiPriority w:val="4"/>
    <w:rsid w:val="00713CF0"/>
    <w:pPr>
      <w:tabs>
        <w:tab w:val="num" w:pos="397"/>
      </w:tabs>
      <w:spacing w:after="160" w:line="300" w:lineRule="atLeast"/>
      <w:ind w:left="397" w:hanging="397"/>
    </w:pPr>
    <w:rPr>
      <w:rFonts w:asciiTheme="minorHAnsi" w:eastAsia="Times" w:hAnsiTheme="minorHAnsi" w:cs="Arial"/>
      <w:color w:val="032833" w:themeColor="text1"/>
      <w:sz w:val="22"/>
      <w:szCs w:val="22"/>
    </w:rPr>
  </w:style>
  <w:style w:type="paragraph" w:customStyle="1" w:styleId="DPCnumberdigitindent">
    <w:name w:val="DPC number digit indent"/>
    <w:basedOn w:val="Normal"/>
    <w:uiPriority w:val="4"/>
    <w:qFormat/>
    <w:rsid w:val="00713CF0"/>
    <w:pPr>
      <w:tabs>
        <w:tab w:val="num" w:pos="794"/>
      </w:tabs>
      <w:spacing w:after="160" w:line="300" w:lineRule="atLeast"/>
      <w:ind w:left="794" w:hanging="397"/>
    </w:pPr>
    <w:rPr>
      <w:rFonts w:asciiTheme="minorHAnsi" w:eastAsia="Times" w:hAnsiTheme="minorHAnsi" w:cs="Arial"/>
      <w:color w:val="032833" w:themeColor="text1"/>
      <w:sz w:val="22"/>
      <w:szCs w:val="22"/>
    </w:rPr>
  </w:style>
  <w:style w:type="paragraph" w:customStyle="1" w:styleId="DPCbulletafternumbers1">
    <w:name w:val="DPC bullet after numbers 1"/>
    <w:basedOn w:val="Normal"/>
    <w:rsid w:val="00713CF0"/>
    <w:pPr>
      <w:spacing w:after="160" w:line="300" w:lineRule="atLeast"/>
      <w:ind w:left="794" w:hanging="397"/>
    </w:pPr>
    <w:rPr>
      <w:rFonts w:asciiTheme="minorHAnsi" w:eastAsia="Times" w:hAnsiTheme="minorHAnsi" w:cs="Arial"/>
      <w:color w:val="032833" w:themeColor="text1"/>
      <w:sz w:val="22"/>
      <w:szCs w:val="22"/>
    </w:rPr>
  </w:style>
  <w:style w:type="paragraph" w:customStyle="1" w:styleId="DPCbulletafternumbers2">
    <w:name w:val="DPC bullet after numbers 2"/>
    <w:basedOn w:val="Normal"/>
    <w:rsid w:val="00713CF0"/>
    <w:pPr>
      <w:spacing w:after="160" w:line="300" w:lineRule="atLeast"/>
      <w:ind w:left="1191" w:hanging="397"/>
    </w:pPr>
    <w:rPr>
      <w:rFonts w:asciiTheme="minorHAnsi" w:eastAsia="Times" w:hAnsiTheme="minorHAnsi" w:cs="Arial"/>
      <w:color w:val="032833" w:themeColor="text1"/>
      <w:sz w:val="22"/>
      <w:szCs w:val="22"/>
    </w:rPr>
  </w:style>
  <w:style w:type="numbering" w:customStyle="1" w:styleId="Bullets">
    <w:name w:val="Bullets"/>
    <w:rsid w:val="00713CF0"/>
    <w:pPr>
      <w:numPr>
        <w:numId w:val="28"/>
      </w:numPr>
    </w:pPr>
  </w:style>
  <w:style w:type="paragraph" w:customStyle="1" w:styleId="DHHStablebullet">
    <w:name w:val="DHHS table bullet"/>
    <w:basedOn w:val="DHHStabletext"/>
    <w:uiPriority w:val="3"/>
    <w:qFormat/>
    <w:rsid w:val="00713CF0"/>
    <w:pPr>
      <w:ind w:left="227" w:hanging="227"/>
    </w:pPr>
  </w:style>
  <w:style w:type="paragraph" w:customStyle="1" w:styleId="DHHSbulletindent">
    <w:name w:val="DHHS bullet indent"/>
    <w:basedOn w:val="DHHSbody"/>
    <w:uiPriority w:val="4"/>
    <w:rsid w:val="00713CF0"/>
    <w:pPr>
      <w:spacing w:after="40"/>
      <w:ind w:left="680" w:hanging="283"/>
    </w:pPr>
  </w:style>
  <w:style w:type="paragraph" w:customStyle="1" w:styleId="DHHSbullet2lastline">
    <w:name w:val="DHHS bullet 2 last line"/>
    <w:basedOn w:val="DHHSbullet2"/>
    <w:uiPriority w:val="2"/>
    <w:qFormat/>
    <w:rsid w:val="00713CF0"/>
    <w:pPr>
      <w:spacing w:after="120"/>
    </w:pPr>
  </w:style>
  <w:style w:type="numbering" w:customStyle="1" w:styleId="ZZNumbers">
    <w:name w:val="ZZ Numbers"/>
    <w:rsid w:val="00713CF0"/>
    <w:pPr>
      <w:numPr>
        <w:numId w:val="29"/>
      </w:numPr>
    </w:pPr>
  </w:style>
  <w:style w:type="paragraph" w:customStyle="1" w:styleId="DHHSbulletindentlastline">
    <w:name w:val="DHHS bullet indent last line"/>
    <w:basedOn w:val="DHHSbody"/>
    <w:uiPriority w:val="4"/>
    <w:rsid w:val="00713CF0"/>
    <w:pPr>
      <w:ind w:left="680" w:hanging="283"/>
    </w:pPr>
  </w:style>
  <w:style w:type="paragraph" w:customStyle="1" w:styleId="Default">
    <w:name w:val="Default"/>
    <w:rsid w:val="00713CF0"/>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6130F1"/>
    <w:rPr>
      <w:rFonts w:ascii="Verdana" w:hAnsi="Verdana"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04148973">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hs@homes.vic.gov.au" TargetMode="External"/><Relationship Id="rId21" Type="http://schemas.openxmlformats.org/officeDocument/2006/relationships/hyperlink" Target="https://www.dhhs.vic.gov.au/sites/default/files/documents/201705/Homelessness-Services-Guidelines-and-Conditions-of-Funding-V2.1.pdf" TargetMode="External"/><Relationship Id="rId42" Type="http://schemas.openxmlformats.org/officeDocument/2006/relationships/hyperlink" Target="mailto:hhs@homes.vic.gov.au" TargetMode="External"/><Relationship Id="rId47" Type="http://schemas.openxmlformats.org/officeDocument/2006/relationships/header" Target="header3.xml"/><Relationship Id="rId63" Type="http://schemas.openxmlformats.org/officeDocument/2006/relationships/image" Target="media/image7.png"/><Relationship Id="rId68" Type="http://schemas.openxmlformats.org/officeDocument/2006/relationships/hyperlink" Target="mailto:enquiries@homes.vic.gov.au" TargetMode="External"/><Relationship Id="rId2" Type="http://schemas.openxmlformats.org/officeDocument/2006/relationships/customXml" Target="../customXml/item2.xml"/><Relationship Id="rId16" Type="http://schemas.openxmlformats.org/officeDocument/2006/relationships/hyperlink" Target="https://providers.dhhs.vic.gov.au/health-human-services-activity-search" TargetMode="External"/><Relationship Id="rId29" Type="http://schemas.openxmlformats.org/officeDocument/2006/relationships/hyperlink" Target="https://fac.dhhs.vic.gov.au/funded-agency-channel/clients-special-accommodation-requirements" TargetMode="External"/><Relationship Id="rId11" Type="http://schemas.openxmlformats.org/officeDocument/2006/relationships/image" Target="media/image1.jpg"/><Relationship Id="rId24" Type="http://schemas.openxmlformats.org/officeDocument/2006/relationships/hyperlink" Target="mailto:ala@homes.vic.gov.au" TargetMode="External"/><Relationship Id="rId32" Type="http://schemas.openxmlformats.org/officeDocument/2006/relationships/hyperlink" Target="mailto:hhs@homes.vic.gov.au" TargetMode="External"/><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header" Target="header1.xml"/><Relationship Id="rId53" Type="http://schemas.openxmlformats.org/officeDocument/2006/relationships/image" Target="media/image5.png"/><Relationship Id="rId58" Type="http://schemas.openxmlformats.org/officeDocument/2006/relationships/image" Target="media/image6.png"/><Relationship Id="rId66" Type="http://schemas.openxmlformats.org/officeDocument/2006/relationships/image" Target="media/image10.png"/><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footer" Target="footer4.xml"/><Relationship Id="rId19" Type="http://schemas.openxmlformats.org/officeDocument/2006/relationships/hyperlink" Target="https://fac.dhhs.vic.gov.au/victorian-housing-register" TargetMode="External"/><Relationship Id="rId14" Type="http://schemas.openxmlformats.org/officeDocument/2006/relationships/footer" Target="footer3.xml"/><Relationship Id="rId22" Type="http://schemas.openxmlformats.org/officeDocument/2006/relationships/hyperlink" Target="mailto:ala@homes.vic.gov.au" TargetMode="External"/><Relationship Id="rId27" Type="http://schemas.openxmlformats.org/officeDocument/2006/relationships/hyperlink" Target="mailto:hhs@homes.vic.gov.au" TargetMode="External"/><Relationship Id="rId30" Type="http://schemas.openxmlformats.org/officeDocument/2006/relationships/hyperlink" Target="mailto:hhs@homes.vic.gov.au" TargetMode="External"/><Relationship Id="rId35" Type="http://schemas.openxmlformats.org/officeDocument/2006/relationships/image" Target="media/image4.png"/><Relationship Id="rId43" Type="http://schemas.openxmlformats.org/officeDocument/2006/relationships/hyperlink" Target="mailto:hhs@homes.vic.gov.au" TargetMode="External"/><Relationship Id="rId48" Type="http://schemas.openxmlformats.org/officeDocument/2006/relationships/diagramData" Target="diagrams/data2.xml"/><Relationship Id="rId56" Type="http://schemas.openxmlformats.org/officeDocument/2006/relationships/hyperlink" Target="https://fac.dhhs.vic.gov.au/my-agency" TargetMode="External"/><Relationship Id="rId64" Type="http://schemas.openxmlformats.org/officeDocument/2006/relationships/image" Target="media/image8.png"/><Relationship Id="rId69"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diagramColors" Target="diagrams/colors2.xml"/><Relationship Id="rId72"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hyperlink" Target="mailto:ala@homes.vic.gov.au" TargetMode="External"/><Relationship Id="rId33" Type="http://schemas.openxmlformats.org/officeDocument/2006/relationships/hyperlink" Target="https://providers.dffh.vic.gov.au/tenancy-management-manual-temporary-absence-operational-guidelines-word" TargetMode="External"/><Relationship Id="rId38" Type="http://schemas.openxmlformats.org/officeDocument/2006/relationships/diagramQuickStyle" Target="diagrams/quickStyle1.xml"/><Relationship Id="rId46" Type="http://schemas.openxmlformats.org/officeDocument/2006/relationships/header" Target="header2.xml"/><Relationship Id="rId59" Type="http://schemas.openxmlformats.org/officeDocument/2006/relationships/header" Target="header4.xml"/><Relationship Id="rId67" Type="http://schemas.openxmlformats.org/officeDocument/2006/relationships/image" Target="media/image11.png"/><Relationship Id="rId20" Type="http://schemas.openxmlformats.org/officeDocument/2006/relationships/hyperlink" Target="http://www.housingregistrar.vic.gov.au/How-we-regulate/Guidelines-for-agencies" TargetMode="External"/><Relationship Id="rId41" Type="http://schemas.openxmlformats.org/officeDocument/2006/relationships/hyperlink" Target="mailto:hhs@homes.vic.gov.au" TargetMode="External"/><Relationship Id="rId54" Type="http://schemas.openxmlformats.org/officeDocument/2006/relationships/hyperlink" Target="https://fac.dhhs.vic.gov.au/my-agency" TargetMode="External"/><Relationship Id="rId62" Type="http://schemas.openxmlformats.org/officeDocument/2006/relationships/header" Target="header6.xml"/><Relationship Id="rId7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jpg"/><Relationship Id="rId23" Type="http://schemas.openxmlformats.org/officeDocument/2006/relationships/hyperlink" Target="mailto:ala@homes.vic.gov.au" TargetMode="External"/><Relationship Id="rId28" Type="http://schemas.openxmlformats.org/officeDocument/2006/relationships/hyperlink" Target="https://fac.dhhs.vic.gov.au/funded-agency-channel/clients-special-accommodation-requirements" TargetMode="External"/><Relationship Id="rId36" Type="http://schemas.openxmlformats.org/officeDocument/2006/relationships/diagramData" Target="diagrams/data1.xml"/><Relationship Id="rId49" Type="http://schemas.openxmlformats.org/officeDocument/2006/relationships/diagramLayout" Target="diagrams/layout2.xml"/><Relationship Id="rId57" Type="http://schemas.openxmlformats.org/officeDocument/2006/relationships/hyperlink" Target="https://fac.dhhs.vic.gov.au/my-agency%3E." TargetMode="External"/><Relationship Id="rId10" Type="http://schemas.openxmlformats.org/officeDocument/2006/relationships/endnotes" Target="endnotes.xml"/><Relationship Id="rId31" Type="http://schemas.openxmlformats.org/officeDocument/2006/relationships/hyperlink" Target="mailto:hhs@homes.vic.gov.au" TargetMode="External"/><Relationship Id="rId44" Type="http://schemas.openxmlformats.org/officeDocument/2006/relationships/hyperlink" Target="https://dhhsvicgovau.sharepoint.com/sites/SDE3-H2H" TargetMode="External"/><Relationship Id="rId52" Type="http://schemas.microsoft.com/office/2007/relationships/diagramDrawing" Target="diagrams/drawing2.xml"/><Relationship Id="rId60" Type="http://schemas.openxmlformats.org/officeDocument/2006/relationships/header" Target="header5.xml"/><Relationship Id="rId65" Type="http://schemas.openxmlformats.org/officeDocument/2006/relationships/image" Target="media/image9.png"/><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fac.dhhs.vic.gov.au/victorian-housing-register" TargetMode="External"/><Relationship Id="rId39" Type="http://schemas.openxmlformats.org/officeDocument/2006/relationships/diagramColors" Target="diagrams/colors1.xml"/><Relationship Id="rId34" Type="http://schemas.openxmlformats.org/officeDocument/2006/relationships/hyperlink" Target="mailto:HomelessnessToHome@homes.vic.gov.au" TargetMode="External"/><Relationship Id="rId50" Type="http://schemas.openxmlformats.org/officeDocument/2006/relationships/diagramQuickStyle" Target="diagrams/quickStyle2.xml"/><Relationship Id="rId55" Type="http://schemas.openxmlformats.org/officeDocument/2006/relationships/hyperlink" Target="https://fac.dhhs.vic.gov.au/my-agency%3E." TargetMode="External"/><Relationship Id="rId7" Type="http://schemas.openxmlformats.org/officeDocument/2006/relationships/settings" Target="settings.xml"/><Relationship Id="rId71" Type="http://schemas.openxmlformats.org/officeDocument/2006/relationships/footer" Target="footer5.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7D2431-328C-4ADB-A76F-9E6BB615E37C}"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AU"/>
        </a:p>
      </dgm:t>
    </dgm:pt>
    <dgm:pt modelId="{B51AB459-53C7-4666-A6D4-1B9FA9F5A7B6}">
      <dgm:prSet phldrT="[Text]" custT="1"/>
      <dgm:spPr>
        <a:solidFill>
          <a:srgbClr val="C2174F">
            <a:hueOff val="0"/>
            <a:satOff val="0"/>
            <a:lumOff val="0"/>
            <a:alphaOff val="0"/>
          </a:srgbClr>
        </a:solidFill>
        <a:ln w="25400" cap="flat" cmpd="sng" algn="ctr">
          <a:solidFill>
            <a:srgbClr val="FFFFFF">
              <a:hueOff val="0"/>
              <a:satOff val="0"/>
              <a:lumOff val="0"/>
              <a:alphaOff val="0"/>
            </a:srgbClr>
          </a:solidFill>
          <a:prstDash val="solid"/>
        </a:ln>
        <a:effectLst/>
      </dgm:spPr>
      <dgm:t>
        <a:bodyPr spcFirstLastPara="0" vert="horz" wrap="square" lIns="0" tIns="0" rIns="0" bIns="0" numCol="1" spcCol="1270" anchor="ctr" anchorCtr="0"/>
        <a:lstStyle/>
        <a:p>
          <a:pPr marL="0" lvl="0" indent="0" algn="ctr" defTabSz="466725">
            <a:lnSpc>
              <a:spcPct val="90000"/>
            </a:lnSpc>
            <a:spcBef>
              <a:spcPct val="0"/>
            </a:spcBef>
            <a:spcAft>
              <a:spcPct val="35000"/>
            </a:spcAft>
            <a:buNone/>
          </a:pPr>
          <a:r>
            <a:rPr lang="en-AU" sz="750" b="1" kern="1200">
              <a:solidFill>
                <a:srgbClr val="FFFFFF"/>
              </a:solidFill>
              <a:latin typeface="Arial"/>
              <a:ea typeface="+mn-ea"/>
              <a:cs typeface="+mn-cs"/>
            </a:rPr>
            <a:t>Planning</a:t>
          </a:r>
        </a:p>
      </dgm:t>
    </dgm:pt>
    <dgm:pt modelId="{0E96473D-7D6E-4185-8573-6E9CB09042BF}" type="parTrans" cxnId="{78CC73BC-09D6-420E-8E0A-B22797B28F14}">
      <dgm:prSet/>
      <dgm:spPr/>
      <dgm:t>
        <a:bodyPr/>
        <a:lstStyle/>
        <a:p>
          <a:pPr algn="ctr"/>
          <a:endParaRPr lang="en-AU" sz="750" b="1"/>
        </a:p>
      </dgm:t>
    </dgm:pt>
    <dgm:pt modelId="{B028EF0E-125F-4DD4-B2BA-09307B6B8BFC}" type="sibTrans" cxnId="{78CC73BC-09D6-420E-8E0A-B22797B28F14}">
      <dgm:prSet custT="1"/>
      <dgm:spPr/>
      <dgm:t>
        <a:bodyPr/>
        <a:lstStyle/>
        <a:p>
          <a:pPr algn="ctr"/>
          <a:endParaRPr lang="en-AU" sz="750" b="1"/>
        </a:p>
      </dgm:t>
    </dgm:pt>
    <dgm:pt modelId="{2AB628D6-79BE-4D9D-A906-E68A8C5E5888}">
      <dgm:prSet phldrT="[Text]" custT="1"/>
      <dgm:spPr/>
      <dgm:t>
        <a:bodyPr lIns="0" tIns="0" rIns="0" bIns="0"/>
        <a:lstStyle/>
        <a:p>
          <a:pPr algn="ctr"/>
          <a:r>
            <a:rPr lang="en-AU" sz="730" b="1"/>
            <a:t>Implementation</a:t>
          </a:r>
        </a:p>
      </dgm:t>
    </dgm:pt>
    <dgm:pt modelId="{0CF2F828-6A68-49AF-870C-B0C10BA1AF07}" type="parTrans" cxnId="{49F65C3E-72DE-41AB-9D29-896FABC118E4}">
      <dgm:prSet/>
      <dgm:spPr/>
      <dgm:t>
        <a:bodyPr/>
        <a:lstStyle/>
        <a:p>
          <a:pPr algn="ctr"/>
          <a:endParaRPr lang="en-AU" sz="750" b="1"/>
        </a:p>
      </dgm:t>
    </dgm:pt>
    <dgm:pt modelId="{2F4C7486-E556-4348-A8FC-3A2F18565294}" type="sibTrans" cxnId="{49F65C3E-72DE-41AB-9D29-896FABC118E4}">
      <dgm:prSet custT="1"/>
      <dgm:spPr/>
      <dgm:t>
        <a:bodyPr/>
        <a:lstStyle/>
        <a:p>
          <a:pPr algn="ctr"/>
          <a:endParaRPr lang="en-AU" sz="750" b="1"/>
        </a:p>
      </dgm:t>
    </dgm:pt>
    <dgm:pt modelId="{A6E80DAD-F214-4498-A4F9-631DADC18029}">
      <dgm:prSet phldrT="[Text]" custT="1"/>
      <dgm:spPr>
        <a:solidFill>
          <a:srgbClr val="C2174F">
            <a:hueOff val="0"/>
            <a:satOff val="0"/>
            <a:lumOff val="0"/>
            <a:alphaOff val="0"/>
          </a:srgbClr>
        </a:solidFill>
        <a:ln w="25400" cap="flat" cmpd="sng" algn="ctr">
          <a:solidFill>
            <a:srgbClr val="FFFFFF">
              <a:hueOff val="0"/>
              <a:satOff val="0"/>
              <a:lumOff val="0"/>
              <a:alphaOff val="0"/>
            </a:srgbClr>
          </a:solidFill>
          <a:prstDash val="solid"/>
        </a:ln>
        <a:effectLst/>
      </dgm:spPr>
      <dgm:t>
        <a:bodyPr spcFirstLastPara="0" vert="horz" wrap="square" lIns="0" tIns="0" rIns="0" bIns="0" numCol="1" spcCol="1270" anchor="ctr" anchorCtr="0"/>
        <a:lstStyle/>
        <a:p>
          <a:pPr marL="0" lvl="0" indent="0" algn="ctr" defTabSz="466725">
            <a:lnSpc>
              <a:spcPct val="90000"/>
            </a:lnSpc>
            <a:spcBef>
              <a:spcPct val="0"/>
            </a:spcBef>
            <a:spcAft>
              <a:spcPct val="35000"/>
            </a:spcAft>
            <a:buNone/>
          </a:pPr>
          <a:r>
            <a:rPr lang="en-AU" sz="750" b="1" kern="1200">
              <a:solidFill>
                <a:srgbClr val="FFFFFF"/>
              </a:solidFill>
              <a:latin typeface="Arial"/>
              <a:ea typeface="+mn-ea"/>
              <a:cs typeface="+mn-cs"/>
            </a:rPr>
            <a:t>Monitoring</a:t>
          </a:r>
        </a:p>
      </dgm:t>
    </dgm:pt>
    <dgm:pt modelId="{A5CCBB69-9CBF-4B56-8142-B6F3BAF34441}" type="parTrans" cxnId="{EDC363C0-5E13-46E1-9E38-406183B6796E}">
      <dgm:prSet/>
      <dgm:spPr/>
      <dgm:t>
        <a:bodyPr/>
        <a:lstStyle/>
        <a:p>
          <a:pPr algn="ctr"/>
          <a:endParaRPr lang="en-AU" sz="750" b="1"/>
        </a:p>
      </dgm:t>
    </dgm:pt>
    <dgm:pt modelId="{A5E73EED-5DBE-4A34-A3CD-2C0F507E9395}" type="sibTrans" cxnId="{EDC363C0-5E13-46E1-9E38-406183B6796E}">
      <dgm:prSet custT="1"/>
      <dgm:spPr/>
      <dgm:t>
        <a:bodyPr/>
        <a:lstStyle/>
        <a:p>
          <a:pPr algn="ctr"/>
          <a:endParaRPr lang="en-AU" sz="750" b="1"/>
        </a:p>
      </dgm:t>
    </dgm:pt>
    <dgm:pt modelId="{1F23E999-A230-4432-AF9D-69CC4D108D32}">
      <dgm:prSet phldrT="[Text]" custT="1"/>
      <dgm:spPr>
        <a:solidFill>
          <a:srgbClr val="C2174F">
            <a:hueOff val="0"/>
            <a:satOff val="0"/>
            <a:lumOff val="0"/>
            <a:alphaOff val="0"/>
          </a:srgbClr>
        </a:solidFill>
        <a:ln w="25400" cap="flat" cmpd="sng" algn="ctr">
          <a:solidFill>
            <a:srgbClr val="FFFFFF">
              <a:hueOff val="0"/>
              <a:satOff val="0"/>
              <a:lumOff val="0"/>
              <a:alphaOff val="0"/>
            </a:srgbClr>
          </a:solidFill>
          <a:prstDash val="solid"/>
        </a:ln>
        <a:effectLst/>
      </dgm:spPr>
      <dgm:t>
        <a:bodyPr spcFirstLastPara="0" vert="horz" wrap="square" lIns="0" tIns="0" rIns="0" bIns="0" numCol="1" spcCol="1270" anchor="ctr" anchorCtr="0"/>
        <a:lstStyle/>
        <a:p>
          <a:pPr marL="0" lvl="0" indent="0" algn="ctr" defTabSz="466725">
            <a:lnSpc>
              <a:spcPct val="90000"/>
            </a:lnSpc>
            <a:spcBef>
              <a:spcPct val="0"/>
            </a:spcBef>
            <a:spcAft>
              <a:spcPct val="35000"/>
            </a:spcAft>
            <a:buNone/>
          </a:pPr>
          <a:r>
            <a:rPr lang="en-AU" sz="750" b="1" kern="1200">
              <a:solidFill>
                <a:srgbClr val="FFFFFF"/>
              </a:solidFill>
              <a:latin typeface="Arial"/>
              <a:ea typeface="+mn-ea"/>
              <a:cs typeface="+mn-cs"/>
            </a:rPr>
            <a:t>Evaluation</a:t>
          </a:r>
        </a:p>
      </dgm:t>
    </dgm:pt>
    <dgm:pt modelId="{EF99BD76-1FC9-4E3F-B8BC-5918F56FF886}" type="parTrans" cxnId="{D3B42F12-31F7-41BF-A7CC-232E6E35A7BE}">
      <dgm:prSet/>
      <dgm:spPr/>
      <dgm:t>
        <a:bodyPr/>
        <a:lstStyle/>
        <a:p>
          <a:pPr algn="ctr"/>
          <a:endParaRPr lang="en-AU" sz="750" b="1"/>
        </a:p>
      </dgm:t>
    </dgm:pt>
    <dgm:pt modelId="{D440D316-1C33-44B8-9104-7F4319343773}" type="sibTrans" cxnId="{D3B42F12-31F7-41BF-A7CC-232E6E35A7BE}">
      <dgm:prSet custT="1"/>
      <dgm:spPr/>
      <dgm:t>
        <a:bodyPr/>
        <a:lstStyle/>
        <a:p>
          <a:pPr algn="ctr"/>
          <a:endParaRPr lang="en-AU" sz="750" b="1"/>
        </a:p>
      </dgm:t>
    </dgm:pt>
    <dgm:pt modelId="{33727F16-E44C-4936-86F7-E3FFA0207701}">
      <dgm:prSet phldrT="[Text]" custT="1"/>
      <dgm:spPr>
        <a:solidFill>
          <a:srgbClr val="C2174F">
            <a:hueOff val="0"/>
            <a:satOff val="0"/>
            <a:lumOff val="0"/>
            <a:alphaOff val="0"/>
          </a:srgbClr>
        </a:solidFill>
        <a:ln w="25400" cap="flat" cmpd="sng" algn="ctr">
          <a:solidFill>
            <a:srgbClr val="FFFFFF">
              <a:hueOff val="0"/>
              <a:satOff val="0"/>
              <a:lumOff val="0"/>
              <a:alphaOff val="0"/>
            </a:srgbClr>
          </a:solidFill>
          <a:prstDash val="solid"/>
        </a:ln>
        <a:effectLst/>
      </dgm:spPr>
      <dgm:t>
        <a:bodyPr spcFirstLastPara="0" vert="horz" wrap="square" lIns="0" tIns="0" rIns="0" bIns="0" numCol="1" spcCol="1270" anchor="ctr" anchorCtr="0"/>
        <a:lstStyle/>
        <a:p>
          <a:pPr marL="0" lvl="0" indent="0" algn="ctr" defTabSz="466725">
            <a:lnSpc>
              <a:spcPct val="90000"/>
            </a:lnSpc>
            <a:spcBef>
              <a:spcPct val="0"/>
            </a:spcBef>
            <a:spcAft>
              <a:spcPct val="35000"/>
            </a:spcAft>
            <a:buNone/>
          </a:pPr>
          <a:r>
            <a:rPr lang="en-AU" sz="750" b="1" kern="1200">
              <a:solidFill>
                <a:srgbClr val="FFFFFF"/>
              </a:solidFill>
              <a:latin typeface="Arial"/>
              <a:ea typeface="+mn-ea"/>
              <a:cs typeface="+mn-cs"/>
            </a:rPr>
            <a:t>Continuous Improvement</a:t>
          </a:r>
        </a:p>
      </dgm:t>
    </dgm:pt>
    <dgm:pt modelId="{5DF1587B-C460-449E-8FF0-6B8A86B1FDA2}" type="parTrans" cxnId="{2626DD0B-3477-4C9E-9493-3CC3605A8777}">
      <dgm:prSet/>
      <dgm:spPr/>
      <dgm:t>
        <a:bodyPr/>
        <a:lstStyle/>
        <a:p>
          <a:pPr algn="ctr"/>
          <a:endParaRPr lang="en-AU" sz="750" b="1"/>
        </a:p>
      </dgm:t>
    </dgm:pt>
    <dgm:pt modelId="{769A8AD1-D2DF-425B-87A4-4B2504EC88B9}" type="sibTrans" cxnId="{2626DD0B-3477-4C9E-9493-3CC3605A8777}">
      <dgm:prSet custT="1"/>
      <dgm:spPr/>
      <dgm:t>
        <a:bodyPr/>
        <a:lstStyle/>
        <a:p>
          <a:pPr algn="ctr"/>
          <a:endParaRPr lang="en-AU" sz="750" b="1"/>
        </a:p>
      </dgm:t>
    </dgm:pt>
    <dgm:pt modelId="{5D48596F-A9E6-4A29-A333-EB65A71CF80A}" type="pres">
      <dgm:prSet presAssocID="{7D7D2431-328C-4ADB-A76F-9E6BB615E37C}" presName="cycle" presStyleCnt="0">
        <dgm:presLayoutVars>
          <dgm:dir/>
          <dgm:resizeHandles val="exact"/>
        </dgm:presLayoutVars>
      </dgm:prSet>
      <dgm:spPr/>
    </dgm:pt>
    <dgm:pt modelId="{17229AAD-EAA8-4096-A774-FB3BDB3A294B}" type="pres">
      <dgm:prSet presAssocID="{B51AB459-53C7-4666-A6D4-1B9FA9F5A7B6}" presName="node" presStyleLbl="node1" presStyleIdx="0" presStyleCnt="5">
        <dgm:presLayoutVars>
          <dgm:bulletEnabled val="1"/>
        </dgm:presLayoutVars>
      </dgm:prSet>
      <dgm:spPr>
        <a:xfrm>
          <a:off x="2434828" y="401"/>
          <a:ext cx="1226343" cy="1226343"/>
        </a:xfrm>
        <a:prstGeom prst="ellipse">
          <a:avLst/>
        </a:prstGeom>
      </dgm:spPr>
    </dgm:pt>
    <dgm:pt modelId="{F25750BD-120D-412F-AC19-EB5549DEEF5D}" type="pres">
      <dgm:prSet presAssocID="{B028EF0E-125F-4DD4-B2BA-09307B6B8BFC}" presName="sibTrans" presStyleLbl="sibTrans2D1" presStyleIdx="0" presStyleCnt="5"/>
      <dgm:spPr/>
    </dgm:pt>
    <dgm:pt modelId="{E095657E-AA52-455D-9A6B-66D712679ADF}" type="pres">
      <dgm:prSet presAssocID="{B028EF0E-125F-4DD4-B2BA-09307B6B8BFC}" presName="connectorText" presStyleLbl="sibTrans2D1" presStyleIdx="0" presStyleCnt="5"/>
      <dgm:spPr/>
    </dgm:pt>
    <dgm:pt modelId="{A00F4029-7610-4DA3-9B44-5EF87531B131}" type="pres">
      <dgm:prSet presAssocID="{2AB628D6-79BE-4D9D-A906-E68A8C5E5888}" presName="node" presStyleLbl="node1" presStyleIdx="1" presStyleCnt="5">
        <dgm:presLayoutVars>
          <dgm:bulletEnabled val="1"/>
        </dgm:presLayoutVars>
      </dgm:prSet>
      <dgm:spPr/>
    </dgm:pt>
    <dgm:pt modelId="{8C698F7B-4316-420E-99F2-643367E4F9A3}" type="pres">
      <dgm:prSet presAssocID="{2F4C7486-E556-4348-A8FC-3A2F18565294}" presName="sibTrans" presStyleLbl="sibTrans2D1" presStyleIdx="1" presStyleCnt="5"/>
      <dgm:spPr/>
    </dgm:pt>
    <dgm:pt modelId="{84C59A57-2995-4B5D-AE75-8D53FF1A3FFF}" type="pres">
      <dgm:prSet presAssocID="{2F4C7486-E556-4348-A8FC-3A2F18565294}" presName="connectorText" presStyleLbl="sibTrans2D1" presStyleIdx="1" presStyleCnt="5"/>
      <dgm:spPr/>
    </dgm:pt>
    <dgm:pt modelId="{4C2EC9A8-DB22-44D9-A9DE-AECB2588721F}" type="pres">
      <dgm:prSet presAssocID="{A6E80DAD-F214-4498-A4F9-631DADC18029}" presName="node" presStyleLbl="node1" presStyleIdx="2" presStyleCnt="5">
        <dgm:presLayoutVars>
          <dgm:bulletEnabled val="1"/>
        </dgm:presLayoutVars>
      </dgm:prSet>
      <dgm:spPr>
        <a:xfrm>
          <a:off x="3356577" y="2837255"/>
          <a:ext cx="1226343" cy="1226343"/>
        </a:xfrm>
        <a:prstGeom prst="ellipse">
          <a:avLst/>
        </a:prstGeom>
      </dgm:spPr>
    </dgm:pt>
    <dgm:pt modelId="{3FCD1E50-C4C1-419A-ABD7-D0103ABFE721}" type="pres">
      <dgm:prSet presAssocID="{A5E73EED-5DBE-4A34-A3CD-2C0F507E9395}" presName="sibTrans" presStyleLbl="sibTrans2D1" presStyleIdx="2" presStyleCnt="5"/>
      <dgm:spPr/>
    </dgm:pt>
    <dgm:pt modelId="{90D99AF5-9AD2-41F5-898C-DDDEC99D0DA9}" type="pres">
      <dgm:prSet presAssocID="{A5E73EED-5DBE-4A34-A3CD-2C0F507E9395}" presName="connectorText" presStyleLbl="sibTrans2D1" presStyleIdx="2" presStyleCnt="5"/>
      <dgm:spPr/>
    </dgm:pt>
    <dgm:pt modelId="{2424E50D-F986-42CC-B868-E46D4AF46D01}" type="pres">
      <dgm:prSet presAssocID="{1F23E999-A230-4432-AF9D-69CC4D108D32}" presName="node" presStyleLbl="node1" presStyleIdx="3" presStyleCnt="5">
        <dgm:presLayoutVars>
          <dgm:bulletEnabled val="1"/>
        </dgm:presLayoutVars>
      </dgm:prSet>
      <dgm:spPr>
        <a:xfrm>
          <a:off x="1513078" y="2837255"/>
          <a:ext cx="1226343" cy="1226343"/>
        </a:xfrm>
        <a:prstGeom prst="ellipse">
          <a:avLst/>
        </a:prstGeom>
      </dgm:spPr>
    </dgm:pt>
    <dgm:pt modelId="{AAC5FDD6-AFFC-405D-BE14-6002C2ACD285}" type="pres">
      <dgm:prSet presAssocID="{D440D316-1C33-44B8-9104-7F4319343773}" presName="sibTrans" presStyleLbl="sibTrans2D1" presStyleIdx="3" presStyleCnt="5"/>
      <dgm:spPr/>
    </dgm:pt>
    <dgm:pt modelId="{1230375D-840B-438B-9349-EAE6B55D4D6C}" type="pres">
      <dgm:prSet presAssocID="{D440D316-1C33-44B8-9104-7F4319343773}" presName="connectorText" presStyleLbl="sibTrans2D1" presStyleIdx="3" presStyleCnt="5"/>
      <dgm:spPr/>
    </dgm:pt>
    <dgm:pt modelId="{806396AC-8713-4C74-A739-9940A266EA00}" type="pres">
      <dgm:prSet presAssocID="{33727F16-E44C-4936-86F7-E3FFA0207701}" presName="node" presStyleLbl="node1" presStyleIdx="4" presStyleCnt="5">
        <dgm:presLayoutVars>
          <dgm:bulletEnabled val="1"/>
        </dgm:presLayoutVars>
      </dgm:prSet>
      <dgm:spPr>
        <a:xfrm>
          <a:off x="943405" y="1083982"/>
          <a:ext cx="1226343" cy="1226343"/>
        </a:xfrm>
        <a:prstGeom prst="ellipse">
          <a:avLst/>
        </a:prstGeom>
      </dgm:spPr>
    </dgm:pt>
    <dgm:pt modelId="{E2356BC8-22FB-4295-960D-433E48CE8DFF}" type="pres">
      <dgm:prSet presAssocID="{769A8AD1-D2DF-425B-87A4-4B2504EC88B9}" presName="sibTrans" presStyleLbl="sibTrans2D1" presStyleIdx="4" presStyleCnt="5"/>
      <dgm:spPr/>
    </dgm:pt>
    <dgm:pt modelId="{C4404341-5971-4B7D-AAA4-E36F52A15CEC}" type="pres">
      <dgm:prSet presAssocID="{769A8AD1-D2DF-425B-87A4-4B2504EC88B9}" presName="connectorText" presStyleLbl="sibTrans2D1" presStyleIdx="4" presStyleCnt="5"/>
      <dgm:spPr/>
    </dgm:pt>
  </dgm:ptLst>
  <dgm:cxnLst>
    <dgm:cxn modelId="{460E6709-817D-46D4-8FE8-A112E076EB3A}" type="presOf" srcId="{A6E80DAD-F214-4498-A4F9-631DADC18029}" destId="{4C2EC9A8-DB22-44D9-A9DE-AECB2588721F}" srcOrd="0" destOrd="0" presId="urn:microsoft.com/office/officeart/2005/8/layout/cycle2"/>
    <dgm:cxn modelId="{30A2B20A-1F92-4BF5-928E-FF7F7806B784}" type="presOf" srcId="{D440D316-1C33-44B8-9104-7F4319343773}" destId="{1230375D-840B-438B-9349-EAE6B55D4D6C}" srcOrd="1" destOrd="0" presId="urn:microsoft.com/office/officeart/2005/8/layout/cycle2"/>
    <dgm:cxn modelId="{2626DD0B-3477-4C9E-9493-3CC3605A8777}" srcId="{7D7D2431-328C-4ADB-A76F-9E6BB615E37C}" destId="{33727F16-E44C-4936-86F7-E3FFA0207701}" srcOrd="4" destOrd="0" parTransId="{5DF1587B-C460-449E-8FF0-6B8A86B1FDA2}" sibTransId="{769A8AD1-D2DF-425B-87A4-4B2504EC88B9}"/>
    <dgm:cxn modelId="{3FD8F50F-5E70-4998-843C-26A9A8AC15E1}" type="presOf" srcId="{B028EF0E-125F-4DD4-B2BA-09307B6B8BFC}" destId="{F25750BD-120D-412F-AC19-EB5549DEEF5D}" srcOrd="0" destOrd="0" presId="urn:microsoft.com/office/officeart/2005/8/layout/cycle2"/>
    <dgm:cxn modelId="{D3B42F12-31F7-41BF-A7CC-232E6E35A7BE}" srcId="{7D7D2431-328C-4ADB-A76F-9E6BB615E37C}" destId="{1F23E999-A230-4432-AF9D-69CC4D108D32}" srcOrd="3" destOrd="0" parTransId="{EF99BD76-1FC9-4E3F-B8BC-5918F56FF886}" sibTransId="{D440D316-1C33-44B8-9104-7F4319343773}"/>
    <dgm:cxn modelId="{FDB37F13-4EA6-480C-9CBE-69C5F7195674}" type="presOf" srcId="{2F4C7486-E556-4348-A8FC-3A2F18565294}" destId="{8C698F7B-4316-420E-99F2-643367E4F9A3}" srcOrd="0" destOrd="0" presId="urn:microsoft.com/office/officeart/2005/8/layout/cycle2"/>
    <dgm:cxn modelId="{AD423F24-5422-423D-8C4C-59EC0EE60CB2}" type="presOf" srcId="{2AB628D6-79BE-4D9D-A906-E68A8C5E5888}" destId="{A00F4029-7610-4DA3-9B44-5EF87531B131}" srcOrd="0" destOrd="0" presId="urn:microsoft.com/office/officeart/2005/8/layout/cycle2"/>
    <dgm:cxn modelId="{49F65C3E-72DE-41AB-9D29-896FABC118E4}" srcId="{7D7D2431-328C-4ADB-A76F-9E6BB615E37C}" destId="{2AB628D6-79BE-4D9D-A906-E68A8C5E5888}" srcOrd="1" destOrd="0" parTransId="{0CF2F828-6A68-49AF-870C-B0C10BA1AF07}" sibTransId="{2F4C7486-E556-4348-A8FC-3A2F18565294}"/>
    <dgm:cxn modelId="{847FBF48-C85A-4760-9F2C-BCAD9F6DAF21}" type="presOf" srcId="{D440D316-1C33-44B8-9104-7F4319343773}" destId="{AAC5FDD6-AFFC-405D-BE14-6002C2ACD285}" srcOrd="0" destOrd="0" presId="urn:microsoft.com/office/officeart/2005/8/layout/cycle2"/>
    <dgm:cxn modelId="{ABCF1752-6818-4953-8585-8C10DF0EEF19}" type="presOf" srcId="{7D7D2431-328C-4ADB-A76F-9E6BB615E37C}" destId="{5D48596F-A9E6-4A29-A333-EB65A71CF80A}" srcOrd="0" destOrd="0" presId="urn:microsoft.com/office/officeart/2005/8/layout/cycle2"/>
    <dgm:cxn modelId="{2E1E3156-D522-4615-A2BA-FA2CB5A7863B}" type="presOf" srcId="{2F4C7486-E556-4348-A8FC-3A2F18565294}" destId="{84C59A57-2995-4B5D-AE75-8D53FF1A3FFF}" srcOrd="1" destOrd="0" presId="urn:microsoft.com/office/officeart/2005/8/layout/cycle2"/>
    <dgm:cxn modelId="{70A8035A-489A-49F0-9B57-C23984084D99}" type="presOf" srcId="{A5E73EED-5DBE-4A34-A3CD-2C0F507E9395}" destId="{3FCD1E50-C4C1-419A-ABD7-D0103ABFE721}" srcOrd="0" destOrd="0" presId="urn:microsoft.com/office/officeart/2005/8/layout/cycle2"/>
    <dgm:cxn modelId="{EC38AA64-BEFC-4396-B748-9DE44FA2C90F}" type="presOf" srcId="{769A8AD1-D2DF-425B-87A4-4B2504EC88B9}" destId="{C4404341-5971-4B7D-AAA4-E36F52A15CEC}" srcOrd="1" destOrd="0" presId="urn:microsoft.com/office/officeart/2005/8/layout/cycle2"/>
    <dgm:cxn modelId="{BFD9A36B-3124-4DC8-9295-6F729C00BB20}" type="presOf" srcId="{B028EF0E-125F-4DD4-B2BA-09307B6B8BFC}" destId="{E095657E-AA52-455D-9A6B-66D712679ADF}" srcOrd="1" destOrd="0" presId="urn:microsoft.com/office/officeart/2005/8/layout/cycle2"/>
    <dgm:cxn modelId="{6287D0A6-C96D-41B2-8FF3-EC34C780D7ED}" type="presOf" srcId="{A5E73EED-5DBE-4A34-A3CD-2C0F507E9395}" destId="{90D99AF5-9AD2-41F5-898C-DDDEC99D0DA9}" srcOrd="1" destOrd="0" presId="urn:microsoft.com/office/officeart/2005/8/layout/cycle2"/>
    <dgm:cxn modelId="{85F509A9-23CE-4C1C-8EFB-F0150C53C938}" type="presOf" srcId="{33727F16-E44C-4936-86F7-E3FFA0207701}" destId="{806396AC-8713-4C74-A739-9940A266EA00}" srcOrd="0" destOrd="0" presId="urn:microsoft.com/office/officeart/2005/8/layout/cycle2"/>
    <dgm:cxn modelId="{6F9181A9-0BE7-4D53-859D-847BD9E525EE}" type="presOf" srcId="{1F23E999-A230-4432-AF9D-69CC4D108D32}" destId="{2424E50D-F986-42CC-B868-E46D4AF46D01}" srcOrd="0" destOrd="0" presId="urn:microsoft.com/office/officeart/2005/8/layout/cycle2"/>
    <dgm:cxn modelId="{78CC73BC-09D6-420E-8E0A-B22797B28F14}" srcId="{7D7D2431-328C-4ADB-A76F-9E6BB615E37C}" destId="{B51AB459-53C7-4666-A6D4-1B9FA9F5A7B6}" srcOrd="0" destOrd="0" parTransId="{0E96473D-7D6E-4185-8573-6E9CB09042BF}" sibTransId="{B028EF0E-125F-4DD4-B2BA-09307B6B8BFC}"/>
    <dgm:cxn modelId="{EDC363C0-5E13-46E1-9E38-406183B6796E}" srcId="{7D7D2431-328C-4ADB-A76F-9E6BB615E37C}" destId="{A6E80DAD-F214-4498-A4F9-631DADC18029}" srcOrd="2" destOrd="0" parTransId="{A5CCBB69-9CBF-4B56-8142-B6F3BAF34441}" sibTransId="{A5E73EED-5DBE-4A34-A3CD-2C0F507E9395}"/>
    <dgm:cxn modelId="{DB68A8D9-3C39-43FB-A905-EA188EE49274}" type="presOf" srcId="{B51AB459-53C7-4666-A6D4-1B9FA9F5A7B6}" destId="{17229AAD-EAA8-4096-A774-FB3BDB3A294B}" srcOrd="0" destOrd="0" presId="urn:microsoft.com/office/officeart/2005/8/layout/cycle2"/>
    <dgm:cxn modelId="{C787E5E3-C22E-405C-A585-6D1098EC07AE}" type="presOf" srcId="{769A8AD1-D2DF-425B-87A4-4B2504EC88B9}" destId="{E2356BC8-22FB-4295-960D-433E48CE8DFF}" srcOrd="0" destOrd="0" presId="urn:microsoft.com/office/officeart/2005/8/layout/cycle2"/>
    <dgm:cxn modelId="{E30673C6-1516-4F15-97E4-B06C11852949}" type="presParOf" srcId="{5D48596F-A9E6-4A29-A333-EB65A71CF80A}" destId="{17229AAD-EAA8-4096-A774-FB3BDB3A294B}" srcOrd="0" destOrd="0" presId="urn:microsoft.com/office/officeart/2005/8/layout/cycle2"/>
    <dgm:cxn modelId="{20009059-C0BD-400E-8A0E-0759CA5F8F3B}" type="presParOf" srcId="{5D48596F-A9E6-4A29-A333-EB65A71CF80A}" destId="{F25750BD-120D-412F-AC19-EB5549DEEF5D}" srcOrd="1" destOrd="0" presId="urn:microsoft.com/office/officeart/2005/8/layout/cycle2"/>
    <dgm:cxn modelId="{F36E5C80-5667-4488-A8A3-5093536309CF}" type="presParOf" srcId="{F25750BD-120D-412F-AC19-EB5549DEEF5D}" destId="{E095657E-AA52-455D-9A6B-66D712679ADF}" srcOrd="0" destOrd="0" presId="urn:microsoft.com/office/officeart/2005/8/layout/cycle2"/>
    <dgm:cxn modelId="{7CA2F427-5AE0-4C78-B8DC-82E7E767D24D}" type="presParOf" srcId="{5D48596F-A9E6-4A29-A333-EB65A71CF80A}" destId="{A00F4029-7610-4DA3-9B44-5EF87531B131}" srcOrd="2" destOrd="0" presId="urn:microsoft.com/office/officeart/2005/8/layout/cycle2"/>
    <dgm:cxn modelId="{F6ABB272-1C26-4B83-80F7-44AF064D3685}" type="presParOf" srcId="{5D48596F-A9E6-4A29-A333-EB65A71CF80A}" destId="{8C698F7B-4316-420E-99F2-643367E4F9A3}" srcOrd="3" destOrd="0" presId="urn:microsoft.com/office/officeart/2005/8/layout/cycle2"/>
    <dgm:cxn modelId="{A37CB80C-935E-4F4E-B987-EF0FBAF67F9B}" type="presParOf" srcId="{8C698F7B-4316-420E-99F2-643367E4F9A3}" destId="{84C59A57-2995-4B5D-AE75-8D53FF1A3FFF}" srcOrd="0" destOrd="0" presId="urn:microsoft.com/office/officeart/2005/8/layout/cycle2"/>
    <dgm:cxn modelId="{C20F26A8-8A15-4BA2-9AA7-2502D1E3D36D}" type="presParOf" srcId="{5D48596F-A9E6-4A29-A333-EB65A71CF80A}" destId="{4C2EC9A8-DB22-44D9-A9DE-AECB2588721F}" srcOrd="4" destOrd="0" presId="urn:microsoft.com/office/officeart/2005/8/layout/cycle2"/>
    <dgm:cxn modelId="{B299BB9E-84E0-4EC7-8531-FD8DF3D66C66}" type="presParOf" srcId="{5D48596F-A9E6-4A29-A333-EB65A71CF80A}" destId="{3FCD1E50-C4C1-419A-ABD7-D0103ABFE721}" srcOrd="5" destOrd="0" presId="urn:microsoft.com/office/officeart/2005/8/layout/cycle2"/>
    <dgm:cxn modelId="{9AFA7801-EEAE-4327-8A04-3067057CC839}" type="presParOf" srcId="{3FCD1E50-C4C1-419A-ABD7-D0103ABFE721}" destId="{90D99AF5-9AD2-41F5-898C-DDDEC99D0DA9}" srcOrd="0" destOrd="0" presId="urn:microsoft.com/office/officeart/2005/8/layout/cycle2"/>
    <dgm:cxn modelId="{24CE9194-0326-4CF8-A478-B56B87A3314E}" type="presParOf" srcId="{5D48596F-A9E6-4A29-A333-EB65A71CF80A}" destId="{2424E50D-F986-42CC-B868-E46D4AF46D01}" srcOrd="6" destOrd="0" presId="urn:microsoft.com/office/officeart/2005/8/layout/cycle2"/>
    <dgm:cxn modelId="{E317C8D0-B05B-48AB-AC5A-D519E171062E}" type="presParOf" srcId="{5D48596F-A9E6-4A29-A333-EB65A71CF80A}" destId="{AAC5FDD6-AFFC-405D-BE14-6002C2ACD285}" srcOrd="7" destOrd="0" presId="urn:microsoft.com/office/officeart/2005/8/layout/cycle2"/>
    <dgm:cxn modelId="{3F6C438A-DE80-4547-A389-0DB1228DC857}" type="presParOf" srcId="{AAC5FDD6-AFFC-405D-BE14-6002C2ACD285}" destId="{1230375D-840B-438B-9349-EAE6B55D4D6C}" srcOrd="0" destOrd="0" presId="urn:microsoft.com/office/officeart/2005/8/layout/cycle2"/>
    <dgm:cxn modelId="{BD251476-86E8-4C2C-8BF4-A9DA453F4EA7}" type="presParOf" srcId="{5D48596F-A9E6-4A29-A333-EB65A71CF80A}" destId="{806396AC-8713-4C74-A739-9940A266EA00}" srcOrd="8" destOrd="0" presId="urn:microsoft.com/office/officeart/2005/8/layout/cycle2"/>
    <dgm:cxn modelId="{1FD83495-624D-4AB7-B46B-525C6A4D1254}" type="presParOf" srcId="{5D48596F-A9E6-4A29-A333-EB65A71CF80A}" destId="{E2356BC8-22FB-4295-960D-433E48CE8DFF}" srcOrd="9" destOrd="0" presId="urn:microsoft.com/office/officeart/2005/8/layout/cycle2"/>
    <dgm:cxn modelId="{ECC56D77-9261-4D97-944C-ABC809688A4D}" type="presParOf" srcId="{E2356BC8-22FB-4295-960D-433E48CE8DFF}" destId="{C4404341-5971-4B7D-AAA4-E36F52A15CEC}" srcOrd="0" destOrd="0" presId="urn:microsoft.com/office/officeart/2005/8/layout/cycle2"/>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FDA4E5B-8869-402F-B627-17E907E7C060}" type="doc">
      <dgm:prSet loTypeId="urn:microsoft.com/office/officeart/2005/8/layout/cycle8" loCatId="cycle" qsTypeId="urn:microsoft.com/office/officeart/2005/8/quickstyle/simple1" qsCatId="simple" csTypeId="urn:microsoft.com/office/officeart/2005/8/colors/accent1_2" csCatId="accent1" phldr="1"/>
      <dgm:spPr/>
    </dgm:pt>
    <dgm:pt modelId="{B8B1EB1B-629B-45AA-9CD9-387575DAC550}">
      <dgm:prSet phldrT="[Text]" custT="1"/>
      <dgm:spPr/>
      <dgm:t>
        <a:bodyPr/>
        <a:lstStyle/>
        <a:p>
          <a:pPr algn="ctr"/>
          <a:r>
            <a:rPr lang="en-AU" sz="800" b="1"/>
            <a:t>Evaluation Design: independent evaluator</a:t>
          </a:r>
        </a:p>
      </dgm:t>
    </dgm:pt>
    <dgm:pt modelId="{9DD19520-9DE9-4987-85DA-A8D2588AA2A7}" type="parTrans" cxnId="{D323143E-644D-4186-B18A-485FD3361F5D}">
      <dgm:prSet/>
      <dgm:spPr/>
      <dgm:t>
        <a:bodyPr/>
        <a:lstStyle/>
        <a:p>
          <a:pPr algn="ctr"/>
          <a:endParaRPr lang="en-AU" sz="800" b="1"/>
        </a:p>
      </dgm:t>
    </dgm:pt>
    <dgm:pt modelId="{F7C65A94-DC9D-4152-87CE-EE864FC39E76}" type="sibTrans" cxnId="{D323143E-644D-4186-B18A-485FD3361F5D}">
      <dgm:prSet/>
      <dgm:spPr/>
      <dgm:t>
        <a:bodyPr/>
        <a:lstStyle/>
        <a:p>
          <a:pPr algn="ctr"/>
          <a:endParaRPr lang="en-AU" sz="800" b="1"/>
        </a:p>
      </dgm:t>
    </dgm:pt>
    <dgm:pt modelId="{90E204A3-FC73-4536-9CBE-C17DC02D221F}">
      <dgm:prSet phldrT="[Text]" custT="1"/>
      <dgm:spPr/>
      <dgm:t>
        <a:bodyPr/>
        <a:lstStyle/>
        <a:p>
          <a:pPr algn="ctr"/>
          <a:r>
            <a:rPr lang="en-AU" sz="800" b="1"/>
            <a:t>Evidence-based View</a:t>
          </a:r>
        </a:p>
      </dgm:t>
    </dgm:pt>
    <dgm:pt modelId="{62CA60C7-7F0C-4C27-A707-6480A46B7A62}" type="parTrans" cxnId="{5386928F-9BC8-4288-957B-737C48A0486A}">
      <dgm:prSet/>
      <dgm:spPr/>
      <dgm:t>
        <a:bodyPr/>
        <a:lstStyle/>
        <a:p>
          <a:pPr algn="ctr"/>
          <a:endParaRPr lang="en-AU" sz="800" b="1"/>
        </a:p>
      </dgm:t>
    </dgm:pt>
    <dgm:pt modelId="{3125EA5D-27A5-4C18-93E2-5505B50C1356}" type="sibTrans" cxnId="{5386928F-9BC8-4288-957B-737C48A0486A}">
      <dgm:prSet/>
      <dgm:spPr/>
      <dgm:t>
        <a:bodyPr/>
        <a:lstStyle/>
        <a:p>
          <a:pPr algn="ctr"/>
          <a:endParaRPr lang="en-AU" sz="800" b="1"/>
        </a:p>
      </dgm:t>
    </dgm:pt>
    <dgm:pt modelId="{FA7D55CE-B415-446C-94DC-1C2091678941}">
      <dgm:prSet phldrT="[Text]" custT="1"/>
      <dgm:spPr/>
      <dgm:t>
        <a:bodyPr/>
        <a:lstStyle/>
        <a:p>
          <a:pPr algn="ctr"/>
          <a:r>
            <a:rPr lang="en-AU" sz="800" b="1"/>
            <a:t>Stakeholder Engagement</a:t>
          </a:r>
        </a:p>
      </dgm:t>
    </dgm:pt>
    <dgm:pt modelId="{80D4D3FC-2423-47F2-B967-24C2C1A97489}" type="parTrans" cxnId="{886CF54A-F9E8-4AA3-9FE1-46978427AFEC}">
      <dgm:prSet/>
      <dgm:spPr/>
      <dgm:t>
        <a:bodyPr/>
        <a:lstStyle/>
        <a:p>
          <a:pPr algn="ctr"/>
          <a:endParaRPr lang="en-AU" sz="800" b="1"/>
        </a:p>
      </dgm:t>
    </dgm:pt>
    <dgm:pt modelId="{54C88D82-5C3E-493D-8F19-EEAD942F6CC7}" type="sibTrans" cxnId="{886CF54A-F9E8-4AA3-9FE1-46978427AFEC}">
      <dgm:prSet/>
      <dgm:spPr/>
      <dgm:t>
        <a:bodyPr/>
        <a:lstStyle/>
        <a:p>
          <a:pPr algn="ctr"/>
          <a:endParaRPr lang="en-AU" sz="800" b="1"/>
        </a:p>
      </dgm:t>
    </dgm:pt>
    <dgm:pt modelId="{1DA8A0C5-88DD-46E8-9238-1EAE578FD9FD}">
      <dgm:prSet phldrT="[Text]" custT="1"/>
      <dgm:spPr/>
      <dgm:t>
        <a:bodyPr/>
        <a:lstStyle/>
        <a:p>
          <a:pPr algn="ctr"/>
          <a:r>
            <a:rPr lang="en-AU" sz="800" b="1"/>
            <a:t>Lessons Learned: shared and used</a:t>
          </a:r>
        </a:p>
      </dgm:t>
    </dgm:pt>
    <dgm:pt modelId="{A6D492F2-C64D-4D7E-BF15-6A8535C5A626}" type="parTrans" cxnId="{FE583B13-8DB7-4EC2-9183-7CE90234A96A}">
      <dgm:prSet/>
      <dgm:spPr/>
      <dgm:t>
        <a:bodyPr/>
        <a:lstStyle/>
        <a:p>
          <a:pPr algn="ctr"/>
          <a:endParaRPr lang="en-AU" sz="1000"/>
        </a:p>
      </dgm:t>
    </dgm:pt>
    <dgm:pt modelId="{F85F3DA1-737F-4BB9-8465-6A9727F517AF}" type="sibTrans" cxnId="{FE583B13-8DB7-4EC2-9183-7CE90234A96A}">
      <dgm:prSet/>
      <dgm:spPr/>
      <dgm:t>
        <a:bodyPr/>
        <a:lstStyle/>
        <a:p>
          <a:pPr algn="ctr"/>
          <a:endParaRPr lang="en-AU" sz="1000"/>
        </a:p>
      </dgm:t>
    </dgm:pt>
    <dgm:pt modelId="{FF16BE60-3F67-49AE-A2BF-5160600AF125}">
      <dgm:prSet phldrT="[Text]" custT="1"/>
      <dgm:spPr/>
      <dgm:t>
        <a:bodyPr/>
        <a:lstStyle/>
        <a:p>
          <a:pPr algn="ctr"/>
          <a:r>
            <a:rPr lang="en-AU" sz="800" b="1"/>
            <a:t>Program Performance Monitoring</a:t>
          </a:r>
        </a:p>
      </dgm:t>
    </dgm:pt>
    <dgm:pt modelId="{EC950DFE-AE58-4A3D-83F5-154DB4644025}" type="parTrans" cxnId="{C495EE5E-D385-4D82-A2FD-0B9ECA2E0A86}">
      <dgm:prSet/>
      <dgm:spPr/>
      <dgm:t>
        <a:bodyPr/>
        <a:lstStyle/>
        <a:p>
          <a:pPr algn="ctr"/>
          <a:endParaRPr lang="en-AU" sz="1000"/>
        </a:p>
      </dgm:t>
    </dgm:pt>
    <dgm:pt modelId="{FD9F7DF2-FCB6-47E7-BCCD-33F4FB4C7090}" type="sibTrans" cxnId="{C495EE5E-D385-4D82-A2FD-0B9ECA2E0A86}">
      <dgm:prSet/>
      <dgm:spPr/>
      <dgm:t>
        <a:bodyPr/>
        <a:lstStyle/>
        <a:p>
          <a:pPr algn="ctr"/>
          <a:endParaRPr lang="en-AU" sz="1000"/>
        </a:p>
      </dgm:t>
    </dgm:pt>
    <dgm:pt modelId="{F1605DC2-7664-4D00-882F-D96B3B4AD48E}" type="pres">
      <dgm:prSet presAssocID="{2FDA4E5B-8869-402F-B627-17E907E7C060}" presName="compositeShape" presStyleCnt="0">
        <dgm:presLayoutVars>
          <dgm:chMax val="7"/>
          <dgm:dir/>
          <dgm:resizeHandles val="exact"/>
        </dgm:presLayoutVars>
      </dgm:prSet>
      <dgm:spPr/>
    </dgm:pt>
    <dgm:pt modelId="{4D265054-56CD-49B8-9246-873966759124}" type="pres">
      <dgm:prSet presAssocID="{2FDA4E5B-8869-402F-B627-17E907E7C060}" presName="wedge1" presStyleLbl="node1" presStyleIdx="0" presStyleCnt="5"/>
      <dgm:spPr/>
    </dgm:pt>
    <dgm:pt modelId="{EE48309A-AD3B-4218-8933-752DB5549B44}" type="pres">
      <dgm:prSet presAssocID="{2FDA4E5B-8869-402F-B627-17E907E7C060}" presName="dummy1a" presStyleCnt="0"/>
      <dgm:spPr/>
    </dgm:pt>
    <dgm:pt modelId="{56AAB31E-4E04-4F71-8406-4F4CA8BD012A}" type="pres">
      <dgm:prSet presAssocID="{2FDA4E5B-8869-402F-B627-17E907E7C060}" presName="dummy1b" presStyleCnt="0"/>
      <dgm:spPr/>
    </dgm:pt>
    <dgm:pt modelId="{1EEEDB5C-83A7-4755-AE4B-0C6F878174D2}" type="pres">
      <dgm:prSet presAssocID="{2FDA4E5B-8869-402F-B627-17E907E7C060}" presName="wedge1Tx" presStyleLbl="node1" presStyleIdx="0" presStyleCnt="5">
        <dgm:presLayoutVars>
          <dgm:chMax val="0"/>
          <dgm:chPref val="0"/>
          <dgm:bulletEnabled val="1"/>
        </dgm:presLayoutVars>
      </dgm:prSet>
      <dgm:spPr/>
    </dgm:pt>
    <dgm:pt modelId="{2DCB1427-73FF-4E72-B5EA-EB5B6659F96A}" type="pres">
      <dgm:prSet presAssocID="{2FDA4E5B-8869-402F-B627-17E907E7C060}" presName="wedge2" presStyleLbl="node1" presStyleIdx="1" presStyleCnt="5"/>
      <dgm:spPr/>
    </dgm:pt>
    <dgm:pt modelId="{3EBCD036-B769-44C6-BE13-92C7681D5B50}" type="pres">
      <dgm:prSet presAssocID="{2FDA4E5B-8869-402F-B627-17E907E7C060}" presName="dummy2a" presStyleCnt="0"/>
      <dgm:spPr/>
    </dgm:pt>
    <dgm:pt modelId="{ACBDCC2F-D84F-455C-86E3-9CF8C4C8D242}" type="pres">
      <dgm:prSet presAssocID="{2FDA4E5B-8869-402F-B627-17E907E7C060}" presName="dummy2b" presStyleCnt="0"/>
      <dgm:spPr/>
    </dgm:pt>
    <dgm:pt modelId="{20A8321C-2579-4104-83F8-C4EF6A8E7C5D}" type="pres">
      <dgm:prSet presAssocID="{2FDA4E5B-8869-402F-B627-17E907E7C060}" presName="wedge2Tx" presStyleLbl="node1" presStyleIdx="1" presStyleCnt="5">
        <dgm:presLayoutVars>
          <dgm:chMax val="0"/>
          <dgm:chPref val="0"/>
          <dgm:bulletEnabled val="1"/>
        </dgm:presLayoutVars>
      </dgm:prSet>
      <dgm:spPr/>
    </dgm:pt>
    <dgm:pt modelId="{1C4B2CCE-E6E9-4CF2-BEE6-89FECD6A466C}" type="pres">
      <dgm:prSet presAssocID="{2FDA4E5B-8869-402F-B627-17E907E7C060}" presName="wedge3" presStyleLbl="node1" presStyleIdx="2" presStyleCnt="5"/>
      <dgm:spPr/>
    </dgm:pt>
    <dgm:pt modelId="{553A7955-C32C-4120-A1E3-BCCB6FFB0846}" type="pres">
      <dgm:prSet presAssocID="{2FDA4E5B-8869-402F-B627-17E907E7C060}" presName="dummy3a" presStyleCnt="0"/>
      <dgm:spPr/>
    </dgm:pt>
    <dgm:pt modelId="{E25C9838-4476-4E14-8035-F0F4DC43DA32}" type="pres">
      <dgm:prSet presAssocID="{2FDA4E5B-8869-402F-B627-17E907E7C060}" presName="dummy3b" presStyleCnt="0"/>
      <dgm:spPr/>
    </dgm:pt>
    <dgm:pt modelId="{D6E2FB4C-04A6-4CFA-8D33-F38822A7443F}" type="pres">
      <dgm:prSet presAssocID="{2FDA4E5B-8869-402F-B627-17E907E7C060}" presName="wedge3Tx" presStyleLbl="node1" presStyleIdx="2" presStyleCnt="5">
        <dgm:presLayoutVars>
          <dgm:chMax val="0"/>
          <dgm:chPref val="0"/>
          <dgm:bulletEnabled val="1"/>
        </dgm:presLayoutVars>
      </dgm:prSet>
      <dgm:spPr/>
    </dgm:pt>
    <dgm:pt modelId="{7E739F3F-93CA-4CEA-A17D-F1373BD49020}" type="pres">
      <dgm:prSet presAssocID="{2FDA4E5B-8869-402F-B627-17E907E7C060}" presName="wedge4" presStyleLbl="node1" presStyleIdx="3" presStyleCnt="5"/>
      <dgm:spPr/>
    </dgm:pt>
    <dgm:pt modelId="{FAA9319B-C117-40F6-827F-D72844841020}" type="pres">
      <dgm:prSet presAssocID="{2FDA4E5B-8869-402F-B627-17E907E7C060}" presName="dummy4a" presStyleCnt="0"/>
      <dgm:spPr/>
    </dgm:pt>
    <dgm:pt modelId="{62FADA71-65EF-4CD3-B5EC-4B7D4FFC1147}" type="pres">
      <dgm:prSet presAssocID="{2FDA4E5B-8869-402F-B627-17E907E7C060}" presName="dummy4b" presStyleCnt="0"/>
      <dgm:spPr/>
    </dgm:pt>
    <dgm:pt modelId="{9D89A086-4500-4235-B96B-4503A5223738}" type="pres">
      <dgm:prSet presAssocID="{2FDA4E5B-8869-402F-B627-17E907E7C060}" presName="wedge4Tx" presStyleLbl="node1" presStyleIdx="3" presStyleCnt="5">
        <dgm:presLayoutVars>
          <dgm:chMax val="0"/>
          <dgm:chPref val="0"/>
          <dgm:bulletEnabled val="1"/>
        </dgm:presLayoutVars>
      </dgm:prSet>
      <dgm:spPr/>
    </dgm:pt>
    <dgm:pt modelId="{E0569636-48C9-4677-8E8D-368EE21EBCE7}" type="pres">
      <dgm:prSet presAssocID="{2FDA4E5B-8869-402F-B627-17E907E7C060}" presName="wedge5" presStyleLbl="node1" presStyleIdx="4" presStyleCnt="5"/>
      <dgm:spPr/>
    </dgm:pt>
    <dgm:pt modelId="{F0FB40FB-64AA-4EB4-8397-5291D4D89130}" type="pres">
      <dgm:prSet presAssocID="{2FDA4E5B-8869-402F-B627-17E907E7C060}" presName="dummy5a" presStyleCnt="0"/>
      <dgm:spPr/>
    </dgm:pt>
    <dgm:pt modelId="{964F6F5E-C359-4E7D-A1FA-B5DA07EB4854}" type="pres">
      <dgm:prSet presAssocID="{2FDA4E5B-8869-402F-B627-17E907E7C060}" presName="dummy5b" presStyleCnt="0"/>
      <dgm:spPr/>
    </dgm:pt>
    <dgm:pt modelId="{0CC9D148-B1D4-4A53-AA67-A58323D42686}" type="pres">
      <dgm:prSet presAssocID="{2FDA4E5B-8869-402F-B627-17E907E7C060}" presName="wedge5Tx" presStyleLbl="node1" presStyleIdx="4" presStyleCnt="5">
        <dgm:presLayoutVars>
          <dgm:chMax val="0"/>
          <dgm:chPref val="0"/>
          <dgm:bulletEnabled val="1"/>
        </dgm:presLayoutVars>
      </dgm:prSet>
      <dgm:spPr/>
    </dgm:pt>
    <dgm:pt modelId="{518918DD-F551-4F17-A1D7-9F78C46801B3}" type="pres">
      <dgm:prSet presAssocID="{FD9F7DF2-FCB6-47E7-BCCD-33F4FB4C7090}" presName="arrowWedge1" presStyleLbl="fgSibTrans2D1" presStyleIdx="0" presStyleCnt="5"/>
      <dgm:spPr/>
    </dgm:pt>
    <dgm:pt modelId="{57216AD9-1AAB-4938-B970-0E4A48369817}" type="pres">
      <dgm:prSet presAssocID="{F7C65A94-DC9D-4152-87CE-EE864FC39E76}" presName="arrowWedge2" presStyleLbl="fgSibTrans2D1" presStyleIdx="1" presStyleCnt="5"/>
      <dgm:spPr/>
    </dgm:pt>
    <dgm:pt modelId="{A4EA27CE-9C92-424E-B221-0018CBFAA1ED}" type="pres">
      <dgm:prSet presAssocID="{3125EA5D-27A5-4C18-93E2-5505B50C1356}" presName="arrowWedge3" presStyleLbl="fgSibTrans2D1" presStyleIdx="2" presStyleCnt="5"/>
      <dgm:spPr/>
    </dgm:pt>
    <dgm:pt modelId="{7848ECC7-A2DD-4B05-B834-F7E307573139}" type="pres">
      <dgm:prSet presAssocID="{F85F3DA1-737F-4BB9-8465-6A9727F517AF}" presName="arrowWedge4" presStyleLbl="fgSibTrans2D1" presStyleIdx="3" presStyleCnt="5"/>
      <dgm:spPr/>
    </dgm:pt>
    <dgm:pt modelId="{412A3F23-F983-4A47-839E-26875FCE6C24}" type="pres">
      <dgm:prSet presAssocID="{54C88D82-5C3E-493D-8F19-EEAD942F6CC7}" presName="arrowWedge5" presStyleLbl="fgSibTrans2D1" presStyleIdx="4" presStyleCnt="5"/>
      <dgm:spPr/>
    </dgm:pt>
  </dgm:ptLst>
  <dgm:cxnLst>
    <dgm:cxn modelId="{FE583B13-8DB7-4EC2-9183-7CE90234A96A}" srcId="{2FDA4E5B-8869-402F-B627-17E907E7C060}" destId="{1DA8A0C5-88DD-46E8-9238-1EAE578FD9FD}" srcOrd="3" destOrd="0" parTransId="{A6D492F2-C64D-4D7E-BF15-6A8535C5A626}" sibTransId="{F85F3DA1-737F-4BB9-8465-6A9727F517AF}"/>
    <dgm:cxn modelId="{F8C08B24-1BA7-4057-8C13-2307A3B8E88A}" type="presOf" srcId="{FF16BE60-3F67-49AE-A2BF-5160600AF125}" destId="{1EEEDB5C-83A7-4755-AE4B-0C6F878174D2}" srcOrd="1" destOrd="0" presId="urn:microsoft.com/office/officeart/2005/8/layout/cycle8"/>
    <dgm:cxn modelId="{D323143E-644D-4186-B18A-485FD3361F5D}" srcId="{2FDA4E5B-8869-402F-B627-17E907E7C060}" destId="{B8B1EB1B-629B-45AA-9CD9-387575DAC550}" srcOrd="1" destOrd="0" parTransId="{9DD19520-9DE9-4987-85DA-A8D2588AA2A7}" sibTransId="{F7C65A94-DC9D-4152-87CE-EE864FC39E76}"/>
    <dgm:cxn modelId="{886CF54A-F9E8-4AA3-9FE1-46978427AFEC}" srcId="{2FDA4E5B-8869-402F-B627-17E907E7C060}" destId="{FA7D55CE-B415-446C-94DC-1C2091678941}" srcOrd="4" destOrd="0" parTransId="{80D4D3FC-2423-47F2-B967-24C2C1A97489}" sibTransId="{54C88D82-5C3E-493D-8F19-EEAD942F6CC7}"/>
    <dgm:cxn modelId="{9B6A1E59-2E8B-43B0-B746-199C9044D802}" type="presOf" srcId="{90E204A3-FC73-4536-9CBE-C17DC02D221F}" destId="{1C4B2CCE-E6E9-4CF2-BEE6-89FECD6A466C}" srcOrd="0" destOrd="0" presId="urn:microsoft.com/office/officeart/2005/8/layout/cycle8"/>
    <dgm:cxn modelId="{C495EE5E-D385-4D82-A2FD-0B9ECA2E0A86}" srcId="{2FDA4E5B-8869-402F-B627-17E907E7C060}" destId="{FF16BE60-3F67-49AE-A2BF-5160600AF125}" srcOrd="0" destOrd="0" parTransId="{EC950DFE-AE58-4A3D-83F5-154DB4644025}" sibTransId="{FD9F7DF2-FCB6-47E7-BCCD-33F4FB4C7090}"/>
    <dgm:cxn modelId="{3011D17C-7455-46D3-BDC1-C5DBA80547A2}" type="presOf" srcId="{1DA8A0C5-88DD-46E8-9238-1EAE578FD9FD}" destId="{9D89A086-4500-4235-B96B-4503A5223738}" srcOrd="1" destOrd="0" presId="urn:microsoft.com/office/officeart/2005/8/layout/cycle8"/>
    <dgm:cxn modelId="{E914838B-17E7-4B55-8CF2-AAD4B3BFBFAD}" type="presOf" srcId="{B8B1EB1B-629B-45AA-9CD9-387575DAC550}" destId="{2DCB1427-73FF-4E72-B5EA-EB5B6659F96A}" srcOrd="0" destOrd="0" presId="urn:microsoft.com/office/officeart/2005/8/layout/cycle8"/>
    <dgm:cxn modelId="{5386928F-9BC8-4288-957B-737C48A0486A}" srcId="{2FDA4E5B-8869-402F-B627-17E907E7C060}" destId="{90E204A3-FC73-4536-9CBE-C17DC02D221F}" srcOrd="2" destOrd="0" parTransId="{62CA60C7-7F0C-4C27-A707-6480A46B7A62}" sibTransId="{3125EA5D-27A5-4C18-93E2-5505B50C1356}"/>
    <dgm:cxn modelId="{282F41A7-BE67-4EB8-973B-847EDEDC33D1}" type="presOf" srcId="{2FDA4E5B-8869-402F-B627-17E907E7C060}" destId="{F1605DC2-7664-4D00-882F-D96B3B4AD48E}" srcOrd="0" destOrd="0" presId="urn:microsoft.com/office/officeart/2005/8/layout/cycle8"/>
    <dgm:cxn modelId="{2759F2AA-2179-42CC-B72D-31332A3A8CC6}" type="presOf" srcId="{90E204A3-FC73-4536-9CBE-C17DC02D221F}" destId="{D6E2FB4C-04A6-4CFA-8D33-F38822A7443F}" srcOrd="1" destOrd="0" presId="urn:microsoft.com/office/officeart/2005/8/layout/cycle8"/>
    <dgm:cxn modelId="{AE2A43AB-245A-4B2D-9839-9ECF8802601B}" type="presOf" srcId="{B8B1EB1B-629B-45AA-9CD9-387575DAC550}" destId="{20A8321C-2579-4104-83F8-C4EF6A8E7C5D}" srcOrd="1" destOrd="0" presId="urn:microsoft.com/office/officeart/2005/8/layout/cycle8"/>
    <dgm:cxn modelId="{FCADFAC1-71B8-4EEA-970A-DD5160DA1540}" type="presOf" srcId="{FA7D55CE-B415-446C-94DC-1C2091678941}" destId="{E0569636-48C9-4677-8E8D-368EE21EBCE7}" srcOrd="0" destOrd="0" presId="urn:microsoft.com/office/officeart/2005/8/layout/cycle8"/>
    <dgm:cxn modelId="{FC875AC7-E361-4117-9A6A-2DBB1144F654}" type="presOf" srcId="{FF16BE60-3F67-49AE-A2BF-5160600AF125}" destId="{4D265054-56CD-49B8-9246-873966759124}" srcOrd="0" destOrd="0" presId="urn:microsoft.com/office/officeart/2005/8/layout/cycle8"/>
    <dgm:cxn modelId="{21C86DCA-558C-4E8E-AA81-F918C38B85B0}" type="presOf" srcId="{1DA8A0C5-88DD-46E8-9238-1EAE578FD9FD}" destId="{7E739F3F-93CA-4CEA-A17D-F1373BD49020}" srcOrd="0" destOrd="0" presId="urn:microsoft.com/office/officeart/2005/8/layout/cycle8"/>
    <dgm:cxn modelId="{85DE47ED-AC23-4492-8514-5110526CE23B}" type="presOf" srcId="{FA7D55CE-B415-446C-94DC-1C2091678941}" destId="{0CC9D148-B1D4-4A53-AA67-A58323D42686}" srcOrd="1" destOrd="0" presId="urn:microsoft.com/office/officeart/2005/8/layout/cycle8"/>
    <dgm:cxn modelId="{B3DCD67D-DC54-45D6-A744-DF6394A7B06F}" type="presParOf" srcId="{F1605DC2-7664-4D00-882F-D96B3B4AD48E}" destId="{4D265054-56CD-49B8-9246-873966759124}" srcOrd="0" destOrd="0" presId="urn:microsoft.com/office/officeart/2005/8/layout/cycle8"/>
    <dgm:cxn modelId="{10C8A9AE-B44C-4BF1-8E9B-6F5371A19A39}" type="presParOf" srcId="{F1605DC2-7664-4D00-882F-D96B3B4AD48E}" destId="{EE48309A-AD3B-4218-8933-752DB5549B44}" srcOrd="1" destOrd="0" presId="urn:microsoft.com/office/officeart/2005/8/layout/cycle8"/>
    <dgm:cxn modelId="{37E007BE-D42C-4E2E-BC93-044D56D2E677}" type="presParOf" srcId="{F1605DC2-7664-4D00-882F-D96B3B4AD48E}" destId="{56AAB31E-4E04-4F71-8406-4F4CA8BD012A}" srcOrd="2" destOrd="0" presId="urn:microsoft.com/office/officeart/2005/8/layout/cycle8"/>
    <dgm:cxn modelId="{A4DEFA79-3D13-45E5-86A5-7ECCE115A5B5}" type="presParOf" srcId="{F1605DC2-7664-4D00-882F-D96B3B4AD48E}" destId="{1EEEDB5C-83A7-4755-AE4B-0C6F878174D2}" srcOrd="3" destOrd="0" presId="urn:microsoft.com/office/officeart/2005/8/layout/cycle8"/>
    <dgm:cxn modelId="{CEC15096-D1B7-4F16-91A9-2C6AED1509AC}" type="presParOf" srcId="{F1605DC2-7664-4D00-882F-D96B3B4AD48E}" destId="{2DCB1427-73FF-4E72-B5EA-EB5B6659F96A}" srcOrd="4" destOrd="0" presId="urn:microsoft.com/office/officeart/2005/8/layout/cycle8"/>
    <dgm:cxn modelId="{39E3D820-3F63-4A0C-9254-3DF953076C7D}" type="presParOf" srcId="{F1605DC2-7664-4D00-882F-D96B3B4AD48E}" destId="{3EBCD036-B769-44C6-BE13-92C7681D5B50}" srcOrd="5" destOrd="0" presId="urn:microsoft.com/office/officeart/2005/8/layout/cycle8"/>
    <dgm:cxn modelId="{EE90C5C3-850B-4051-B4E7-260C75F6C97A}" type="presParOf" srcId="{F1605DC2-7664-4D00-882F-D96B3B4AD48E}" destId="{ACBDCC2F-D84F-455C-86E3-9CF8C4C8D242}" srcOrd="6" destOrd="0" presId="urn:microsoft.com/office/officeart/2005/8/layout/cycle8"/>
    <dgm:cxn modelId="{71EB2488-1884-4DBF-B54E-ADD203AF5715}" type="presParOf" srcId="{F1605DC2-7664-4D00-882F-D96B3B4AD48E}" destId="{20A8321C-2579-4104-83F8-C4EF6A8E7C5D}" srcOrd="7" destOrd="0" presId="urn:microsoft.com/office/officeart/2005/8/layout/cycle8"/>
    <dgm:cxn modelId="{0F04F038-27C2-4A76-AACB-A29A9A35123E}" type="presParOf" srcId="{F1605DC2-7664-4D00-882F-D96B3B4AD48E}" destId="{1C4B2CCE-E6E9-4CF2-BEE6-89FECD6A466C}" srcOrd="8" destOrd="0" presId="urn:microsoft.com/office/officeart/2005/8/layout/cycle8"/>
    <dgm:cxn modelId="{A0F5D816-5FAF-4DF3-ACCD-4F38BBE07FBB}" type="presParOf" srcId="{F1605DC2-7664-4D00-882F-D96B3B4AD48E}" destId="{553A7955-C32C-4120-A1E3-BCCB6FFB0846}" srcOrd="9" destOrd="0" presId="urn:microsoft.com/office/officeart/2005/8/layout/cycle8"/>
    <dgm:cxn modelId="{A45ABA27-FFE1-4A7F-A969-7C168947BBB9}" type="presParOf" srcId="{F1605DC2-7664-4D00-882F-D96B3B4AD48E}" destId="{E25C9838-4476-4E14-8035-F0F4DC43DA32}" srcOrd="10" destOrd="0" presId="urn:microsoft.com/office/officeart/2005/8/layout/cycle8"/>
    <dgm:cxn modelId="{B60714EC-F1A7-4698-AEF8-77AF791777BA}" type="presParOf" srcId="{F1605DC2-7664-4D00-882F-D96B3B4AD48E}" destId="{D6E2FB4C-04A6-4CFA-8D33-F38822A7443F}" srcOrd="11" destOrd="0" presId="urn:microsoft.com/office/officeart/2005/8/layout/cycle8"/>
    <dgm:cxn modelId="{EEAA4AED-556F-4669-984B-7F5D6D7CAF9A}" type="presParOf" srcId="{F1605DC2-7664-4D00-882F-D96B3B4AD48E}" destId="{7E739F3F-93CA-4CEA-A17D-F1373BD49020}" srcOrd="12" destOrd="0" presId="urn:microsoft.com/office/officeart/2005/8/layout/cycle8"/>
    <dgm:cxn modelId="{AEE5DF94-6B28-4F99-BED3-565BD8A159EA}" type="presParOf" srcId="{F1605DC2-7664-4D00-882F-D96B3B4AD48E}" destId="{FAA9319B-C117-40F6-827F-D72844841020}" srcOrd="13" destOrd="0" presId="urn:microsoft.com/office/officeart/2005/8/layout/cycle8"/>
    <dgm:cxn modelId="{9ACEDAF9-1A8F-4410-9DD0-499A03E23C3F}" type="presParOf" srcId="{F1605DC2-7664-4D00-882F-D96B3B4AD48E}" destId="{62FADA71-65EF-4CD3-B5EC-4B7D4FFC1147}" srcOrd="14" destOrd="0" presId="urn:microsoft.com/office/officeart/2005/8/layout/cycle8"/>
    <dgm:cxn modelId="{55178D03-F012-4EE4-9F2F-1A10F3B07EE5}" type="presParOf" srcId="{F1605DC2-7664-4D00-882F-D96B3B4AD48E}" destId="{9D89A086-4500-4235-B96B-4503A5223738}" srcOrd="15" destOrd="0" presId="urn:microsoft.com/office/officeart/2005/8/layout/cycle8"/>
    <dgm:cxn modelId="{8181A20C-9049-4FF2-80CB-621ACA20279E}" type="presParOf" srcId="{F1605DC2-7664-4D00-882F-D96B3B4AD48E}" destId="{E0569636-48C9-4677-8E8D-368EE21EBCE7}" srcOrd="16" destOrd="0" presId="urn:microsoft.com/office/officeart/2005/8/layout/cycle8"/>
    <dgm:cxn modelId="{656DF16E-E742-4AAA-A9B5-287E02FAC5A9}" type="presParOf" srcId="{F1605DC2-7664-4D00-882F-D96B3B4AD48E}" destId="{F0FB40FB-64AA-4EB4-8397-5291D4D89130}" srcOrd="17" destOrd="0" presId="urn:microsoft.com/office/officeart/2005/8/layout/cycle8"/>
    <dgm:cxn modelId="{1077A3EF-8DC4-43A1-9A38-E95EA38CA914}" type="presParOf" srcId="{F1605DC2-7664-4D00-882F-D96B3B4AD48E}" destId="{964F6F5E-C359-4E7D-A1FA-B5DA07EB4854}" srcOrd="18" destOrd="0" presId="urn:microsoft.com/office/officeart/2005/8/layout/cycle8"/>
    <dgm:cxn modelId="{E9885D48-1709-42B2-B538-8B25AB2525D4}" type="presParOf" srcId="{F1605DC2-7664-4D00-882F-D96B3B4AD48E}" destId="{0CC9D148-B1D4-4A53-AA67-A58323D42686}" srcOrd="19" destOrd="0" presId="urn:microsoft.com/office/officeart/2005/8/layout/cycle8"/>
    <dgm:cxn modelId="{87F4A84A-C01C-4746-BFD2-76DD1ADF6BB3}" type="presParOf" srcId="{F1605DC2-7664-4D00-882F-D96B3B4AD48E}" destId="{518918DD-F551-4F17-A1D7-9F78C46801B3}" srcOrd="20" destOrd="0" presId="urn:microsoft.com/office/officeart/2005/8/layout/cycle8"/>
    <dgm:cxn modelId="{9CCF4D9D-DBD8-424D-9767-DA1567D1D267}" type="presParOf" srcId="{F1605DC2-7664-4D00-882F-D96B3B4AD48E}" destId="{57216AD9-1AAB-4938-B970-0E4A48369817}" srcOrd="21" destOrd="0" presId="urn:microsoft.com/office/officeart/2005/8/layout/cycle8"/>
    <dgm:cxn modelId="{77C70DF9-4861-426B-B4E6-65205B0FC9C8}" type="presParOf" srcId="{F1605DC2-7664-4D00-882F-D96B3B4AD48E}" destId="{A4EA27CE-9C92-424E-B221-0018CBFAA1ED}" srcOrd="22" destOrd="0" presId="urn:microsoft.com/office/officeart/2005/8/layout/cycle8"/>
    <dgm:cxn modelId="{FD97A044-B013-4C14-B984-BC7297B2DAE2}" type="presParOf" srcId="{F1605DC2-7664-4D00-882F-D96B3B4AD48E}" destId="{7848ECC7-A2DD-4B05-B834-F7E307573139}" srcOrd="23" destOrd="0" presId="urn:microsoft.com/office/officeart/2005/8/layout/cycle8"/>
    <dgm:cxn modelId="{8305CD8C-C6DC-456F-B0CE-BE9E4E898236}" type="presParOf" srcId="{F1605DC2-7664-4D00-882F-D96B3B4AD48E}" destId="{412A3F23-F983-4A47-839E-26875FCE6C24}" srcOrd="24" destOrd="0" presId="urn:microsoft.com/office/officeart/2005/8/layout/cycle8"/>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229AAD-EAA8-4096-A774-FB3BDB3A294B}">
      <dsp:nvSpPr>
        <dsp:cNvPr id="0" name=""/>
        <dsp:cNvSpPr/>
      </dsp:nvSpPr>
      <dsp:spPr>
        <a:xfrm>
          <a:off x="2127823" y="29"/>
          <a:ext cx="892353" cy="892353"/>
        </a:xfrm>
        <a:prstGeom prst="ellipse">
          <a:avLst/>
        </a:prstGeom>
        <a:solidFill>
          <a:srgbClr val="C2174F">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r>
            <a:rPr lang="en-AU" sz="750" b="1" kern="1200">
              <a:solidFill>
                <a:srgbClr val="FFFFFF"/>
              </a:solidFill>
              <a:latin typeface="Arial"/>
              <a:ea typeface="+mn-ea"/>
              <a:cs typeface="+mn-cs"/>
            </a:rPr>
            <a:t>Planning</a:t>
          </a:r>
        </a:p>
      </dsp:txBody>
      <dsp:txXfrm>
        <a:off x="2258505" y="130711"/>
        <a:ext cx="630989" cy="630989"/>
      </dsp:txXfrm>
    </dsp:sp>
    <dsp:sp modelId="{F25750BD-120D-412F-AC19-EB5549DEEF5D}">
      <dsp:nvSpPr>
        <dsp:cNvPr id="0" name=""/>
        <dsp:cNvSpPr/>
      </dsp:nvSpPr>
      <dsp:spPr>
        <a:xfrm rot="2160000">
          <a:off x="2991841" y="685173"/>
          <a:ext cx="236663" cy="3011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33375">
            <a:lnSpc>
              <a:spcPct val="90000"/>
            </a:lnSpc>
            <a:spcBef>
              <a:spcPct val="0"/>
            </a:spcBef>
            <a:spcAft>
              <a:spcPct val="35000"/>
            </a:spcAft>
            <a:buNone/>
          </a:pPr>
          <a:endParaRPr lang="en-AU" sz="750" b="1" kern="1200"/>
        </a:p>
      </dsp:txBody>
      <dsp:txXfrm>
        <a:off x="2998621" y="724541"/>
        <a:ext cx="165664" cy="180701"/>
      </dsp:txXfrm>
    </dsp:sp>
    <dsp:sp modelId="{A00F4029-7610-4DA3-9B44-5EF87531B131}">
      <dsp:nvSpPr>
        <dsp:cNvPr id="0" name=""/>
        <dsp:cNvSpPr/>
      </dsp:nvSpPr>
      <dsp:spPr>
        <a:xfrm>
          <a:off x="3211007" y="787008"/>
          <a:ext cx="892353" cy="89235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24485">
            <a:lnSpc>
              <a:spcPct val="90000"/>
            </a:lnSpc>
            <a:spcBef>
              <a:spcPct val="0"/>
            </a:spcBef>
            <a:spcAft>
              <a:spcPct val="35000"/>
            </a:spcAft>
            <a:buNone/>
          </a:pPr>
          <a:r>
            <a:rPr lang="en-AU" sz="730" b="1" kern="1200"/>
            <a:t>Implementation</a:t>
          </a:r>
        </a:p>
      </dsp:txBody>
      <dsp:txXfrm>
        <a:off x="3341689" y="917690"/>
        <a:ext cx="630989" cy="630989"/>
      </dsp:txXfrm>
    </dsp:sp>
    <dsp:sp modelId="{8C698F7B-4316-420E-99F2-643367E4F9A3}">
      <dsp:nvSpPr>
        <dsp:cNvPr id="0" name=""/>
        <dsp:cNvSpPr/>
      </dsp:nvSpPr>
      <dsp:spPr>
        <a:xfrm rot="6480000">
          <a:off x="3334052" y="1712909"/>
          <a:ext cx="236663" cy="3011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33375">
            <a:lnSpc>
              <a:spcPct val="90000"/>
            </a:lnSpc>
            <a:spcBef>
              <a:spcPct val="0"/>
            </a:spcBef>
            <a:spcAft>
              <a:spcPct val="35000"/>
            </a:spcAft>
            <a:buNone/>
          </a:pPr>
          <a:endParaRPr lang="en-AU" sz="750" b="1" kern="1200"/>
        </a:p>
      </dsp:txBody>
      <dsp:txXfrm rot="10800000">
        <a:off x="3380521" y="1739381"/>
        <a:ext cx="165664" cy="180701"/>
      </dsp:txXfrm>
    </dsp:sp>
    <dsp:sp modelId="{4C2EC9A8-DB22-44D9-A9DE-AECB2588721F}">
      <dsp:nvSpPr>
        <dsp:cNvPr id="0" name=""/>
        <dsp:cNvSpPr/>
      </dsp:nvSpPr>
      <dsp:spPr>
        <a:xfrm>
          <a:off x="2797267" y="2060367"/>
          <a:ext cx="892353" cy="892353"/>
        </a:xfrm>
        <a:prstGeom prst="ellipse">
          <a:avLst/>
        </a:prstGeom>
        <a:solidFill>
          <a:srgbClr val="C2174F">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r>
            <a:rPr lang="en-AU" sz="750" b="1" kern="1200">
              <a:solidFill>
                <a:srgbClr val="FFFFFF"/>
              </a:solidFill>
              <a:latin typeface="Arial"/>
              <a:ea typeface="+mn-ea"/>
              <a:cs typeface="+mn-cs"/>
            </a:rPr>
            <a:t>Monitoring</a:t>
          </a:r>
        </a:p>
      </dsp:txBody>
      <dsp:txXfrm>
        <a:off x="2927949" y="2191049"/>
        <a:ext cx="630989" cy="630989"/>
      </dsp:txXfrm>
    </dsp:sp>
    <dsp:sp modelId="{3FCD1E50-C4C1-419A-ABD7-D0103ABFE721}">
      <dsp:nvSpPr>
        <dsp:cNvPr id="0" name=""/>
        <dsp:cNvSpPr/>
      </dsp:nvSpPr>
      <dsp:spPr>
        <a:xfrm rot="10800000">
          <a:off x="2462366" y="2355959"/>
          <a:ext cx="236663" cy="3011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33375">
            <a:lnSpc>
              <a:spcPct val="90000"/>
            </a:lnSpc>
            <a:spcBef>
              <a:spcPct val="0"/>
            </a:spcBef>
            <a:spcAft>
              <a:spcPct val="35000"/>
            </a:spcAft>
            <a:buNone/>
          </a:pPr>
          <a:endParaRPr lang="en-AU" sz="750" b="1" kern="1200"/>
        </a:p>
      </dsp:txBody>
      <dsp:txXfrm rot="10800000">
        <a:off x="2533365" y="2416193"/>
        <a:ext cx="165664" cy="180701"/>
      </dsp:txXfrm>
    </dsp:sp>
    <dsp:sp modelId="{2424E50D-F986-42CC-B868-E46D4AF46D01}">
      <dsp:nvSpPr>
        <dsp:cNvPr id="0" name=""/>
        <dsp:cNvSpPr/>
      </dsp:nvSpPr>
      <dsp:spPr>
        <a:xfrm>
          <a:off x="1458378" y="2060367"/>
          <a:ext cx="892353" cy="892353"/>
        </a:xfrm>
        <a:prstGeom prst="ellipse">
          <a:avLst/>
        </a:prstGeom>
        <a:solidFill>
          <a:srgbClr val="C2174F">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r>
            <a:rPr lang="en-AU" sz="750" b="1" kern="1200">
              <a:solidFill>
                <a:srgbClr val="FFFFFF"/>
              </a:solidFill>
              <a:latin typeface="Arial"/>
              <a:ea typeface="+mn-ea"/>
              <a:cs typeface="+mn-cs"/>
            </a:rPr>
            <a:t>Evaluation</a:t>
          </a:r>
        </a:p>
      </dsp:txBody>
      <dsp:txXfrm>
        <a:off x="1589060" y="2191049"/>
        <a:ext cx="630989" cy="630989"/>
      </dsp:txXfrm>
    </dsp:sp>
    <dsp:sp modelId="{AAC5FDD6-AFFC-405D-BE14-6002C2ACD285}">
      <dsp:nvSpPr>
        <dsp:cNvPr id="0" name=""/>
        <dsp:cNvSpPr/>
      </dsp:nvSpPr>
      <dsp:spPr>
        <a:xfrm rot="15120000">
          <a:off x="1581423" y="1725650"/>
          <a:ext cx="236663" cy="3011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33375">
            <a:lnSpc>
              <a:spcPct val="90000"/>
            </a:lnSpc>
            <a:spcBef>
              <a:spcPct val="0"/>
            </a:spcBef>
            <a:spcAft>
              <a:spcPct val="35000"/>
            </a:spcAft>
            <a:buNone/>
          </a:pPr>
          <a:endParaRPr lang="en-AU" sz="750" b="1" kern="1200"/>
        </a:p>
      </dsp:txBody>
      <dsp:txXfrm rot="10800000">
        <a:off x="1627892" y="1819646"/>
        <a:ext cx="165664" cy="180701"/>
      </dsp:txXfrm>
    </dsp:sp>
    <dsp:sp modelId="{806396AC-8713-4C74-A739-9940A266EA00}">
      <dsp:nvSpPr>
        <dsp:cNvPr id="0" name=""/>
        <dsp:cNvSpPr/>
      </dsp:nvSpPr>
      <dsp:spPr>
        <a:xfrm>
          <a:off x="1044639" y="787008"/>
          <a:ext cx="892353" cy="892353"/>
        </a:xfrm>
        <a:prstGeom prst="ellipse">
          <a:avLst/>
        </a:prstGeom>
        <a:solidFill>
          <a:srgbClr val="C2174F">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66725">
            <a:lnSpc>
              <a:spcPct val="90000"/>
            </a:lnSpc>
            <a:spcBef>
              <a:spcPct val="0"/>
            </a:spcBef>
            <a:spcAft>
              <a:spcPct val="35000"/>
            </a:spcAft>
            <a:buNone/>
          </a:pPr>
          <a:r>
            <a:rPr lang="en-AU" sz="750" b="1" kern="1200">
              <a:solidFill>
                <a:srgbClr val="FFFFFF"/>
              </a:solidFill>
              <a:latin typeface="Arial"/>
              <a:ea typeface="+mn-ea"/>
              <a:cs typeface="+mn-cs"/>
            </a:rPr>
            <a:t>Continuous Improvement</a:t>
          </a:r>
        </a:p>
      </dsp:txBody>
      <dsp:txXfrm>
        <a:off x="1175321" y="917690"/>
        <a:ext cx="630989" cy="630989"/>
      </dsp:txXfrm>
    </dsp:sp>
    <dsp:sp modelId="{E2356BC8-22FB-4295-960D-433E48CE8DFF}">
      <dsp:nvSpPr>
        <dsp:cNvPr id="0" name=""/>
        <dsp:cNvSpPr/>
      </dsp:nvSpPr>
      <dsp:spPr>
        <a:xfrm rot="19440000">
          <a:off x="1908657" y="693047"/>
          <a:ext cx="236663" cy="30116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33375">
            <a:lnSpc>
              <a:spcPct val="90000"/>
            </a:lnSpc>
            <a:spcBef>
              <a:spcPct val="0"/>
            </a:spcBef>
            <a:spcAft>
              <a:spcPct val="35000"/>
            </a:spcAft>
            <a:buNone/>
          </a:pPr>
          <a:endParaRPr lang="en-AU" sz="750" b="1" kern="1200"/>
        </a:p>
      </dsp:txBody>
      <dsp:txXfrm>
        <a:off x="1915437" y="774147"/>
        <a:ext cx="165664" cy="1807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265054-56CD-49B8-9246-873966759124}">
      <dsp:nvSpPr>
        <dsp:cNvPr id="0" name=""/>
        <dsp:cNvSpPr/>
      </dsp:nvSpPr>
      <dsp:spPr>
        <a:xfrm>
          <a:off x="562699" y="180136"/>
          <a:ext cx="2444502" cy="2444502"/>
        </a:xfrm>
        <a:prstGeom prst="pie">
          <a:avLst>
            <a:gd name="adj1" fmla="val 16200000"/>
            <a:gd name="adj2" fmla="val 2052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AU" sz="800" b="1" kern="1200"/>
            <a:t>Program Performance Monitoring</a:t>
          </a:r>
        </a:p>
      </dsp:txBody>
      <dsp:txXfrm>
        <a:off x="1837915" y="591045"/>
        <a:ext cx="785732" cy="523821"/>
      </dsp:txXfrm>
    </dsp:sp>
    <dsp:sp modelId="{2DCB1427-73FF-4E72-B5EA-EB5B6659F96A}">
      <dsp:nvSpPr>
        <dsp:cNvPr id="0" name=""/>
        <dsp:cNvSpPr/>
      </dsp:nvSpPr>
      <dsp:spPr>
        <a:xfrm>
          <a:off x="583652" y="245323"/>
          <a:ext cx="2444502" cy="2444502"/>
        </a:xfrm>
        <a:prstGeom prst="pie">
          <a:avLst>
            <a:gd name="adj1" fmla="val 20520000"/>
            <a:gd name="adj2" fmla="val 324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AU" sz="800" b="1" kern="1200"/>
            <a:t>Evaluation Design: independent evaluator</a:t>
          </a:r>
        </a:p>
      </dsp:txBody>
      <dsp:txXfrm>
        <a:off x="2158028" y="1362228"/>
        <a:ext cx="727530" cy="582024"/>
      </dsp:txXfrm>
    </dsp:sp>
    <dsp:sp modelId="{1C4B2CCE-E6E9-4CF2-BEE6-89FECD6A466C}">
      <dsp:nvSpPr>
        <dsp:cNvPr id="0" name=""/>
        <dsp:cNvSpPr/>
      </dsp:nvSpPr>
      <dsp:spPr>
        <a:xfrm>
          <a:off x="528360" y="285482"/>
          <a:ext cx="2444502" cy="2444502"/>
        </a:xfrm>
        <a:prstGeom prst="pie">
          <a:avLst>
            <a:gd name="adj1" fmla="val 3240000"/>
            <a:gd name="adj2" fmla="val 756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AU" sz="800" b="1" kern="1200"/>
            <a:t>Evidence-based View</a:t>
          </a:r>
        </a:p>
      </dsp:txBody>
      <dsp:txXfrm>
        <a:off x="1401396" y="2002454"/>
        <a:ext cx="698429" cy="640226"/>
      </dsp:txXfrm>
    </dsp:sp>
    <dsp:sp modelId="{7E739F3F-93CA-4CEA-A17D-F1373BD49020}">
      <dsp:nvSpPr>
        <dsp:cNvPr id="0" name=""/>
        <dsp:cNvSpPr/>
      </dsp:nvSpPr>
      <dsp:spPr>
        <a:xfrm>
          <a:off x="473067" y="245323"/>
          <a:ext cx="2444502" cy="2444502"/>
        </a:xfrm>
        <a:prstGeom prst="pie">
          <a:avLst>
            <a:gd name="adj1" fmla="val 7560000"/>
            <a:gd name="adj2" fmla="val 1188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AU" sz="800" b="1" kern="1200"/>
            <a:t>Lessons Learned: shared and used</a:t>
          </a:r>
        </a:p>
      </dsp:txBody>
      <dsp:txXfrm>
        <a:off x="615663" y="1362228"/>
        <a:ext cx="727530" cy="582024"/>
      </dsp:txXfrm>
    </dsp:sp>
    <dsp:sp modelId="{E0569636-48C9-4677-8E8D-368EE21EBCE7}">
      <dsp:nvSpPr>
        <dsp:cNvPr id="0" name=""/>
        <dsp:cNvSpPr/>
      </dsp:nvSpPr>
      <dsp:spPr>
        <a:xfrm>
          <a:off x="494020" y="180136"/>
          <a:ext cx="2444502" cy="2444502"/>
        </a:xfrm>
        <a:prstGeom prst="pie">
          <a:avLst>
            <a:gd name="adj1" fmla="val 1188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AU" sz="800" b="1" kern="1200"/>
            <a:t>Stakeholder Engagement</a:t>
          </a:r>
        </a:p>
      </dsp:txBody>
      <dsp:txXfrm>
        <a:off x="877574" y="591045"/>
        <a:ext cx="785732" cy="523821"/>
      </dsp:txXfrm>
    </dsp:sp>
    <dsp:sp modelId="{518918DD-F551-4F17-A1D7-9F78C46801B3}">
      <dsp:nvSpPr>
        <dsp:cNvPr id="0" name=""/>
        <dsp:cNvSpPr/>
      </dsp:nvSpPr>
      <dsp:spPr>
        <a:xfrm>
          <a:off x="411258" y="28810"/>
          <a:ext cx="2747155" cy="2747155"/>
        </a:xfrm>
        <a:prstGeom prst="circularArrow">
          <a:avLst>
            <a:gd name="adj1" fmla="val 5085"/>
            <a:gd name="adj2" fmla="val 327528"/>
            <a:gd name="adj3" fmla="val 20192361"/>
            <a:gd name="adj4" fmla="val 16200324"/>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7216AD9-1AAB-4938-B970-0E4A48369817}">
      <dsp:nvSpPr>
        <dsp:cNvPr id="0" name=""/>
        <dsp:cNvSpPr/>
      </dsp:nvSpPr>
      <dsp:spPr>
        <a:xfrm>
          <a:off x="432495" y="93975"/>
          <a:ext cx="2747155" cy="2747155"/>
        </a:xfrm>
        <a:prstGeom prst="circularArrow">
          <a:avLst>
            <a:gd name="adj1" fmla="val 5085"/>
            <a:gd name="adj2" fmla="val 327528"/>
            <a:gd name="adj3" fmla="val 2912753"/>
            <a:gd name="adj4" fmla="val 20519953"/>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4EA27CE-9C92-424E-B221-0018CBFAA1ED}">
      <dsp:nvSpPr>
        <dsp:cNvPr id="0" name=""/>
        <dsp:cNvSpPr/>
      </dsp:nvSpPr>
      <dsp:spPr>
        <a:xfrm>
          <a:off x="377033" y="134257"/>
          <a:ext cx="2747155" cy="2747155"/>
        </a:xfrm>
        <a:prstGeom prst="circularArrow">
          <a:avLst>
            <a:gd name="adj1" fmla="val 5085"/>
            <a:gd name="adj2" fmla="val 327528"/>
            <a:gd name="adj3" fmla="val 7232777"/>
            <a:gd name="adj4" fmla="val 3239695"/>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848ECC7-A2DD-4B05-B834-F7E307573139}">
      <dsp:nvSpPr>
        <dsp:cNvPr id="0" name=""/>
        <dsp:cNvSpPr/>
      </dsp:nvSpPr>
      <dsp:spPr>
        <a:xfrm>
          <a:off x="321572" y="93975"/>
          <a:ext cx="2747155" cy="2747155"/>
        </a:xfrm>
        <a:prstGeom prst="circularArrow">
          <a:avLst>
            <a:gd name="adj1" fmla="val 5085"/>
            <a:gd name="adj2" fmla="val 327528"/>
            <a:gd name="adj3" fmla="val 11552519"/>
            <a:gd name="adj4" fmla="val 7559718"/>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12A3F23-F983-4A47-839E-26875FCE6C24}">
      <dsp:nvSpPr>
        <dsp:cNvPr id="0" name=""/>
        <dsp:cNvSpPr/>
      </dsp:nvSpPr>
      <dsp:spPr>
        <a:xfrm>
          <a:off x="342809" y="28810"/>
          <a:ext cx="2747155" cy="2747155"/>
        </a:xfrm>
        <a:prstGeom prst="circularArrow">
          <a:avLst>
            <a:gd name="adj1" fmla="val 5085"/>
            <a:gd name="adj2" fmla="val 327528"/>
            <a:gd name="adj3" fmla="val 15872148"/>
            <a:gd name="adj4" fmla="val 11880111"/>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Home Victoria v1">
      <a:dk1>
        <a:srgbClr val="032833"/>
      </a:dk1>
      <a:lt1>
        <a:sysClr val="window" lastClr="FFFFFF"/>
      </a:lt1>
      <a:dk2>
        <a:srgbClr val="032833"/>
      </a:dk2>
      <a:lt2>
        <a:srgbClr val="EFE5DC"/>
      </a:lt2>
      <a:accent1>
        <a:srgbClr val="0F8194"/>
      </a:accent1>
      <a:accent2>
        <a:srgbClr val="CCA1CB"/>
      </a:accent2>
      <a:accent3>
        <a:srgbClr val="F9B63C"/>
      </a:accent3>
      <a:accent4>
        <a:srgbClr val="DC6426"/>
      </a:accent4>
      <a:accent5>
        <a:srgbClr val="57C9EB"/>
      </a:accent5>
      <a:accent6>
        <a:srgbClr val="8761A9"/>
      </a:accent6>
      <a:hlink>
        <a:srgbClr val="00865C"/>
      </a:hlink>
      <a:folHlink>
        <a:srgbClr val="8761A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Shanaka T Perera (Homes Victoria)</DisplayName>
        <AccountId>675</AccountId>
        <AccountType/>
      </UserInfo>
      <UserInfo>
        <DisplayName>Sally Maydom (Homes Victoria)</DisplayName>
        <AccountId>150</AccountId>
        <AccountType/>
      </UserInfo>
      <UserInfo>
        <DisplayName>Sonia Chudiak (Homes Victoria)</DisplayName>
        <AccountId>24</AccountId>
        <AccountType/>
      </UserInfo>
    </SharedWithUsers>
    <Caption xmlns="06badf41-c0a1-41a6-983a-efd542c2c87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60148f1-2b30-49d4-9c35-8b84cdef3be5"/>
    <ds:schemaRef ds:uri="a2f1a1cd-9cfa-4943-817a-584aa7dd4162"/>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C2BC608D-47BD-4D0E-A3A6-0E325DA82BAC}"/>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84</Pages>
  <Words>26289</Words>
  <Characters>148800</Characters>
  <Application>Microsoft Office Word</Application>
  <DocSecurity>0</DocSecurity>
  <Lines>4376</Lines>
  <Paragraphs>2244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172845</CharactersWithSpaces>
  <SharedDoc>false</SharedDoc>
  <HyperlinkBase/>
  <HLinks>
    <vt:vector size="810" baseType="variant">
      <vt:variant>
        <vt:i4>1441828</vt:i4>
      </vt:variant>
      <vt:variant>
        <vt:i4>750</vt:i4>
      </vt:variant>
      <vt:variant>
        <vt:i4>0</vt:i4>
      </vt:variant>
      <vt:variant>
        <vt:i4>5</vt:i4>
      </vt:variant>
      <vt:variant>
        <vt:lpwstr>mailto:enquiries@homes.vic.gov.au</vt:lpwstr>
      </vt:variant>
      <vt:variant>
        <vt:lpwstr/>
      </vt:variant>
      <vt:variant>
        <vt:i4>5308439</vt:i4>
      </vt:variant>
      <vt:variant>
        <vt:i4>741</vt:i4>
      </vt:variant>
      <vt:variant>
        <vt:i4>0</vt:i4>
      </vt:variant>
      <vt:variant>
        <vt:i4>5</vt:i4>
      </vt:variant>
      <vt:variant>
        <vt:lpwstr>https://fac.dhhs.vic.gov.au/my-agency%3E.</vt:lpwstr>
      </vt:variant>
      <vt:variant>
        <vt:lpwstr/>
      </vt:variant>
      <vt:variant>
        <vt:i4>1114205</vt:i4>
      </vt:variant>
      <vt:variant>
        <vt:i4>738</vt:i4>
      </vt:variant>
      <vt:variant>
        <vt:i4>0</vt:i4>
      </vt:variant>
      <vt:variant>
        <vt:i4>5</vt:i4>
      </vt:variant>
      <vt:variant>
        <vt:lpwstr>https://fac.dhhs.vic.gov.au/my-agency</vt:lpwstr>
      </vt:variant>
      <vt:variant>
        <vt:lpwstr/>
      </vt:variant>
      <vt:variant>
        <vt:i4>5308439</vt:i4>
      </vt:variant>
      <vt:variant>
        <vt:i4>735</vt:i4>
      </vt:variant>
      <vt:variant>
        <vt:i4>0</vt:i4>
      </vt:variant>
      <vt:variant>
        <vt:i4>5</vt:i4>
      </vt:variant>
      <vt:variant>
        <vt:lpwstr>https://fac.dhhs.vic.gov.au/my-agency%3E.</vt:lpwstr>
      </vt:variant>
      <vt:variant>
        <vt:lpwstr/>
      </vt:variant>
      <vt:variant>
        <vt:i4>1114205</vt:i4>
      </vt:variant>
      <vt:variant>
        <vt:i4>732</vt:i4>
      </vt:variant>
      <vt:variant>
        <vt:i4>0</vt:i4>
      </vt:variant>
      <vt:variant>
        <vt:i4>5</vt:i4>
      </vt:variant>
      <vt:variant>
        <vt:lpwstr>https://fac.dhhs.vic.gov.au/my-agency</vt:lpwstr>
      </vt:variant>
      <vt:variant>
        <vt:lpwstr/>
      </vt:variant>
      <vt:variant>
        <vt:i4>7012477</vt:i4>
      </vt:variant>
      <vt:variant>
        <vt:i4>729</vt:i4>
      </vt:variant>
      <vt:variant>
        <vt:i4>0</vt:i4>
      </vt:variant>
      <vt:variant>
        <vt:i4>5</vt:i4>
      </vt:variant>
      <vt:variant>
        <vt:lpwstr>https://dhhsvicgovau.sharepoint.com/sites/SDE3-H2H</vt:lpwstr>
      </vt:variant>
      <vt:variant>
        <vt:lpwstr/>
      </vt:variant>
      <vt:variant>
        <vt:i4>6946880</vt:i4>
      </vt:variant>
      <vt:variant>
        <vt:i4>726</vt:i4>
      </vt:variant>
      <vt:variant>
        <vt:i4>0</vt:i4>
      </vt:variant>
      <vt:variant>
        <vt:i4>5</vt:i4>
      </vt:variant>
      <vt:variant>
        <vt:lpwstr>mailto:hhs@homes.vic.gov.au</vt:lpwstr>
      </vt:variant>
      <vt:variant>
        <vt:lpwstr/>
      </vt:variant>
      <vt:variant>
        <vt:i4>6946880</vt:i4>
      </vt:variant>
      <vt:variant>
        <vt:i4>723</vt:i4>
      </vt:variant>
      <vt:variant>
        <vt:i4>0</vt:i4>
      </vt:variant>
      <vt:variant>
        <vt:i4>5</vt:i4>
      </vt:variant>
      <vt:variant>
        <vt:lpwstr>mailto:hhs@homes.vic.gov.au</vt:lpwstr>
      </vt:variant>
      <vt:variant>
        <vt:lpwstr/>
      </vt:variant>
      <vt:variant>
        <vt:i4>6946880</vt:i4>
      </vt:variant>
      <vt:variant>
        <vt:i4>720</vt:i4>
      </vt:variant>
      <vt:variant>
        <vt:i4>0</vt:i4>
      </vt:variant>
      <vt:variant>
        <vt:i4>5</vt:i4>
      </vt:variant>
      <vt:variant>
        <vt:lpwstr>mailto:hhs@homes.vic.gov.au</vt:lpwstr>
      </vt:variant>
      <vt:variant>
        <vt:lpwstr/>
      </vt:variant>
      <vt:variant>
        <vt:i4>196662</vt:i4>
      </vt:variant>
      <vt:variant>
        <vt:i4>717</vt:i4>
      </vt:variant>
      <vt:variant>
        <vt:i4>0</vt:i4>
      </vt:variant>
      <vt:variant>
        <vt:i4>5</vt:i4>
      </vt:variant>
      <vt:variant>
        <vt:lpwstr>mailto:HomelessnessToHome@homes.vic.gov.au</vt:lpwstr>
      </vt:variant>
      <vt:variant>
        <vt:lpwstr/>
      </vt:variant>
      <vt:variant>
        <vt:i4>7995447</vt:i4>
      </vt:variant>
      <vt:variant>
        <vt:i4>714</vt:i4>
      </vt:variant>
      <vt:variant>
        <vt:i4>0</vt:i4>
      </vt:variant>
      <vt:variant>
        <vt:i4>5</vt:i4>
      </vt:variant>
      <vt:variant>
        <vt:lpwstr>https://providers.dffh.vic.gov.au/tenancy-management-manual-temporary-absence-operational-guidelines-word</vt:lpwstr>
      </vt:variant>
      <vt:variant>
        <vt:lpwstr>:~:text=The%20Temporary%20absence%20operational%20guidelines,sole%20tenant%20who%20is%20absent</vt:lpwstr>
      </vt:variant>
      <vt:variant>
        <vt:i4>6946880</vt:i4>
      </vt:variant>
      <vt:variant>
        <vt:i4>711</vt:i4>
      </vt:variant>
      <vt:variant>
        <vt:i4>0</vt:i4>
      </vt:variant>
      <vt:variant>
        <vt:i4>5</vt:i4>
      </vt:variant>
      <vt:variant>
        <vt:lpwstr>mailto:hhs@homes.vic.gov.au</vt:lpwstr>
      </vt:variant>
      <vt:variant>
        <vt:lpwstr/>
      </vt:variant>
      <vt:variant>
        <vt:i4>6946880</vt:i4>
      </vt:variant>
      <vt:variant>
        <vt:i4>708</vt:i4>
      </vt:variant>
      <vt:variant>
        <vt:i4>0</vt:i4>
      </vt:variant>
      <vt:variant>
        <vt:i4>5</vt:i4>
      </vt:variant>
      <vt:variant>
        <vt:lpwstr>mailto:hhs@homes.vic.gov.au</vt:lpwstr>
      </vt:variant>
      <vt:variant>
        <vt:lpwstr/>
      </vt:variant>
      <vt:variant>
        <vt:i4>6946880</vt:i4>
      </vt:variant>
      <vt:variant>
        <vt:i4>705</vt:i4>
      </vt:variant>
      <vt:variant>
        <vt:i4>0</vt:i4>
      </vt:variant>
      <vt:variant>
        <vt:i4>5</vt:i4>
      </vt:variant>
      <vt:variant>
        <vt:lpwstr>mailto:hhs@homes.vic.gov.au</vt:lpwstr>
      </vt:variant>
      <vt:variant>
        <vt:lpwstr/>
      </vt:variant>
      <vt:variant>
        <vt:i4>5374040</vt:i4>
      </vt:variant>
      <vt:variant>
        <vt:i4>702</vt:i4>
      </vt:variant>
      <vt:variant>
        <vt:i4>0</vt:i4>
      </vt:variant>
      <vt:variant>
        <vt:i4>5</vt:i4>
      </vt:variant>
      <vt:variant>
        <vt:lpwstr>https://fac.dhhs.vic.gov.au/funded-agency-channel/clients-special-accommodation-requirements</vt:lpwstr>
      </vt:variant>
      <vt:variant>
        <vt:lpwstr/>
      </vt:variant>
      <vt:variant>
        <vt:i4>5374040</vt:i4>
      </vt:variant>
      <vt:variant>
        <vt:i4>699</vt:i4>
      </vt:variant>
      <vt:variant>
        <vt:i4>0</vt:i4>
      </vt:variant>
      <vt:variant>
        <vt:i4>5</vt:i4>
      </vt:variant>
      <vt:variant>
        <vt:lpwstr>https://fac.dhhs.vic.gov.au/funded-agency-channel/clients-special-accommodation-requirements</vt:lpwstr>
      </vt:variant>
      <vt:variant>
        <vt:lpwstr/>
      </vt:variant>
      <vt:variant>
        <vt:i4>6946880</vt:i4>
      </vt:variant>
      <vt:variant>
        <vt:i4>696</vt:i4>
      </vt:variant>
      <vt:variant>
        <vt:i4>0</vt:i4>
      </vt:variant>
      <vt:variant>
        <vt:i4>5</vt:i4>
      </vt:variant>
      <vt:variant>
        <vt:lpwstr>mailto:hhs@homes.vic.gov.au</vt:lpwstr>
      </vt:variant>
      <vt:variant>
        <vt:lpwstr/>
      </vt:variant>
      <vt:variant>
        <vt:i4>6946880</vt:i4>
      </vt:variant>
      <vt:variant>
        <vt:i4>693</vt:i4>
      </vt:variant>
      <vt:variant>
        <vt:i4>0</vt:i4>
      </vt:variant>
      <vt:variant>
        <vt:i4>5</vt:i4>
      </vt:variant>
      <vt:variant>
        <vt:lpwstr>mailto:hhs@homes.vic.gov.au</vt:lpwstr>
      </vt:variant>
      <vt:variant>
        <vt:lpwstr/>
      </vt:variant>
      <vt:variant>
        <vt:i4>7405636</vt:i4>
      </vt:variant>
      <vt:variant>
        <vt:i4>690</vt:i4>
      </vt:variant>
      <vt:variant>
        <vt:i4>0</vt:i4>
      </vt:variant>
      <vt:variant>
        <vt:i4>5</vt:i4>
      </vt:variant>
      <vt:variant>
        <vt:lpwstr>mailto:ala@homes.vic.gov.au</vt:lpwstr>
      </vt:variant>
      <vt:variant>
        <vt:lpwstr/>
      </vt:variant>
      <vt:variant>
        <vt:i4>7405636</vt:i4>
      </vt:variant>
      <vt:variant>
        <vt:i4>687</vt:i4>
      </vt:variant>
      <vt:variant>
        <vt:i4>0</vt:i4>
      </vt:variant>
      <vt:variant>
        <vt:i4>5</vt:i4>
      </vt:variant>
      <vt:variant>
        <vt:lpwstr>mailto:ala@homes.vic.gov.au</vt:lpwstr>
      </vt:variant>
      <vt:variant>
        <vt:lpwstr/>
      </vt:variant>
      <vt:variant>
        <vt:i4>7405636</vt:i4>
      </vt:variant>
      <vt:variant>
        <vt:i4>684</vt:i4>
      </vt:variant>
      <vt:variant>
        <vt:i4>0</vt:i4>
      </vt:variant>
      <vt:variant>
        <vt:i4>5</vt:i4>
      </vt:variant>
      <vt:variant>
        <vt:lpwstr>mailto:ala@homes.vic.gov.au</vt:lpwstr>
      </vt:variant>
      <vt:variant>
        <vt:lpwstr/>
      </vt:variant>
      <vt:variant>
        <vt:i4>7405636</vt:i4>
      </vt:variant>
      <vt:variant>
        <vt:i4>681</vt:i4>
      </vt:variant>
      <vt:variant>
        <vt:i4>0</vt:i4>
      </vt:variant>
      <vt:variant>
        <vt:i4>5</vt:i4>
      </vt:variant>
      <vt:variant>
        <vt:lpwstr>mailto:ala@homes.vic.gov.au</vt:lpwstr>
      </vt:variant>
      <vt:variant>
        <vt:lpwstr/>
      </vt:variant>
      <vt:variant>
        <vt:i4>917511</vt:i4>
      </vt:variant>
      <vt:variant>
        <vt:i4>678</vt:i4>
      </vt:variant>
      <vt:variant>
        <vt:i4>0</vt:i4>
      </vt:variant>
      <vt:variant>
        <vt:i4>5</vt:i4>
      </vt:variant>
      <vt:variant>
        <vt:lpwstr>https://www.dhhs.vic.gov.au/sites/default/files/documents/201705/Homelessness-Services-Guidelines-and-Conditions-of-Funding-V2.1.pdf</vt:lpwstr>
      </vt:variant>
      <vt:variant>
        <vt:lpwstr/>
      </vt:variant>
      <vt:variant>
        <vt:i4>3539069</vt:i4>
      </vt:variant>
      <vt:variant>
        <vt:i4>675</vt:i4>
      </vt:variant>
      <vt:variant>
        <vt:i4>0</vt:i4>
      </vt:variant>
      <vt:variant>
        <vt:i4>5</vt:i4>
      </vt:variant>
      <vt:variant>
        <vt:lpwstr>http://www.housingregistrar.vic.gov.au/How-we-regulate/Guidelines-for-agencies</vt:lpwstr>
      </vt:variant>
      <vt:variant>
        <vt:lpwstr/>
      </vt:variant>
      <vt:variant>
        <vt:i4>7929977</vt:i4>
      </vt:variant>
      <vt:variant>
        <vt:i4>672</vt:i4>
      </vt:variant>
      <vt:variant>
        <vt:i4>0</vt:i4>
      </vt:variant>
      <vt:variant>
        <vt:i4>5</vt:i4>
      </vt:variant>
      <vt:variant>
        <vt:lpwstr>https://fac.dhhs.vic.gov.au/victorian-housing-register</vt:lpwstr>
      </vt:variant>
      <vt:variant>
        <vt:lpwstr/>
      </vt:variant>
      <vt:variant>
        <vt:i4>7929977</vt:i4>
      </vt:variant>
      <vt:variant>
        <vt:i4>669</vt:i4>
      </vt:variant>
      <vt:variant>
        <vt:i4>0</vt:i4>
      </vt:variant>
      <vt:variant>
        <vt:i4>5</vt:i4>
      </vt:variant>
      <vt:variant>
        <vt:lpwstr>https://fac.dhhs.vic.gov.au/victorian-housing-register</vt:lpwstr>
      </vt:variant>
      <vt:variant>
        <vt:lpwstr/>
      </vt:variant>
      <vt:variant>
        <vt:i4>3997750</vt:i4>
      </vt:variant>
      <vt:variant>
        <vt:i4>654</vt:i4>
      </vt:variant>
      <vt:variant>
        <vt:i4>0</vt:i4>
      </vt:variant>
      <vt:variant>
        <vt:i4>5</vt:i4>
      </vt:variant>
      <vt:variant>
        <vt:lpwstr>https://providers.dhhs.vic.gov.au/health-human-services-activity-search</vt:lpwstr>
      </vt:variant>
      <vt:variant>
        <vt:lpwstr/>
      </vt:variant>
      <vt:variant>
        <vt:i4>1441842</vt:i4>
      </vt:variant>
      <vt:variant>
        <vt:i4>647</vt:i4>
      </vt:variant>
      <vt:variant>
        <vt:i4>0</vt:i4>
      </vt:variant>
      <vt:variant>
        <vt:i4>5</vt:i4>
      </vt:variant>
      <vt:variant>
        <vt:lpwstr/>
      </vt:variant>
      <vt:variant>
        <vt:lpwstr>_Toc121134169</vt:lpwstr>
      </vt:variant>
      <vt:variant>
        <vt:i4>1441842</vt:i4>
      </vt:variant>
      <vt:variant>
        <vt:i4>641</vt:i4>
      </vt:variant>
      <vt:variant>
        <vt:i4>0</vt:i4>
      </vt:variant>
      <vt:variant>
        <vt:i4>5</vt:i4>
      </vt:variant>
      <vt:variant>
        <vt:lpwstr/>
      </vt:variant>
      <vt:variant>
        <vt:lpwstr>_Toc121134168</vt:lpwstr>
      </vt:variant>
      <vt:variant>
        <vt:i4>1441842</vt:i4>
      </vt:variant>
      <vt:variant>
        <vt:i4>635</vt:i4>
      </vt:variant>
      <vt:variant>
        <vt:i4>0</vt:i4>
      </vt:variant>
      <vt:variant>
        <vt:i4>5</vt:i4>
      </vt:variant>
      <vt:variant>
        <vt:lpwstr/>
      </vt:variant>
      <vt:variant>
        <vt:lpwstr>_Toc121134167</vt:lpwstr>
      </vt:variant>
      <vt:variant>
        <vt:i4>1441842</vt:i4>
      </vt:variant>
      <vt:variant>
        <vt:i4>629</vt:i4>
      </vt:variant>
      <vt:variant>
        <vt:i4>0</vt:i4>
      </vt:variant>
      <vt:variant>
        <vt:i4>5</vt:i4>
      </vt:variant>
      <vt:variant>
        <vt:lpwstr/>
      </vt:variant>
      <vt:variant>
        <vt:lpwstr>_Toc121134166</vt:lpwstr>
      </vt:variant>
      <vt:variant>
        <vt:i4>1441842</vt:i4>
      </vt:variant>
      <vt:variant>
        <vt:i4>623</vt:i4>
      </vt:variant>
      <vt:variant>
        <vt:i4>0</vt:i4>
      </vt:variant>
      <vt:variant>
        <vt:i4>5</vt:i4>
      </vt:variant>
      <vt:variant>
        <vt:lpwstr/>
      </vt:variant>
      <vt:variant>
        <vt:lpwstr>_Toc121134165</vt:lpwstr>
      </vt:variant>
      <vt:variant>
        <vt:i4>1441842</vt:i4>
      </vt:variant>
      <vt:variant>
        <vt:i4>617</vt:i4>
      </vt:variant>
      <vt:variant>
        <vt:i4>0</vt:i4>
      </vt:variant>
      <vt:variant>
        <vt:i4>5</vt:i4>
      </vt:variant>
      <vt:variant>
        <vt:lpwstr/>
      </vt:variant>
      <vt:variant>
        <vt:lpwstr>_Toc121134164</vt:lpwstr>
      </vt:variant>
      <vt:variant>
        <vt:i4>1441842</vt:i4>
      </vt:variant>
      <vt:variant>
        <vt:i4>611</vt:i4>
      </vt:variant>
      <vt:variant>
        <vt:i4>0</vt:i4>
      </vt:variant>
      <vt:variant>
        <vt:i4>5</vt:i4>
      </vt:variant>
      <vt:variant>
        <vt:lpwstr/>
      </vt:variant>
      <vt:variant>
        <vt:lpwstr>_Toc121134163</vt:lpwstr>
      </vt:variant>
      <vt:variant>
        <vt:i4>1441842</vt:i4>
      </vt:variant>
      <vt:variant>
        <vt:i4>605</vt:i4>
      </vt:variant>
      <vt:variant>
        <vt:i4>0</vt:i4>
      </vt:variant>
      <vt:variant>
        <vt:i4>5</vt:i4>
      </vt:variant>
      <vt:variant>
        <vt:lpwstr/>
      </vt:variant>
      <vt:variant>
        <vt:lpwstr>_Toc121134162</vt:lpwstr>
      </vt:variant>
      <vt:variant>
        <vt:i4>1441842</vt:i4>
      </vt:variant>
      <vt:variant>
        <vt:i4>599</vt:i4>
      </vt:variant>
      <vt:variant>
        <vt:i4>0</vt:i4>
      </vt:variant>
      <vt:variant>
        <vt:i4>5</vt:i4>
      </vt:variant>
      <vt:variant>
        <vt:lpwstr/>
      </vt:variant>
      <vt:variant>
        <vt:lpwstr>_Toc121134161</vt:lpwstr>
      </vt:variant>
      <vt:variant>
        <vt:i4>1441842</vt:i4>
      </vt:variant>
      <vt:variant>
        <vt:i4>593</vt:i4>
      </vt:variant>
      <vt:variant>
        <vt:i4>0</vt:i4>
      </vt:variant>
      <vt:variant>
        <vt:i4>5</vt:i4>
      </vt:variant>
      <vt:variant>
        <vt:lpwstr/>
      </vt:variant>
      <vt:variant>
        <vt:lpwstr>_Toc121134160</vt:lpwstr>
      </vt:variant>
      <vt:variant>
        <vt:i4>1376306</vt:i4>
      </vt:variant>
      <vt:variant>
        <vt:i4>587</vt:i4>
      </vt:variant>
      <vt:variant>
        <vt:i4>0</vt:i4>
      </vt:variant>
      <vt:variant>
        <vt:i4>5</vt:i4>
      </vt:variant>
      <vt:variant>
        <vt:lpwstr/>
      </vt:variant>
      <vt:variant>
        <vt:lpwstr>_Toc121134159</vt:lpwstr>
      </vt:variant>
      <vt:variant>
        <vt:i4>1376306</vt:i4>
      </vt:variant>
      <vt:variant>
        <vt:i4>581</vt:i4>
      </vt:variant>
      <vt:variant>
        <vt:i4>0</vt:i4>
      </vt:variant>
      <vt:variant>
        <vt:i4>5</vt:i4>
      </vt:variant>
      <vt:variant>
        <vt:lpwstr/>
      </vt:variant>
      <vt:variant>
        <vt:lpwstr>_Toc121134158</vt:lpwstr>
      </vt:variant>
      <vt:variant>
        <vt:i4>1376306</vt:i4>
      </vt:variant>
      <vt:variant>
        <vt:i4>575</vt:i4>
      </vt:variant>
      <vt:variant>
        <vt:i4>0</vt:i4>
      </vt:variant>
      <vt:variant>
        <vt:i4>5</vt:i4>
      </vt:variant>
      <vt:variant>
        <vt:lpwstr/>
      </vt:variant>
      <vt:variant>
        <vt:lpwstr>_Toc121134157</vt:lpwstr>
      </vt:variant>
      <vt:variant>
        <vt:i4>1376306</vt:i4>
      </vt:variant>
      <vt:variant>
        <vt:i4>569</vt:i4>
      </vt:variant>
      <vt:variant>
        <vt:i4>0</vt:i4>
      </vt:variant>
      <vt:variant>
        <vt:i4>5</vt:i4>
      </vt:variant>
      <vt:variant>
        <vt:lpwstr/>
      </vt:variant>
      <vt:variant>
        <vt:lpwstr>_Toc121134156</vt:lpwstr>
      </vt:variant>
      <vt:variant>
        <vt:i4>1376306</vt:i4>
      </vt:variant>
      <vt:variant>
        <vt:i4>563</vt:i4>
      </vt:variant>
      <vt:variant>
        <vt:i4>0</vt:i4>
      </vt:variant>
      <vt:variant>
        <vt:i4>5</vt:i4>
      </vt:variant>
      <vt:variant>
        <vt:lpwstr/>
      </vt:variant>
      <vt:variant>
        <vt:lpwstr>_Toc121134155</vt:lpwstr>
      </vt:variant>
      <vt:variant>
        <vt:i4>1376306</vt:i4>
      </vt:variant>
      <vt:variant>
        <vt:i4>557</vt:i4>
      </vt:variant>
      <vt:variant>
        <vt:i4>0</vt:i4>
      </vt:variant>
      <vt:variant>
        <vt:i4>5</vt:i4>
      </vt:variant>
      <vt:variant>
        <vt:lpwstr/>
      </vt:variant>
      <vt:variant>
        <vt:lpwstr>_Toc121134154</vt:lpwstr>
      </vt:variant>
      <vt:variant>
        <vt:i4>1376306</vt:i4>
      </vt:variant>
      <vt:variant>
        <vt:i4>551</vt:i4>
      </vt:variant>
      <vt:variant>
        <vt:i4>0</vt:i4>
      </vt:variant>
      <vt:variant>
        <vt:i4>5</vt:i4>
      </vt:variant>
      <vt:variant>
        <vt:lpwstr/>
      </vt:variant>
      <vt:variant>
        <vt:lpwstr>_Toc121134153</vt:lpwstr>
      </vt:variant>
      <vt:variant>
        <vt:i4>1376306</vt:i4>
      </vt:variant>
      <vt:variant>
        <vt:i4>545</vt:i4>
      </vt:variant>
      <vt:variant>
        <vt:i4>0</vt:i4>
      </vt:variant>
      <vt:variant>
        <vt:i4>5</vt:i4>
      </vt:variant>
      <vt:variant>
        <vt:lpwstr/>
      </vt:variant>
      <vt:variant>
        <vt:lpwstr>_Toc121134152</vt:lpwstr>
      </vt:variant>
      <vt:variant>
        <vt:i4>1376306</vt:i4>
      </vt:variant>
      <vt:variant>
        <vt:i4>539</vt:i4>
      </vt:variant>
      <vt:variant>
        <vt:i4>0</vt:i4>
      </vt:variant>
      <vt:variant>
        <vt:i4>5</vt:i4>
      </vt:variant>
      <vt:variant>
        <vt:lpwstr/>
      </vt:variant>
      <vt:variant>
        <vt:lpwstr>_Toc121134151</vt:lpwstr>
      </vt:variant>
      <vt:variant>
        <vt:i4>1376306</vt:i4>
      </vt:variant>
      <vt:variant>
        <vt:i4>533</vt:i4>
      </vt:variant>
      <vt:variant>
        <vt:i4>0</vt:i4>
      </vt:variant>
      <vt:variant>
        <vt:i4>5</vt:i4>
      </vt:variant>
      <vt:variant>
        <vt:lpwstr/>
      </vt:variant>
      <vt:variant>
        <vt:lpwstr>_Toc121134150</vt:lpwstr>
      </vt:variant>
      <vt:variant>
        <vt:i4>1310770</vt:i4>
      </vt:variant>
      <vt:variant>
        <vt:i4>527</vt:i4>
      </vt:variant>
      <vt:variant>
        <vt:i4>0</vt:i4>
      </vt:variant>
      <vt:variant>
        <vt:i4>5</vt:i4>
      </vt:variant>
      <vt:variant>
        <vt:lpwstr/>
      </vt:variant>
      <vt:variant>
        <vt:lpwstr>_Toc121134149</vt:lpwstr>
      </vt:variant>
      <vt:variant>
        <vt:i4>1310770</vt:i4>
      </vt:variant>
      <vt:variant>
        <vt:i4>521</vt:i4>
      </vt:variant>
      <vt:variant>
        <vt:i4>0</vt:i4>
      </vt:variant>
      <vt:variant>
        <vt:i4>5</vt:i4>
      </vt:variant>
      <vt:variant>
        <vt:lpwstr/>
      </vt:variant>
      <vt:variant>
        <vt:lpwstr>_Toc121134148</vt:lpwstr>
      </vt:variant>
      <vt:variant>
        <vt:i4>1310770</vt:i4>
      </vt:variant>
      <vt:variant>
        <vt:i4>515</vt:i4>
      </vt:variant>
      <vt:variant>
        <vt:i4>0</vt:i4>
      </vt:variant>
      <vt:variant>
        <vt:i4>5</vt:i4>
      </vt:variant>
      <vt:variant>
        <vt:lpwstr/>
      </vt:variant>
      <vt:variant>
        <vt:lpwstr>_Toc121134147</vt:lpwstr>
      </vt:variant>
      <vt:variant>
        <vt:i4>1310770</vt:i4>
      </vt:variant>
      <vt:variant>
        <vt:i4>509</vt:i4>
      </vt:variant>
      <vt:variant>
        <vt:i4>0</vt:i4>
      </vt:variant>
      <vt:variant>
        <vt:i4>5</vt:i4>
      </vt:variant>
      <vt:variant>
        <vt:lpwstr/>
      </vt:variant>
      <vt:variant>
        <vt:lpwstr>_Toc121134146</vt:lpwstr>
      </vt:variant>
      <vt:variant>
        <vt:i4>1310770</vt:i4>
      </vt:variant>
      <vt:variant>
        <vt:i4>503</vt:i4>
      </vt:variant>
      <vt:variant>
        <vt:i4>0</vt:i4>
      </vt:variant>
      <vt:variant>
        <vt:i4>5</vt:i4>
      </vt:variant>
      <vt:variant>
        <vt:lpwstr/>
      </vt:variant>
      <vt:variant>
        <vt:lpwstr>_Toc121134145</vt:lpwstr>
      </vt:variant>
      <vt:variant>
        <vt:i4>1310770</vt:i4>
      </vt:variant>
      <vt:variant>
        <vt:i4>497</vt:i4>
      </vt:variant>
      <vt:variant>
        <vt:i4>0</vt:i4>
      </vt:variant>
      <vt:variant>
        <vt:i4>5</vt:i4>
      </vt:variant>
      <vt:variant>
        <vt:lpwstr/>
      </vt:variant>
      <vt:variant>
        <vt:lpwstr>_Toc121134144</vt:lpwstr>
      </vt:variant>
      <vt:variant>
        <vt:i4>1310770</vt:i4>
      </vt:variant>
      <vt:variant>
        <vt:i4>491</vt:i4>
      </vt:variant>
      <vt:variant>
        <vt:i4>0</vt:i4>
      </vt:variant>
      <vt:variant>
        <vt:i4>5</vt:i4>
      </vt:variant>
      <vt:variant>
        <vt:lpwstr/>
      </vt:variant>
      <vt:variant>
        <vt:lpwstr>_Toc121134143</vt:lpwstr>
      </vt:variant>
      <vt:variant>
        <vt:i4>1310770</vt:i4>
      </vt:variant>
      <vt:variant>
        <vt:i4>485</vt:i4>
      </vt:variant>
      <vt:variant>
        <vt:i4>0</vt:i4>
      </vt:variant>
      <vt:variant>
        <vt:i4>5</vt:i4>
      </vt:variant>
      <vt:variant>
        <vt:lpwstr/>
      </vt:variant>
      <vt:variant>
        <vt:lpwstr>_Toc121134142</vt:lpwstr>
      </vt:variant>
      <vt:variant>
        <vt:i4>1310770</vt:i4>
      </vt:variant>
      <vt:variant>
        <vt:i4>479</vt:i4>
      </vt:variant>
      <vt:variant>
        <vt:i4>0</vt:i4>
      </vt:variant>
      <vt:variant>
        <vt:i4>5</vt:i4>
      </vt:variant>
      <vt:variant>
        <vt:lpwstr/>
      </vt:variant>
      <vt:variant>
        <vt:lpwstr>_Toc121134141</vt:lpwstr>
      </vt:variant>
      <vt:variant>
        <vt:i4>1310770</vt:i4>
      </vt:variant>
      <vt:variant>
        <vt:i4>473</vt:i4>
      </vt:variant>
      <vt:variant>
        <vt:i4>0</vt:i4>
      </vt:variant>
      <vt:variant>
        <vt:i4>5</vt:i4>
      </vt:variant>
      <vt:variant>
        <vt:lpwstr/>
      </vt:variant>
      <vt:variant>
        <vt:lpwstr>_Toc121134140</vt:lpwstr>
      </vt:variant>
      <vt:variant>
        <vt:i4>1245234</vt:i4>
      </vt:variant>
      <vt:variant>
        <vt:i4>467</vt:i4>
      </vt:variant>
      <vt:variant>
        <vt:i4>0</vt:i4>
      </vt:variant>
      <vt:variant>
        <vt:i4>5</vt:i4>
      </vt:variant>
      <vt:variant>
        <vt:lpwstr/>
      </vt:variant>
      <vt:variant>
        <vt:lpwstr>_Toc121134139</vt:lpwstr>
      </vt:variant>
      <vt:variant>
        <vt:i4>1245234</vt:i4>
      </vt:variant>
      <vt:variant>
        <vt:i4>461</vt:i4>
      </vt:variant>
      <vt:variant>
        <vt:i4>0</vt:i4>
      </vt:variant>
      <vt:variant>
        <vt:i4>5</vt:i4>
      </vt:variant>
      <vt:variant>
        <vt:lpwstr/>
      </vt:variant>
      <vt:variant>
        <vt:lpwstr>_Toc121134138</vt:lpwstr>
      </vt:variant>
      <vt:variant>
        <vt:i4>1245234</vt:i4>
      </vt:variant>
      <vt:variant>
        <vt:i4>455</vt:i4>
      </vt:variant>
      <vt:variant>
        <vt:i4>0</vt:i4>
      </vt:variant>
      <vt:variant>
        <vt:i4>5</vt:i4>
      </vt:variant>
      <vt:variant>
        <vt:lpwstr/>
      </vt:variant>
      <vt:variant>
        <vt:lpwstr>_Toc121134137</vt:lpwstr>
      </vt:variant>
      <vt:variant>
        <vt:i4>1245234</vt:i4>
      </vt:variant>
      <vt:variant>
        <vt:i4>449</vt:i4>
      </vt:variant>
      <vt:variant>
        <vt:i4>0</vt:i4>
      </vt:variant>
      <vt:variant>
        <vt:i4>5</vt:i4>
      </vt:variant>
      <vt:variant>
        <vt:lpwstr/>
      </vt:variant>
      <vt:variant>
        <vt:lpwstr>_Toc121134136</vt:lpwstr>
      </vt:variant>
      <vt:variant>
        <vt:i4>1245234</vt:i4>
      </vt:variant>
      <vt:variant>
        <vt:i4>443</vt:i4>
      </vt:variant>
      <vt:variant>
        <vt:i4>0</vt:i4>
      </vt:variant>
      <vt:variant>
        <vt:i4>5</vt:i4>
      </vt:variant>
      <vt:variant>
        <vt:lpwstr/>
      </vt:variant>
      <vt:variant>
        <vt:lpwstr>_Toc121134135</vt:lpwstr>
      </vt:variant>
      <vt:variant>
        <vt:i4>1245234</vt:i4>
      </vt:variant>
      <vt:variant>
        <vt:i4>437</vt:i4>
      </vt:variant>
      <vt:variant>
        <vt:i4>0</vt:i4>
      </vt:variant>
      <vt:variant>
        <vt:i4>5</vt:i4>
      </vt:variant>
      <vt:variant>
        <vt:lpwstr/>
      </vt:variant>
      <vt:variant>
        <vt:lpwstr>_Toc121134134</vt:lpwstr>
      </vt:variant>
      <vt:variant>
        <vt:i4>1245234</vt:i4>
      </vt:variant>
      <vt:variant>
        <vt:i4>431</vt:i4>
      </vt:variant>
      <vt:variant>
        <vt:i4>0</vt:i4>
      </vt:variant>
      <vt:variant>
        <vt:i4>5</vt:i4>
      </vt:variant>
      <vt:variant>
        <vt:lpwstr/>
      </vt:variant>
      <vt:variant>
        <vt:lpwstr>_Toc121134133</vt:lpwstr>
      </vt:variant>
      <vt:variant>
        <vt:i4>1245234</vt:i4>
      </vt:variant>
      <vt:variant>
        <vt:i4>425</vt:i4>
      </vt:variant>
      <vt:variant>
        <vt:i4>0</vt:i4>
      </vt:variant>
      <vt:variant>
        <vt:i4>5</vt:i4>
      </vt:variant>
      <vt:variant>
        <vt:lpwstr/>
      </vt:variant>
      <vt:variant>
        <vt:lpwstr>_Toc121134132</vt:lpwstr>
      </vt:variant>
      <vt:variant>
        <vt:i4>1245234</vt:i4>
      </vt:variant>
      <vt:variant>
        <vt:i4>419</vt:i4>
      </vt:variant>
      <vt:variant>
        <vt:i4>0</vt:i4>
      </vt:variant>
      <vt:variant>
        <vt:i4>5</vt:i4>
      </vt:variant>
      <vt:variant>
        <vt:lpwstr/>
      </vt:variant>
      <vt:variant>
        <vt:lpwstr>_Toc121134131</vt:lpwstr>
      </vt:variant>
      <vt:variant>
        <vt:i4>1245234</vt:i4>
      </vt:variant>
      <vt:variant>
        <vt:i4>413</vt:i4>
      </vt:variant>
      <vt:variant>
        <vt:i4>0</vt:i4>
      </vt:variant>
      <vt:variant>
        <vt:i4>5</vt:i4>
      </vt:variant>
      <vt:variant>
        <vt:lpwstr/>
      </vt:variant>
      <vt:variant>
        <vt:lpwstr>_Toc121134130</vt:lpwstr>
      </vt:variant>
      <vt:variant>
        <vt:i4>1179698</vt:i4>
      </vt:variant>
      <vt:variant>
        <vt:i4>407</vt:i4>
      </vt:variant>
      <vt:variant>
        <vt:i4>0</vt:i4>
      </vt:variant>
      <vt:variant>
        <vt:i4>5</vt:i4>
      </vt:variant>
      <vt:variant>
        <vt:lpwstr/>
      </vt:variant>
      <vt:variant>
        <vt:lpwstr>_Toc121134129</vt:lpwstr>
      </vt:variant>
      <vt:variant>
        <vt:i4>1179698</vt:i4>
      </vt:variant>
      <vt:variant>
        <vt:i4>401</vt:i4>
      </vt:variant>
      <vt:variant>
        <vt:i4>0</vt:i4>
      </vt:variant>
      <vt:variant>
        <vt:i4>5</vt:i4>
      </vt:variant>
      <vt:variant>
        <vt:lpwstr/>
      </vt:variant>
      <vt:variant>
        <vt:lpwstr>_Toc121134128</vt:lpwstr>
      </vt:variant>
      <vt:variant>
        <vt:i4>1179698</vt:i4>
      </vt:variant>
      <vt:variant>
        <vt:i4>395</vt:i4>
      </vt:variant>
      <vt:variant>
        <vt:i4>0</vt:i4>
      </vt:variant>
      <vt:variant>
        <vt:i4>5</vt:i4>
      </vt:variant>
      <vt:variant>
        <vt:lpwstr/>
      </vt:variant>
      <vt:variant>
        <vt:lpwstr>_Toc121134127</vt:lpwstr>
      </vt:variant>
      <vt:variant>
        <vt:i4>1179698</vt:i4>
      </vt:variant>
      <vt:variant>
        <vt:i4>389</vt:i4>
      </vt:variant>
      <vt:variant>
        <vt:i4>0</vt:i4>
      </vt:variant>
      <vt:variant>
        <vt:i4>5</vt:i4>
      </vt:variant>
      <vt:variant>
        <vt:lpwstr/>
      </vt:variant>
      <vt:variant>
        <vt:lpwstr>_Toc121134126</vt:lpwstr>
      </vt:variant>
      <vt:variant>
        <vt:i4>1179698</vt:i4>
      </vt:variant>
      <vt:variant>
        <vt:i4>383</vt:i4>
      </vt:variant>
      <vt:variant>
        <vt:i4>0</vt:i4>
      </vt:variant>
      <vt:variant>
        <vt:i4>5</vt:i4>
      </vt:variant>
      <vt:variant>
        <vt:lpwstr/>
      </vt:variant>
      <vt:variant>
        <vt:lpwstr>_Toc121134125</vt:lpwstr>
      </vt:variant>
      <vt:variant>
        <vt:i4>1179698</vt:i4>
      </vt:variant>
      <vt:variant>
        <vt:i4>377</vt:i4>
      </vt:variant>
      <vt:variant>
        <vt:i4>0</vt:i4>
      </vt:variant>
      <vt:variant>
        <vt:i4>5</vt:i4>
      </vt:variant>
      <vt:variant>
        <vt:lpwstr/>
      </vt:variant>
      <vt:variant>
        <vt:lpwstr>_Toc121134124</vt:lpwstr>
      </vt:variant>
      <vt:variant>
        <vt:i4>1179698</vt:i4>
      </vt:variant>
      <vt:variant>
        <vt:i4>371</vt:i4>
      </vt:variant>
      <vt:variant>
        <vt:i4>0</vt:i4>
      </vt:variant>
      <vt:variant>
        <vt:i4>5</vt:i4>
      </vt:variant>
      <vt:variant>
        <vt:lpwstr/>
      </vt:variant>
      <vt:variant>
        <vt:lpwstr>_Toc121134123</vt:lpwstr>
      </vt:variant>
      <vt:variant>
        <vt:i4>1179698</vt:i4>
      </vt:variant>
      <vt:variant>
        <vt:i4>365</vt:i4>
      </vt:variant>
      <vt:variant>
        <vt:i4>0</vt:i4>
      </vt:variant>
      <vt:variant>
        <vt:i4>5</vt:i4>
      </vt:variant>
      <vt:variant>
        <vt:lpwstr/>
      </vt:variant>
      <vt:variant>
        <vt:lpwstr>_Toc121134122</vt:lpwstr>
      </vt:variant>
      <vt:variant>
        <vt:i4>1179698</vt:i4>
      </vt:variant>
      <vt:variant>
        <vt:i4>359</vt:i4>
      </vt:variant>
      <vt:variant>
        <vt:i4>0</vt:i4>
      </vt:variant>
      <vt:variant>
        <vt:i4>5</vt:i4>
      </vt:variant>
      <vt:variant>
        <vt:lpwstr/>
      </vt:variant>
      <vt:variant>
        <vt:lpwstr>_Toc121134121</vt:lpwstr>
      </vt:variant>
      <vt:variant>
        <vt:i4>1179698</vt:i4>
      </vt:variant>
      <vt:variant>
        <vt:i4>353</vt:i4>
      </vt:variant>
      <vt:variant>
        <vt:i4>0</vt:i4>
      </vt:variant>
      <vt:variant>
        <vt:i4>5</vt:i4>
      </vt:variant>
      <vt:variant>
        <vt:lpwstr/>
      </vt:variant>
      <vt:variant>
        <vt:lpwstr>_Toc121134120</vt:lpwstr>
      </vt:variant>
      <vt:variant>
        <vt:i4>1114162</vt:i4>
      </vt:variant>
      <vt:variant>
        <vt:i4>347</vt:i4>
      </vt:variant>
      <vt:variant>
        <vt:i4>0</vt:i4>
      </vt:variant>
      <vt:variant>
        <vt:i4>5</vt:i4>
      </vt:variant>
      <vt:variant>
        <vt:lpwstr/>
      </vt:variant>
      <vt:variant>
        <vt:lpwstr>_Toc121134119</vt:lpwstr>
      </vt:variant>
      <vt:variant>
        <vt:i4>1114162</vt:i4>
      </vt:variant>
      <vt:variant>
        <vt:i4>341</vt:i4>
      </vt:variant>
      <vt:variant>
        <vt:i4>0</vt:i4>
      </vt:variant>
      <vt:variant>
        <vt:i4>5</vt:i4>
      </vt:variant>
      <vt:variant>
        <vt:lpwstr/>
      </vt:variant>
      <vt:variant>
        <vt:lpwstr>_Toc121134118</vt:lpwstr>
      </vt:variant>
      <vt:variant>
        <vt:i4>1114162</vt:i4>
      </vt:variant>
      <vt:variant>
        <vt:i4>335</vt:i4>
      </vt:variant>
      <vt:variant>
        <vt:i4>0</vt:i4>
      </vt:variant>
      <vt:variant>
        <vt:i4>5</vt:i4>
      </vt:variant>
      <vt:variant>
        <vt:lpwstr/>
      </vt:variant>
      <vt:variant>
        <vt:lpwstr>_Toc121134117</vt:lpwstr>
      </vt:variant>
      <vt:variant>
        <vt:i4>1114162</vt:i4>
      </vt:variant>
      <vt:variant>
        <vt:i4>329</vt:i4>
      </vt:variant>
      <vt:variant>
        <vt:i4>0</vt:i4>
      </vt:variant>
      <vt:variant>
        <vt:i4>5</vt:i4>
      </vt:variant>
      <vt:variant>
        <vt:lpwstr/>
      </vt:variant>
      <vt:variant>
        <vt:lpwstr>_Toc121134116</vt:lpwstr>
      </vt:variant>
      <vt:variant>
        <vt:i4>1114162</vt:i4>
      </vt:variant>
      <vt:variant>
        <vt:i4>323</vt:i4>
      </vt:variant>
      <vt:variant>
        <vt:i4>0</vt:i4>
      </vt:variant>
      <vt:variant>
        <vt:i4>5</vt:i4>
      </vt:variant>
      <vt:variant>
        <vt:lpwstr/>
      </vt:variant>
      <vt:variant>
        <vt:lpwstr>_Toc121134115</vt:lpwstr>
      </vt:variant>
      <vt:variant>
        <vt:i4>1114162</vt:i4>
      </vt:variant>
      <vt:variant>
        <vt:i4>317</vt:i4>
      </vt:variant>
      <vt:variant>
        <vt:i4>0</vt:i4>
      </vt:variant>
      <vt:variant>
        <vt:i4>5</vt:i4>
      </vt:variant>
      <vt:variant>
        <vt:lpwstr/>
      </vt:variant>
      <vt:variant>
        <vt:lpwstr>_Toc121134114</vt:lpwstr>
      </vt:variant>
      <vt:variant>
        <vt:i4>1114162</vt:i4>
      </vt:variant>
      <vt:variant>
        <vt:i4>311</vt:i4>
      </vt:variant>
      <vt:variant>
        <vt:i4>0</vt:i4>
      </vt:variant>
      <vt:variant>
        <vt:i4>5</vt:i4>
      </vt:variant>
      <vt:variant>
        <vt:lpwstr/>
      </vt:variant>
      <vt:variant>
        <vt:lpwstr>_Toc121134113</vt:lpwstr>
      </vt:variant>
      <vt:variant>
        <vt:i4>1114162</vt:i4>
      </vt:variant>
      <vt:variant>
        <vt:i4>305</vt:i4>
      </vt:variant>
      <vt:variant>
        <vt:i4>0</vt:i4>
      </vt:variant>
      <vt:variant>
        <vt:i4>5</vt:i4>
      </vt:variant>
      <vt:variant>
        <vt:lpwstr/>
      </vt:variant>
      <vt:variant>
        <vt:lpwstr>_Toc121134112</vt:lpwstr>
      </vt:variant>
      <vt:variant>
        <vt:i4>1114162</vt:i4>
      </vt:variant>
      <vt:variant>
        <vt:i4>299</vt:i4>
      </vt:variant>
      <vt:variant>
        <vt:i4>0</vt:i4>
      </vt:variant>
      <vt:variant>
        <vt:i4>5</vt:i4>
      </vt:variant>
      <vt:variant>
        <vt:lpwstr/>
      </vt:variant>
      <vt:variant>
        <vt:lpwstr>_Toc121134111</vt:lpwstr>
      </vt:variant>
      <vt:variant>
        <vt:i4>1114162</vt:i4>
      </vt:variant>
      <vt:variant>
        <vt:i4>293</vt:i4>
      </vt:variant>
      <vt:variant>
        <vt:i4>0</vt:i4>
      </vt:variant>
      <vt:variant>
        <vt:i4>5</vt:i4>
      </vt:variant>
      <vt:variant>
        <vt:lpwstr/>
      </vt:variant>
      <vt:variant>
        <vt:lpwstr>_Toc121134110</vt:lpwstr>
      </vt:variant>
      <vt:variant>
        <vt:i4>1048626</vt:i4>
      </vt:variant>
      <vt:variant>
        <vt:i4>287</vt:i4>
      </vt:variant>
      <vt:variant>
        <vt:i4>0</vt:i4>
      </vt:variant>
      <vt:variant>
        <vt:i4>5</vt:i4>
      </vt:variant>
      <vt:variant>
        <vt:lpwstr/>
      </vt:variant>
      <vt:variant>
        <vt:lpwstr>_Toc121134109</vt:lpwstr>
      </vt:variant>
      <vt:variant>
        <vt:i4>1048626</vt:i4>
      </vt:variant>
      <vt:variant>
        <vt:i4>281</vt:i4>
      </vt:variant>
      <vt:variant>
        <vt:i4>0</vt:i4>
      </vt:variant>
      <vt:variant>
        <vt:i4>5</vt:i4>
      </vt:variant>
      <vt:variant>
        <vt:lpwstr/>
      </vt:variant>
      <vt:variant>
        <vt:lpwstr>_Toc121134108</vt:lpwstr>
      </vt:variant>
      <vt:variant>
        <vt:i4>1048626</vt:i4>
      </vt:variant>
      <vt:variant>
        <vt:i4>275</vt:i4>
      </vt:variant>
      <vt:variant>
        <vt:i4>0</vt:i4>
      </vt:variant>
      <vt:variant>
        <vt:i4>5</vt:i4>
      </vt:variant>
      <vt:variant>
        <vt:lpwstr/>
      </vt:variant>
      <vt:variant>
        <vt:lpwstr>_Toc121134107</vt:lpwstr>
      </vt:variant>
      <vt:variant>
        <vt:i4>1048626</vt:i4>
      </vt:variant>
      <vt:variant>
        <vt:i4>269</vt:i4>
      </vt:variant>
      <vt:variant>
        <vt:i4>0</vt:i4>
      </vt:variant>
      <vt:variant>
        <vt:i4>5</vt:i4>
      </vt:variant>
      <vt:variant>
        <vt:lpwstr/>
      </vt:variant>
      <vt:variant>
        <vt:lpwstr>_Toc121134106</vt:lpwstr>
      </vt:variant>
      <vt:variant>
        <vt:i4>1048626</vt:i4>
      </vt:variant>
      <vt:variant>
        <vt:i4>263</vt:i4>
      </vt:variant>
      <vt:variant>
        <vt:i4>0</vt:i4>
      </vt:variant>
      <vt:variant>
        <vt:i4>5</vt:i4>
      </vt:variant>
      <vt:variant>
        <vt:lpwstr/>
      </vt:variant>
      <vt:variant>
        <vt:lpwstr>_Toc121134105</vt:lpwstr>
      </vt:variant>
      <vt:variant>
        <vt:i4>1048626</vt:i4>
      </vt:variant>
      <vt:variant>
        <vt:i4>257</vt:i4>
      </vt:variant>
      <vt:variant>
        <vt:i4>0</vt:i4>
      </vt:variant>
      <vt:variant>
        <vt:i4>5</vt:i4>
      </vt:variant>
      <vt:variant>
        <vt:lpwstr/>
      </vt:variant>
      <vt:variant>
        <vt:lpwstr>_Toc121134104</vt:lpwstr>
      </vt:variant>
      <vt:variant>
        <vt:i4>1048626</vt:i4>
      </vt:variant>
      <vt:variant>
        <vt:i4>251</vt:i4>
      </vt:variant>
      <vt:variant>
        <vt:i4>0</vt:i4>
      </vt:variant>
      <vt:variant>
        <vt:i4>5</vt:i4>
      </vt:variant>
      <vt:variant>
        <vt:lpwstr/>
      </vt:variant>
      <vt:variant>
        <vt:lpwstr>_Toc121134103</vt:lpwstr>
      </vt:variant>
      <vt:variant>
        <vt:i4>1048626</vt:i4>
      </vt:variant>
      <vt:variant>
        <vt:i4>245</vt:i4>
      </vt:variant>
      <vt:variant>
        <vt:i4>0</vt:i4>
      </vt:variant>
      <vt:variant>
        <vt:i4>5</vt:i4>
      </vt:variant>
      <vt:variant>
        <vt:lpwstr/>
      </vt:variant>
      <vt:variant>
        <vt:lpwstr>_Toc121134102</vt:lpwstr>
      </vt:variant>
      <vt:variant>
        <vt:i4>1048626</vt:i4>
      </vt:variant>
      <vt:variant>
        <vt:i4>239</vt:i4>
      </vt:variant>
      <vt:variant>
        <vt:i4>0</vt:i4>
      </vt:variant>
      <vt:variant>
        <vt:i4>5</vt:i4>
      </vt:variant>
      <vt:variant>
        <vt:lpwstr/>
      </vt:variant>
      <vt:variant>
        <vt:lpwstr>_Toc121134101</vt:lpwstr>
      </vt:variant>
      <vt:variant>
        <vt:i4>1048626</vt:i4>
      </vt:variant>
      <vt:variant>
        <vt:i4>233</vt:i4>
      </vt:variant>
      <vt:variant>
        <vt:i4>0</vt:i4>
      </vt:variant>
      <vt:variant>
        <vt:i4>5</vt:i4>
      </vt:variant>
      <vt:variant>
        <vt:lpwstr/>
      </vt:variant>
      <vt:variant>
        <vt:lpwstr>_Toc121134100</vt:lpwstr>
      </vt:variant>
      <vt:variant>
        <vt:i4>1638451</vt:i4>
      </vt:variant>
      <vt:variant>
        <vt:i4>227</vt:i4>
      </vt:variant>
      <vt:variant>
        <vt:i4>0</vt:i4>
      </vt:variant>
      <vt:variant>
        <vt:i4>5</vt:i4>
      </vt:variant>
      <vt:variant>
        <vt:lpwstr/>
      </vt:variant>
      <vt:variant>
        <vt:lpwstr>_Toc121134099</vt:lpwstr>
      </vt:variant>
      <vt:variant>
        <vt:i4>1638451</vt:i4>
      </vt:variant>
      <vt:variant>
        <vt:i4>221</vt:i4>
      </vt:variant>
      <vt:variant>
        <vt:i4>0</vt:i4>
      </vt:variant>
      <vt:variant>
        <vt:i4>5</vt:i4>
      </vt:variant>
      <vt:variant>
        <vt:lpwstr/>
      </vt:variant>
      <vt:variant>
        <vt:lpwstr>_Toc121134098</vt:lpwstr>
      </vt:variant>
      <vt:variant>
        <vt:i4>1638451</vt:i4>
      </vt:variant>
      <vt:variant>
        <vt:i4>215</vt:i4>
      </vt:variant>
      <vt:variant>
        <vt:i4>0</vt:i4>
      </vt:variant>
      <vt:variant>
        <vt:i4>5</vt:i4>
      </vt:variant>
      <vt:variant>
        <vt:lpwstr/>
      </vt:variant>
      <vt:variant>
        <vt:lpwstr>_Toc121134097</vt:lpwstr>
      </vt:variant>
      <vt:variant>
        <vt:i4>1638451</vt:i4>
      </vt:variant>
      <vt:variant>
        <vt:i4>209</vt:i4>
      </vt:variant>
      <vt:variant>
        <vt:i4>0</vt:i4>
      </vt:variant>
      <vt:variant>
        <vt:i4>5</vt:i4>
      </vt:variant>
      <vt:variant>
        <vt:lpwstr/>
      </vt:variant>
      <vt:variant>
        <vt:lpwstr>_Toc121134096</vt:lpwstr>
      </vt:variant>
      <vt:variant>
        <vt:i4>1638451</vt:i4>
      </vt:variant>
      <vt:variant>
        <vt:i4>203</vt:i4>
      </vt:variant>
      <vt:variant>
        <vt:i4>0</vt:i4>
      </vt:variant>
      <vt:variant>
        <vt:i4>5</vt:i4>
      </vt:variant>
      <vt:variant>
        <vt:lpwstr/>
      </vt:variant>
      <vt:variant>
        <vt:lpwstr>_Toc121134095</vt:lpwstr>
      </vt:variant>
      <vt:variant>
        <vt:i4>1638451</vt:i4>
      </vt:variant>
      <vt:variant>
        <vt:i4>197</vt:i4>
      </vt:variant>
      <vt:variant>
        <vt:i4>0</vt:i4>
      </vt:variant>
      <vt:variant>
        <vt:i4>5</vt:i4>
      </vt:variant>
      <vt:variant>
        <vt:lpwstr/>
      </vt:variant>
      <vt:variant>
        <vt:lpwstr>_Toc121134094</vt:lpwstr>
      </vt:variant>
      <vt:variant>
        <vt:i4>1638451</vt:i4>
      </vt:variant>
      <vt:variant>
        <vt:i4>191</vt:i4>
      </vt:variant>
      <vt:variant>
        <vt:i4>0</vt:i4>
      </vt:variant>
      <vt:variant>
        <vt:i4>5</vt:i4>
      </vt:variant>
      <vt:variant>
        <vt:lpwstr/>
      </vt:variant>
      <vt:variant>
        <vt:lpwstr>_Toc121134093</vt:lpwstr>
      </vt:variant>
      <vt:variant>
        <vt:i4>1638451</vt:i4>
      </vt:variant>
      <vt:variant>
        <vt:i4>185</vt:i4>
      </vt:variant>
      <vt:variant>
        <vt:i4>0</vt:i4>
      </vt:variant>
      <vt:variant>
        <vt:i4>5</vt:i4>
      </vt:variant>
      <vt:variant>
        <vt:lpwstr/>
      </vt:variant>
      <vt:variant>
        <vt:lpwstr>_Toc121134092</vt:lpwstr>
      </vt:variant>
      <vt:variant>
        <vt:i4>1638451</vt:i4>
      </vt:variant>
      <vt:variant>
        <vt:i4>179</vt:i4>
      </vt:variant>
      <vt:variant>
        <vt:i4>0</vt:i4>
      </vt:variant>
      <vt:variant>
        <vt:i4>5</vt:i4>
      </vt:variant>
      <vt:variant>
        <vt:lpwstr/>
      </vt:variant>
      <vt:variant>
        <vt:lpwstr>_Toc121134091</vt:lpwstr>
      </vt:variant>
      <vt:variant>
        <vt:i4>1638451</vt:i4>
      </vt:variant>
      <vt:variant>
        <vt:i4>173</vt:i4>
      </vt:variant>
      <vt:variant>
        <vt:i4>0</vt:i4>
      </vt:variant>
      <vt:variant>
        <vt:i4>5</vt:i4>
      </vt:variant>
      <vt:variant>
        <vt:lpwstr/>
      </vt:variant>
      <vt:variant>
        <vt:lpwstr>_Toc121134090</vt:lpwstr>
      </vt:variant>
      <vt:variant>
        <vt:i4>1572915</vt:i4>
      </vt:variant>
      <vt:variant>
        <vt:i4>167</vt:i4>
      </vt:variant>
      <vt:variant>
        <vt:i4>0</vt:i4>
      </vt:variant>
      <vt:variant>
        <vt:i4>5</vt:i4>
      </vt:variant>
      <vt:variant>
        <vt:lpwstr/>
      </vt:variant>
      <vt:variant>
        <vt:lpwstr>_Toc121134088</vt:lpwstr>
      </vt:variant>
      <vt:variant>
        <vt:i4>1572915</vt:i4>
      </vt:variant>
      <vt:variant>
        <vt:i4>161</vt:i4>
      </vt:variant>
      <vt:variant>
        <vt:i4>0</vt:i4>
      </vt:variant>
      <vt:variant>
        <vt:i4>5</vt:i4>
      </vt:variant>
      <vt:variant>
        <vt:lpwstr/>
      </vt:variant>
      <vt:variant>
        <vt:lpwstr>_Toc121134087</vt:lpwstr>
      </vt:variant>
      <vt:variant>
        <vt:i4>1572915</vt:i4>
      </vt:variant>
      <vt:variant>
        <vt:i4>155</vt:i4>
      </vt:variant>
      <vt:variant>
        <vt:i4>0</vt:i4>
      </vt:variant>
      <vt:variant>
        <vt:i4>5</vt:i4>
      </vt:variant>
      <vt:variant>
        <vt:lpwstr/>
      </vt:variant>
      <vt:variant>
        <vt:lpwstr>_Toc121134086</vt:lpwstr>
      </vt:variant>
      <vt:variant>
        <vt:i4>1572915</vt:i4>
      </vt:variant>
      <vt:variant>
        <vt:i4>149</vt:i4>
      </vt:variant>
      <vt:variant>
        <vt:i4>0</vt:i4>
      </vt:variant>
      <vt:variant>
        <vt:i4>5</vt:i4>
      </vt:variant>
      <vt:variant>
        <vt:lpwstr/>
      </vt:variant>
      <vt:variant>
        <vt:lpwstr>_Toc121134085</vt:lpwstr>
      </vt:variant>
      <vt:variant>
        <vt:i4>1572915</vt:i4>
      </vt:variant>
      <vt:variant>
        <vt:i4>143</vt:i4>
      </vt:variant>
      <vt:variant>
        <vt:i4>0</vt:i4>
      </vt:variant>
      <vt:variant>
        <vt:i4>5</vt:i4>
      </vt:variant>
      <vt:variant>
        <vt:lpwstr/>
      </vt:variant>
      <vt:variant>
        <vt:lpwstr>_Toc121134084</vt:lpwstr>
      </vt:variant>
      <vt:variant>
        <vt:i4>1572915</vt:i4>
      </vt:variant>
      <vt:variant>
        <vt:i4>137</vt:i4>
      </vt:variant>
      <vt:variant>
        <vt:i4>0</vt:i4>
      </vt:variant>
      <vt:variant>
        <vt:i4>5</vt:i4>
      </vt:variant>
      <vt:variant>
        <vt:lpwstr/>
      </vt:variant>
      <vt:variant>
        <vt:lpwstr>_Toc121134083</vt:lpwstr>
      </vt:variant>
      <vt:variant>
        <vt:i4>1572915</vt:i4>
      </vt:variant>
      <vt:variant>
        <vt:i4>131</vt:i4>
      </vt:variant>
      <vt:variant>
        <vt:i4>0</vt:i4>
      </vt:variant>
      <vt:variant>
        <vt:i4>5</vt:i4>
      </vt:variant>
      <vt:variant>
        <vt:lpwstr/>
      </vt:variant>
      <vt:variant>
        <vt:lpwstr>_Toc121134082</vt:lpwstr>
      </vt:variant>
      <vt:variant>
        <vt:i4>1572915</vt:i4>
      </vt:variant>
      <vt:variant>
        <vt:i4>125</vt:i4>
      </vt:variant>
      <vt:variant>
        <vt:i4>0</vt:i4>
      </vt:variant>
      <vt:variant>
        <vt:i4>5</vt:i4>
      </vt:variant>
      <vt:variant>
        <vt:lpwstr/>
      </vt:variant>
      <vt:variant>
        <vt:lpwstr>_Toc121134081</vt:lpwstr>
      </vt:variant>
      <vt:variant>
        <vt:i4>1572915</vt:i4>
      </vt:variant>
      <vt:variant>
        <vt:i4>119</vt:i4>
      </vt:variant>
      <vt:variant>
        <vt:i4>0</vt:i4>
      </vt:variant>
      <vt:variant>
        <vt:i4>5</vt:i4>
      </vt:variant>
      <vt:variant>
        <vt:lpwstr/>
      </vt:variant>
      <vt:variant>
        <vt:lpwstr>_Toc121134080</vt:lpwstr>
      </vt:variant>
      <vt:variant>
        <vt:i4>1507379</vt:i4>
      </vt:variant>
      <vt:variant>
        <vt:i4>113</vt:i4>
      </vt:variant>
      <vt:variant>
        <vt:i4>0</vt:i4>
      </vt:variant>
      <vt:variant>
        <vt:i4>5</vt:i4>
      </vt:variant>
      <vt:variant>
        <vt:lpwstr/>
      </vt:variant>
      <vt:variant>
        <vt:lpwstr>_Toc121134079</vt:lpwstr>
      </vt:variant>
      <vt:variant>
        <vt:i4>1507379</vt:i4>
      </vt:variant>
      <vt:variant>
        <vt:i4>107</vt:i4>
      </vt:variant>
      <vt:variant>
        <vt:i4>0</vt:i4>
      </vt:variant>
      <vt:variant>
        <vt:i4>5</vt:i4>
      </vt:variant>
      <vt:variant>
        <vt:lpwstr/>
      </vt:variant>
      <vt:variant>
        <vt:lpwstr>_Toc121134078</vt:lpwstr>
      </vt:variant>
      <vt:variant>
        <vt:i4>1507379</vt:i4>
      </vt:variant>
      <vt:variant>
        <vt:i4>101</vt:i4>
      </vt:variant>
      <vt:variant>
        <vt:i4>0</vt:i4>
      </vt:variant>
      <vt:variant>
        <vt:i4>5</vt:i4>
      </vt:variant>
      <vt:variant>
        <vt:lpwstr/>
      </vt:variant>
      <vt:variant>
        <vt:lpwstr>_Toc121134077</vt:lpwstr>
      </vt:variant>
      <vt:variant>
        <vt:i4>1507379</vt:i4>
      </vt:variant>
      <vt:variant>
        <vt:i4>95</vt:i4>
      </vt:variant>
      <vt:variant>
        <vt:i4>0</vt:i4>
      </vt:variant>
      <vt:variant>
        <vt:i4>5</vt:i4>
      </vt:variant>
      <vt:variant>
        <vt:lpwstr/>
      </vt:variant>
      <vt:variant>
        <vt:lpwstr>_Toc121134076</vt:lpwstr>
      </vt:variant>
      <vt:variant>
        <vt:i4>1507379</vt:i4>
      </vt:variant>
      <vt:variant>
        <vt:i4>89</vt:i4>
      </vt:variant>
      <vt:variant>
        <vt:i4>0</vt:i4>
      </vt:variant>
      <vt:variant>
        <vt:i4>5</vt:i4>
      </vt:variant>
      <vt:variant>
        <vt:lpwstr/>
      </vt:variant>
      <vt:variant>
        <vt:lpwstr>_Toc121134075</vt:lpwstr>
      </vt:variant>
      <vt:variant>
        <vt:i4>1507379</vt:i4>
      </vt:variant>
      <vt:variant>
        <vt:i4>83</vt:i4>
      </vt:variant>
      <vt:variant>
        <vt:i4>0</vt:i4>
      </vt:variant>
      <vt:variant>
        <vt:i4>5</vt:i4>
      </vt:variant>
      <vt:variant>
        <vt:lpwstr/>
      </vt:variant>
      <vt:variant>
        <vt:lpwstr>_Toc121134074</vt:lpwstr>
      </vt:variant>
      <vt:variant>
        <vt:i4>1507379</vt:i4>
      </vt:variant>
      <vt:variant>
        <vt:i4>77</vt:i4>
      </vt:variant>
      <vt:variant>
        <vt:i4>0</vt:i4>
      </vt:variant>
      <vt:variant>
        <vt:i4>5</vt:i4>
      </vt:variant>
      <vt:variant>
        <vt:lpwstr/>
      </vt:variant>
      <vt:variant>
        <vt:lpwstr>_Toc121134073</vt:lpwstr>
      </vt:variant>
      <vt:variant>
        <vt:i4>1507379</vt:i4>
      </vt:variant>
      <vt:variant>
        <vt:i4>71</vt:i4>
      </vt:variant>
      <vt:variant>
        <vt:i4>0</vt:i4>
      </vt:variant>
      <vt:variant>
        <vt:i4>5</vt:i4>
      </vt:variant>
      <vt:variant>
        <vt:lpwstr/>
      </vt:variant>
      <vt:variant>
        <vt:lpwstr>_Toc121134072</vt:lpwstr>
      </vt:variant>
      <vt:variant>
        <vt:i4>1507379</vt:i4>
      </vt:variant>
      <vt:variant>
        <vt:i4>65</vt:i4>
      </vt:variant>
      <vt:variant>
        <vt:i4>0</vt:i4>
      </vt:variant>
      <vt:variant>
        <vt:i4>5</vt:i4>
      </vt:variant>
      <vt:variant>
        <vt:lpwstr/>
      </vt:variant>
      <vt:variant>
        <vt:lpwstr>_Toc121134071</vt:lpwstr>
      </vt:variant>
      <vt:variant>
        <vt:i4>1507379</vt:i4>
      </vt:variant>
      <vt:variant>
        <vt:i4>59</vt:i4>
      </vt:variant>
      <vt:variant>
        <vt:i4>0</vt:i4>
      </vt:variant>
      <vt:variant>
        <vt:i4>5</vt:i4>
      </vt:variant>
      <vt:variant>
        <vt:lpwstr/>
      </vt:variant>
      <vt:variant>
        <vt:lpwstr>_Toc121134070</vt:lpwstr>
      </vt:variant>
      <vt:variant>
        <vt:i4>1441843</vt:i4>
      </vt:variant>
      <vt:variant>
        <vt:i4>53</vt:i4>
      </vt:variant>
      <vt:variant>
        <vt:i4>0</vt:i4>
      </vt:variant>
      <vt:variant>
        <vt:i4>5</vt:i4>
      </vt:variant>
      <vt:variant>
        <vt:lpwstr/>
      </vt:variant>
      <vt:variant>
        <vt:lpwstr>_Toc121134069</vt:lpwstr>
      </vt:variant>
      <vt:variant>
        <vt:i4>1441843</vt:i4>
      </vt:variant>
      <vt:variant>
        <vt:i4>47</vt:i4>
      </vt:variant>
      <vt:variant>
        <vt:i4>0</vt:i4>
      </vt:variant>
      <vt:variant>
        <vt:i4>5</vt:i4>
      </vt:variant>
      <vt:variant>
        <vt:lpwstr/>
      </vt:variant>
      <vt:variant>
        <vt:lpwstr>_Toc121134068</vt:lpwstr>
      </vt:variant>
      <vt:variant>
        <vt:i4>1441843</vt:i4>
      </vt:variant>
      <vt:variant>
        <vt:i4>41</vt:i4>
      </vt:variant>
      <vt:variant>
        <vt:i4>0</vt:i4>
      </vt:variant>
      <vt:variant>
        <vt:i4>5</vt:i4>
      </vt:variant>
      <vt:variant>
        <vt:lpwstr/>
      </vt:variant>
      <vt:variant>
        <vt:lpwstr>_Toc121134067</vt:lpwstr>
      </vt:variant>
      <vt:variant>
        <vt:i4>1441843</vt:i4>
      </vt:variant>
      <vt:variant>
        <vt:i4>35</vt:i4>
      </vt:variant>
      <vt:variant>
        <vt:i4>0</vt:i4>
      </vt:variant>
      <vt:variant>
        <vt:i4>5</vt:i4>
      </vt:variant>
      <vt:variant>
        <vt:lpwstr/>
      </vt:variant>
      <vt:variant>
        <vt:lpwstr>_Toc121134066</vt:lpwstr>
      </vt:variant>
      <vt:variant>
        <vt:i4>1441843</vt:i4>
      </vt:variant>
      <vt:variant>
        <vt:i4>29</vt:i4>
      </vt:variant>
      <vt:variant>
        <vt:i4>0</vt:i4>
      </vt:variant>
      <vt:variant>
        <vt:i4>5</vt:i4>
      </vt:variant>
      <vt:variant>
        <vt:lpwstr/>
      </vt:variant>
      <vt:variant>
        <vt:lpwstr>_Toc121134065</vt:lpwstr>
      </vt:variant>
      <vt:variant>
        <vt:i4>1441843</vt:i4>
      </vt:variant>
      <vt:variant>
        <vt:i4>23</vt:i4>
      </vt:variant>
      <vt:variant>
        <vt:i4>0</vt:i4>
      </vt:variant>
      <vt:variant>
        <vt:i4>5</vt:i4>
      </vt:variant>
      <vt:variant>
        <vt:lpwstr/>
      </vt:variant>
      <vt:variant>
        <vt:lpwstr>_Toc121134064</vt:lpwstr>
      </vt:variant>
      <vt:variant>
        <vt:i4>1441843</vt:i4>
      </vt:variant>
      <vt:variant>
        <vt:i4>17</vt:i4>
      </vt:variant>
      <vt:variant>
        <vt:i4>0</vt:i4>
      </vt:variant>
      <vt:variant>
        <vt:i4>5</vt:i4>
      </vt:variant>
      <vt:variant>
        <vt:lpwstr/>
      </vt:variant>
      <vt:variant>
        <vt:lpwstr>_Toc121134063</vt:lpwstr>
      </vt:variant>
      <vt:variant>
        <vt:i4>1441843</vt:i4>
      </vt:variant>
      <vt:variant>
        <vt:i4>11</vt:i4>
      </vt:variant>
      <vt:variant>
        <vt:i4>0</vt:i4>
      </vt:variant>
      <vt:variant>
        <vt:i4>5</vt:i4>
      </vt:variant>
      <vt:variant>
        <vt:lpwstr/>
      </vt:variant>
      <vt:variant>
        <vt:lpwstr>_Toc121134062</vt:lpwstr>
      </vt:variant>
      <vt:variant>
        <vt:i4>1441843</vt:i4>
      </vt:variant>
      <vt:variant>
        <vt:i4>5</vt:i4>
      </vt:variant>
      <vt:variant>
        <vt:i4>0</vt:i4>
      </vt:variant>
      <vt:variant>
        <vt:i4>5</vt:i4>
      </vt:variant>
      <vt:variant>
        <vt:lpwstr/>
      </vt:variant>
      <vt:variant>
        <vt:lpwstr>_Toc121134061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194</cp:revision>
  <cp:lastPrinted>2021-02-01T09:27:00Z</cp:lastPrinted>
  <dcterms:created xsi:type="dcterms:W3CDTF">2022-10-23T23:15:00Z</dcterms:created>
  <dcterms:modified xsi:type="dcterms:W3CDTF">2022-12-22T03:35:00Z</dcterms:modified>
  <cp:category>Homes Victoria Construction Report Portrait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 sbv1 11072022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2022-10-21T02:31:44Z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bdee99f2-7915-420c-bdcc-3cb753bf033b</vt:lpwstr>
  </property>
  <property fmtid="{D5CDD505-2E9C-101B-9397-08002B2CF9AE}" pid="11" name="MSIP_Label_43e64453-338c-4f93-8a4d-0039a0a41f2a_ContentBits">
    <vt:lpwstr>2</vt:lpwstr>
  </property>
  <property fmtid="{D5CDD505-2E9C-101B-9397-08002B2CF9AE}" pid="12" name="MediaServiceImageTags">
    <vt:lpwstr/>
  </property>
</Properties>
</file>