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25FC" w14:textId="77777777" w:rsidR="00D869CC" w:rsidRDefault="0048155F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00919A7" wp14:editId="0829FF4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869CC" w14:paraId="7D1587EF" w14:textId="77777777">
        <w:tc>
          <w:tcPr>
            <w:tcW w:w="10206" w:type="dxa"/>
            <w:shd w:val="clear" w:color="auto" w:fill="FFFFFF"/>
            <w:vAlign w:val="bottom"/>
          </w:tcPr>
          <w:p w14:paraId="69B4DDC1" w14:textId="77777777" w:rsidR="00D869CC" w:rsidRDefault="00D869CC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AAC3191" w14:textId="77777777" w:rsidR="00D869CC" w:rsidRPr="00E1066A" w:rsidRDefault="0048155F" w:rsidP="00E1066A">
            <w:pPr>
              <w:pStyle w:val="Heading1"/>
            </w:pPr>
            <w:r w:rsidRPr="00E1066A">
              <w:t>Home Based Care - Adolescent Community Placement</w:t>
            </w:r>
          </w:p>
          <w:p w14:paraId="1AF67C91" w14:textId="77777777" w:rsidR="00D869CC" w:rsidRDefault="0048155F" w:rsidP="00E1066A">
            <w:pPr>
              <w:pStyle w:val="Heading1"/>
            </w:pPr>
            <w:r w:rsidRPr="00E1066A">
              <w:t>31205</w:t>
            </w:r>
          </w:p>
        </w:tc>
      </w:tr>
      <w:tr w:rsidR="00D869CC" w14:paraId="038A5938" w14:textId="77777777">
        <w:tc>
          <w:tcPr>
            <w:tcW w:w="10206" w:type="dxa"/>
            <w:shd w:val="clear" w:color="auto" w:fill="FFFFFF"/>
          </w:tcPr>
          <w:p w14:paraId="3E0CE40B" w14:textId="77777777" w:rsidR="00D869CC" w:rsidRPr="00E1066A" w:rsidRDefault="0048155F" w:rsidP="00E1066A">
            <w:pPr>
              <w:pStyle w:val="Subtitle"/>
            </w:pPr>
            <w:r w:rsidRPr="00E1066A">
              <w:t xml:space="preserve">Outcome objective: Victorians have capabilities to </w:t>
            </w:r>
            <w:proofErr w:type="gramStart"/>
            <w:r w:rsidRPr="00E1066A">
              <w:t>participate</w:t>
            </w:r>
            <w:proofErr w:type="gramEnd"/>
          </w:p>
          <w:p w14:paraId="0F955C88" w14:textId="77777777" w:rsidR="00D869CC" w:rsidRPr="00E1066A" w:rsidRDefault="0048155F" w:rsidP="00E1066A">
            <w:pPr>
              <w:pStyle w:val="Subtitle"/>
            </w:pPr>
            <w:r w:rsidRPr="00E1066A">
              <w:t>Output group: Child Protection and Family Services</w:t>
            </w:r>
          </w:p>
          <w:p w14:paraId="700B7B69" w14:textId="77777777" w:rsidR="00D869CC" w:rsidRDefault="0048155F" w:rsidP="00E1066A">
            <w:pPr>
              <w:pStyle w:val="Subtitle"/>
            </w:pPr>
            <w:r w:rsidRPr="00E1066A">
              <w:t>Output: Placement Services</w:t>
            </w:r>
          </w:p>
        </w:tc>
      </w:tr>
    </w:tbl>
    <w:p w14:paraId="6D8D6660" w14:textId="77777777" w:rsidR="00D869CC" w:rsidRDefault="0048155F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649D5115" w14:textId="77777777" w:rsidR="00D869CC" w:rsidRPr="00E1066A" w:rsidRDefault="0048155F" w:rsidP="00E1066A">
      <w:pPr>
        <w:pStyle w:val="Heading2"/>
      </w:pPr>
      <w:r w:rsidRPr="00E1066A">
        <w:t>1. Service objective</w:t>
      </w:r>
    </w:p>
    <w:p w14:paraId="023C752A" w14:textId="77777777" w:rsidR="00D869CC" w:rsidRDefault="0048155F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out-of-home care to young people who require accommodation </w:t>
      </w:r>
      <w:proofErr w:type="gramStart"/>
      <w:r>
        <w:rPr>
          <w:rFonts w:ascii="Arial" w:eastAsia="Arial" w:hAnsi="Arial" w:cs="Arial"/>
          <w:color w:val="000000"/>
          <w:sz w:val="20"/>
        </w:rPr>
        <w:t>as a result of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issues of abuse or neglect.</w:t>
      </w:r>
    </w:p>
    <w:p w14:paraId="64677A43" w14:textId="77777777" w:rsidR="00D869CC" w:rsidRDefault="0048155F" w:rsidP="00E1066A">
      <w:pPr>
        <w:pStyle w:val="Heading2"/>
      </w:pPr>
      <w:r>
        <w:t>2. Description of the service</w:t>
      </w:r>
    </w:p>
    <w:p w14:paraId="70CA4A69" w14:textId="77777777" w:rsidR="00D869CC" w:rsidRDefault="0048155F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Home-based care – adolescent community placement services provide accommodation and care to young people aged 12 to 18 years who are unable to live with their families for a range of reasons. Adolescent community placement services enable young people to reside in home-based care with the support and supervision of approved </w:t>
      </w:r>
      <w:proofErr w:type="spellStart"/>
      <w:r>
        <w:rPr>
          <w:rFonts w:ascii="Arial" w:eastAsia="Arial" w:hAnsi="Arial" w:cs="Arial"/>
          <w:color w:val="000000"/>
          <w:sz w:val="20"/>
        </w:rPr>
        <w:t>carers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. Approved </w:t>
      </w:r>
      <w:proofErr w:type="spellStart"/>
      <w:r>
        <w:rPr>
          <w:rFonts w:ascii="Arial" w:eastAsia="Arial" w:hAnsi="Arial" w:cs="Arial"/>
          <w:color w:val="000000"/>
          <w:sz w:val="20"/>
        </w:rPr>
        <w:t>carers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receive a </w:t>
      </w:r>
      <w:proofErr w:type="spellStart"/>
      <w:r>
        <w:rPr>
          <w:rFonts w:ascii="Arial" w:eastAsia="Arial" w:hAnsi="Arial" w:cs="Arial"/>
          <w:color w:val="000000"/>
          <w:sz w:val="20"/>
        </w:rPr>
        <w:t>carer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allowance as a contribution towards the costs associated with caring for the young person. Community service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are responsible for recruiting, </w:t>
      </w:r>
      <w:proofErr w:type="gramStart"/>
      <w:r>
        <w:rPr>
          <w:rFonts w:ascii="Arial" w:eastAsia="Arial" w:hAnsi="Arial" w:cs="Arial"/>
          <w:color w:val="000000"/>
          <w:sz w:val="20"/>
        </w:rPr>
        <w:t>training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supporting </w:t>
      </w:r>
      <w:proofErr w:type="spellStart"/>
      <w:r>
        <w:rPr>
          <w:rFonts w:ascii="Arial" w:eastAsia="Arial" w:hAnsi="Arial" w:cs="Arial"/>
          <w:color w:val="000000"/>
          <w:sz w:val="20"/>
        </w:rPr>
        <w:t>carers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and for case managing placements.</w:t>
      </w:r>
    </w:p>
    <w:p w14:paraId="1B958878" w14:textId="77777777" w:rsidR="00D869CC" w:rsidRDefault="0048155F" w:rsidP="00E1066A">
      <w:pPr>
        <w:pStyle w:val="Heading2"/>
      </w:pPr>
      <w:r>
        <w:t>3. Client group</w:t>
      </w:r>
    </w:p>
    <w:p w14:paraId="52A133D7" w14:textId="77777777" w:rsidR="00D869CC" w:rsidRDefault="0048155F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Young people aged 12 to 18 years, who require accommodation and care as a result of abuse or neglect.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The targeted client group is for 90% to be subject to current protective involvement and up to 10% may be on voluntary </w:t>
      </w:r>
      <w:proofErr w:type="gramStart"/>
      <w:r>
        <w:rPr>
          <w:rFonts w:ascii="Arial" w:eastAsia="Arial" w:hAnsi="Arial" w:cs="Arial"/>
          <w:color w:val="000000"/>
          <w:sz w:val="20"/>
        </w:rPr>
        <w:t>child care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agreements.</w:t>
      </w:r>
    </w:p>
    <w:p w14:paraId="0D4EAD8E" w14:textId="77777777" w:rsidR="00D869CC" w:rsidRDefault="0048155F" w:rsidP="00E1066A">
      <w:pPr>
        <w:pStyle w:val="Heading2"/>
      </w:pPr>
      <w:r>
        <w:t>4. Obligations specific to this activity</w:t>
      </w:r>
    </w:p>
    <w:p w14:paraId="1E64CA06" w14:textId="77777777" w:rsidR="00D869CC" w:rsidRDefault="0048155F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BA70CD1" w14:textId="77777777" w:rsidR="00D869CC" w:rsidRPr="00E1066A" w:rsidRDefault="0048155F" w:rsidP="00E1066A">
      <w:pPr>
        <w:pStyle w:val="Heading3"/>
      </w:pPr>
      <w:r w:rsidRPr="00E1066A">
        <w:t>4a. Registration and Accreditation</w:t>
      </w:r>
    </w:p>
    <w:p w14:paraId="72A37016" w14:textId="77777777" w:rsidR="00D869CC" w:rsidRDefault="0048155F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30FE4BF" w14:textId="77777777" w:rsidR="00D869CC" w:rsidRDefault="0048155F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Registration under the Children, Youth and Families Act 2005</w:t>
      </w:r>
    </w:p>
    <w:p w14:paraId="13C72478" w14:textId="77777777" w:rsidR="00D869CC" w:rsidRDefault="0048155F" w:rsidP="00E1066A">
      <w:pPr>
        <w:pStyle w:val="Heading3"/>
        <w:rPr>
          <w:color w:val="000000"/>
        </w:rPr>
      </w:pPr>
      <w:r>
        <w:t>4b. Program requirements and other policy guidelines</w:t>
      </w:r>
    </w:p>
    <w:p w14:paraId="59CEC219" w14:textId="77777777" w:rsidR="00D869CC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48155F">
          <w:rPr>
            <w:rFonts w:ascii="Arial" w:eastAsia="Arial" w:hAnsi="Arial" w:cs="Arial"/>
            <w:color w:val="3366FF"/>
            <w:sz w:val="20"/>
          </w:rPr>
          <w:t>Home-based care performance and reporting requirements</w:t>
        </w:r>
      </w:hyperlink>
    </w:p>
    <w:p w14:paraId="6BF913E5" w14:textId="77777777" w:rsidR="00D869CC" w:rsidRDefault="0048155F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14:paraId="4D7D17B9" w14:textId="77777777" w:rsidR="00D869CC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48155F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530404D3" w14:textId="77777777" w:rsidR="00D869CC" w:rsidRDefault="0048155F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5C39ECB7" w14:textId="77777777" w:rsidR="00D869CC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48155F">
          <w:rPr>
            <w:rFonts w:ascii="Arial" w:eastAsia="Arial" w:hAnsi="Arial" w:cs="Arial"/>
            <w:color w:val="3366FF"/>
            <w:sz w:val="20"/>
          </w:rPr>
          <w:t>Program Requirements for Home-Based Care in Victoria</w:t>
        </w:r>
      </w:hyperlink>
    </w:p>
    <w:p w14:paraId="353B0F0F" w14:textId="77777777" w:rsidR="00D869CC" w:rsidRDefault="0048155F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&lt;https://providers.dffh.vic.gov.au/program-requirements-out-home-care-services&gt;&gt;</w:t>
      </w:r>
    </w:p>
    <w:p w14:paraId="35BD7F7A" w14:textId="77777777" w:rsidR="00D869CC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48155F">
          <w:rPr>
            <w:rFonts w:ascii="Arial" w:eastAsia="Arial" w:hAnsi="Arial" w:cs="Arial"/>
            <w:color w:val="3366FF"/>
            <w:sz w:val="20"/>
          </w:rPr>
          <w:t>Child Protection Practice Manual</w:t>
        </w:r>
      </w:hyperlink>
    </w:p>
    <w:p w14:paraId="41D03AAB" w14:textId="77777777" w:rsidR="00D869CC" w:rsidRDefault="0048155F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&lt;http://www.cpmanual.vic.gov.au&gt;</w:t>
      </w:r>
    </w:p>
    <w:p w14:paraId="6C6799AB" w14:textId="77777777" w:rsidR="00D869CC" w:rsidRDefault="00D869CC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5D7F365F" w14:textId="77777777" w:rsidR="00D869CC" w:rsidRDefault="0048155F" w:rsidP="00E1066A">
      <w:pPr>
        <w:pStyle w:val="Heading2"/>
        <w:rPr>
          <w:color w:val="000000"/>
          <w:sz w:val="20"/>
        </w:rPr>
      </w:pPr>
      <w:r>
        <w:t>5. Performance</w:t>
      </w:r>
    </w:p>
    <w:p w14:paraId="7455C116" w14:textId="77777777" w:rsidR="00D869CC" w:rsidRDefault="0048155F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8DD5C62" w14:textId="77777777" w:rsidR="00D869CC" w:rsidRDefault="0048155F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F2DEAF2" w14:textId="77777777" w:rsidR="00D869CC" w:rsidRDefault="0048155F" w:rsidP="00E1066A">
      <w:pPr>
        <w:pStyle w:val="Heading3"/>
      </w:pPr>
      <w:r>
        <w:t>Key performance measure 1: Daily Average Occupancy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D869CC" w14:paraId="0440322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53D5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BC70E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quantitative information on the number of placements of adolescents (12–18 years) provided by approved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carers</w:t>
            </w:r>
            <w:proofErr w:type="spellEnd"/>
          </w:p>
        </w:tc>
      </w:tr>
      <w:tr w:rsidR="00D869CC" w14:paraId="3C59696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3313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341F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D869CC" w14:paraId="54D0CC2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2341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4D1A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D869CC" w14:paraId="4863E2C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457EB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C038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daily average occupancy refers to the total delivered placement days for each client in the reporting period, divided by the total number of days within the reporting period.</w:t>
            </w:r>
          </w:p>
        </w:tc>
      </w:tr>
      <w:tr w:rsidR="00D869CC" w14:paraId="40A7D30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1214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56ECB" w14:textId="77777777" w:rsidR="00D869CC" w:rsidRDefault="0048155F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CRIS/CRISSP</w:t>
            </w:r>
          </w:p>
          <w:p w14:paraId="5C58404E" w14:textId="77777777" w:rsidR="00D869CC" w:rsidRDefault="0048155F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D869CC" w14:paraId="73AB4E6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22C3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524F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Approved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are accredited through a registered community service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are registered on the department’s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Register, have their details recorded in CRISSP and are in receipt of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carer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allowance</w:t>
            </w:r>
          </w:p>
        </w:tc>
      </w:tr>
    </w:tbl>
    <w:p w14:paraId="0DEBC97C" w14:textId="77777777" w:rsidR="00D869CC" w:rsidRDefault="0048155F" w:rsidP="00E1066A">
      <w:pPr>
        <w:pStyle w:val="Heading3"/>
      </w:pPr>
      <w:r>
        <w:t xml:space="preserve">Performance measure 2: Percentage of the total number of children and young people in placements greater than six months who are on family reunification, care by Secretary or long-term care orders that are contracted to the </w:t>
      </w:r>
      <w:proofErr w:type="gramStart"/>
      <w:r>
        <w:t>provider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D869CC" w14:paraId="337D10F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3FE3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8B6E4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information about the number of longer-term contracted placements (&gt; six months) as a proportion of all placements, including temporary,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short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or long-term accommodation and care to young people who require accommodation</w:t>
            </w:r>
          </w:p>
        </w:tc>
      </w:tr>
      <w:tr w:rsidR="00D869CC" w14:paraId="274B911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6A50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65F1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80 per cent</w:t>
            </w:r>
          </w:p>
        </w:tc>
      </w:tr>
      <w:tr w:rsidR="00D869CC" w14:paraId="2EEC367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9DE39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F365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D869CC" w14:paraId="20C649F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36095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01AE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daily average occupancy refers to the total delivered placement days for each client in the reporting period, divided by the total number of days within the reporting period.</w:t>
            </w:r>
          </w:p>
        </w:tc>
      </w:tr>
      <w:tr w:rsidR="00D869CC" w14:paraId="238126F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0C685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E032" w14:textId="77777777" w:rsidR="00D869CC" w:rsidRDefault="0048155F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CRIS/CRISSP</w:t>
            </w:r>
          </w:p>
          <w:p w14:paraId="055185A8" w14:textId="77777777" w:rsidR="00D869CC" w:rsidRDefault="0048155F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D869CC" w14:paraId="0B7E968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CC23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135C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Placement refers to the accommodation and associated support provided which may include the following: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assistance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supervision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assessment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development of an individual case plan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support and coordination of interventions etc.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&gt; six months refers to placements &gt; 182 days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Contracted means case management or case management functions, formally agreed by the department and the service provider, undertaken by the service provider.</w:t>
            </w:r>
          </w:p>
        </w:tc>
      </w:tr>
    </w:tbl>
    <w:p w14:paraId="126268CE" w14:textId="77777777" w:rsidR="00D869CC" w:rsidRDefault="0048155F" w:rsidP="00E1066A">
      <w:pPr>
        <w:pStyle w:val="Heading3"/>
      </w:pPr>
      <w:r>
        <w:t xml:space="preserve">Performance measure 3: Percentage of total exits from placement that are </w:t>
      </w:r>
      <w:proofErr w:type="gramStart"/>
      <w:r>
        <w:t>planned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D869CC" w14:paraId="5D2E1CE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B688C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A82A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Provide out-of- home care to young people who require accommodation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as a result of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issues of abuse or neglect.</w:t>
            </w:r>
          </w:p>
        </w:tc>
      </w:tr>
      <w:tr w:rsidR="00D869CC" w14:paraId="4A86F94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805B0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121F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90 per cent</w:t>
            </w:r>
          </w:p>
        </w:tc>
      </w:tr>
      <w:tr w:rsidR="00D869CC" w14:paraId="4A749E5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7768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9D5B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D869CC" w14:paraId="1916151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AB023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34B0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daily average occupancy refers to the total delivered placement days for each client in the reporting period, divided by the total number of days within the reporting period.</w:t>
            </w:r>
          </w:p>
        </w:tc>
      </w:tr>
      <w:tr w:rsidR="00D869CC" w14:paraId="7B4FF10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BBF7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EDDCD" w14:textId="77777777" w:rsidR="00D869CC" w:rsidRDefault="0048155F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CRIS/CRISSP</w:t>
            </w:r>
          </w:p>
        </w:tc>
      </w:tr>
      <w:tr w:rsidR="00D869CC" w14:paraId="4FBF28B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F84E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A2ED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Exit refers to when the placement ends and the client leaves the placement.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Placement refers to the accommodation provided.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Planned (exits) means the case planning process which ensures that exits from placements are planned, notwithstanding the possible unanticipated or premature termination of the placement</w:t>
            </w:r>
          </w:p>
        </w:tc>
      </w:tr>
    </w:tbl>
    <w:p w14:paraId="738A3E1C" w14:textId="77777777" w:rsidR="00D869CC" w:rsidRDefault="0048155F" w:rsidP="00E1066A">
      <w:pPr>
        <w:pStyle w:val="Heading2"/>
      </w:pPr>
      <w:r>
        <w:t>6. Data collection</w:t>
      </w:r>
    </w:p>
    <w:p w14:paraId="197DB082" w14:textId="77777777" w:rsidR="00D869CC" w:rsidRDefault="0048155F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D869CC" w14:paraId="56B66371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3A48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8178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CC3F8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BFBD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D869CC" w14:paraId="73DF218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BF38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CRIS/CRISSP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180A9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CRIS/ CRISSP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D1DF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Placement and Support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493A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D869CC" w14:paraId="6516870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0ED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Percentage of young people in placements (&gt; six months) on family reunification, care by Secretary or long-term care orders contracted to the provider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4433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CRISSP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212AB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32886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D869CC" w14:paraId="7D78D98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018A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CC40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960CF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SAMS/ 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A975" w14:textId="77777777" w:rsidR="00D869CC" w:rsidRDefault="0048155F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203ECD5E" w14:textId="77777777" w:rsidR="00D869CC" w:rsidRDefault="00D869CC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D869CC" w14:paraId="58A87AB0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594C38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10CDB53F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3EAEEE81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5800A2AE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2B6DC28E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2CCD9728" w14:textId="77777777" w:rsidR="00D869CC" w:rsidRDefault="0048155F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662C9DA4" w14:textId="77777777" w:rsidR="00D869CC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2" w:tgtFrame="_blank" w:history="1">
              <w:r w:rsidR="0048155F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48155F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5277912C" w14:textId="77777777" w:rsidR="00D869CC" w:rsidRDefault="00D869CC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D86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B34D" w14:textId="77777777" w:rsidR="006E65FE" w:rsidRDefault="006E65FE">
      <w:r>
        <w:separator/>
      </w:r>
    </w:p>
  </w:endnote>
  <w:endnote w:type="continuationSeparator" w:id="0">
    <w:p w14:paraId="5CED20DC" w14:textId="77777777" w:rsidR="006E65FE" w:rsidRDefault="006E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54BA" w14:textId="77777777" w:rsidR="0048155F" w:rsidRDefault="00481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3A86" w14:textId="3E5CEF2E" w:rsidR="00D869CC" w:rsidRDefault="0048155F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07F7F" wp14:editId="5BAE80EA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bbee4aaeba838dc37d531dc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601DE2" w14:textId="7848B644" w:rsidR="0048155F" w:rsidRPr="0048155F" w:rsidRDefault="0048155F" w:rsidP="0048155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15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07F7F" id="_x0000_t202" coordsize="21600,21600" o:spt="202" path="m,l,21600r21600,l21600,xe">
              <v:stroke joinstyle="miter"/>
              <v:path gradientshapeok="t" o:connecttype="rect"/>
            </v:shapetype>
            <v:shape id="MSIPCMbbee4aaeba838dc37d531dc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2D601DE2" w14:textId="7848B644" w:rsidR="0048155F" w:rsidRPr="0048155F" w:rsidRDefault="0048155F" w:rsidP="0048155F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15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D869CC" w14:paraId="78F26A30" w14:textId="77777777">
      <w:tc>
        <w:tcPr>
          <w:tcW w:w="3473" w:type="dxa"/>
          <w:shd w:val="clear" w:color="auto" w:fill="FFFFFF"/>
        </w:tcPr>
        <w:p w14:paraId="1C7FEA31" w14:textId="77777777" w:rsidR="00D869CC" w:rsidRDefault="00D869CC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72482686" w14:textId="77777777" w:rsidR="00D869CC" w:rsidRDefault="0048155F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54FAE2E2" w14:textId="77777777" w:rsidR="00D869CC" w:rsidRDefault="0048155F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37DEC9D9" w14:textId="77777777" w:rsidR="00D869CC" w:rsidRDefault="0048155F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FB63A9D" wp14:editId="1CF371FA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E0A3E9" w14:textId="77777777" w:rsidR="00D869CC" w:rsidRDefault="00D869CC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D869CC" w14:paraId="1C943FF2" w14:textId="77777777">
      <w:tc>
        <w:tcPr>
          <w:tcW w:w="3473" w:type="dxa"/>
          <w:shd w:val="clear" w:color="auto" w:fill="FFFFFF"/>
        </w:tcPr>
        <w:p w14:paraId="5FE9984D" w14:textId="6804E1D0" w:rsidR="00D869CC" w:rsidRDefault="0048155F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E57DE21" wp14:editId="49B48C7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4cfe4a00b847ea6149c7344c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56AA2" w14:textId="5288705B" w:rsidR="0048155F" w:rsidRPr="0048155F" w:rsidRDefault="0048155F" w:rsidP="0048155F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48155F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57DE2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cfe4a00b847ea6149c7344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50F56AA2" w14:textId="5288705B" w:rsidR="0048155F" w:rsidRPr="0048155F" w:rsidRDefault="0048155F" w:rsidP="0048155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15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1F84A900" w14:textId="77777777" w:rsidR="00D869CC" w:rsidRDefault="0048155F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3F543579" w14:textId="77777777" w:rsidR="00D869CC" w:rsidRDefault="0048155F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2684E99" wp14:editId="369C281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65EA59" w14:textId="77777777" w:rsidR="00D869CC" w:rsidRDefault="0048155F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5C8B" w14:textId="77777777" w:rsidR="006E65FE" w:rsidRDefault="006E65FE">
      <w:r>
        <w:separator/>
      </w:r>
    </w:p>
  </w:footnote>
  <w:footnote w:type="continuationSeparator" w:id="0">
    <w:p w14:paraId="737521A0" w14:textId="77777777" w:rsidR="006E65FE" w:rsidRDefault="006E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3E45" w14:textId="77777777" w:rsidR="0048155F" w:rsidRDefault="00481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C0C4" w14:textId="77777777" w:rsidR="00D869CC" w:rsidRDefault="0048155F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31205 Home Based Care - Adolescent Community Placement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B50166B" w14:textId="77777777" w:rsidR="00D869CC" w:rsidRDefault="00D869CC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AF78" w14:textId="77777777" w:rsidR="00D869CC" w:rsidRDefault="00D869CC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2E"/>
    <w:multiLevelType w:val="hybridMultilevel"/>
    <w:tmpl w:val="D1F083F4"/>
    <w:lvl w:ilvl="0" w:tplc="B414032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93C712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CCA35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6D6080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76AB11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3F83CE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698AEC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0E2BD8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E86678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DD361CF"/>
    <w:multiLevelType w:val="hybridMultilevel"/>
    <w:tmpl w:val="3B50BE1E"/>
    <w:lvl w:ilvl="0" w:tplc="131690F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906BD8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1BCCAD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4EABFE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5692A3D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DE6593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372631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602840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A604EC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22236235"/>
    <w:multiLevelType w:val="hybridMultilevel"/>
    <w:tmpl w:val="8C8A120A"/>
    <w:lvl w:ilvl="0" w:tplc="7F3E066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5B2677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5ACB86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182324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866337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DBC208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D7075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6CC127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C5AFC5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24E3134"/>
    <w:multiLevelType w:val="hybridMultilevel"/>
    <w:tmpl w:val="9B849B56"/>
    <w:lvl w:ilvl="0" w:tplc="C9B00A4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6F26664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BF8046D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026207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2054964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83CCAC5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4A54106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52A0320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0F682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5302A35"/>
    <w:multiLevelType w:val="hybridMultilevel"/>
    <w:tmpl w:val="C7EA0E78"/>
    <w:lvl w:ilvl="0" w:tplc="8118063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A7EF77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C2AF25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2C0177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A96BDF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D06369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69AF54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262352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BDED76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95C35E6"/>
    <w:multiLevelType w:val="hybridMultilevel"/>
    <w:tmpl w:val="12267C98"/>
    <w:lvl w:ilvl="0" w:tplc="3552D11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3F83D0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97E116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086FD6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D8C48C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CE6405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E3056E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8618CCD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76050B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526C4177"/>
    <w:multiLevelType w:val="hybridMultilevel"/>
    <w:tmpl w:val="8038646A"/>
    <w:lvl w:ilvl="0" w:tplc="8D0A5AE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9BE4DED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47DACFC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7B6EA03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5C62B36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E34A0F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655C037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F26A2E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B746E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5AD55EF6"/>
    <w:multiLevelType w:val="hybridMultilevel"/>
    <w:tmpl w:val="809426B2"/>
    <w:lvl w:ilvl="0" w:tplc="E1062EB0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992331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CBCF6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37224E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B16E21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314523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DC0C5D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07EF18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E7E62F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682D5605"/>
    <w:multiLevelType w:val="hybridMultilevel"/>
    <w:tmpl w:val="75BC35E2"/>
    <w:lvl w:ilvl="0" w:tplc="8A72B8D0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8736AD2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BFAEF3F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900CBA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426103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51A87E6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D74446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ED4A13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3DA8B74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A2279A9"/>
    <w:multiLevelType w:val="hybridMultilevel"/>
    <w:tmpl w:val="4A2CF2A0"/>
    <w:lvl w:ilvl="0" w:tplc="82FEC98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F044F1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506CA7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7F3E0F1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9A069B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7430C35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C60CA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4B6CA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A36B7A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C0017D7"/>
    <w:multiLevelType w:val="hybridMultilevel"/>
    <w:tmpl w:val="8C089FA2"/>
    <w:lvl w:ilvl="0" w:tplc="75409A8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250856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CE24A9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95C7B2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140FC1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94E042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156DB4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541E1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FE04C0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E0037DD"/>
    <w:multiLevelType w:val="hybridMultilevel"/>
    <w:tmpl w:val="8E34E5F4"/>
    <w:lvl w:ilvl="0" w:tplc="6388AF5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44098B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E04D15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A7A88B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E68AA1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EA48C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DD0F77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DD4872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37E272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1D70DB1"/>
    <w:multiLevelType w:val="hybridMultilevel"/>
    <w:tmpl w:val="F31C1B38"/>
    <w:lvl w:ilvl="0" w:tplc="B11645F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75EC58D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AD2671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AC282B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364319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4F8063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05CBC2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7F00B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482B87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5A932F5"/>
    <w:multiLevelType w:val="hybridMultilevel"/>
    <w:tmpl w:val="42867982"/>
    <w:lvl w:ilvl="0" w:tplc="0BB2F24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AD0A0A5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6FE412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A3EFF7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B3C102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F2C64E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80EA5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16088E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99D282F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B123F3E"/>
    <w:multiLevelType w:val="hybridMultilevel"/>
    <w:tmpl w:val="FE860370"/>
    <w:lvl w:ilvl="0" w:tplc="43C09F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7E2D3D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81E7A8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62D288F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792E34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D1A33C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332D9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242E3C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6A437E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259364226">
    <w:abstractNumId w:val="10"/>
  </w:num>
  <w:num w:numId="2" w16cid:durableId="1985042723">
    <w:abstractNumId w:val="6"/>
  </w:num>
  <w:num w:numId="3" w16cid:durableId="340158999">
    <w:abstractNumId w:val="11"/>
  </w:num>
  <w:num w:numId="4" w16cid:durableId="1784229404">
    <w:abstractNumId w:val="2"/>
  </w:num>
  <w:num w:numId="5" w16cid:durableId="1819225777">
    <w:abstractNumId w:val="1"/>
  </w:num>
  <w:num w:numId="6" w16cid:durableId="1484736654">
    <w:abstractNumId w:val="5"/>
  </w:num>
  <w:num w:numId="7" w16cid:durableId="2132741548">
    <w:abstractNumId w:val="0"/>
  </w:num>
  <w:num w:numId="8" w16cid:durableId="502159559">
    <w:abstractNumId w:val="7"/>
  </w:num>
  <w:num w:numId="9" w16cid:durableId="447353143">
    <w:abstractNumId w:val="4"/>
  </w:num>
  <w:num w:numId="10" w16cid:durableId="1879120469">
    <w:abstractNumId w:val="8"/>
  </w:num>
  <w:num w:numId="11" w16cid:durableId="718822157">
    <w:abstractNumId w:val="13"/>
  </w:num>
  <w:num w:numId="12" w16cid:durableId="1746028735">
    <w:abstractNumId w:val="9"/>
  </w:num>
  <w:num w:numId="13" w16cid:durableId="171145327">
    <w:abstractNumId w:val="6"/>
  </w:num>
  <w:num w:numId="14" w16cid:durableId="1048606661">
    <w:abstractNumId w:val="12"/>
  </w:num>
  <w:num w:numId="15" w16cid:durableId="631907579">
    <w:abstractNumId w:val="12"/>
  </w:num>
  <w:num w:numId="16" w16cid:durableId="1678190166">
    <w:abstractNumId w:val="12"/>
  </w:num>
  <w:num w:numId="17" w16cid:durableId="849101071">
    <w:abstractNumId w:val="14"/>
  </w:num>
  <w:num w:numId="18" w16cid:durableId="158471637">
    <w:abstractNumId w:val="12"/>
  </w:num>
  <w:num w:numId="19" w16cid:durableId="41320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CC"/>
    <w:rsid w:val="0048155F"/>
    <w:rsid w:val="006E65FE"/>
    <w:rsid w:val="00B37215"/>
    <w:rsid w:val="00D869CC"/>
    <w:rsid w:val="00E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1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66A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66A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66A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5F"/>
  </w:style>
  <w:style w:type="paragraph" w:styleId="Footer">
    <w:name w:val="footer"/>
    <w:basedOn w:val="Normal"/>
    <w:link w:val="FooterChar"/>
    <w:uiPriority w:val="99"/>
    <w:unhideWhenUsed/>
    <w:rsid w:val="00481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5F"/>
  </w:style>
  <w:style w:type="character" w:customStyle="1" w:styleId="Heading1Char">
    <w:name w:val="Heading 1 Char"/>
    <w:basedOn w:val="DefaultParagraphFont"/>
    <w:link w:val="Heading1"/>
    <w:uiPriority w:val="9"/>
    <w:rsid w:val="00E1066A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66A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66A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66A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66A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F:/Oracle/Middleware/Oracle_Home/user_projects/domains/bi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://providers.dffh.vic.gov.au/families-fairness-housing-health-activity-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manual.vic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providers.dffh.vic.gov.au/program-requirements-out-home-care-services%3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human-services-standards-policy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1DCF1E1-77B4-4F8C-A8C4-3C1F59BC523C}"/>
</file>

<file path=customXml/itemProps2.xml><?xml version="1.0" encoding="utf-8"?>
<ds:datastoreItem xmlns:ds="http://schemas.openxmlformats.org/officeDocument/2006/customXml" ds:itemID="{F54299FA-B69D-4A74-B72C-3925BAC979AF}"/>
</file>

<file path=customXml/itemProps3.xml><?xml version="1.0" encoding="utf-8"?>
<ds:datastoreItem xmlns:ds="http://schemas.openxmlformats.org/officeDocument/2006/customXml" ds:itemID="{9C333C80-8E6C-4999-9ACC-FF9D9C170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5365</Characters>
  <Application>Microsoft Office Word</Application>
  <DocSecurity>0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Home Based Care - Adolescent Community Placement 31205</vt:lpstr>
    </vt:vector>
  </TitlesOfParts>
  <Manager/>
  <Company/>
  <LinksUpToDate>false</LinksUpToDate>
  <CharactersWithSpaces>6167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Home Based Care - Adolescent Community Placement 31205</dc:title>
  <dc:subject/>
  <dc:creator/>
  <cp:keywords/>
  <dc:description/>
  <cp:lastModifiedBy/>
  <cp:revision>2</cp:revision>
  <dcterms:created xsi:type="dcterms:W3CDTF">2023-09-12T23:57:00Z</dcterms:created>
  <dcterms:modified xsi:type="dcterms:W3CDTF">2023-09-22T06:58:00Z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2023-09-12T23:56:43Z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affa04b4-c726-4020-a863-66d3e6211b5a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