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76"/>
      </w:tblGrid>
      <w:tr w:rsidR="002B7F49" w:rsidTr="004800D5">
        <w:trPr>
          <w:trHeight w:val="936"/>
        </w:trPr>
        <w:tc>
          <w:tcPr>
            <w:tcW w:w="8176" w:type="dxa"/>
            <w:shd w:val="clear" w:color="auto" w:fill="auto"/>
            <w:vAlign w:val="bottom"/>
          </w:tcPr>
          <w:p w:rsidR="004800D5" w:rsidRDefault="002B7F49" w:rsidP="008343C5">
            <w:pPr>
              <w:pStyle w:val="DHHSmainheading"/>
              <w:spacing w:line="270" w:lineRule="atLeast"/>
              <w:rPr>
                <w:noProof/>
                <w:color w:val="FFFFFF" w:themeColor="background1"/>
                <w:sz w:val="40"/>
                <w:szCs w:val="40"/>
                <w:lang w:eastAsia="en-AU"/>
              </w:rPr>
            </w:pPr>
            <w:r w:rsidRPr="004800D5">
              <w:rPr>
                <w:noProof/>
                <w:color w:val="FFFFFF" w:themeColor="background1"/>
                <w:sz w:val="44"/>
                <w:szCs w:val="44"/>
                <w:lang w:eastAsia="en-AU"/>
              </w:rPr>
              <w:drawing>
                <wp:anchor distT="0" distB="0" distL="114300" distR="114300" simplePos="0" relativeHeight="251710464" behindDoc="1" locked="1" layoutInCell="0" allowOverlap="1" wp14:anchorId="2C67F70A" wp14:editId="2B7D0DBB">
                  <wp:simplePos x="0" y="0"/>
                  <wp:positionH relativeFrom="page">
                    <wp:posOffset>-540385</wp:posOffset>
                  </wp:positionH>
                  <wp:positionV relativeFrom="page">
                    <wp:posOffset>-492125</wp:posOffset>
                  </wp:positionV>
                  <wp:extent cx="7562850" cy="2190750"/>
                  <wp:effectExtent l="0" t="0" r="0" b="0"/>
                  <wp:wrapNone/>
                  <wp:docPr id="52" name="Picture 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2190750"/>
                          </a:xfrm>
                          <a:prstGeom prst="rect">
                            <a:avLst/>
                          </a:prstGeom>
                          <a:noFill/>
                        </pic:spPr>
                      </pic:pic>
                    </a:graphicData>
                  </a:graphic>
                  <wp14:sizeRelH relativeFrom="page">
                    <wp14:pctWidth>0</wp14:pctWidth>
                  </wp14:sizeRelH>
                  <wp14:sizeRelV relativeFrom="page">
                    <wp14:pctHeight>0</wp14:pctHeight>
                  </wp14:sizeRelV>
                </wp:anchor>
              </w:drawing>
            </w:r>
            <w:r w:rsidR="003204AD" w:rsidRPr="004800D5">
              <w:rPr>
                <w:noProof/>
                <w:color w:val="FFFFFF" w:themeColor="background1"/>
                <w:sz w:val="44"/>
                <w:szCs w:val="44"/>
                <w:lang w:eastAsia="en-AU"/>
              </w:rPr>
              <w:t xml:space="preserve">Home and Community </w:t>
            </w:r>
            <w:r w:rsidR="00324A08" w:rsidRPr="004800D5">
              <w:rPr>
                <w:noProof/>
                <w:color w:val="FFFFFF" w:themeColor="background1"/>
                <w:sz w:val="44"/>
                <w:szCs w:val="44"/>
                <w:lang w:eastAsia="en-AU"/>
              </w:rPr>
              <w:t>Care</w:t>
            </w:r>
            <w:r w:rsidR="00324A08">
              <w:rPr>
                <w:noProof/>
                <w:color w:val="FFFFFF" w:themeColor="background1"/>
                <w:sz w:val="40"/>
                <w:szCs w:val="40"/>
                <w:lang w:eastAsia="en-AU"/>
              </w:rPr>
              <w:t xml:space="preserve"> </w:t>
            </w:r>
          </w:p>
          <w:p w:rsidR="00262452" w:rsidRDefault="00D5565D" w:rsidP="008343C5">
            <w:pPr>
              <w:pStyle w:val="DHHSmainheading"/>
              <w:spacing w:line="270" w:lineRule="atLeast"/>
              <w:rPr>
                <w:rFonts w:cs="Arial"/>
                <w:noProof/>
                <w:sz w:val="40"/>
                <w:szCs w:val="44"/>
              </w:rPr>
            </w:pPr>
            <w:r w:rsidRPr="004800D5">
              <w:rPr>
                <w:noProof/>
                <w:color w:val="FFFFFF" w:themeColor="background1"/>
                <w:sz w:val="44"/>
                <w:szCs w:val="44"/>
                <w:lang w:eastAsia="en-AU"/>
              </w:rPr>
              <w:t>Planned Activity Group</w:t>
            </w:r>
            <w:r>
              <w:rPr>
                <w:noProof/>
                <w:color w:val="FFFFFF" w:themeColor="background1"/>
                <w:sz w:val="40"/>
                <w:szCs w:val="40"/>
                <w:lang w:eastAsia="en-AU"/>
              </w:rPr>
              <w:t xml:space="preserve"> - </w:t>
            </w:r>
            <w:r w:rsidRPr="004800D5">
              <w:rPr>
                <w:noProof/>
                <w:color w:val="FFFFFF" w:themeColor="background1"/>
                <w:sz w:val="44"/>
                <w:szCs w:val="44"/>
                <w:lang w:eastAsia="en-AU"/>
              </w:rPr>
              <w:t>Core</w:t>
            </w:r>
            <w:r w:rsidR="007C33F5">
              <w:rPr>
                <w:rFonts w:cs="Arial"/>
                <w:noProof/>
                <w:sz w:val="40"/>
                <w:szCs w:val="44"/>
              </w:rPr>
              <w:t xml:space="preserve"> </w:t>
            </w:r>
          </w:p>
          <w:p w:rsidR="002B7F49" w:rsidRPr="004800D5" w:rsidRDefault="002B7F49" w:rsidP="008343C5">
            <w:pPr>
              <w:pStyle w:val="DHHSmainheading"/>
              <w:spacing w:line="270" w:lineRule="atLeast"/>
              <w:rPr>
                <w:sz w:val="44"/>
                <w:szCs w:val="44"/>
              </w:rPr>
            </w:pPr>
            <w:r w:rsidRPr="004800D5">
              <w:rPr>
                <w:rFonts w:cs="Arial"/>
                <w:noProof/>
                <w:sz w:val="44"/>
                <w:szCs w:val="44"/>
              </w:rPr>
              <w:t>13</w:t>
            </w:r>
            <w:r w:rsidR="003204AD" w:rsidRPr="004800D5">
              <w:rPr>
                <w:rFonts w:cs="Arial"/>
                <w:noProof/>
                <w:sz w:val="44"/>
                <w:szCs w:val="44"/>
              </w:rPr>
              <w:t>0</w:t>
            </w:r>
            <w:r w:rsidR="00D5565D" w:rsidRPr="004800D5">
              <w:rPr>
                <w:rFonts w:cs="Arial"/>
                <w:noProof/>
                <w:sz w:val="44"/>
                <w:szCs w:val="44"/>
              </w:rPr>
              <w:t>56</w:t>
            </w:r>
            <w:r w:rsidR="00F233C5" w:rsidRPr="004800D5">
              <w:rPr>
                <w:rFonts w:cs="Arial"/>
                <w:noProof/>
                <w:sz w:val="44"/>
                <w:szCs w:val="44"/>
              </w:rPr>
              <w:t xml:space="preserve"> </w:t>
            </w:r>
          </w:p>
        </w:tc>
      </w:tr>
      <w:tr w:rsidR="002B7F49" w:rsidTr="004800D5">
        <w:trPr>
          <w:trHeight w:val="849"/>
        </w:trPr>
        <w:tc>
          <w:tcPr>
            <w:tcW w:w="8176" w:type="dxa"/>
            <w:shd w:val="clear" w:color="auto" w:fill="auto"/>
            <w:tcMar>
              <w:top w:w="170" w:type="dxa"/>
              <w:bottom w:w="510" w:type="dxa"/>
            </w:tcMar>
          </w:tcPr>
          <w:p w:rsidR="002B7F49" w:rsidRPr="00730DE2" w:rsidRDefault="002B7F49" w:rsidP="00113B58">
            <w:pPr>
              <w:pStyle w:val="DHHSmainsubheading"/>
              <w:rPr>
                <w:szCs w:val="28"/>
              </w:rPr>
            </w:pPr>
            <w:r w:rsidRPr="00730DE2">
              <w:rPr>
                <w:szCs w:val="28"/>
              </w:rPr>
              <w:t xml:space="preserve">Outcome objective: Victorians are healthy and well </w:t>
            </w:r>
          </w:p>
          <w:p w:rsidR="002B7F49" w:rsidRPr="00730DE2" w:rsidRDefault="002B7F49" w:rsidP="00113B58">
            <w:pPr>
              <w:pStyle w:val="DHHSmainsubheading"/>
              <w:rPr>
                <w:szCs w:val="28"/>
              </w:rPr>
            </w:pPr>
            <w:r w:rsidRPr="00730DE2">
              <w:rPr>
                <w:szCs w:val="28"/>
              </w:rPr>
              <w:t xml:space="preserve">Output group: </w:t>
            </w:r>
            <w:r w:rsidRPr="00730DE2">
              <w:rPr>
                <w:noProof/>
                <w:szCs w:val="28"/>
              </w:rPr>
              <w:t>Aged and Home Care</w:t>
            </w:r>
          </w:p>
          <w:p w:rsidR="002B7F49" w:rsidRPr="00AD784C" w:rsidRDefault="002B7F49" w:rsidP="00113B58">
            <w:pPr>
              <w:pStyle w:val="DHHSmainsubheading"/>
              <w:rPr>
                <w:szCs w:val="28"/>
              </w:rPr>
            </w:pPr>
            <w:r w:rsidRPr="00730DE2">
              <w:rPr>
                <w:szCs w:val="28"/>
              </w:rPr>
              <w:t xml:space="preserve">Output: </w:t>
            </w:r>
            <w:r w:rsidRPr="00730DE2">
              <w:rPr>
                <w:noProof/>
                <w:szCs w:val="28"/>
              </w:rPr>
              <w:t>HACC primary health, community care and support</w:t>
            </w:r>
          </w:p>
        </w:tc>
      </w:tr>
    </w:tbl>
    <w:p w:rsidR="002A2A58" w:rsidRDefault="00113B58" w:rsidP="006C7A1F">
      <w:pPr>
        <w:pStyle w:val="Heading3"/>
        <w:spacing w:beforeLines="40" w:before="96"/>
        <w:rPr>
          <w:highlight w:val="yellow"/>
        </w:rPr>
      </w:pPr>
      <w:r>
        <w:br w:type="textWrapping" w:clear="all"/>
      </w:r>
    </w:p>
    <w:p w:rsidR="002B7F49" w:rsidRPr="002A2A58" w:rsidRDefault="002B7F49" w:rsidP="004800D5">
      <w:pPr>
        <w:pStyle w:val="Heading1"/>
      </w:pPr>
      <w:r w:rsidRPr="002A2A58">
        <w:t xml:space="preserve">1. Service Objective </w:t>
      </w:r>
    </w:p>
    <w:p w:rsidR="005B6B27" w:rsidRDefault="005B6B27" w:rsidP="005B6B27">
      <w:pPr>
        <w:pStyle w:val="DHHSbody"/>
        <w:spacing w:beforeLines="40" w:before="96"/>
        <w:rPr>
          <w:rFonts w:eastAsia="Times New Roman"/>
          <w:lang w:eastAsia="en-AU"/>
        </w:rPr>
      </w:pPr>
      <w:bookmarkStart w:id="0" w:name="_Hlk5635703"/>
      <w:r w:rsidRPr="002A2A58">
        <w:rPr>
          <w:rFonts w:eastAsia="Times New Roman"/>
          <w:lang w:eastAsia="en-AU"/>
        </w:rPr>
        <w:t>The Home and Community Care Program for Younger People (HACC-PYP) aims to</w:t>
      </w:r>
      <w:r>
        <w:rPr>
          <w:rFonts w:eastAsia="Times New Roman"/>
          <w:lang w:eastAsia="en-AU"/>
        </w:rPr>
        <w:t xml:space="preserve"> </w:t>
      </w:r>
      <w:r w:rsidRPr="002A2A58">
        <w:rPr>
          <w:rFonts w:eastAsia="Times New Roman"/>
          <w:lang w:eastAsia="en-AU"/>
        </w:rPr>
        <w:t xml:space="preserve">provide </w:t>
      </w:r>
      <w:r>
        <w:rPr>
          <w:rFonts w:eastAsia="Times New Roman"/>
          <w:lang w:eastAsia="en-AU"/>
        </w:rPr>
        <w:t>an</w:t>
      </w:r>
      <w:r w:rsidRPr="002A2A58">
        <w:rPr>
          <w:rFonts w:eastAsia="Times New Roman"/>
          <w:lang w:eastAsia="en-AU"/>
        </w:rPr>
        <w:t xml:space="preserve"> integrated range of basic maintenance and support services </w:t>
      </w:r>
      <w:r>
        <w:rPr>
          <w:rFonts w:eastAsia="Times New Roman"/>
          <w:lang w:eastAsia="en-AU"/>
        </w:rPr>
        <w:t>to eligible clients to:</w:t>
      </w:r>
    </w:p>
    <w:p w:rsidR="005B6B27" w:rsidRDefault="005B6B27" w:rsidP="004800D5">
      <w:pPr>
        <w:pStyle w:val="DHHSbullet1"/>
      </w:pPr>
      <w:r w:rsidRPr="008666E6">
        <w:t>improve</w:t>
      </w:r>
      <w:r>
        <w:t xml:space="preserve"> and </w:t>
      </w:r>
      <w:r w:rsidRPr="008666E6">
        <w:t xml:space="preserve">maintain </w:t>
      </w:r>
      <w:r>
        <w:t xml:space="preserve">the client’s </w:t>
      </w:r>
      <w:r w:rsidRPr="008666E6">
        <w:t>independence and capacity to live safely at home and participate in community activities</w:t>
      </w:r>
      <w:r>
        <w:t xml:space="preserve"> and </w:t>
      </w:r>
    </w:p>
    <w:p w:rsidR="005B6B27" w:rsidRPr="00BE3188" w:rsidRDefault="005B6B27" w:rsidP="004800D5">
      <w:pPr>
        <w:pStyle w:val="DHHSbullet1"/>
      </w:pPr>
      <w:r>
        <w:t>strengthen the capacity of the client’s carer to maintain their care role.</w:t>
      </w:r>
      <w:r w:rsidRPr="00BE3188">
        <w:t xml:space="preserve"> </w:t>
      </w:r>
    </w:p>
    <w:bookmarkEnd w:id="0"/>
    <w:p w:rsidR="002B7F49" w:rsidRDefault="002B7F49" w:rsidP="004800D5">
      <w:pPr>
        <w:pStyle w:val="Heading1"/>
      </w:pPr>
      <w:r>
        <w:t>2</w:t>
      </w:r>
      <w:r w:rsidRPr="00B70F76">
        <w:t xml:space="preserve">. </w:t>
      </w:r>
      <w:r>
        <w:t>Description of the service</w:t>
      </w:r>
    </w:p>
    <w:p w:rsidR="005A0D72" w:rsidRDefault="005A0D72" w:rsidP="005A0D72">
      <w:pPr>
        <w:pStyle w:val="DHHSbody"/>
        <w:spacing w:beforeLines="40" w:before="96"/>
        <w:rPr>
          <w:rFonts w:eastAsia="Times New Roman"/>
          <w:lang w:eastAsia="en-AU"/>
        </w:rPr>
      </w:pPr>
      <w:r w:rsidRPr="005A0D72">
        <w:rPr>
          <w:rFonts w:eastAsia="Times New Roman"/>
          <w:lang w:eastAsia="en-AU"/>
        </w:rPr>
        <w:t xml:space="preserve">Planned activity groups are designed to enhance </w:t>
      </w:r>
      <w:r w:rsidR="00920345">
        <w:rPr>
          <w:rFonts w:eastAsia="Times New Roman"/>
          <w:lang w:eastAsia="en-AU"/>
        </w:rPr>
        <w:t>client’s</w:t>
      </w:r>
      <w:r w:rsidRPr="005A0D72">
        <w:rPr>
          <w:rFonts w:eastAsia="Times New Roman"/>
          <w:lang w:eastAsia="en-AU"/>
        </w:rPr>
        <w:t xml:space="preserve"> independence by promoting physical</w:t>
      </w:r>
      <w:r>
        <w:rPr>
          <w:rFonts w:eastAsia="Times New Roman"/>
          <w:lang w:eastAsia="en-AU"/>
        </w:rPr>
        <w:t xml:space="preserve"> </w:t>
      </w:r>
      <w:r w:rsidRPr="005A0D72">
        <w:rPr>
          <w:rFonts w:eastAsia="Times New Roman"/>
          <w:lang w:eastAsia="en-AU"/>
        </w:rPr>
        <w:t xml:space="preserve">activity, cognitive stimulation, good nutrition, emotional wellbeing and social inclusion. For </w:t>
      </w:r>
      <w:r w:rsidR="00920345">
        <w:rPr>
          <w:rFonts w:eastAsia="Times New Roman"/>
          <w:lang w:eastAsia="en-AU"/>
        </w:rPr>
        <w:t>clients</w:t>
      </w:r>
      <w:r>
        <w:rPr>
          <w:rFonts w:eastAsia="Times New Roman"/>
          <w:lang w:eastAsia="en-AU"/>
        </w:rPr>
        <w:t xml:space="preserve"> </w:t>
      </w:r>
      <w:r w:rsidRPr="005A0D72">
        <w:rPr>
          <w:rFonts w:eastAsia="Times New Roman"/>
          <w:lang w:eastAsia="en-AU"/>
        </w:rPr>
        <w:t>with carers, planned activity groups are also designed to support care relationships</w:t>
      </w:r>
      <w:r>
        <w:rPr>
          <w:rFonts w:eastAsia="Times New Roman"/>
          <w:lang w:eastAsia="en-AU"/>
        </w:rPr>
        <w:t>.</w:t>
      </w:r>
    </w:p>
    <w:p w:rsidR="00E10652" w:rsidRPr="005A0D72" w:rsidRDefault="00920345" w:rsidP="005A0D72">
      <w:pPr>
        <w:pStyle w:val="DHHSbody"/>
        <w:spacing w:beforeLines="40" w:before="96"/>
        <w:rPr>
          <w:rFonts w:eastAsia="Times New Roman"/>
          <w:lang w:eastAsia="en-AU"/>
        </w:rPr>
      </w:pPr>
      <w:r>
        <w:rPr>
          <w:rFonts w:eastAsia="Times New Roman"/>
          <w:lang w:eastAsia="en-AU"/>
        </w:rPr>
        <w:t>A</w:t>
      </w:r>
      <w:r w:rsidR="00E10652">
        <w:rPr>
          <w:rFonts w:eastAsia="Times New Roman"/>
          <w:lang w:eastAsia="en-AU"/>
        </w:rPr>
        <w:t xml:space="preserve"> range of activities </w:t>
      </w:r>
      <w:r>
        <w:rPr>
          <w:rFonts w:eastAsia="Times New Roman"/>
          <w:lang w:eastAsia="en-AU"/>
        </w:rPr>
        <w:t>based on the interest of the group members</w:t>
      </w:r>
      <w:r w:rsidR="005F4E14">
        <w:rPr>
          <w:rFonts w:eastAsia="Times New Roman"/>
          <w:lang w:eastAsia="en-AU"/>
        </w:rPr>
        <w:t xml:space="preserve"> c</w:t>
      </w:r>
      <w:r>
        <w:rPr>
          <w:rFonts w:eastAsia="Times New Roman"/>
          <w:lang w:eastAsia="en-AU"/>
        </w:rPr>
        <w:t xml:space="preserve">an be provided. For </w:t>
      </w:r>
      <w:proofErr w:type="gramStart"/>
      <w:r>
        <w:rPr>
          <w:rFonts w:eastAsia="Times New Roman"/>
          <w:lang w:eastAsia="en-AU"/>
        </w:rPr>
        <w:t>example</w:t>
      </w:r>
      <w:proofErr w:type="gramEnd"/>
      <w:r>
        <w:rPr>
          <w:rFonts w:eastAsia="Times New Roman"/>
          <w:lang w:eastAsia="en-AU"/>
        </w:rPr>
        <w:t xml:space="preserve"> </w:t>
      </w:r>
      <w:r w:rsidR="00E10652">
        <w:rPr>
          <w:rFonts w:eastAsia="Times New Roman"/>
          <w:lang w:eastAsia="en-AU"/>
        </w:rPr>
        <w:t xml:space="preserve">community outing, </w:t>
      </w:r>
      <w:r w:rsidR="005F4E14">
        <w:rPr>
          <w:rFonts w:eastAsia="Times New Roman"/>
          <w:lang w:eastAsia="en-AU"/>
        </w:rPr>
        <w:t xml:space="preserve">such </w:t>
      </w:r>
      <w:r w:rsidR="00E10652">
        <w:rPr>
          <w:rFonts w:eastAsia="Times New Roman"/>
          <w:lang w:eastAsia="en-AU"/>
        </w:rPr>
        <w:t xml:space="preserve">bowling or </w:t>
      </w:r>
      <w:r w:rsidR="005F4E14">
        <w:rPr>
          <w:rFonts w:eastAsia="Times New Roman"/>
          <w:lang w:eastAsia="en-AU"/>
        </w:rPr>
        <w:t xml:space="preserve">bush </w:t>
      </w:r>
      <w:r w:rsidR="00E10652">
        <w:rPr>
          <w:rFonts w:eastAsia="Times New Roman"/>
          <w:lang w:eastAsia="en-AU"/>
        </w:rPr>
        <w:t xml:space="preserve">walking, </w:t>
      </w:r>
      <w:r>
        <w:rPr>
          <w:rFonts w:eastAsia="Times New Roman"/>
          <w:lang w:eastAsia="en-AU"/>
        </w:rPr>
        <w:t>facility</w:t>
      </w:r>
      <w:r w:rsidR="00E10652">
        <w:rPr>
          <w:rFonts w:eastAsia="Times New Roman"/>
          <w:lang w:eastAsia="en-AU"/>
        </w:rPr>
        <w:t xml:space="preserve"> based activities such as art/craft classes, education and information on nutrition awareness</w:t>
      </w:r>
      <w:r>
        <w:rPr>
          <w:rFonts w:eastAsia="Times New Roman"/>
          <w:lang w:eastAsia="en-AU"/>
        </w:rPr>
        <w:t xml:space="preserve"> or other topics of interest</w:t>
      </w:r>
      <w:r w:rsidR="005F4E14">
        <w:rPr>
          <w:rFonts w:eastAsia="Times New Roman"/>
          <w:lang w:eastAsia="en-AU"/>
        </w:rPr>
        <w:t xml:space="preserve"> to the clients and carers</w:t>
      </w:r>
      <w:r>
        <w:rPr>
          <w:rFonts w:eastAsia="Times New Roman"/>
          <w:lang w:eastAsia="en-AU"/>
        </w:rPr>
        <w:t>.</w:t>
      </w:r>
    </w:p>
    <w:p w:rsidR="002B7F49" w:rsidRPr="00B70F76" w:rsidRDefault="002B7F49" w:rsidP="004800D5">
      <w:pPr>
        <w:pStyle w:val="Heading1"/>
      </w:pPr>
      <w:r>
        <w:t xml:space="preserve">3. </w:t>
      </w:r>
      <w:r w:rsidRPr="00B70F76">
        <w:t>Client group</w:t>
      </w:r>
    </w:p>
    <w:p w:rsidR="002B7F49" w:rsidRDefault="00726110" w:rsidP="004800D5">
      <w:pPr>
        <w:pStyle w:val="DHHSbody"/>
      </w:pPr>
      <w:r>
        <w:t>This</w:t>
      </w:r>
      <w:r w:rsidR="002B7F49">
        <w:t xml:space="preserve"> activity is targeted </w:t>
      </w:r>
      <w:r w:rsidR="004D476B">
        <w:t xml:space="preserve">at </w:t>
      </w:r>
      <w:r>
        <w:t xml:space="preserve">people </w:t>
      </w:r>
      <w:r w:rsidR="00E10652">
        <w:t>aged under</w:t>
      </w:r>
      <w:r>
        <w:t xml:space="preserve"> 65 </w:t>
      </w:r>
      <w:r w:rsidR="00E10652">
        <w:t>years or under 50 years for</w:t>
      </w:r>
      <w:r>
        <w:t xml:space="preserve"> </w:t>
      </w:r>
      <w:r w:rsidR="00FD42D5">
        <w:t xml:space="preserve">Aboriginal and Torres Strait Islanders </w:t>
      </w:r>
      <w:r>
        <w:t>who have</w:t>
      </w:r>
      <w:r w:rsidR="004D476B">
        <w:t xml:space="preserve"> difficulty performing activities of daily living and their carers</w:t>
      </w:r>
      <w:r>
        <w:t>.</w:t>
      </w:r>
    </w:p>
    <w:p w:rsidR="002B7F49" w:rsidRDefault="002B7F49" w:rsidP="004800D5">
      <w:pPr>
        <w:pStyle w:val="Heading1"/>
      </w:pPr>
      <w:r>
        <w:t>4. Obligations specific to this activity</w:t>
      </w:r>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4800D5">
      <w:pPr>
        <w:pStyle w:val="Heading2"/>
      </w:pPr>
      <w:r w:rsidRPr="001F3DE2">
        <w:t xml:space="preserve">4a.  Registration and Accreditation </w:t>
      </w:r>
    </w:p>
    <w:p w:rsidR="00FC5CAB" w:rsidRPr="00372809" w:rsidRDefault="00FC5CAB" w:rsidP="004800D5">
      <w:pPr>
        <w:pStyle w:val="DHHSbullet1"/>
      </w:pPr>
      <w:bookmarkStart w:id="1" w:name="_Hlk4404866"/>
      <w:bookmarkStart w:id="2" w:name="_Hlk4404889"/>
      <w:r w:rsidRPr="00372809">
        <w:t xml:space="preserve">HACC-PYP funded organisations are required to meet the Home Care Common Standards.  </w:t>
      </w:r>
    </w:p>
    <w:p w:rsidR="00BC383A" w:rsidRPr="00372809" w:rsidRDefault="00FC5CAB" w:rsidP="004800D5">
      <w:pPr>
        <w:pStyle w:val="DHHSbullet1"/>
      </w:pPr>
      <w:r w:rsidRPr="00372809">
        <w:t>HACC-PYP funded organisations that are also funded to deliver the Commonwealth Home Support Programme are subject to review against the Home Care Common Standards</w:t>
      </w:r>
      <w:r w:rsidR="00726110" w:rsidRPr="00372809">
        <w:t xml:space="preserve">. From </w:t>
      </w:r>
      <w:r w:rsidRPr="00372809">
        <w:t>1 July 2019, these</w:t>
      </w:r>
      <w:r w:rsidR="00726110" w:rsidRPr="00372809">
        <w:t xml:space="preserve"> standards</w:t>
      </w:r>
      <w:r w:rsidRPr="00372809">
        <w:t xml:space="preserve"> will be replaced with the Aged Care Quality Standards with reviews undertaken by the Aged Care Quality and Safety Commission. Since 2016, quality reviews for the CHSP have satisfied HACC-PYP quality requirements. This status will be subject to review based on the future arrangements for the HACC-</w:t>
      </w:r>
      <w:bookmarkEnd w:id="1"/>
      <w:r w:rsidRPr="00372809">
        <w:t>PYP.</w:t>
      </w:r>
    </w:p>
    <w:bookmarkEnd w:id="2"/>
    <w:p w:rsidR="002B7F49" w:rsidRPr="001F3DE2" w:rsidRDefault="002B7F49" w:rsidP="004800D5">
      <w:pPr>
        <w:pStyle w:val="Heading2"/>
      </w:pPr>
      <w:r w:rsidRPr="001F3DE2">
        <w:t xml:space="preserve">4b. Program requirements and other policy guidelines </w:t>
      </w:r>
    </w:p>
    <w:p w:rsidR="00BB42F0" w:rsidRPr="00372809" w:rsidRDefault="00BB42F0" w:rsidP="004A79F6">
      <w:pPr>
        <w:pStyle w:val="DHHSbullet1"/>
      </w:pPr>
      <w:bookmarkStart w:id="3" w:name="_Hlk4405018"/>
      <w:r w:rsidRPr="00372809">
        <w:t xml:space="preserve">Victorian HACC program manual </w:t>
      </w:r>
    </w:p>
    <w:bookmarkEnd w:id="3"/>
    <w:p w:rsidR="00E10652" w:rsidRDefault="004800D5" w:rsidP="004800D5">
      <w:pPr>
        <w:pStyle w:val="Heading2"/>
      </w:pPr>
      <w:r>
        <w:lastRenderedPageBreak/>
        <w:t>4c</w:t>
      </w:r>
      <w:r w:rsidR="002B7F49">
        <w:t>.</w:t>
      </w:r>
      <w:bookmarkStart w:id="4" w:name="_Toc419823588"/>
      <w:r w:rsidR="00E10652">
        <w:t xml:space="preserve"> </w:t>
      </w:r>
      <w:r w:rsidR="00E10652" w:rsidRPr="00E14590">
        <w:t>Service redevelopment</w:t>
      </w:r>
      <w:bookmarkEnd w:id="4"/>
    </w:p>
    <w:p w:rsidR="00E10652" w:rsidRPr="003A3554" w:rsidRDefault="00E10652" w:rsidP="004800D5">
      <w:pPr>
        <w:pStyle w:val="DHHSbullet1"/>
      </w:pPr>
      <w:r w:rsidRPr="004F7F76">
        <w:t>The department will continue to monitor service provision, and where necessary, may amend service specifications or funding allocations based on community needs or in response to changes to government policy and priorities.</w:t>
      </w:r>
    </w:p>
    <w:p w:rsidR="00E10652" w:rsidRPr="003A3554" w:rsidRDefault="00E10652" w:rsidP="004800D5">
      <w:pPr>
        <w:pStyle w:val="DHHSbullet1"/>
      </w:pPr>
      <w:r w:rsidRPr="003A3554">
        <w:t xml:space="preserve">During the </w:t>
      </w:r>
      <w:r>
        <w:t>current S</w:t>
      </w:r>
      <w:r w:rsidRPr="003A3554">
        <w:t xml:space="preserve">ervice </w:t>
      </w:r>
      <w:r>
        <w:t>A</w:t>
      </w:r>
      <w:r w:rsidRPr="003A3554">
        <w:t xml:space="preserve">greement period, the roll out of the National Disability Insurance Scheme </w:t>
      </w:r>
      <w:r>
        <w:t xml:space="preserve">(NDIS) </w:t>
      </w:r>
      <w:r w:rsidRPr="003A3554">
        <w:t xml:space="preserve">will </w:t>
      </w:r>
      <w:r>
        <w:t>completed</w:t>
      </w:r>
      <w:r w:rsidRPr="003A3554">
        <w:t xml:space="preserve"> in Victoria. Community service organisations are expected to work collaboratively with the department and the National Disability Insurance Agency to facilitate a smooth transition. </w:t>
      </w:r>
    </w:p>
    <w:p w:rsidR="00E10652" w:rsidRPr="00575BC9" w:rsidRDefault="004800D5" w:rsidP="004800D5">
      <w:pPr>
        <w:pStyle w:val="Heading1"/>
      </w:pPr>
      <w:r>
        <w:t>5</w:t>
      </w:r>
      <w:r w:rsidR="00E10652">
        <w:t>. Performance</w:t>
      </w:r>
    </w:p>
    <w:p w:rsidR="00E10652" w:rsidRPr="001F1A17" w:rsidRDefault="00E10652" w:rsidP="004800D5">
      <w:pPr>
        <w:pStyle w:val="DHHSbody"/>
      </w:pPr>
      <w:r>
        <w:t>Funding is subject to achieving the</w:t>
      </w:r>
      <w:r w:rsidRPr="00171F04">
        <w:t xml:space="preserve"> </w:t>
      </w:r>
      <w:r>
        <w:t>performance targets specified in Schedule 2 of the Service Agreement. Performance is measured as follows:</w:t>
      </w:r>
    </w:p>
    <w:p w:rsidR="00BE5B2D" w:rsidRPr="00B43DD0" w:rsidRDefault="00BE5B2D" w:rsidP="004800D5">
      <w:pPr>
        <w:pStyle w:val="Heading2"/>
      </w:pPr>
      <w:r>
        <w:t>Key performance measure</w:t>
      </w:r>
      <w:r w:rsidR="00726110">
        <w:t xml:space="preserve"> 1</w:t>
      </w:r>
      <w:r w:rsidRPr="00575BC9">
        <w:t xml:space="preserve">: </w:t>
      </w:r>
      <w:r w:rsidRPr="00897433">
        <w:rPr>
          <w:rStyle w:val="DHHSbodyChar"/>
        </w:rPr>
        <w:t>Number of hours of service</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E5B2D" w:rsidRPr="00C237A0" w:rsidTr="004800D5">
        <w:trPr>
          <w:cantSplit/>
          <w:trHeight w:hRule="exact" w:val="677"/>
        </w:trPr>
        <w:tc>
          <w:tcPr>
            <w:tcW w:w="2835" w:type="dxa"/>
          </w:tcPr>
          <w:p w:rsidR="00BE5B2D" w:rsidRPr="0017293C" w:rsidRDefault="00BE5B2D" w:rsidP="00374C1E">
            <w:pPr>
              <w:pStyle w:val="DHHStablecolhead"/>
            </w:pPr>
            <w:r w:rsidRPr="00575BC9">
              <w:t>Aim/objective</w:t>
            </w:r>
          </w:p>
        </w:tc>
        <w:tc>
          <w:tcPr>
            <w:tcW w:w="7379" w:type="dxa"/>
          </w:tcPr>
          <w:p w:rsidR="00BE5B2D" w:rsidRPr="002F7C4B" w:rsidRDefault="00E10652" w:rsidP="004800D5">
            <w:pPr>
              <w:pStyle w:val="DHHStabletext"/>
              <w:rPr>
                <w:color w:val="7030A0"/>
              </w:rPr>
            </w:pPr>
            <w:r>
              <w:t xml:space="preserve">The aim of this measure is to record the number of hours of group activity delivered </w:t>
            </w:r>
            <w:r w:rsidR="00D62398">
              <w:t>an individual client or carer</w:t>
            </w:r>
            <w:r w:rsidR="005F4E14">
              <w:t xml:space="preserve"> in the reporting period</w:t>
            </w:r>
            <w:r>
              <w:t>.</w:t>
            </w:r>
          </w:p>
        </w:tc>
      </w:tr>
      <w:tr w:rsidR="00E10652" w:rsidRPr="002F7C4B" w:rsidTr="004800D5">
        <w:trPr>
          <w:cantSplit/>
          <w:trHeight w:hRule="exact" w:val="457"/>
        </w:trPr>
        <w:tc>
          <w:tcPr>
            <w:tcW w:w="2835" w:type="dxa"/>
          </w:tcPr>
          <w:p w:rsidR="00E10652" w:rsidRPr="0017293C" w:rsidRDefault="00E10652" w:rsidP="00373D25">
            <w:pPr>
              <w:pStyle w:val="DHHStablecolhead"/>
            </w:pPr>
            <w:r w:rsidRPr="00575BC9">
              <w:t>Target</w:t>
            </w:r>
          </w:p>
        </w:tc>
        <w:tc>
          <w:tcPr>
            <w:tcW w:w="7379" w:type="dxa"/>
          </w:tcPr>
          <w:p w:rsidR="00E10652" w:rsidRPr="002F7C4B" w:rsidRDefault="00372809" w:rsidP="004800D5">
            <w:pPr>
              <w:pStyle w:val="DHHStabletext"/>
              <w:rPr>
                <w:color w:val="7030A0"/>
              </w:rPr>
            </w:pPr>
            <w:r w:rsidRPr="00372809">
              <w:t>The performance target is provided in the Service Agreement.</w:t>
            </w:r>
          </w:p>
        </w:tc>
      </w:tr>
      <w:tr w:rsidR="00E10652" w:rsidRPr="00C237A0" w:rsidTr="004800D5">
        <w:trPr>
          <w:cantSplit/>
          <w:trHeight w:hRule="exact" w:val="535"/>
        </w:trPr>
        <w:tc>
          <w:tcPr>
            <w:tcW w:w="2835" w:type="dxa"/>
          </w:tcPr>
          <w:p w:rsidR="00E10652" w:rsidRPr="0017293C" w:rsidRDefault="00E10652" w:rsidP="00373D25">
            <w:pPr>
              <w:pStyle w:val="DHHStablecolhead"/>
            </w:pPr>
            <w:r w:rsidRPr="00575BC9">
              <w:t>Type of count</w:t>
            </w:r>
          </w:p>
        </w:tc>
        <w:tc>
          <w:tcPr>
            <w:tcW w:w="7379" w:type="dxa"/>
          </w:tcPr>
          <w:p w:rsidR="00E10652" w:rsidRPr="00C237A0" w:rsidRDefault="00E10652" w:rsidP="004800D5">
            <w:pPr>
              <w:pStyle w:val="DHHStabletext"/>
            </w:pPr>
            <w:r>
              <w:fldChar w:fldCharType="begin">
                <w:ffData>
                  <w:name w:val=""/>
                  <w:enabled/>
                  <w:calcOnExit w:val="0"/>
                  <w:checkBox>
                    <w:sizeAuto/>
                    <w:default w:val="1"/>
                  </w:checkBox>
                </w:ffData>
              </w:fldChar>
            </w:r>
            <w:r>
              <w:instrText xml:space="preserve"> FORMCHECKBOX </w:instrText>
            </w:r>
            <w:r w:rsidR="004A79F6">
              <w:fldChar w:fldCharType="separate"/>
            </w:r>
            <w:r>
              <w:fldChar w:fldCharType="end"/>
            </w:r>
            <w:r>
              <w:t xml:space="preserve">   Cumulative          </w:t>
            </w:r>
            <w:r>
              <w:fldChar w:fldCharType="begin">
                <w:ffData>
                  <w:name w:val="Check2"/>
                  <w:enabled/>
                  <w:calcOnExit w:val="0"/>
                  <w:checkBox>
                    <w:sizeAuto/>
                    <w:default w:val="0"/>
                  </w:checkBox>
                </w:ffData>
              </w:fldChar>
            </w:r>
            <w:r>
              <w:instrText xml:space="preserve"> FORMCHECKBOX </w:instrText>
            </w:r>
            <w:r w:rsidR="004A79F6">
              <w:fldChar w:fldCharType="separate"/>
            </w:r>
            <w:r>
              <w:fldChar w:fldCharType="end"/>
            </w:r>
            <w:r>
              <w:t xml:space="preserve">    Non-cumulative </w:t>
            </w:r>
          </w:p>
        </w:tc>
      </w:tr>
      <w:tr w:rsidR="00BE5B2D" w:rsidRPr="00C237A0" w:rsidTr="004A79F6">
        <w:trPr>
          <w:cantSplit/>
          <w:trHeight w:hRule="exact" w:val="2212"/>
        </w:trPr>
        <w:tc>
          <w:tcPr>
            <w:tcW w:w="2835" w:type="dxa"/>
          </w:tcPr>
          <w:p w:rsidR="00BE5B2D" w:rsidRPr="0017293C" w:rsidRDefault="00BE5B2D" w:rsidP="00374C1E">
            <w:pPr>
              <w:pStyle w:val="DHHStablecolhead"/>
            </w:pPr>
            <w:r w:rsidRPr="00575BC9">
              <w:t>Counting rule</w:t>
            </w:r>
          </w:p>
        </w:tc>
        <w:tc>
          <w:tcPr>
            <w:tcW w:w="7379" w:type="dxa"/>
          </w:tcPr>
          <w:p w:rsidR="00BE5B2D" w:rsidRDefault="00BE5B2D" w:rsidP="004800D5">
            <w:pPr>
              <w:pStyle w:val="DHHStabletext"/>
            </w:pPr>
            <w:r>
              <w:t>The HACC MDS is used to record</w:t>
            </w:r>
            <w:r w:rsidR="005F4E14">
              <w:t xml:space="preserve"> the activity group hour/s related to an individual client or carer. </w:t>
            </w:r>
          </w:p>
          <w:p w:rsidR="005F4E14" w:rsidRDefault="005F4E14" w:rsidP="004800D5">
            <w:pPr>
              <w:pStyle w:val="DHHStabletext"/>
            </w:pPr>
          </w:p>
          <w:p w:rsidR="00F233C5" w:rsidRDefault="00BE5B2D" w:rsidP="004800D5">
            <w:pPr>
              <w:pStyle w:val="DHHStabletext"/>
            </w:pPr>
            <w:r>
              <w:t xml:space="preserve">Countable time </w:t>
            </w:r>
            <w:r w:rsidR="00F233C5">
              <w:t>in a PAG includes the:</w:t>
            </w:r>
          </w:p>
          <w:p w:rsidR="00920345" w:rsidRDefault="00D62398" w:rsidP="004800D5">
            <w:pPr>
              <w:pStyle w:val="DHHStabletext"/>
            </w:pPr>
            <w:r>
              <w:t xml:space="preserve">direct hours in the group session </w:t>
            </w:r>
            <w:r w:rsidR="00F233C5">
              <w:t xml:space="preserve"> </w:t>
            </w:r>
          </w:p>
          <w:p w:rsidR="00BE5B2D" w:rsidRPr="00C237A0" w:rsidRDefault="00F233C5" w:rsidP="004800D5">
            <w:pPr>
              <w:pStyle w:val="DHHStabletext"/>
            </w:pPr>
            <w:r>
              <w:t xml:space="preserve">the time associated with transporting clients to </w:t>
            </w:r>
            <w:r w:rsidR="00920345">
              <w:t xml:space="preserve">and from the </w:t>
            </w:r>
            <w:r w:rsidR="005F4E14">
              <w:t xml:space="preserve">activity </w:t>
            </w:r>
            <w:r>
              <w:t>session</w:t>
            </w:r>
            <w:r w:rsidR="00D62398">
              <w:t xml:space="preserve"> when a paid worker is involved in transporting clients</w:t>
            </w:r>
            <w:r w:rsidR="005F4E14">
              <w:t>.</w:t>
            </w:r>
          </w:p>
        </w:tc>
      </w:tr>
      <w:tr w:rsidR="00BE5B2D" w:rsidRPr="00C237A0" w:rsidTr="004800D5">
        <w:trPr>
          <w:cantSplit/>
          <w:trHeight w:hRule="exact" w:val="331"/>
        </w:trPr>
        <w:tc>
          <w:tcPr>
            <w:tcW w:w="2835" w:type="dxa"/>
          </w:tcPr>
          <w:p w:rsidR="00BE5B2D" w:rsidRPr="0017293C" w:rsidRDefault="00BE5B2D" w:rsidP="00374C1E">
            <w:pPr>
              <w:pStyle w:val="DHHStablecolhead"/>
            </w:pPr>
            <w:r w:rsidRPr="00575BC9">
              <w:t>Data source(s) collection</w:t>
            </w:r>
          </w:p>
        </w:tc>
        <w:tc>
          <w:tcPr>
            <w:tcW w:w="7379" w:type="dxa"/>
          </w:tcPr>
          <w:p w:rsidR="00BE5B2D" w:rsidRPr="002F7C4B" w:rsidRDefault="00BE5B2D" w:rsidP="004800D5">
            <w:pPr>
              <w:pStyle w:val="DHHStabletext"/>
              <w:rPr>
                <w:color w:val="7030A0"/>
              </w:rPr>
            </w:pPr>
            <w:r w:rsidRPr="004A7595">
              <w:t>HACC Mini</w:t>
            </w:r>
            <w:bookmarkStart w:id="5" w:name="_GoBack"/>
            <w:bookmarkEnd w:id="5"/>
            <w:r w:rsidRPr="004A7595">
              <w:t>mum Data</w:t>
            </w:r>
            <w:r w:rsidR="005B6B27">
              <w:t>s</w:t>
            </w:r>
            <w:r w:rsidRPr="004A7595">
              <w:t xml:space="preserve">et </w:t>
            </w:r>
          </w:p>
        </w:tc>
      </w:tr>
      <w:tr w:rsidR="00BE5B2D" w:rsidRPr="00C237A0" w:rsidTr="004800D5">
        <w:trPr>
          <w:cantSplit/>
          <w:trHeight w:hRule="exact" w:val="775"/>
        </w:trPr>
        <w:tc>
          <w:tcPr>
            <w:tcW w:w="2835" w:type="dxa"/>
          </w:tcPr>
          <w:p w:rsidR="00BE5B2D" w:rsidRDefault="00BE5B2D" w:rsidP="00374C1E">
            <w:pPr>
              <w:pStyle w:val="DHHStablecolhead"/>
            </w:pPr>
            <w:r w:rsidRPr="00575BC9">
              <w:t>Definition of terms</w:t>
            </w:r>
          </w:p>
          <w:p w:rsidR="00BE5B2D" w:rsidRPr="00A365CA" w:rsidRDefault="00BE5B2D" w:rsidP="00374C1E">
            <w:pPr>
              <w:rPr>
                <w:lang w:eastAsia="en-US"/>
              </w:rPr>
            </w:pPr>
          </w:p>
        </w:tc>
        <w:tc>
          <w:tcPr>
            <w:tcW w:w="7379" w:type="dxa"/>
          </w:tcPr>
          <w:p w:rsidR="00BE5B2D" w:rsidRPr="002F7C4B" w:rsidRDefault="00372809" w:rsidP="004800D5">
            <w:pPr>
              <w:pStyle w:val="DHHStabletext"/>
              <w:rPr>
                <w:color w:val="7030A0"/>
              </w:rPr>
            </w:pPr>
            <w:r>
              <w:t>Funded organisations are requested to liaise with their departmental program advisor to confirm their 2019-20performance target.</w:t>
            </w:r>
          </w:p>
        </w:tc>
      </w:tr>
    </w:tbl>
    <w:p w:rsidR="00BE5B2D" w:rsidRPr="00575BC9" w:rsidRDefault="004800D5" w:rsidP="004800D5">
      <w:pPr>
        <w:pStyle w:val="Heading2"/>
      </w:pPr>
      <w:r>
        <w:t>6</w:t>
      </w:r>
      <w:r w:rsidR="00BE5B2D">
        <w:t>. Data collection</w:t>
      </w:r>
    </w:p>
    <w:p w:rsidR="00BE5B2D" w:rsidRDefault="00BE5B2D" w:rsidP="004800D5">
      <w:pPr>
        <w:pStyle w:val="DHHSbody"/>
      </w:pPr>
      <w:r>
        <w:t>The reporting requirements for this service are:</w:t>
      </w:r>
    </w:p>
    <w:tbl>
      <w:tblPr>
        <w:tblW w:w="10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2580"/>
        <w:gridCol w:w="2580"/>
        <w:gridCol w:w="2508"/>
      </w:tblGrid>
      <w:tr w:rsidR="005B6B27" w:rsidTr="004800D5">
        <w:trPr>
          <w:trHeight w:hRule="exact" w:val="340"/>
          <w:tblHeader/>
        </w:trPr>
        <w:tc>
          <w:tcPr>
            <w:tcW w:w="2693" w:type="dxa"/>
            <w:tcBorders>
              <w:top w:val="single" w:sz="4" w:space="0" w:color="auto"/>
              <w:left w:val="single" w:sz="4" w:space="0" w:color="auto"/>
              <w:bottom w:val="single" w:sz="4" w:space="0" w:color="auto"/>
              <w:right w:val="single" w:sz="4" w:space="0" w:color="auto"/>
            </w:tcBorders>
            <w:hideMark/>
          </w:tcPr>
          <w:p w:rsidR="005B6B27" w:rsidRDefault="005B6B27" w:rsidP="001E35E4">
            <w:pPr>
              <w:pStyle w:val="DHHStablecolhead"/>
              <w:spacing w:before="0" w:after="0"/>
            </w:pPr>
            <w:r>
              <w:t>Data collection name</w:t>
            </w:r>
          </w:p>
        </w:tc>
        <w:tc>
          <w:tcPr>
            <w:tcW w:w="2580" w:type="dxa"/>
            <w:tcBorders>
              <w:top w:val="single" w:sz="4" w:space="0" w:color="auto"/>
              <w:left w:val="single" w:sz="4" w:space="0" w:color="auto"/>
              <w:bottom w:val="single" w:sz="4" w:space="0" w:color="auto"/>
              <w:right w:val="single" w:sz="4" w:space="0" w:color="auto"/>
            </w:tcBorders>
            <w:hideMark/>
          </w:tcPr>
          <w:p w:rsidR="005B6B27" w:rsidRDefault="005B6B27" w:rsidP="001E35E4">
            <w:pPr>
              <w:pStyle w:val="DHHStablecolhead"/>
              <w:spacing w:before="0" w:after="0"/>
            </w:pPr>
            <w:r>
              <w:t xml:space="preserve">Data system </w:t>
            </w:r>
          </w:p>
        </w:tc>
        <w:tc>
          <w:tcPr>
            <w:tcW w:w="2580" w:type="dxa"/>
            <w:tcBorders>
              <w:top w:val="single" w:sz="4" w:space="0" w:color="auto"/>
              <w:left w:val="single" w:sz="4" w:space="0" w:color="auto"/>
              <w:bottom w:val="single" w:sz="4" w:space="0" w:color="auto"/>
              <w:right w:val="single" w:sz="4" w:space="0" w:color="auto"/>
            </w:tcBorders>
            <w:hideMark/>
          </w:tcPr>
          <w:p w:rsidR="005B6B27" w:rsidRDefault="005B6B27" w:rsidP="001E35E4">
            <w:pPr>
              <w:pStyle w:val="DHHStablecolhead"/>
              <w:spacing w:before="0" w:after="0"/>
            </w:pPr>
            <w:r>
              <w:t xml:space="preserve">Data set </w:t>
            </w:r>
          </w:p>
        </w:tc>
        <w:tc>
          <w:tcPr>
            <w:tcW w:w="2508" w:type="dxa"/>
            <w:tcBorders>
              <w:top w:val="single" w:sz="4" w:space="0" w:color="auto"/>
              <w:left w:val="single" w:sz="4" w:space="0" w:color="auto"/>
              <w:bottom w:val="single" w:sz="4" w:space="0" w:color="auto"/>
              <w:right w:val="single" w:sz="4" w:space="0" w:color="auto"/>
            </w:tcBorders>
            <w:hideMark/>
          </w:tcPr>
          <w:p w:rsidR="005B6B27" w:rsidRDefault="005B6B27" w:rsidP="001E35E4">
            <w:pPr>
              <w:pStyle w:val="DHHStablecolhead"/>
              <w:spacing w:before="0" w:after="0"/>
            </w:pPr>
            <w:r>
              <w:t>Reporting cycle</w:t>
            </w:r>
          </w:p>
        </w:tc>
      </w:tr>
      <w:tr w:rsidR="005B6B27" w:rsidTr="004800D5">
        <w:trPr>
          <w:trHeight w:val="459"/>
        </w:trPr>
        <w:tc>
          <w:tcPr>
            <w:tcW w:w="2693" w:type="dxa"/>
            <w:tcBorders>
              <w:top w:val="single" w:sz="4" w:space="0" w:color="auto"/>
              <w:left w:val="single" w:sz="4" w:space="0" w:color="auto"/>
              <w:bottom w:val="single" w:sz="4" w:space="0" w:color="auto"/>
              <w:right w:val="single" w:sz="4" w:space="0" w:color="auto"/>
            </w:tcBorders>
            <w:hideMark/>
          </w:tcPr>
          <w:p w:rsidR="005B6B27" w:rsidRDefault="005B6B27" w:rsidP="004800D5">
            <w:pPr>
              <w:pStyle w:val="DHHStabletext"/>
            </w:pPr>
            <w:r>
              <w:t>HACC minimum dataset</w:t>
            </w:r>
          </w:p>
        </w:tc>
        <w:tc>
          <w:tcPr>
            <w:tcW w:w="2580"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 xml:space="preserve">HACC Minimum Dataset </w:t>
            </w:r>
          </w:p>
        </w:tc>
        <w:tc>
          <w:tcPr>
            <w:tcW w:w="2580"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HACC Minimum Dataset</w:t>
            </w:r>
          </w:p>
        </w:tc>
        <w:tc>
          <w:tcPr>
            <w:tcW w:w="2508"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 xml:space="preserve">Quarterly </w:t>
            </w:r>
          </w:p>
        </w:tc>
      </w:tr>
      <w:tr w:rsidR="005B6B27" w:rsidTr="004800D5">
        <w:trPr>
          <w:trHeight w:val="459"/>
        </w:trPr>
        <w:tc>
          <w:tcPr>
            <w:tcW w:w="2693"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bookmarkStart w:id="6" w:name="_Hlk5895704"/>
            <w:r>
              <w:t>HACC - PYP Fee report</w:t>
            </w:r>
          </w:p>
        </w:tc>
        <w:tc>
          <w:tcPr>
            <w:tcW w:w="2580"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Word</w:t>
            </w:r>
          </w:p>
        </w:tc>
        <w:tc>
          <w:tcPr>
            <w:tcW w:w="2580"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Quantitative</w:t>
            </w:r>
          </w:p>
        </w:tc>
        <w:tc>
          <w:tcPr>
            <w:tcW w:w="2508"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Annual</w:t>
            </w:r>
          </w:p>
        </w:tc>
      </w:tr>
      <w:bookmarkEnd w:id="6"/>
      <w:tr w:rsidR="005B6B27" w:rsidTr="004800D5">
        <w:trPr>
          <w:trHeight w:val="459"/>
        </w:trPr>
        <w:tc>
          <w:tcPr>
            <w:tcW w:w="2693" w:type="dxa"/>
            <w:tcBorders>
              <w:top w:val="single" w:sz="4" w:space="0" w:color="auto"/>
              <w:left w:val="single" w:sz="4" w:space="0" w:color="auto"/>
              <w:bottom w:val="single" w:sz="4" w:space="0" w:color="auto"/>
              <w:right w:val="single" w:sz="4" w:space="0" w:color="auto"/>
            </w:tcBorders>
          </w:tcPr>
          <w:p w:rsidR="005B6B27" w:rsidRPr="005B6B27" w:rsidRDefault="005B6B27" w:rsidP="004800D5">
            <w:pPr>
              <w:pStyle w:val="DHHStabletext"/>
            </w:pPr>
            <w:r w:rsidRPr="005B6B27">
              <w:t>Annual Service Activity Report</w:t>
            </w:r>
          </w:p>
        </w:tc>
        <w:tc>
          <w:tcPr>
            <w:tcW w:w="2580"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 xml:space="preserve">Word </w:t>
            </w:r>
          </w:p>
        </w:tc>
        <w:tc>
          <w:tcPr>
            <w:tcW w:w="2580"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Quantitative</w:t>
            </w:r>
          </w:p>
        </w:tc>
        <w:tc>
          <w:tcPr>
            <w:tcW w:w="2508" w:type="dxa"/>
            <w:tcBorders>
              <w:top w:val="single" w:sz="4" w:space="0" w:color="auto"/>
              <w:left w:val="single" w:sz="4" w:space="0" w:color="auto"/>
              <w:bottom w:val="single" w:sz="4" w:space="0" w:color="auto"/>
              <w:right w:val="single" w:sz="4" w:space="0" w:color="auto"/>
            </w:tcBorders>
          </w:tcPr>
          <w:p w:rsidR="005B6B27" w:rsidRDefault="005B6B27" w:rsidP="004800D5">
            <w:pPr>
              <w:pStyle w:val="DHHStabletext"/>
            </w:pPr>
            <w:r>
              <w:t>Annual</w:t>
            </w:r>
          </w:p>
        </w:tc>
      </w:tr>
    </w:tbl>
    <w:p w:rsidR="005B6B27" w:rsidRDefault="005B6B27" w:rsidP="00BE5B2D"/>
    <w:p w:rsidR="00BE5B2D" w:rsidRDefault="00BE5B2D" w:rsidP="00BE5B2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BE5B2D" w:rsidRPr="002802E3" w:rsidTr="00374C1E">
        <w:trPr>
          <w:cantSplit/>
        </w:trPr>
        <w:tc>
          <w:tcPr>
            <w:tcW w:w="5000" w:type="pct"/>
            <w:tcBorders>
              <w:top w:val="single" w:sz="4" w:space="0" w:color="auto"/>
              <w:left w:val="single" w:sz="4" w:space="0" w:color="auto"/>
              <w:bottom w:val="single" w:sz="4" w:space="0" w:color="auto"/>
              <w:right w:val="single" w:sz="4" w:space="0" w:color="auto"/>
            </w:tcBorders>
            <w:vAlign w:val="bottom"/>
          </w:tcPr>
          <w:p w:rsidR="00F3248F" w:rsidRDefault="00F3248F" w:rsidP="00F3248F">
            <w:pPr>
              <w:pStyle w:val="DHHSaccessibilitypara"/>
            </w:pPr>
            <w:r>
              <w:lastRenderedPageBreak/>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rsidR="00F3248F" w:rsidRDefault="00F3248F" w:rsidP="00F3248F">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BE5B2D" w:rsidRPr="00CA4422" w:rsidRDefault="00F3248F" w:rsidP="00F3248F">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lang w:eastAsia="en-AU"/>
                </w:rPr>
                <w:t>http://providers.dhhs.vic.gov.au/health-human-services-activity-search</w:t>
              </w:r>
            </w:hyperlink>
            <w:r>
              <w:rPr>
                <w:color w:val="000000"/>
                <w:lang w:eastAsia="en-AU"/>
              </w:rPr>
              <w:t>&gt;</w:t>
            </w:r>
          </w:p>
        </w:tc>
      </w:tr>
    </w:tbl>
    <w:p w:rsidR="00BE5B2D" w:rsidRDefault="00BE5B2D" w:rsidP="00BE5B2D">
      <w:pPr>
        <w:rPr>
          <w:sz w:val="18"/>
          <w:szCs w:val="4"/>
        </w:rPr>
      </w:pPr>
    </w:p>
    <w:sectPr w:rsidR="00BE5B2D" w:rsidSect="00266E69">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3C6" w:rsidRDefault="003063C6">
      <w:r>
        <w:separator/>
      </w:r>
    </w:p>
  </w:endnote>
  <w:endnote w:type="continuationSeparator" w:id="0">
    <w:p w:rsidR="003063C6" w:rsidRDefault="0030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F3248F" w:rsidP="0051568D">
    <w:pPr>
      <w:pStyle w:val="DHHSfooter"/>
    </w:pPr>
    <w:r w:rsidRPr="00F3248F">
      <w:t>Activity description</w:t>
    </w:r>
    <w:r>
      <w:t xml:space="preserve"> (</w:t>
    </w:r>
    <w:r w:rsidRPr="00F3248F">
      <w:t>health</w:t>
    </w:r>
    <w:r>
      <w:t>):</w:t>
    </w:r>
    <w:r w:rsidRPr="00F3248F">
      <w:t>CCA-Planned Activity Group Core</w:t>
    </w:r>
    <w:r>
      <w:t xml:space="preserve"> </w:t>
    </w:r>
    <w:r w:rsidRPr="00F3248F">
      <w:t>13056</w:t>
    </w:r>
    <w:r w:rsidR="00E06429">
      <w:tab/>
    </w:r>
    <w:r w:rsidR="00FE4946" w:rsidRPr="00A11421">
      <w:fldChar w:fldCharType="begin"/>
    </w:r>
    <w:r w:rsidR="00FE4946" w:rsidRPr="00A11421">
      <w:instrText xml:space="preserve"> PAGE </w:instrText>
    </w:r>
    <w:r w:rsidR="00FE4946" w:rsidRPr="00A11421">
      <w:fldChar w:fldCharType="separate"/>
    </w:r>
    <w:r w:rsidR="00BB42F0">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3C6" w:rsidRDefault="003063C6" w:rsidP="002862F1">
      <w:pPr>
        <w:spacing w:before="120"/>
      </w:pPr>
      <w:r>
        <w:separator/>
      </w:r>
    </w:p>
  </w:footnote>
  <w:footnote w:type="continuationSeparator" w:id="0">
    <w:p w:rsidR="003063C6" w:rsidRDefault="00306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21462"/>
    <w:multiLevelType w:val="hybridMultilevel"/>
    <w:tmpl w:val="6EEC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27432"/>
    <w:multiLevelType w:val="hybridMultilevel"/>
    <w:tmpl w:val="D44E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4B4E7622"/>
    <w:numStyleLink w:val="ZZNumbers"/>
  </w:abstractNum>
  <w:abstractNum w:abstractNumId="6"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C2BD5"/>
    <w:multiLevelType w:val="hybridMultilevel"/>
    <w:tmpl w:val="7048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89282B"/>
    <w:multiLevelType w:val="hybridMultilevel"/>
    <w:tmpl w:val="4438A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46F1593"/>
    <w:multiLevelType w:val="hybridMultilevel"/>
    <w:tmpl w:val="CF86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3"/>
  </w:num>
  <w:num w:numId="10">
    <w:abstractNumId w:val="15"/>
  </w:num>
  <w:num w:numId="11">
    <w:abstractNumId w:val="9"/>
  </w:num>
  <w:num w:numId="12">
    <w:abstractNumId w:val="10"/>
  </w:num>
  <w:num w:numId="13">
    <w:abstractNumId w:val="6"/>
  </w:num>
  <w:num w:numId="14">
    <w:abstractNumId w:val="14"/>
  </w:num>
  <w:num w:numId="15">
    <w:abstractNumId w:val="2"/>
  </w:num>
  <w:num w:numId="16">
    <w:abstractNumId w:val="4"/>
  </w:num>
  <w:num w:numId="17">
    <w:abstractNumId w:val="7"/>
  </w:num>
  <w:num w:numId="18">
    <w:abstractNumId w:val="12"/>
  </w:num>
  <w:num w:numId="19">
    <w:abstractNumId w:val="16"/>
  </w:num>
  <w:num w:numId="20">
    <w:abstractNumId w:val="3"/>
  </w:num>
  <w:num w:numId="2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C7D"/>
    <w:rsid w:val="00011D89"/>
    <w:rsid w:val="000214DC"/>
    <w:rsid w:val="00024D89"/>
    <w:rsid w:val="000250B6"/>
    <w:rsid w:val="00033D81"/>
    <w:rsid w:val="00041BF0"/>
    <w:rsid w:val="0004536B"/>
    <w:rsid w:val="00046B68"/>
    <w:rsid w:val="000509A9"/>
    <w:rsid w:val="000527DD"/>
    <w:rsid w:val="000578B2"/>
    <w:rsid w:val="00060959"/>
    <w:rsid w:val="0006497B"/>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2C30"/>
    <w:rsid w:val="000D3756"/>
    <w:rsid w:val="000E3CC7"/>
    <w:rsid w:val="000E6BD4"/>
    <w:rsid w:val="000F1F1E"/>
    <w:rsid w:val="000F2259"/>
    <w:rsid w:val="0010392D"/>
    <w:rsid w:val="0010447F"/>
    <w:rsid w:val="00104FE3"/>
    <w:rsid w:val="00113B58"/>
    <w:rsid w:val="001141B7"/>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3BC"/>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452"/>
    <w:rsid w:val="00262802"/>
    <w:rsid w:val="00263A90"/>
    <w:rsid w:val="0026408B"/>
    <w:rsid w:val="00266E69"/>
    <w:rsid w:val="00267C3E"/>
    <w:rsid w:val="002709BB"/>
    <w:rsid w:val="00270C6F"/>
    <w:rsid w:val="002763B3"/>
    <w:rsid w:val="002802E3"/>
    <w:rsid w:val="0028213D"/>
    <w:rsid w:val="002862F1"/>
    <w:rsid w:val="00291373"/>
    <w:rsid w:val="00293D28"/>
    <w:rsid w:val="00293D6C"/>
    <w:rsid w:val="0029597D"/>
    <w:rsid w:val="002962C3"/>
    <w:rsid w:val="0029752B"/>
    <w:rsid w:val="002A2A58"/>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3C6"/>
    <w:rsid w:val="00306E5F"/>
    <w:rsid w:val="00307E14"/>
    <w:rsid w:val="00314054"/>
    <w:rsid w:val="00316F27"/>
    <w:rsid w:val="003204AD"/>
    <w:rsid w:val="00324A08"/>
    <w:rsid w:val="00327870"/>
    <w:rsid w:val="0033259D"/>
    <w:rsid w:val="00337C54"/>
    <w:rsid w:val="003406C6"/>
    <w:rsid w:val="003418CC"/>
    <w:rsid w:val="003459BD"/>
    <w:rsid w:val="00350D38"/>
    <w:rsid w:val="003512C8"/>
    <w:rsid w:val="00351B36"/>
    <w:rsid w:val="00357B4E"/>
    <w:rsid w:val="00372809"/>
    <w:rsid w:val="003744CF"/>
    <w:rsid w:val="00374717"/>
    <w:rsid w:val="0037676C"/>
    <w:rsid w:val="003829E5"/>
    <w:rsid w:val="00382AFC"/>
    <w:rsid w:val="00383B59"/>
    <w:rsid w:val="003918C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00D5"/>
    <w:rsid w:val="00483968"/>
    <w:rsid w:val="00484F86"/>
    <w:rsid w:val="00490746"/>
    <w:rsid w:val="00490852"/>
    <w:rsid w:val="00492F30"/>
    <w:rsid w:val="004946F4"/>
    <w:rsid w:val="0049487E"/>
    <w:rsid w:val="00495ADA"/>
    <w:rsid w:val="004A160D"/>
    <w:rsid w:val="004A3E81"/>
    <w:rsid w:val="004A5C62"/>
    <w:rsid w:val="004A707D"/>
    <w:rsid w:val="004A79F6"/>
    <w:rsid w:val="004C6EEE"/>
    <w:rsid w:val="004C702B"/>
    <w:rsid w:val="004D016B"/>
    <w:rsid w:val="004D1B22"/>
    <w:rsid w:val="004D36F2"/>
    <w:rsid w:val="004D476B"/>
    <w:rsid w:val="004E138F"/>
    <w:rsid w:val="004E4649"/>
    <w:rsid w:val="004E5C2B"/>
    <w:rsid w:val="004E6F1D"/>
    <w:rsid w:val="004F00DD"/>
    <w:rsid w:val="004F2133"/>
    <w:rsid w:val="004F4473"/>
    <w:rsid w:val="004F55F1"/>
    <w:rsid w:val="004F5F95"/>
    <w:rsid w:val="004F6936"/>
    <w:rsid w:val="005012D8"/>
    <w:rsid w:val="00503DC6"/>
    <w:rsid w:val="00506F5D"/>
    <w:rsid w:val="005126D0"/>
    <w:rsid w:val="0051568D"/>
    <w:rsid w:val="00526C15"/>
    <w:rsid w:val="00536499"/>
    <w:rsid w:val="005409A4"/>
    <w:rsid w:val="00543903"/>
    <w:rsid w:val="00543F11"/>
    <w:rsid w:val="00547623"/>
    <w:rsid w:val="00547A95"/>
    <w:rsid w:val="005620F5"/>
    <w:rsid w:val="00564BF9"/>
    <w:rsid w:val="00570748"/>
    <w:rsid w:val="00572031"/>
    <w:rsid w:val="00575BC9"/>
    <w:rsid w:val="00575E84"/>
    <w:rsid w:val="00576E84"/>
    <w:rsid w:val="00582B8C"/>
    <w:rsid w:val="0058757E"/>
    <w:rsid w:val="005938E5"/>
    <w:rsid w:val="00596A4B"/>
    <w:rsid w:val="00597507"/>
    <w:rsid w:val="005A0D72"/>
    <w:rsid w:val="005B1BCE"/>
    <w:rsid w:val="005B21B6"/>
    <w:rsid w:val="005B384F"/>
    <w:rsid w:val="005B3A08"/>
    <w:rsid w:val="005B6B27"/>
    <w:rsid w:val="005B7A63"/>
    <w:rsid w:val="005C0955"/>
    <w:rsid w:val="005C4023"/>
    <w:rsid w:val="005C49DA"/>
    <w:rsid w:val="005C50F3"/>
    <w:rsid w:val="005C5D91"/>
    <w:rsid w:val="005C7CBC"/>
    <w:rsid w:val="005D07B8"/>
    <w:rsid w:val="005D4FB5"/>
    <w:rsid w:val="005D6597"/>
    <w:rsid w:val="005E14E7"/>
    <w:rsid w:val="005E1CA1"/>
    <w:rsid w:val="005E26A3"/>
    <w:rsid w:val="005E2B0F"/>
    <w:rsid w:val="005E447E"/>
    <w:rsid w:val="005E76EA"/>
    <w:rsid w:val="005F0775"/>
    <w:rsid w:val="005F0CF5"/>
    <w:rsid w:val="005F21EB"/>
    <w:rsid w:val="005F4E14"/>
    <w:rsid w:val="00605908"/>
    <w:rsid w:val="00610D7C"/>
    <w:rsid w:val="00613414"/>
    <w:rsid w:val="006206D2"/>
    <w:rsid w:val="0062408D"/>
    <w:rsid w:val="006240CC"/>
    <w:rsid w:val="00627DA7"/>
    <w:rsid w:val="00633A5F"/>
    <w:rsid w:val="006358B4"/>
    <w:rsid w:val="006419AA"/>
    <w:rsid w:val="00644B7E"/>
    <w:rsid w:val="006454E6"/>
    <w:rsid w:val="00646A68"/>
    <w:rsid w:val="0065092E"/>
    <w:rsid w:val="00653CF6"/>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0452"/>
    <w:rsid w:val="007173CA"/>
    <w:rsid w:val="007216AA"/>
    <w:rsid w:val="00721AB5"/>
    <w:rsid w:val="00721DEF"/>
    <w:rsid w:val="00724A43"/>
    <w:rsid w:val="00726110"/>
    <w:rsid w:val="00730DE2"/>
    <w:rsid w:val="007346E4"/>
    <w:rsid w:val="00737D2D"/>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33F5"/>
    <w:rsid w:val="007C7301"/>
    <w:rsid w:val="007C7859"/>
    <w:rsid w:val="007D2932"/>
    <w:rsid w:val="007D2BDE"/>
    <w:rsid w:val="007D2F4A"/>
    <w:rsid w:val="007D2FB6"/>
    <w:rsid w:val="007E0DE2"/>
    <w:rsid w:val="007E3B98"/>
    <w:rsid w:val="007F0068"/>
    <w:rsid w:val="007F31B6"/>
    <w:rsid w:val="007F546C"/>
    <w:rsid w:val="007F625F"/>
    <w:rsid w:val="007F665E"/>
    <w:rsid w:val="00800412"/>
    <w:rsid w:val="0080587B"/>
    <w:rsid w:val="00806468"/>
    <w:rsid w:val="008155F0"/>
    <w:rsid w:val="008166AC"/>
    <w:rsid w:val="00816735"/>
    <w:rsid w:val="00820141"/>
    <w:rsid w:val="00820E0C"/>
    <w:rsid w:val="008237E6"/>
    <w:rsid w:val="00825DAC"/>
    <w:rsid w:val="008338A2"/>
    <w:rsid w:val="008343C5"/>
    <w:rsid w:val="008370FF"/>
    <w:rsid w:val="0084198D"/>
    <w:rsid w:val="00841AA9"/>
    <w:rsid w:val="008533E8"/>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97433"/>
    <w:rsid w:val="008A5B32"/>
    <w:rsid w:val="008B2EE4"/>
    <w:rsid w:val="008B4D3D"/>
    <w:rsid w:val="008B57C7"/>
    <w:rsid w:val="008C2F92"/>
    <w:rsid w:val="008D2846"/>
    <w:rsid w:val="008D4236"/>
    <w:rsid w:val="008D462F"/>
    <w:rsid w:val="008D6DCF"/>
    <w:rsid w:val="008E09D5"/>
    <w:rsid w:val="008E32A7"/>
    <w:rsid w:val="008E4376"/>
    <w:rsid w:val="008E7A0A"/>
    <w:rsid w:val="00900719"/>
    <w:rsid w:val="009017AC"/>
    <w:rsid w:val="00902A83"/>
    <w:rsid w:val="00902F40"/>
    <w:rsid w:val="00904A1C"/>
    <w:rsid w:val="00905030"/>
    <w:rsid w:val="00906490"/>
    <w:rsid w:val="009111B2"/>
    <w:rsid w:val="00920345"/>
    <w:rsid w:val="00924AE1"/>
    <w:rsid w:val="009269B1"/>
    <w:rsid w:val="0092724D"/>
    <w:rsid w:val="00937BD9"/>
    <w:rsid w:val="00941C46"/>
    <w:rsid w:val="00950DB3"/>
    <w:rsid w:val="00950E2C"/>
    <w:rsid w:val="00951D50"/>
    <w:rsid w:val="009525EB"/>
    <w:rsid w:val="00954874"/>
    <w:rsid w:val="00954CB5"/>
    <w:rsid w:val="00961400"/>
    <w:rsid w:val="00963646"/>
    <w:rsid w:val="00975658"/>
    <w:rsid w:val="00976266"/>
    <w:rsid w:val="009818E4"/>
    <w:rsid w:val="009853E1"/>
    <w:rsid w:val="00986E6B"/>
    <w:rsid w:val="00991769"/>
    <w:rsid w:val="00994386"/>
    <w:rsid w:val="00994789"/>
    <w:rsid w:val="00997084"/>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32449"/>
    <w:rsid w:val="00A44882"/>
    <w:rsid w:val="00A45638"/>
    <w:rsid w:val="00A541F0"/>
    <w:rsid w:val="00A54715"/>
    <w:rsid w:val="00A55C16"/>
    <w:rsid w:val="00A6061C"/>
    <w:rsid w:val="00A619BF"/>
    <w:rsid w:val="00A62D44"/>
    <w:rsid w:val="00A6446D"/>
    <w:rsid w:val="00A67263"/>
    <w:rsid w:val="00A7161C"/>
    <w:rsid w:val="00A73C5B"/>
    <w:rsid w:val="00A77AA3"/>
    <w:rsid w:val="00A81477"/>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1261"/>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42F0"/>
    <w:rsid w:val="00BB7A10"/>
    <w:rsid w:val="00BC383A"/>
    <w:rsid w:val="00BC7468"/>
    <w:rsid w:val="00BC7D4F"/>
    <w:rsid w:val="00BC7ED7"/>
    <w:rsid w:val="00BD2850"/>
    <w:rsid w:val="00BE28D2"/>
    <w:rsid w:val="00BE4A64"/>
    <w:rsid w:val="00BE5B2D"/>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A78EA"/>
    <w:rsid w:val="00CB3041"/>
    <w:rsid w:val="00CC0C72"/>
    <w:rsid w:val="00CC2BFD"/>
    <w:rsid w:val="00CC3FB0"/>
    <w:rsid w:val="00CD3476"/>
    <w:rsid w:val="00CD64DF"/>
    <w:rsid w:val="00CF2F50"/>
    <w:rsid w:val="00D02919"/>
    <w:rsid w:val="00D04C61"/>
    <w:rsid w:val="00D05B8D"/>
    <w:rsid w:val="00D065A2"/>
    <w:rsid w:val="00D07F00"/>
    <w:rsid w:val="00D11FCF"/>
    <w:rsid w:val="00D1443D"/>
    <w:rsid w:val="00D17B72"/>
    <w:rsid w:val="00D3185C"/>
    <w:rsid w:val="00D33E72"/>
    <w:rsid w:val="00D35BD6"/>
    <w:rsid w:val="00D361B5"/>
    <w:rsid w:val="00D411A2"/>
    <w:rsid w:val="00D4606D"/>
    <w:rsid w:val="00D50B9C"/>
    <w:rsid w:val="00D52D73"/>
    <w:rsid w:val="00D52E58"/>
    <w:rsid w:val="00D5565D"/>
    <w:rsid w:val="00D6239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2F23"/>
    <w:rsid w:val="00E05E8D"/>
    <w:rsid w:val="00E06429"/>
    <w:rsid w:val="00E10652"/>
    <w:rsid w:val="00E170DC"/>
    <w:rsid w:val="00E26818"/>
    <w:rsid w:val="00E27FFC"/>
    <w:rsid w:val="00E30B15"/>
    <w:rsid w:val="00E327EB"/>
    <w:rsid w:val="00E40181"/>
    <w:rsid w:val="00E47991"/>
    <w:rsid w:val="00E53D0C"/>
    <w:rsid w:val="00E56A01"/>
    <w:rsid w:val="00E629A1"/>
    <w:rsid w:val="00E71591"/>
    <w:rsid w:val="00E82C55"/>
    <w:rsid w:val="00E92AC3"/>
    <w:rsid w:val="00EA6267"/>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C42"/>
    <w:rsid w:val="00F16F1B"/>
    <w:rsid w:val="00F223F5"/>
    <w:rsid w:val="00F233C5"/>
    <w:rsid w:val="00F250A9"/>
    <w:rsid w:val="00F302C9"/>
    <w:rsid w:val="00F30FF4"/>
    <w:rsid w:val="00F3122E"/>
    <w:rsid w:val="00F3248F"/>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A56"/>
    <w:rsid w:val="00F72C2C"/>
    <w:rsid w:val="00F76CAB"/>
    <w:rsid w:val="00F772C6"/>
    <w:rsid w:val="00F815B5"/>
    <w:rsid w:val="00F85195"/>
    <w:rsid w:val="00F87FCF"/>
    <w:rsid w:val="00F922BE"/>
    <w:rsid w:val="00F938BA"/>
    <w:rsid w:val="00FA2C46"/>
    <w:rsid w:val="00FA3525"/>
    <w:rsid w:val="00FB4CDA"/>
    <w:rsid w:val="00FC0F81"/>
    <w:rsid w:val="00FC395C"/>
    <w:rsid w:val="00FC5CAB"/>
    <w:rsid w:val="00FD3766"/>
    <w:rsid w:val="00FD42D5"/>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6BE22468-9ACD-44C6-9657-C9908550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4800D5"/>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4800D5"/>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4800D5"/>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4800D5"/>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Purple">
    <w:name w:val="Purple"/>
    <w:basedOn w:val="DefaultParagraphFont"/>
    <w:rsid w:val="00BC383A"/>
    <w:rPr>
      <w:color w:val="990099"/>
    </w:rPr>
  </w:style>
  <w:style w:type="paragraph" w:styleId="ListParagraph">
    <w:name w:val="List Paragraph"/>
    <w:basedOn w:val="Normal"/>
    <w:uiPriority w:val="72"/>
    <w:qFormat/>
    <w:rsid w:val="0073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876998">
      <w:bodyDiv w:val="1"/>
      <w:marLeft w:val="0"/>
      <w:marRight w:val="0"/>
      <w:marTop w:val="0"/>
      <w:marBottom w:val="0"/>
      <w:divBdr>
        <w:top w:val="none" w:sz="0" w:space="0" w:color="auto"/>
        <w:left w:val="none" w:sz="0" w:space="0" w:color="auto"/>
        <w:bottom w:val="none" w:sz="0" w:space="0" w:color="auto"/>
        <w:right w:val="none" w:sz="0" w:space="0" w:color="auto"/>
      </w:divBdr>
    </w:div>
    <w:div w:id="112146149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54162601">
      <w:bodyDiv w:val="1"/>
      <w:marLeft w:val="0"/>
      <w:marRight w:val="0"/>
      <w:marTop w:val="0"/>
      <w:marBottom w:val="0"/>
      <w:divBdr>
        <w:top w:val="none" w:sz="0" w:space="0" w:color="auto"/>
        <w:left w:val="none" w:sz="0" w:space="0" w:color="auto"/>
        <w:bottom w:val="none" w:sz="0" w:space="0" w:color="auto"/>
        <w:right w:val="none" w:sz="0" w:space="0" w:color="auto"/>
      </w:divBdr>
    </w:div>
    <w:div w:id="176530444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DE4457C-C4F0-41A5-A0A4-7D40E8C0039C}">
  <ds:schemaRefs>
    <ds:schemaRef ds:uri="http://schemas.openxmlformats.org/officeDocument/2006/bibliography"/>
  </ds:schemaRefs>
</ds:datastoreItem>
</file>

<file path=customXml/itemProps2.xml><?xml version="1.0" encoding="utf-8"?>
<ds:datastoreItem xmlns:ds="http://schemas.openxmlformats.org/officeDocument/2006/customXml" ds:itemID="{2ABBFEE7-B167-479F-BB2F-8011F6E92C1C}"/>
</file>

<file path=customXml/itemProps3.xml><?xml version="1.0" encoding="utf-8"?>
<ds:datastoreItem xmlns:ds="http://schemas.openxmlformats.org/officeDocument/2006/customXml" ds:itemID="{305E84B3-951D-4B26-8261-1F6A5D1068B2}"/>
</file>

<file path=customXml/itemProps4.xml><?xml version="1.0" encoding="utf-8"?>
<ds:datastoreItem xmlns:ds="http://schemas.openxmlformats.org/officeDocument/2006/customXml" ds:itemID="{73697E3C-34D1-41F5-A6B1-90A2E54FEDAD}"/>
</file>

<file path=docProps/app.xml><?xml version="1.0" encoding="utf-8"?>
<Properties xmlns="http://schemas.openxmlformats.org/officeDocument/2006/extended-properties" xmlns:vt="http://schemas.openxmlformats.org/officeDocument/2006/docPropsVTypes">
  <Template>DHHS Factsheet 01 Navy 2765.dot</Template>
  <TotalTime>4</TotalTime>
  <Pages>3</Pages>
  <Words>701</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Activity description health CCA Planned Activity Group Core 13056</vt:lpstr>
    </vt:vector>
  </TitlesOfParts>
  <Company>Department of Health and Human Services</Company>
  <LinksUpToDate>false</LinksUpToDate>
  <CharactersWithSpaces>5129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CCA Planned Activity Group Core 13056</dc:title>
  <dc:subject>service agreement activity descriptions</dc:subject>
  <dc:creator>Service Agreement Policy unit</dc:creator>
  <cp:keywords>service agreement;Activity description;health;aged home care;CCA;Planned Activity Group Core;13056</cp:keywords>
  <cp:lastModifiedBy>Roxanne Manzie (DHHS)</cp:lastModifiedBy>
  <cp:revision>4</cp:revision>
  <cp:lastPrinted>2019-04-12T06:09:00Z</cp:lastPrinted>
  <dcterms:created xsi:type="dcterms:W3CDTF">2019-06-13T05:45:00Z</dcterms:created>
  <dcterms:modified xsi:type="dcterms:W3CDTF">2019-06-19T23:43:00Z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