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4181203A">
            <wp:simplePos x="0" y="0"/>
            <wp:positionH relativeFrom="page">
              <wp:align>left</wp:align>
            </wp:positionH>
            <wp:positionV relativeFrom="page">
              <wp:align>top</wp:align>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431F42">
        <w:trPr>
          <w:cantSplit/>
        </w:trPr>
        <w:tc>
          <w:tcPr>
            <w:tcW w:w="0" w:type="auto"/>
            <w:tcMar>
              <w:top w:w="0" w:type="dxa"/>
              <w:left w:w="0" w:type="dxa"/>
              <w:right w:w="0" w:type="dxa"/>
            </w:tcMar>
          </w:tcPr>
          <w:p w14:paraId="30E6956D" w14:textId="3D295939" w:rsidR="00AD784C" w:rsidRPr="00431F42" w:rsidRDefault="00CF4A65" w:rsidP="00431F42">
            <w:pPr>
              <w:pStyle w:val="Documenttitle"/>
            </w:pPr>
            <w:r w:rsidRPr="00CF4A65">
              <w:t xml:space="preserve">Heat </w:t>
            </w:r>
            <w:r w:rsidR="002B727D">
              <w:t xml:space="preserve">Event </w:t>
            </w:r>
            <w:r w:rsidR="00A80640" w:rsidRPr="00A80640">
              <w:t xml:space="preserve">Preparedness </w:t>
            </w:r>
            <w:r w:rsidRPr="00CF4A65">
              <w:t xml:space="preserve">and </w:t>
            </w:r>
            <w:r w:rsidR="002512F3">
              <w:t>Response</w:t>
            </w:r>
            <w:r w:rsidR="00A80640">
              <w:t xml:space="preserve"> - </w:t>
            </w:r>
            <w:r w:rsidRPr="00CF4A65">
              <w:t>Cooler Place Management</w:t>
            </w:r>
            <w:r>
              <w:t xml:space="preserve"> </w:t>
            </w:r>
            <w:r w:rsidR="0020445E">
              <w:t>Operational Guidelines</w:t>
            </w:r>
          </w:p>
        </w:tc>
      </w:tr>
      <w:tr w:rsidR="00AD784C" w14:paraId="246F9CB0" w14:textId="77777777" w:rsidTr="00431F42">
        <w:trPr>
          <w:cantSplit/>
        </w:trPr>
        <w:tc>
          <w:tcPr>
            <w:tcW w:w="0" w:type="auto"/>
          </w:tcPr>
          <w:p w14:paraId="14EEB3AC" w14:textId="6E90A229" w:rsidR="00386109" w:rsidRPr="00A1389F" w:rsidRDefault="007677BD" w:rsidP="00C12B05">
            <w:pPr>
              <w:pStyle w:val="Documentsubtitle"/>
            </w:pPr>
            <w:r>
              <w:t>April</w:t>
            </w:r>
            <w:r w:rsidR="0020445E">
              <w:t xml:space="preserve"> 2025</w:t>
            </w:r>
          </w:p>
        </w:tc>
      </w:tr>
      <w:tr w:rsidR="00430393" w14:paraId="2AE57792" w14:textId="77777777" w:rsidTr="00431F42">
        <w:trPr>
          <w:cantSplit/>
        </w:trPr>
        <w:tc>
          <w:tcPr>
            <w:tcW w:w="0" w:type="auto"/>
          </w:tcPr>
          <w:p w14:paraId="68DABF30" w14:textId="77777777" w:rsidR="00430393" w:rsidRDefault="001A6272" w:rsidP="00430393">
            <w:pPr>
              <w:pStyle w:val="Bannermarking"/>
            </w:pPr>
            <w:fldSimple w:instr="FILLIN  &quot;Type the protective marking&quot; \d OFFICIAL \o  \* MERGEFORMAT">
              <w:r>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default" r:id="rId12"/>
          <w:footerReference w:type="even" r:id="rId13"/>
          <w:footerReference w:type="default" r:id="rId14"/>
          <w:headerReference w:type="first" r:id="rId15"/>
          <w:footerReference w:type="first" r:id="rId16"/>
          <w:type w:val="continuous"/>
          <w:pgSz w:w="11906" w:h="16838" w:code="9"/>
          <w:pgMar w:top="3969" w:right="1304" w:bottom="851" w:left="1304" w:header="680" w:footer="567" w:gutter="0"/>
          <w:cols w:space="340"/>
          <w:titlePg/>
          <w:docGrid w:linePitch="360"/>
        </w:sectPr>
      </w:pPr>
    </w:p>
    <w:p w14:paraId="6C2632DE" w14:textId="68B51AF6" w:rsidR="00CF230C" w:rsidRDefault="00CF230C">
      <w:pPr>
        <w:spacing w:after="0" w:line="240" w:lineRule="auto"/>
        <w:rPr>
          <w:rFonts w:eastAsia="Times"/>
        </w:rPr>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624DC6B0" w14:textId="4E312AB6" w:rsidR="00BB6C63" w:rsidRDefault="00BB6C63" w:rsidP="00431F42">
            <w:pPr>
              <w:pStyle w:val="Documentsubtitle"/>
              <w:rPr>
                <w:b/>
                <w:sz w:val="48"/>
                <w:szCs w:val="50"/>
              </w:rPr>
            </w:pPr>
            <w:r w:rsidRPr="00BB6C63">
              <w:rPr>
                <w:b/>
                <w:sz w:val="48"/>
                <w:szCs w:val="50"/>
              </w:rPr>
              <w:t xml:space="preserve">Heat </w:t>
            </w:r>
            <w:r w:rsidR="00801555">
              <w:rPr>
                <w:b/>
                <w:sz w:val="48"/>
                <w:szCs w:val="50"/>
              </w:rPr>
              <w:t xml:space="preserve">Event </w:t>
            </w:r>
            <w:r w:rsidR="00A80640" w:rsidRPr="00A80640">
              <w:rPr>
                <w:b/>
                <w:sz w:val="48"/>
                <w:szCs w:val="50"/>
              </w:rPr>
              <w:t xml:space="preserve">Preparedness </w:t>
            </w:r>
            <w:r w:rsidR="0045379C">
              <w:rPr>
                <w:b/>
                <w:sz w:val="48"/>
                <w:szCs w:val="50"/>
              </w:rPr>
              <w:t xml:space="preserve">and </w:t>
            </w:r>
            <w:r w:rsidR="002512F3">
              <w:rPr>
                <w:b/>
                <w:sz w:val="48"/>
                <w:szCs w:val="50"/>
              </w:rPr>
              <w:t xml:space="preserve">Response – Cooler Place </w:t>
            </w:r>
            <w:r w:rsidR="00C161AD">
              <w:rPr>
                <w:b/>
                <w:sz w:val="48"/>
                <w:szCs w:val="50"/>
              </w:rPr>
              <w:t>Management</w:t>
            </w:r>
            <w:r w:rsidR="001A6D9E">
              <w:rPr>
                <w:b/>
                <w:sz w:val="48"/>
                <w:szCs w:val="50"/>
              </w:rPr>
              <w:t xml:space="preserve"> </w:t>
            </w:r>
            <w:r w:rsidRPr="00BB6C63">
              <w:rPr>
                <w:b/>
                <w:sz w:val="48"/>
                <w:szCs w:val="50"/>
              </w:rPr>
              <w:t xml:space="preserve">Operational Guidelines </w:t>
            </w:r>
          </w:p>
          <w:p w14:paraId="482C3FE9" w14:textId="7565ED4E" w:rsidR="00431F42" w:rsidRDefault="007677BD" w:rsidP="00431F42">
            <w:pPr>
              <w:pStyle w:val="Documentsubtitle"/>
            </w:pPr>
            <w:r>
              <w:t>April</w:t>
            </w:r>
            <w:r w:rsidR="0020445E">
              <w:t xml:space="preserve"> 2025</w:t>
            </w:r>
          </w:p>
        </w:tc>
      </w:tr>
      <w:tr w:rsidR="00431F42" w14:paraId="0BAEE86B" w14:textId="77777777" w:rsidTr="00431F42">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B2BDC7" w14:textId="77777777" w:rsidTr="00562507">
        <w:trPr>
          <w:cantSplit/>
          <w:trHeight w:val="7088"/>
        </w:trPr>
        <w:tc>
          <w:tcPr>
            <w:tcW w:w="9288" w:type="dxa"/>
          </w:tcPr>
          <w:p w14:paraId="48A49346" w14:textId="1D1EC867" w:rsidR="009F2182" w:rsidRPr="006A2717" w:rsidRDefault="009F2182" w:rsidP="001C7128">
            <w:pPr>
              <w:pStyle w:val="Body"/>
              <w:spacing w:before="120"/>
              <w:rPr>
                <w:rFonts w:eastAsia="Times New Roman"/>
                <w:color w:val="87189D"/>
                <w:sz w:val="24"/>
                <w:szCs w:val="24"/>
              </w:rPr>
            </w:pPr>
          </w:p>
        </w:tc>
      </w:tr>
      <w:tr w:rsidR="009F2182" w14:paraId="2657A1D9" w14:textId="77777777" w:rsidTr="00562507">
        <w:trPr>
          <w:cantSplit/>
          <w:trHeight w:val="5103"/>
        </w:trPr>
        <w:tc>
          <w:tcPr>
            <w:tcW w:w="9288" w:type="dxa"/>
            <w:vAlign w:val="bottom"/>
          </w:tcPr>
          <w:p w14:paraId="3D1A9763" w14:textId="77777777" w:rsidR="001F2D76" w:rsidRPr="000920F7" w:rsidRDefault="001F2D76" w:rsidP="001F2D76">
            <w:pPr>
              <w:pStyle w:val="Heading2"/>
              <w:numPr>
                <w:ilvl w:val="0"/>
                <w:numId w:val="0"/>
              </w:numPr>
              <w:ind w:left="576" w:hanging="576"/>
            </w:pPr>
            <w:bookmarkStart w:id="0" w:name="_Toc159340408"/>
            <w:bookmarkStart w:id="1" w:name="_Toc184892986"/>
            <w:bookmarkStart w:id="2" w:name="_Toc194934845"/>
            <w:r w:rsidRPr="000920F7">
              <w:t>More Information</w:t>
            </w:r>
            <w:bookmarkEnd w:id="0"/>
            <w:bookmarkEnd w:id="1"/>
            <w:bookmarkEnd w:id="2"/>
          </w:p>
          <w:p w14:paraId="402E7D04" w14:textId="77777777" w:rsidR="001F2D76" w:rsidRPr="009B4DF5" w:rsidRDefault="001F2D76" w:rsidP="001F2D76">
            <w:pPr>
              <w:pStyle w:val="Body"/>
            </w:pPr>
            <w:r w:rsidRPr="000920F7">
              <w:t xml:space="preserve">To receive this publication in an accessible format contact </w:t>
            </w:r>
            <w:hyperlink r:id="rId17" w:history="1">
              <w:r w:rsidRPr="000920F7">
                <w:rPr>
                  <w:rStyle w:val="Hyperlink"/>
                </w:rPr>
                <w:t>Homes Victoria</w:t>
              </w:r>
            </w:hyperlink>
            <w:r w:rsidRPr="000920F7">
              <w:t xml:space="preserve"> </w:t>
            </w:r>
            <w:r w:rsidRPr="009B4DF5">
              <w:t>enquiries@homes.vic.gov.au.</w:t>
            </w:r>
          </w:p>
          <w:p w14:paraId="527EEA4E" w14:textId="77777777" w:rsidR="001F2D76" w:rsidRPr="009B4DF5" w:rsidRDefault="001F2D76" w:rsidP="001F2D76">
            <w:pPr>
              <w:pStyle w:val="Body"/>
            </w:pPr>
            <w:r w:rsidRPr="009B4DF5">
              <w:t>This guideline contains some links to internal resources which will not be accessible for external parties reading this document.</w:t>
            </w:r>
          </w:p>
          <w:p w14:paraId="16F54DB2" w14:textId="77777777" w:rsidR="001F2D76" w:rsidRPr="000920F7" w:rsidRDefault="001F2D76" w:rsidP="001F2D76">
            <w:pPr>
              <w:pStyle w:val="Body"/>
            </w:pPr>
            <w:r w:rsidRPr="009B4DF5">
              <w:t>Authorised and published by the Victorian</w:t>
            </w:r>
            <w:r w:rsidRPr="000920F7">
              <w:t xml:space="preserve"> Government, 1 Treasury Place, Melbourne.</w:t>
            </w:r>
          </w:p>
          <w:p w14:paraId="24773C51" w14:textId="26804923" w:rsidR="001F2D76" w:rsidRPr="000920F7" w:rsidRDefault="001F2D76" w:rsidP="001F2D76">
            <w:pPr>
              <w:pStyle w:val="Body"/>
            </w:pPr>
            <w:r w:rsidRPr="000920F7">
              <w:t>© State of Victoria, Department of Families, Fairness and Housing,</w:t>
            </w:r>
            <w:r>
              <w:t xml:space="preserve"> </w:t>
            </w:r>
            <w:r w:rsidR="007677BD" w:rsidRPr="002A1FB8">
              <w:t>April</w:t>
            </w:r>
            <w:r w:rsidRPr="002A1FB8">
              <w:t xml:space="preserve"> 2025.</w:t>
            </w:r>
          </w:p>
          <w:p w14:paraId="4081AAEA" w14:textId="77777777" w:rsidR="009F2182" w:rsidRDefault="00DC6FFA" w:rsidP="006F6B76">
            <w:pPr>
              <w:pStyle w:val="Imprint"/>
              <w:rPr>
                <w:sz w:val="21"/>
              </w:rPr>
            </w:pPr>
            <w:r w:rsidRPr="00DC6FFA">
              <w:rPr>
                <w:b/>
                <w:bCs/>
                <w:sz w:val="21"/>
              </w:rPr>
              <w:t xml:space="preserve">ISBN </w:t>
            </w:r>
            <w:r w:rsidRPr="00DC6FFA">
              <w:rPr>
                <w:sz w:val="21"/>
              </w:rPr>
              <w:t xml:space="preserve">978-1-76130-814-7 </w:t>
            </w:r>
            <w:r w:rsidRPr="00DC6FFA">
              <w:rPr>
                <w:b/>
                <w:bCs/>
                <w:sz w:val="21"/>
              </w:rPr>
              <w:t>(pdf/online/MS word)</w:t>
            </w:r>
            <w:r w:rsidRPr="00DC6FFA">
              <w:rPr>
                <w:sz w:val="21"/>
              </w:rPr>
              <w:t xml:space="preserve"> </w:t>
            </w:r>
          </w:p>
          <w:p w14:paraId="20277F9E" w14:textId="0A886310" w:rsidR="00495AD8" w:rsidRDefault="00AA17EB" w:rsidP="006F6B76">
            <w:pPr>
              <w:pStyle w:val="Imprint"/>
            </w:pPr>
            <w:r>
              <w:rPr>
                <w:sz w:val="21"/>
              </w:rPr>
              <w:t xml:space="preserve">Available at </w:t>
            </w:r>
            <w:hyperlink r:id="rId18" w:history="1">
              <w:r w:rsidRPr="00467061">
                <w:rPr>
                  <w:rStyle w:val="Hyperlink"/>
                  <w:sz w:val="21"/>
                </w:rPr>
                <w:t xml:space="preserve">Service Providers – </w:t>
              </w:r>
              <w:r w:rsidRPr="00467061">
                <w:rPr>
                  <w:rStyle w:val="Hyperlink"/>
                  <w:sz w:val="21"/>
                </w:rPr>
                <w:t>Public housing policy and practice manuals</w:t>
              </w:r>
            </w:hyperlink>
            <w:r w:rsidR="00467061">
              <w:rPr>
                <w:sz w:val="21"/>
              </w:rPr>
              <w:t xml:space="preserve"> &lt;</w:t>
            </w:r>
            <w:r w:rsidR="00467061" w:rsidRPr="00467061">
              <w:rPr>
                <w:sz w:val="21"/>
              </w:rPr>
              <w:t>https://providers.dffh.vic.gov.au/public-housing-policy-and-practice-manuals</w:t>
            </w:r>
            <w:r w:rsidR="00467061">
              <w:rPr>
                <w:sz w:val="21"/>
              </w:rPr>
              <w:t>&gt;</w:t>
            </w:r>
          </w:p>
        </w:tc>
      </w:tr>
      <w:tr w:rsidR="0008204A" w14:paraId="657B4CC4" w14:textId="77777777" w:rsidTr="0008204A">
        <w:trPr>
          <w:cantSplit/>
        </w:trPr>
        <w:tc>
          <w:tcPr>
            <w:tcW w:w="9288" w:type="dxa"/>
          </w:tcPr>
          <w:p w14:paraId="14002AEC" w14:textId="77777777" w:rsidR="0008204A" w:rsidRPr="0055119B" w:rsidRDefault="0008204A" w:rsidP="0008204A">
            <w:pPr>
              <w:pStyle w:val="Body"/>
            </w:pPr>
          </w:p>
        </w:tc>
      </w:tr>
    </w:tbl>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643D4B25" w14:textId="3E5DE10E" w:rsidR="009A32F6" w:rsidRDefault="00AD784C">
      <w:pPr>
        <w:pStyle w:val="TOC2"/>
        <w:rPr>
          <w:rFonts w:asciiTheme="minorHAnsi" w:eastAsiaTheme="minorEastAsia" w:hAnsiTheme="minorHAnsi" w:cstheme="minorBidi"/>
          <w:kern w:val="2"/>
          <w:sz w:val="24"/>
          <w:szCs w:val="24"/>
          <w:lang w:eastAsia="en-AU"/>
          <w14:ligatures w14:val="standardContextual"/>
        </w:rPr>
      </w:pPr>
      <w:r>
        <w:rPr>
          <w:b/>
        </w:rPr>
        <w:fldChar w:fldCharType="begin"/>
      </w:r>
      <w:r>
        <w:instrText xml:space="preserve"> TOC \h \z \t "Heading 1,1,Heading 2,2" </w:instrText>
      </w:r>
      <w:r>
        <w:rPr>
          <w:b/>
        </w:rPr>
        <w:fldChar w:fldCharType="separate"/>
      </w:r>
      <w:hyperlink w:anchor="_Toc194934845" w:history="1">
        <w:r w:rsidR="009A32F6" w:rsidRPr="00963649">
          <w:rPr>
            <w:rStyle w:val="Hyperlink"/>
          </w:rPr>
          <w:t>More Information</w:t>
        </w:r>
        <w:r w:rsidR="009A32F6">
          <w:rPr>
            <w:webHidden/>
          </w:rPr>
          <w:tab/>
        </w:r>
        <w:r w:rsidR="009A32F6">
          <w:rPr>
            <w:webHidden/>
          </w:rPr>
          <w:fldChar w:fldCharType="begin"/>
        </w:r>
        <w:r w:rsidR="009A32F6">
          <w:rPr>
            <w:webHidden/>
          </w:rPr>
          <w:instrText xml:space="preserve"> PAGEREF _Toc194934845 \h </w:instrText>
        </w:r>
        <w:r w:rsidR="009A32F6">
          <w:rPr>
            <w:webHidden/>
          </w:rPr>
        </w:r>
        <w:r w:rsidR="009A32F6">
          <w:rPr>
            <w:webHidden/>
          </w:rPr>
          <w:fldChar w:fldCharType="separate"/>
        </w:r>
        <w:r w:rsidR="009A32F6">
          <w:rPr>
            <w:webHidden/>
          </w:rPr>
          <w:t>3</w:t>
        </w:r>
        <w:r w:rsidR="009A32F6">
          <w:rPr>
            <w:webHidden/>
          </w:rPr>
          <w:fldChar w:fldCharType="end"/>
        </w:r>
      </w:hyperlink>
    </w:p>
    <w:p w14:paraId="1E78A4A8" w14:textId="5B0096AC" w:rsidR="009A32F6" w:rsidRDefault="009A32F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4934846" w:history="1">
        <w:r w:rsidRPr="00963649">
          <w:rPr>
            <w:rStyle w:val="Hyperlink"/>
          </w:rPr>
          <w:t>2</w:t>
        </w:r>
        <w:r>
          <w:rPr>
            <w:rFonts w:asciiTheme="minorHAnsi" w:eastAsiaTheme="minorEastAsia" w:hAnsiTheme="minorHAnsi" w:cstheme="minorBidi"/>
            <w:b w:val="0"/>
            <w:kern w:val="2"/>
            <w:sz w:val="24"/>
            <w:szCs w:val="24"/>
            <w:lang w:eastAsia="en-AU"/>
            <w14:ligatures w14:val="standardContextual"/>
          </w:rPr>
          <w:tab/>
        </w:r>
        <w:r w:rsidRPr="00963649">
          <w:rPr>
            <w:rStyle w:val="Hyperlink"/>
          </w:rPr>
          <w:t>Revision history</w:t>
        </w:r>
        <w:r>
          <w:rPr>
            <w:webHidden/>
          </w:rPr>
          <w:tab/>
        </w:r>
        <w:r>
          <w:rPr>
            <w:webHidden/>
          </w:rPr>
          <w:fldChar w:fldCharType="begin"/>
        </w:r>
        <w:r>
          <w:rPr>
            <w:webHidden/>
          </w:rPr>
          <w:instrText xml:space="preserve"> PAGEREF _Toc194934846 \h </w:instrText>
        </w:r>
        <w:r>
          <w:rPr>
            <w:webHidden/>
          </w:rPr>
        </w:r>
        <w:r>
          <w:rPr>
            <w:webHidden/>
          </w:rPr>
          <w:fldChar w:fldCharType="separate"/>
        </w:r>
        <w:r>
          <w:rPr>
            <w:webHidden/>
          </w:rPr>
          <w:t>5</w:t>
        </w:r>
        <w:r>
          <w:rPr>
            <w:webHidden/>
          </w:rPr>
          <w:fldChar w:fldCharType="end"/>
        </w:r>
      </w:hyperlink>
    </w:p>
    <w:p w14:paraId="15518F2F" w14:textId="5414FC98" w:rsidR="009A32F6" w:rsidRDefault="009A32F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4934847" w:history="1">
        <w:r w:rsidRPr="00963649">
          <w:rPr>
            <w:rStyle w:val="Hyperlink"/>
          </w:rPr>
          <w:t>3</w:t>
        </w:r>
        <w:r>
          <w:rPr>
            <w:rFonts w:asciiTheme="minorHAnsi" w:eastAsiaTheme="minorEastAsia" w:hAnsiTheme="minorHAnsi" w:cstheme="minorBidi"/>
            <w:b w:val="0"/>
            <w:kern w:val="2"/>
            <w:sz w:val="24"/>
            <w:szCs w:val="24"/>
            <w:lang w:eastAsia="en-AU"/>
            <w14:ligatures w14:val="standardContextual"/>
          </w:rPr>
          <w:tab/>
        </w:r>
        <w:r w:rsidRPr="00963649">
          <w:rPr>
            <w:rStyle w:val="Hyperlink"/>
          </w:rPr>
          <w:t>Overview</w:t>
        </w:r>
        <w:r>
          <w:rPr>
            <w:webHidden/>
          </w:rPr>
          <w:tab/>
        </w:r>
        <w:r>
          <w:rPr>
            <w:webHidden/>
          </w:rPr>
          <w:fldChar w:fldCharType="begin"/>
        </w:r>
        <w:r>
          <w:rPr>
            <w:webHidden/>
          </w:rPr>
          <w:instrText xml:space="preserve"> PAGEREF _Toc194934847 \h </w:instrText>
        </w:r>
        <w:r>
          <w:rPr>
            <w:webHidden/>
          </w:rPr>
        </w:r>
        <w:r>
          <w:rPr>
            <w:webHidden/>
          </w:rPr>
          <w:fldChar w:fldCharType="separate"/>
        </w:r>
        <w:r>
          <w:rPr>
            <w:webHidden/>
          </w:rPr>
          <w:t>6</w:t>
        </w:r>
        <w:r>
          <w:rPr>
            <w:webHidden/>
          </w:rPr>
          <w:fldChar w:fldCharType="end"/>
        </w:r>
      </w:hyperlink>
    </w:p>
    <w:p w14:paraId="74EEC2DB" w14:textId="1A5953A6" w:rsidR="009A32F6" w:rsidRDefault="009A32F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4934848" w:history="1">
        <w:r w:rsidRPr="00963649">
          <w:rPr>
            <w:rStyle w:val="Hyperlink"/>
          </w:rPr>
          <w:t>3.1</w:t>
        </w:r>
        <w:r>
          <w:rPr>
            <w:rFonts w:asciiTheme="minorHAnsi" w:eastAsiaTheme="minorEastAsia" w:hAnsiTheme="minorHAnsi" w:cstheme="minorBidi"/>
            <w:kern w:val="2"/>
            <w:sz w:val="24"/>
            <w:szCs w:val="24"/>
            <w:lang w:eastAsia="en-AU"/>
            <w14:ligatures w14:val="standardContextual"/>
          </w:rPr>
          <w:tab/>
        </w:r>
        <w:r w:rsidRPr="00963649">
          <w:rPr>
            <w:rStyle w:val="Hyperlink"/>
          </w:rPr>
          <w:t>Heat event readiness</w:t>
        </w:r>
        <w:r>
          <w:rPr>
            <w:webHidden/>
          </w:rPr>
          <w:tab/>
        </w:r>
        <w:r>
          <w:rPr>
            <w:webHidden/>
          </w:rPr>
          <w:fldChar w:fldCharType="begin"/>
        </w:r>
        <w:r>
          <w:rPr>
            <w:webHidden/>
          </w:rPr>
          <w:instrText xml:space="preserve"> PAGEREF _Toc194934848 \h </w:instrText>
        </w:r>
        <w:r>
          <w:rPr>
            <w:webHidden/>
          </w:rPr>
        </w:r>
        <w:r>
          <w:rPr>
            <w:webHidden/>
          </w:rPr>
          <w:fldChar w:fldCharType="separate"/>
        </w:r>
        <w:r>
          <w:rPr>
            <w:webHidden/>
          </w:rPr>
          <w:t>6</w:t>
        </w:r>
        <w:r>
          <w:rPr>
            <w:webHidden/>
          </w:rPr>
          <w:fldChar w:fldCharType="end"/>
        </w:r>
      </w:hyperlink>
    </w:p>
    <w:p w14:paraId="06B64206" w14:textId="5B8E013F" w:rsidR="009A32F6" w:rsidRDefault="009A32F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4934849" w:history="1">
        <w:r w:rsidRPr="00963649">
          <w:rPr>
            <w:rStyle w:val="Hyperlink"/>
          </w:rPr>
          <w:t>4</w:t>
        </w:r>
        <w:r>
          <w:rPr>
            <w:rFonts w:asciiTheme="minorHAnsi" w:eastAsiaTheme="minorEastAsia" w:hAnsiTheme="minorHAnsi" w:cstheme="minorBidi"/>
            <w:b w:val="0"/>
            <w:kern w:val="2"/>
            <w:sz w:val="24"/>
            <w:szCs w:val="24"/>
            <w:lang w:eastAsia="en-AU"/>
            <w14:ligatures w14:val="standardContextual"/>
          </w:rPr>
          <w:tab/>
        </w:r>
        <w:r w:rsidRPr="00963649">
          <w:rPr>
            <w:rStyle w:val="Hyperlink"/>
          </w:rPr>
          <w:t>Emergency information and warnings</w:t>
        </w:r>
        <w:r>
          <w:rPr>
            <w:webHidden/>
          </w:rPr>
          <w:tab/>
        </w:r>
        <w:r>
          <w:rPr>
            <w:webHidden/>
          </w:rPr>
          <w:fldChar w:fldCharType="begin"/>
        </w:r>
        <w:r>
          <w:rPr>
            <w:webHidden/>
          </w:rPr>
          <w:instrText xml:space="preserve"> PAGEREF _Toc194934849 \h </w:instrText>
        </w:r>
        <w:r>
          <w:rPr>
            <w:webHidden/>
          </w:rPr>
        </w:r>
        <w:r>
          <w:rPr>
            <w:webHidden/>
          </w:rPr>
          <w:fldChar w:fldCharType="separate"/>
        </w:r>
        <w:r>
          <w:rPr>
            <w:webHidden/>
          </w:rPr>
          <w:t>6</w:t>
        </w:r>
        <w:r>
          <w:rPr>
            <w:webHidden/>
          </w:rPr>
          <w:fldChar w:fldCharType="end"/>
        </w:r>
      </w:hyperlink>
    </w:p>
    <w:p w14:paraId="190F9A67" w14:textId="4213548D" w:rsidR="009A32F6" w:rsidRDefault="009A32F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4934850" w:history="1">
        <w:r w:rsidRPr="00963649">
          <w:rPr>
            <w:rStyle w:val="Hyperlink"/>
            <w:rFonts w:eastAsia="Times"/>
          </w:rPr>
          <w:t>4.1</w:t>
        </w:r>
        <w:r>
          <w:rPr>
            <w:rFonts w:asciiTheme="minorHAnsi" w:eastAsiaTheme="minorEastAsia" w:hAnsiTheme="minorHAnsi" w:cstheme="minorBidi"/>
            <w:kern w:val="2"/>
            <w:sz w:val="24"/>
            <w:szCs w:val="24"/>
            <w:lang w:eastAsia="en-AU"/>
            <w14:ligatures w14:val="standardContextual"/>
          </w:rPr>
          <w:tab/>
        </w:r>
        <w:r w:rsidRPr="00963649">
          <w:rPr>
            <w:rStyle w:val="Hyperlink"/>
            <w:rFonts w:eastAsia="Times"/>
          </w:rPr>
          <w:t>Bureau of Meteorology</w:t>
        </w:r>
        <w:r>
          <w:rPr>
            <w:webHidden/>
          </w:rPr>
          <w:tab/>
        </w:r>
        <w:r>
          <w:rPr>
            <w:webHidden/>
          </w:rPr>
          <w:fldChar w:fldCharType="begin"/>
        </w:r>
        <w:r>
          <w:rPr>
            <w:webHidden/>
          </w:rPr>
          <w:instrText xml:space="preserve"> PAGEREF _Toc194934850 \h </w:instrText>
        </w:r>
        <w:r>
          <w:rPr>
            <w:webHidden/>
          </w:rPr>
        </w:r>
        <w:r>
          <w:rPr>
            <w:webHidden/>
          </w:rPr>
          <w:fldChar w:fldCharType="separate"/>
        </w:r>
        <w:r>
          <w:rPr>
            <w:webHidden/>
          </w:rPr>
          <w:t>7</w:t>
        </w:r>
        <w:r>
          <w:rPr>
            <w:webHidden/>
          </w:rPr>
          <w:fldChar w:fldCharType="end"/>
        </w:r>
      </w:hyperlink>
    </w:p>
    <w:p w14:paraId="06A31A11" w14:textId="5DAB3204" w:rsidR="009A32F6" w:rsidRDefault="009A32F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4934851" w:history="1">
        <w:r w:rsidRPr="00963649">
          <w:rPr>
            <w:rStyle w:val="Hyperlink"/>
          </w:rPr>
          <w:t>4.2</w:t>
        </w:r>
        <w:r>
          <w:rPr>
            <w:rFonts w:asciiTheme="minorHAnsi" w:eastAsiaTheme="minorEastAsia" w:hAnsiTheme="minorHAnsi" w:cstheme="minorBidi"/>
            <w:kern w:val="2"/>
            <w:sz w:val="24"/>
            <w:szCs w:val="24"/>
            <w:lang w:eastAsia="en-AU"/>
            <w14:ligatures w14:val="standardContextual"/>
          </w:rPr>
          <w:tab/>
        </w:r>
        <w:r w:rsidRPr="00963649">
          <w:rPr>
            <w:rStyle w:val="Hyperlink"/>
          </w:rPr>
          <w:t>Chief Health Officer</w:t>
        </w:r>
        <w:r>
          <w:rPr>
            <w:webHidden/>
          </w:rPr>
          <w:tab/>
        </w:r>
        <w:r>
          <w:rPr>
            <w:webHidden/>
          </w:rPr>
          <w:fldChar w:fldCharType="begin"/>
        </w:r>
        <w:r>
          <w:rPr>
            <w:webHidden/>
          </w:rPr>
          <w:instrText xml:space="preserve"> PAGEREF _Toc194934851 \h </w:instrText>
        </w:r>
        <w:r>
          <w:rPr>
            <w:webHidden/>
          </w:rPr>
        </w:r>
        <w:r>
          <w:rPr>
            <w:webHidden/>
          </w:rPr>
          <w:fldChar w:fldCharType="separate"/>
        </w:r>
        <w:r>
          <w:rPr>
            <w:webHidden/>
          </w:rPr>
          <w:t>7</w:t>
        </w:r>
        <w:r>
          <w:rPr>
            <w:webHidden/>
          </w:rPr>
          <w:fldChar w:fldCharType="end"/>
        </w:r>
      </w:hyperlink>
    </w:p>
    <w:p w14:paraId="3A2BBDF1" w14:textId="269E7623" w:rsidR="009A32F6" w:rsidRDefault="009A32F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4934852" w:history="1">
        <w:r w:rsidRPr="00963649">
          <w:rPr>
            <w:rStyle w:val="Hyperlink"/>
            <w:rFonts w:eastAsia="Times"/>
          </w:rPr>
          <w:t>4.3</w:t>
        </w:r>
        <w:r>
          <w:rPr>
            <w:rFonts w:asciiTheme="minorHAnsi" w:eastAsiaTheme="minorEastAsia" w:hAnsiTheme="minorHAnsi" w:cstheme="minorBidi"/>
            <w:kern w:val="2"/>
            <w:sz w:val="24"/>
            <w:szCs w:val="24"/>
            <w:lang w:eastAsia="en-AU"/>
            <w14:ligatures w14:val="standardContextual"/>
          </w:rPr>
          <w:tab/>
        </w:r>
        <w:r w:rsidRPr="00963649">
          <w:rPr>
            <w:rStyle w:val="Hyperlink"/>
            <w:rFonts w:eastAsia="Times"/>
          </w:rPr>
          <w:t>VicEmergency</w:t>
        </w:r>
        <w:r>
          <w:rPr>
            <w:webHidden/>
          </w:rPr>
          <w:tab/>
        </w:r>
        <w:r>
          <w:rPr>
            <w:webHidden/>
          </w:rPr>
          <w:fldChar w:fldCharType="begin"/>
        </w:r>
        <w:r>
          <w:rPr>
            <w:webHidden/>
          </w:rPr>
          <w:instrText xml:space="preserve"> PAGEREF _Toc194934852 \h </w:instrText>
        </w:r>
        <w:r>
          <w:rPr>
            <w:webHidden/>
          </w:rPr>
        </w:r>
        <w:r>
          <w:rPr>
            <w:webHidden/>
          </w:rPr>
          <w:fldChar w:fldCharType="separate"/>
        </w:r>
        <w:r>
          <w:rPr>
            <w:webHidden/>
          </w:rPr>
          <w:t>8</w:t>
        </w:r>
        <w:r>
          <w:rPr>
            <w:webHidden/>
          </w:rPr>
          <w:fldChar w:fldCharType="end"/>
        </w:r>
      </w:hyperlink>
    </w:p>
    <w:p w14:paraId="3B229022" w14:textId="412EEF1C" w:rsidR="009A32F6" w:rsidRDefault="009A32F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4934853" w:history="1">
        <w:r w:rsidRPr="00963649">
          <w:rPr>
            <w:rStyle w:val="Hyperlink"/>
          </w:rPr>
          <w:t>5</w:t>
        </w:r>
        <w:r>
          <w:rPr>
            <w:rFonts w:asciiTheme="minorHAnsi" w:eastAsiaTheme="minorEastAsia" w:hAnsiTheme="minorHAnsi" w:cstheme="minorBidi"/>
            <w:b w:val="0"/>
            <w:kern w:val="2"/>
            <w:sz w:val="24"/>
            <w:szCs w:val="24"/>
            <w:lang w:eastAsia="en-AU"/>
            <w14:ligatures w14:val="standardContextual"/>
          </w:rPr>
          <w:tab/>
        </w:r>
        <w:r w:rsidRPr="00963649">
          <w:rPr>
            <w:rStyle w:val="Hyperlink"/>
          </w:rPr>
          <w:t>Health and wellbeing</w:t>
        </w:r>
        <w:r>
          <w:rPr>
            <w:webHidden/>
          </w:rPr>
          <w:tab/>
        </w:r>
        <w:r>
          <w:rPr>
            <w:webHidden/>
          </w:rPr>
          <w:fldChar w:fldCharType="begin"/>
        </w:r>
        <w:r>
          <w:rPr>
            <w:webHidden/>
          </w:rPr>
          <w:instrText xml:space="preserve"> PAGEREF _Toc194934853 \h </w:instrText>
        </w:r>
        <w:r>
          <w:rPr>
            <w:webHidden/>
          </w:rPr>
        </w:r>
        <w:r>
          <w:rPr>
            <w:webHidden/>
          </w:rPr>
          <w:fldChar w:fldCharType="separate"/>
        </w:r>
        <w:r>
          <w:rPr>
            <w:webHidden/>
          </w:rPr>
          <w:t>8</w:t>
        </w:r>
        <w:r>
          <w:rPr>
            <w:webHidden/>
          </w:rPr>
          <w:fldChar w:fldCharType="end"/>
        </w:r>
      </w:hyperlink>
    </w:p>
    <w:p w14:paraId="38002A11" w14:textId="64328BD1" w:rsidR="009A32F6" w:rsidRDefault="009A32F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4934854" w:history="1">
        <w:r w:rsidRPr="00963649">
          <w:rPr>
            <w:rStyle w:val="Hyperlink"/>
          </w:rPr>
          <w:t>5.1</w:t>
        </w:r>
        <w:r>
          <w:rPr>
            <w:rFonts w:asciiTheme="minorHAnsi" w:eastAsiaTheme="minorEastAsia" w:hAnsiTheme="minorHAnsi" w:cstheme="minorBidi"/>
            <w:kern w:val="2"/>
            <w:sz w:val="24"/>
            <w:szCs w:val="24"/>
            <w:lang w:eastAsia="en-AU"/>
            <w14:ligatures w14:val="standardContextual"/>
          </w:rPr>
          <w:tab/>
        </w:r>
        <w:r w:rsidRPr="00963649">
          <w:rPr>
            <w:rStyle w:val="Hyperlink"/>
          </w:rPr>
          <w:t>Resources for staying safe</w:t>
        </w:r>
        <w:r>
          <w:rPr>
            <w:webHidden/>
          </w:rPr>
          <w:tab/>
        </w:r>
        <w:r>
          <w:rPr>
            <w:webHidden/>
          </w:rPr>
          <w:fldChar w:fldCharType="begin"/>
        </w:r>
        <w:r>
          <w:rPr>
            <w:webHidden/>
          </w:rPr>
          <w:instrText xml:space="preserve"> PAGEREF _Toc194934854 \h </w:instrText>
        </w:r>
        <w:r>
          <w:rPr>
            <w:webHidden/>
          </w:rPr>
        </w:r>
        <w:r>
          <w:rPr>
            <w:webHidden/>
          </w:rPr>
          <w:fldChar w:fldCharType="separate"/>
        </w:r>
        <w:r>
          <w:rPr>
            <w:webHidden/>
          </w:rPr>
          <w:t>8</w:t>
        </w:r>
        <w:r>
          <w:rPr>
            <w:webHidden/>
          </w:rPr>
          <w:fldChar w:fldCharType="end"/>
        </w:r>
      </w:hyperlink>
    </w:p>
    <w:p w14:paraId="795A8D1D" w14:textId="74DD30B0" w:rsidR="009A32F6" w:rsidRDefault="009A32F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4934855" w:history="1">
        <w:r w:rsidRPr="00963649">
          <w:rPr>
            <w:rStyle w:val="Hyperlink"/>
          </w:rPr>
          <w:t>5.2</w:t>
        </w:r>
        <w:r>
          <w:rPr>
            <w:rFonts w:asciiTheme="minorHAnsi" w:eastAsiaTheme="minorEastAsia" w:hAnsiTheme="minorHAnsi" w:cstheme="minorBidi"/>
            <w:kern w:val="2"/>
            <w:sz w:val="24"/>
            <w:szCs w:val="24"/>
            <w:lang w:eastAsia="en-AU"/>
            <w14:ligatures w14:val="standardContextual"/>
          </w:rPr>
          <w:tab/>
        </w:r>
        <w:r w:rsidRPr="00963649">
          <w:rPr>
            <w:rStyle w:val="Hyperlink"/>
          </w:rPr>
          <w:t>Alternative cooling options</w:t>
        </w:r>
        <w:r>
          <w:rPr>
            <w:webHidden/>
          </w:rPr>
          <w:tab/>
        </w:r>
        <w:r>
          <w:rPr>
            <w:webHidden/>
          </w:rPr>
          <w:fldChar w:fldCharType="begin"/>
        </w:r>
        <w:r>
          <w:rPr>
            <w:webHidden/>
          </w:rPr>
          <w:instrText xml:space="preserve"> PAGEREF _Toc194934855 \h </w:instrText>
        </w:r>
        <w:r>
          <w:rPr>
            <w:webHidden/>
          </w:rPr>
        </w:r>
        <w:r>
          <w:rPr>
            <w:webHidden/>
          </w:rPr>
          <w:fldChar w:fldCharType="separate"/>
        </w:r>
        <w:r>
          <w:rPr>
            <w:webHidden/>
          </w:rPr>
          <w:t>8</w:t>
        </w:r>
        <w:r>
          <w:rPr>
            <w:webHidden/>
          </w:rPr>
          <w:fldChar w:fldCharType="end"/>
        </w:r>
      </w:hyperlink>
    </w:p>
    <w:p w14:paraId="21E4818E" w14:textId="2789AFDB" w:rsidR="009A32F6" w:rsidRDefault="009A32F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4934856" w:history="1">
        <w:r w:rsidRPr="00963649">
          <w:rPr>
            <w:rStyle w:val="Hyperlink"/>
          </w:rPr>
          <w:t>6</w:t>
        </w:r>
        <w:r>
          <w:rPr>
            <w:rFonts w:asciiTheme="minorHAnsi" w:eastAsiaTheme="minorEastAsia" w:hAnsiTheme="minorHAnsi" w:cstheme="minorBidi"/>
            <w:b w:val="0"/>
            <w:kern w:val="2"/>
            <w:sz w:val="24"/>
            <w:szCs w:val="24"/>
            <w:lang w:eastAsia="en-AU"/>
            <w14:ligatures w14:val="standardContextual"/>
          </w:rPr>
          <w:tab/>
        </w:r>
        <w:r w:rsidRPr="00963649">
          <w:rPr>
            <w:rStyle w:val="Hyperlink"/>
          </w:rPr>
          <w:t>Facility readiness</w:t>
        </w:r>
        <w:r>
          <w:rPr>
            <w:webHidden/>
          </w:rPr>
          <w:tab/>
        </w:r>
        <w:r>
          <w:rPr>
            <w:webHidden/>
          </w:rPr>
          <w:fldChar w:fldCharType="begin"/>
        </w:r>
        <w:r>
          <w:rPr>
            <w:webHidden/>
          </w:rPr>
          <w:instrText xml:space="preserve"> PAGEREF _Toc194934856 \h </w:instrText>
        </w:r>
        <w:r>
          <w:rPr>
            <w:webHidden/>
          </w:rPr>
        </w:r>
        <w:r>
          <w:rPr>
            <w:webHidden/>
          </w:rPr>
          <w:fldChar w:fldCharType="separate"/>
        </w:r>
        <w:r>
          <w:rPr>
            <w:webHidden/>
          </w:rPr>
          <w:t>8</w:t>
        </w:r>
        <w:r>
          <w:rPr>
            <w:webHidden/>
          </w:rPr>
          <w:fldChar w:fldCharType="end"/>
        </w:r>
      </w:hyperlink>
    </w:p>
    <w:p w14:paraId="564AED57" w14:textId="13E282DE" w:rsidR="009A32F6" w:rsidRDefault="009A32F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4934857" w:history="1">
        <w:r w:rsidRPr="00963649">
          <w:rPr>
            <w:rStyle w:val="Hyperlink"/>
          </w:rPr>
          <w:t>7</w:t>
        </w:r>
        <w:r>
          <w:rPr>
            <w:rFonts w:asciiTheme="minorHAnsi" w:eastAsiaTheme="minorEastAsia" w:hAnsiTheme="minorHAnsi" w:cstheme="minorBidi"/>
            <w:b w:val="0"/>
            <w:kern w:val="2"/>
            <w:sz w:val="24"/>
            <w:szCs w:val="24"/>
            <w:lang w:eastAsia="en-AU"/>
            <w14:ligatures w14:val="standardContextual"/>
          </w:rPr>
          <w:tab/>
        </w:r>
        <w:r w:rsidRPr="00963649">
          <w:rPr>
            <w:rStyle w:val="Hyperlink"/>
          </w:rPr>
          <w:t>Activation of Cooler Places</w:t>
        </w:r>
        <w:r>
          <w:rPr>
            <w:webHidden/>
          </w:rPr>
          <w:tab/>
        </w:r>
        <w:r>
          <w:rPr>
            <w:webHidden/>
          </w:rPr>
          <w:fldChar w:fldCharType="begin"/>
        </w:r>
        <w:r>
          <w:rPr>
            <w:webHidden/>
          </w:rPr>
          <w:instrText xml:space="preserve"> PAGEREF _Toc194934857 \h </w:instrText>
        </w:r>
        <w:r>
          <w:rPr>
            <w:webHidden/>
          </w:rPr>
        </w:r>
        <w:r>
          <w:rPr>
            <w:webHidden/>
          </w:rPr>
          <w:fldChar w:fldCharType="separate"/>
        </w:r>
        <w:r>
          <w:rPr>
            <w:webHidden/>
          </w:rPr>
          <w:t>9</w:t>
        </w:r>
        <w:r>
          <w:rPr>
            <w:webHidden/>
          </w:rPr>
          <w:fldChar w:fldCharType="end"/>
        </w:r>
      </w:hyperlink>
    </w:p>
    <w:p w14:paraId="13800AC2" w14:textId="55E6848F" w:rsidR="009A32F6" w:rsidRDefault="009A32F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4934858" w:history="1">
        <w:r w:rsidRPr="00963649">
          <w:rPr>
            <w:rStyle w:val="Hyperlink"/>
          </w:rPr>
          <w:t>7.1</w:t>
        </w:r>
        <w:r>
          <w:rPr>
            <w:rFonts w:asciiTheme="minorHAnsi" w:eastAsiaTheme="minorEastAsia" w:hAnsiTheme="minorHAnsi" w:cstheme="minorBidi"/>
            <w:kern w:val="2"/>
            <w:sz w:val="24"/>
            <w:szCs w:val="24"/>
            <w:lang w:eastAsia="en-AU"/>
            <w14:ligatures w14:val="standardContextual"/>
          </w:rPr>
          <w:tab/>
        </w:r>
        <w:r w:rsidRPr="00963649">
          <w:rPr>
            <w:rStyle w:val="Hyperlink"/>
          </w:rPr>
          <w:t>Infection control measures</w:t>
        </w:r>
        <w:r>
          <w:rPr>
            <w:webHidden/>
          </w:rPr>
          <w:tab/>
        </w:r>
        <w:r>
          <w:rPr>
            <w:webHidden/>
          </w:rPr>
          <w:fldChar w:fldCharType="begin"/>
        </w:r>
        <w:r>
          <w:rPr>
            <w:webHidden/>
          </w:rPr>
          <w:instrText xml:space="preserve"> PAGEREF _Toc194934858 \h </w:instrText>
        </w:r>
        <w:r>
          <w:rPr>
            <w:webHidden/>
          </w:rPr>
        </w:r>
        <w:r>
          <w:rPr>
            <w:webHidden/>
          </w:rPr>
          <w:fldChar w:fldCharType="separate"/>
        </w:r>
        <w:r>
          <w:rPr>
            <w:webHidden/>
          </w:rPr>
          <w:t>9</w:t>
        </w:r>
        <w:r>
          <w:rPr>
            <w:webHidden/>
          </w:rPr>
          <w:fldChar w:fldCharType="end"/>
        </w:r>
      </w:hyperlink>
    </w:p>
    <w:p w14:paraId="32297A63" w14:textId="31ADE9B2" w:rsidR="009A32F6" w:rsidRDefault="009A32F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4934859" w:history="1">
        <w:r w:rsidRPr="00963649">
          <w:rPr>
            <w:rStyle w:val="Hyperlink"/>
          </w:rPr>
          <w:t>7.2</w:t>
        </w:r>
        <w:r>
          <w:rPr>
            <w:rFonts w:asciiTheme="minorHAnsi" w:eastAsiaTheme="minorEastAsia" w:hAnsiTheme="minorHAnsi" w:cstheme="minorBidi"/>
            <w:kern w:val="2"/>
            <w:sz w:val="24"/>
            <w:szCs w:val="24"/>
            <w:lang w:eastAsia="en-AU"/>
            <w14:ligatures w14:val="standardContextual"/>
          </w:rPr>
          <w:tab/>
        </w:r>
        <w:r w:rsidRPr="00963649">
          <w:rPr>
            <w:rStyle w:val="Hyperlink"/>
          </w:rPr>
          <w:t>Activation during low-intensity heatwaves</w:t>
        </w:r>
        <w:r>
          <w:rPr>
            <w:webHidden/>
          </w:rPr>
          <w:tab/>
        </w:r>
        <w:r>
          <w:rPr>
            <w:webHidden/>
          </w:rPr>
          <w:fldChar w:fldCharType="begin"/>
        </w:r>
        <w:r>
          <w:rPr>
            <w:webHidden/>
          </w:rPr>
          <w:instrText xml:space="preserve"> PAGEREF _Toc194934859 \h </w:instrText>
        </w:r>
        <w:r>
          <w:rPr>
            <w:webHidden/>
          </w:rPr>
        </w:r>
        <w:r>
          <w:rPr>
            <w:webHidden/>
          </w:rPr>
          <w:fldChar w:fldCharType="separate"/>
        </w:r>
        <w:r>
          <w:rPr>
            <w:webHidden/>
          </w:rPr>
          <w:t>9</w:t>
        </w:r>
        <w:r>
          <w:rPr>
            <w:webHidden/>
          </w:rPr>
          <w:fldChar w:fldCharType="end"/>
        </w:r>
      </w:hyperlink>
    </w:p>
    <w:p w14:paraId="7C48ED7F" w14:textId="7DDF231D" w:rsidR="009A32F6" w:rsidRDefault="009A32F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4934860" w:history="1">
        <w:r w:rsidRPr="00963649">
          <w:rPr>
            <w:rStyle w:val="Hyperlink"/>
          </w:rPr>
          <w:t>7.3</w:t>
        </w:r>
        <w:r>
          <w:rPr>
            <w:rFonts w:asciiTheme="minorHAnsi" w:eastAsiaTheme="minorEastAsia" w:hAnsiTheme="minorHAnsi" w:cstheme="minorBidi"/>
            <w:kern w:val="2"/>
            <w:sz w:val="24"/>
            <w:szCs w:val="24"/>
            <w:lang w:eastAsia="en-AU"/>
            <w14:ligatures w14:val="standardContextual"/>
          </w:rPr>
          <w:tab/>
        </w:r>
        <w:r w:rsidRPr="00963649">
          <w:rPr>
            <w:rStyle w:val="Hyperlink"/>
          </w:rPr>
          <w:t>Signage</w:t>
        </w:r>
        <w:r>
          <w:rPr>
            <w:webHidden/>
          </w:rPr>
          <w:tab/>
        </w:r>
        <w:r>
          <w:rPr>
            <w:webHidden/>
          </w:rPr>
          <w:fldChar w:fldCharType="begin"/>
        </w:r>
        <w:r>
          <w:rPr>
            <w:webHidden/>
          </w:rPr>
          <w:instrText xml:space="preserve"> PAGEREF _Toc194934860 \h </w:instrText>
        </w:r>
        <w:r>
          <w:rPr>
            <w:webHidden/>
          </w:rPr>
        </w:r>
        <w:r>
          <w:rPr>
            <w:webHidden/>
          </w:rPr>
          <w:fldChar w:fldCharType="separate"/>
        </w:r>
        <w:r>
          <w:rPr>
            <w:webHidden/>
          </w:rPr>
          <w:t>10</w:t>
        </w:r>
        <w:r>
          <w:rPr>
            <w:webHidden/>
          </w:rPr>
          <w:fldChar w:fldCharType="end"/>
        </w:r>
      </w:hyperlink>
    </w:p>
    <w:p w14:paraId="14CC108F" w14:textId="51B560DE" w:rsidR="009A32F6" w:rsidRDefault="009A32F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4934861" w:history="1">
        <w:r w:rsidRPr="00963649">
          <w:rPr>
            <w:rStyle w:val="Hyperlink"/>
          </w:rPr>
          <w:t>7.4</w:t>
        </w:r>
        <w:r>
          <w:rPr>
            <w:rFonts w:asciiTheme="minorHAnsi" w:eastAsiaTheme="minorEastAsia" w:hAnsiTheme="minorHAnsi" w:cstheme="minorBidi"/>
            <w:kern w:val="2"/>
            <w:sz w:val="24"/>
            <w:szCs w:val="24"/>
            <w:lang w:eastAsia="en-AU"/>
            <w14:ligatures w14:val="standardContextual"/>
          </w:rPr>
          <w:tab/>
        </w:r>
        <w:r w:rsidRPr="00963649">
          <w:rPr>
            <w:rStyle w:val="Hyperlink"/>
          </w:rPr>
          <w:t>Prior booking of facilities</w:t>
        </w:r>
        <w:r>
          <w:rPr>
            <w:webHidden/>
          </w:rPr>
          <w:tab/>
        </w:r>
        <w:r>
          <w:rPr>
            <w:webHidden/>
          </w:rPr>
          <w:fldChar w:fldCharType="begin"/>
        </w:r>
        <w:r>
          <w:rPr>
            <w:webHidden/>
          </w:rPr>
          <w:instrText xml:space="preserve"> PAGEREF _Toc194934861 \h </w:instrText>
        </w:r>
        <w:r>
          <w:rPr>
            <w:webHidden/>
          </w:rPr>
        </w:r>
        <w:r>
          <w:rPr>
            <w:webHidden/>
          </w:rPr>
          <w:fldChar w:fldCharType="separate"/>
        </w:r>
        <w:r>
          <w:rPr>
            <w:webHidden/>
          </w:rPr>
          <w:t>10</w:t>
        </w:r>
        <w:r>
          <w:rPr>
            <w:webHidden/>
          </w:rPr>
          <w:fldChar w:fldCharType="end"/>
        </w:r>
      </w:hyperlink>
    </w:p>
    <w:p w14:paraId="73A3F552" w14:textId="6A658FD3" w:rsidR="009A32F6" w:rsidRDefault="009A32F6">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4934862" w:history="1">
        <w:r w:rsidRPr="00963649">
          <w:rPr>
            <w:rStyle w:val="Hyperlink"/>
          </w:rPr>
          <w:t>7.5</w:t>
        </w:r>
        <w:r>
          <w:rPr>
            <w:rFonts w:asciiTheme="minorHAnsi" w:eastAsiaTheme="minorEastAsia" w:hAnsiTheme="minorHAnsi" w:cstheme="minorBidi"/>
            <w:kern w:val="2"/>
            <w:sz w:val="24"/>
            <w:szCs w:val="24"/>
            <w:lang w:eastAsia="en-AU"/>
            <w14:ligatures w14:val="standardContextual"/>
          </w:rPr>
          <w:tab/>
        </w:r>
        <w:r w:rsidRPr="00963649">
          <w:rPr>
            <w:rStyle w:val="Hyperlink"/>
          </w:rPr>
          <w:t>Operating hours for third-party facilities</w:t>
        </w:r>
        <w:r>
          <w:rPr>
            <w:webHidden/>
          </w:rPr>
          <w:tab/>
        </w:r>
        <w:r>
          <w:rPr>
            <w:webHidden/>
          </w:rPr>
          <w:fldChar w:fldCharType="begin"/>
        </w:r>
        <w:r>
          <w:rPr>
            <w:webHidden/>
          </w:rPr>
          <w:instrText xml:space="preserve"> PAGEREF _Toc194934862 \h </w:instrText>
        </w:r>
        <w:r>
          <w:rPr>
            <w:webHidden/>
          </w:rPr>
        </w:r>
        <w:r>
          <w:rPr>
            <w:webHidden/>
          </w:rPr>
          <w:fldChar w:fldCharType="separate"/>
        </w:r>
        <w:r>
          <w:rPr>
            <w:webHidden/>
          </w:rPr>
          <w:t>10</w:t>
        </w:r>
        <w:r>
          <w:rPr>
            <w:webHidden/>
          </w:rPr>
          <w:fldChar w:fldCharType="end"/>
        </w:r>
      </w:hyperlink>
    </w:p>
    <w:p w14:paraId="74072D8B" w14:textId="3056DCC3" w:rsidR="009A32F6" w:rsidRDefault="009A32F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4934863" w:history="1">
        <w:r w:rsidRPr="00963649">
          <w:rPr>
            <w:rStyle w:val="Hyperlink"/>
          </w:rPr>
          <w:t>8</w:t>
        </w:r>
        <w:r>
          <w:rPr>
            <w:rFonts w:asciiTheme="minorHAnsi" w:eastAsiaTheme="minorEastAsia" w:hAnsiTheme="minorHAnsi" w:cstheme="minorBidi"/>
            <w:b w:val="0"/>
            <w:kern w:val="2"/>
            <w:sz w:val="24"/>
            <w:szCs w:val="24"/>
            <w:lang w:eastAsia="en-AU"/>
            <w14:ligatures w14:val="standardContextual"/>
          </w:rPr>
          <w:tab/>
        </w:r>
        <w:r w:rsidRPr="00963649">
          <w:rPr>
            <w:rStyle w:val="Hyperlink"/>
          </w:rPr>
          <w:t>Divisional locations of Cooler Places</w:t>
        </w:r>
        <w:r>
          <w:rPr>
            <w:webHidden/>
          </w:rPr>
          <w:tab/>
        </w:r>
        <w:r>
          <w:rPr>
            <w:webHidden/>
          </w:rPr>
          <w:fldChar w:fldCharType="begin"/>
        </w:r>
        <w:r>
          <w:rPr>
            <w:webHidden/>
          </w:rPr>
          <w:instrText xml:space="preserve"> PAGEREF _Toc194934863 \h </w:instrText>
        </w:r>
        <w:r>
          <w:rPr>
            <w:webHidden/>
          </w:rPr>
        </w:r>
        <w:r>
          <w:rPr>
            <w:webHidden/>
          </w:rPr>
          <w:fldChar w:fldCharType="separate"/>
        </w:r>
        <w:r>
          <w:rPr>
            <w:webHidden/>
          </w:rPr>
          <w:t>10</w:t>
        </w:r>
        <w:r>
          <w:rPr>
            <w:webHidden/>
          </w:rPr>
          <w:fldChar w:fldCharType="end"/>
        </w:r>
      </w:hyperlink>
    </w:p>
    <w:p w14:paraId="526B16EB" w14:textId="62E7681E" w:rsidR="009A32F6" w:rsidRDefault="009A32F6">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4934864" w:history="1">
        <w:r w:rsidRPr="00963649">
          <w:rPr>
            <w:rStyle w:val="Hyperlink"/>
          </w:rPr>
          <w:t>9</w:t>
        </w:r>
        <w:r>
          <w:rPr>
            <w:rFonts w:asciiTheme="minorHAnsi" w:eastAsiaTheme="minorEastAsia" w:hAnsiTheme="minorHAnsi" w:cstheme="minorBidi"/>
            <w:b w:val="0"/>
            <w:kern w:val="2"/>
            <w:sz w:val="24"/>
            <w:szCs w:val="24"/>
            <w:lang w:eastAsia="en-AU"/>
            <w14:ligatures w14:val="standardContextual"/>
          </w:rPr>
          <w:tab/>
        </w:r>
        <w:r w:rsidRPr="00963649">
          <w:rPr>
            <w:rStyle w:val="Hyperlink"/>
          </w:rPr>
          <w:t>Cleaning</w:t>
        </w:r>
        <w:r>
          <w:rPr>
            <w:webHidden/>
          </w:rPr>
          <w:tab/>
        </w:r>
        <w:r>
          <w:rPr>
            <w:webHidden/>
          </w:rPr>
          <w:fldChar w:fldCharType="begin"/>
        </w:r>
        <w:r>
          <w:rPr>
            <w:webHidden/>
          </w:rPr>
          <w:instrText xml:space="preserve"> PAGEREF _Toc194934864 \h </w:instrText>
        </w:r>
        <w:r>
          <w:rPr>
            <w:webHidden/>
          </w:rPr>
        </w:r>
        <w:r>
          <w:rPr>
            <w:webHidden/>
          </w:rPr>
          <w:fldChar w:fldCharType="separate"/>
        </w:r>
        <w:r>
          <w:rPr>
            <w:webHidden/>
          </w:rPr>
          <w:t>10</w:t>
        </w:r>
        <w:r>
          <w:rPr>
            <w:webHidden/>
          </w:rPr>
          <w:fldChar w:fldCharType="end"/>
        </w:r>
      </w:hyperlink>
    </w:p>
    <w:p w14:paraId="42C49055" w14:textId="715B2516"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43287790" w14:textId="001CE2FC" w:rsidR="00EE29AD" w:rsidRPr="00A71CE4" w:rsidRDefault="0020445E" w:rsidP="00562811">
      <w:pPr>
        <w:pStyle w:val="Heading1"/>
        <w:spacing w:before="0"/>
      </w:pPr>
      <w:bookmarkStart w:id="3" w:name="_Toc194934846"/>
      <w:r>
        <w:lastRenderedPageBreak/>
        <w:t>Revision history</w:t>
      </w:r>
      <w:bookmarkEnd w:id="3"/>
    </w:p>
    <w:tbl>
      <w:tblPr>
        <w:tblStyle w:val="TableGrid"/>
        <w:tblW w:w="0" w:type="auto"/>
        <w:tblLook w:val="04A0" w:firstRow="1" w:lastRow="0" w:firstColumn="1" w:lastColumn="0" w:noHBand="0" w:noVBand="1"/>
      </w:tblPr>
      <w:tblGrid>
        <w:gridCol w:w="988"/>
        <w:gridCol w:w="2126"/>
        <w:gridCol w:w="1843"/>
        <w:gridCol w:w="4331"/>
      </w:tblGrid>
      <w:tr w:rsidR="0020445E" w14:paraId="2CE5726B" w14:textId="77777777" w:rsidTr="00D7065B">
        <w:tc>
          <w:tcPr>
            <w:tcW w:w="988" w:type="dxa"/>
          </w:tcPr>
          <w:p w14:paraId="5B74A10A" w14:textId="08700AF1" w:rsidR="0020445E" w:rsidRDefault="0020445E" w:rsidP="0020445E">
            <w:pPr>
              <w:pStyle w:val="Tablecolhead"/>
            </w:pPr>
            <w:r>
              <w:t>Version</w:t>
            </w:r>
          </w:p>
        </w:tc>
        <w:tc>
          <w:tcPr>
            <w:tcW w:w="2126" w:type="dxa"/>
          </w:tcPr>
          <w:p w14:paraId="2452ED8D" w14:textId="07E3F5CA" w:rsidR="0020445E" w:rsidRDefault="0020445E" w:rsidP="0020445E">
            <w:pPr>
              <w:pStyle w:val="Tablecolhead"/>
            </w:pPr>
            <w:r>
              <w:t>Amended section</w:t>
            </w:r>
          </w:p>
        </w:tc>
        <w:tc>
          <w:tcPr>
            <w:tcW w:w="1843" w:type="dxa"/>
          </w:tcPr>
          <w:p w14:paraId="1C7009CD" w14:textId="5BAB5A63" w:rsidR="0020445E" w:rsidRDefault="0020445E" w:rsidP="0020445E">
            <w:pPr>
              <w:pStyle w:val="Tablecolhead"/>
            </w:pPr>
            <w:r>
              <w:t>Effective</w:t>
            </w:r>
          </w:p>
        </w:tc>
        <w:tc>
          <w:tcPr>
            <w:tcW w:w="4331" w:type="dxa"/>
          </w:tcPr>
          <w:p w14:paraId="1134AD35" w14:textId="1389778F" w:rsidR="0020445E" w:rsidRDefault="0020445E" w:rsidP="0020445E">
            <w:pPr>
              <w:pStyle w:val="Tablecolhead"/>
            </w:pPr>
            <w:r>
              <w:t>Details</w:t>
            </w:r>
          </w:p>
        </w:tc>
      </w:tr>
      <w:tr w:rsidR="0020445E" w14:paraId="58A7B624" w14:textId="77777777" w:rsidTr="00D7065B">
        <w:tc>
          <w:tcPr>
            <w:tcW w:w="988" w:type="dxa"/>
            <w:shd w:val="clear" w:color="auto" w:fill="auto"/>
          </w:tcPr>
          <w:p w14:paraId="164DA016" w14:textId="01C45AFE" w:rsidR="0020445E" w:rsidRDefault="0020445E" w:rsidP="0020445E">
            <w:pPr>
              <w:pStyle w:val="Tabletext"/>
            </w:pPr>
            <w:r w:rsidRPr="003E2122">
              <w:t>1.0</w:t>
            </w:r>
          </w:p>
        </w:tc>
        <w:tc>
          <w:tcPr>
            <w:tcW w:w="2126" w:type="dxa"/>
          </w:tcPr>
          <w:p w14:paraId="3B032A42" w14:textId="74F2BA07" w:rsidR="0020445E" w:rsidRDefault="0020445E" w:rsidP="0020445E">
            <w:pPr>
              <w:pStyle w:val="Tabletext"/>
            </w:pPr>
          </w:p>
        </w:tc>
        <w:tc>
          <w:tcPr>
            <w:tcW w:w="1843" w:type="dxa"/>
            <w:shd w:val="clear" w:color="auto" w:fill="auto"/>
          </w:tcPr>
          <w:p w14:paraId="0378FDA6" w14:textId="072021CC" w:rsidR="0020445E" w:rsidRDefault="0020445E" w:rsidP="0020445E">
            <w:pPr>
              <w:pStyle w:val="Tabletext"/>
            </w:pPr>
            <w:r w:rsidRPr="003E2122">
              <w:t>December 2020</w:t>
            </w:r>
          </w:p>
        </w:tc>
        <w:tc>
          <w:tcPr>
            <w:tcW w:w="4331" w:type="dxa"/>
          </w:tcPr>
          <w:p w14:paraId="53A76A59" w14:textId="08594815" w:rsidR="0020445E" w:rsidRDefault="0020445E" w:rsidP="0020445E">
            <w:pPr>
              <w:pStyle w:val="Tablebullet1"/>
            </w:pPr>
            <w:r>
              <w:t>First publication</w:t>
            </w:r>
          </w:p>
        </w:tc>
      </w:tr>
      <w:tr w:rsidR="0020445E" w14:paraId="0B2FC95C" w14:textId="77777777" w:rsidTr="00D7065B">
        <w:tc>
          <w:tcPr>
            <w:tcW w:w="988" w:type="dxa"/>
            <w:shd w:val="clear" w:color="auto" w:fill="auto"/>
          </w:tcPr>
          <w:p w14:paraId="5A8811C7" w14:textId="76BD3A7D" w:rsidR="0020445E" w:rsidRDefault="0020445E" w:rsidP="0020445E">
            <w:pPr>
              <w:pStyle w:val="Tabletext"/>
            </w:pPr>
            <w:r w:rsidRPr="003E2122">
              <w:t>1.1</w:t>
            </w:r>
          </w:p>
        </w:tc>
        <w:tc>
          <w:tcPr>
            <w:tcW w:w="2126" w:type="dxa"/>
          </w:tcPr>
          <w:p w14:paraId="311EF6BB" w14:textId="5479D421" w:rsidR="0020445E" w:rsidRDefault="0020445E" w:rsidP="0020445E">
            <w:pPr>
              <w:pStyle w:val="Tabletext"/>
            </w:pPr>
            <w:r w:rsidRPr="003E2122">
              <w:t xml:space="preserve">Considerations </w:t>
            </w:r>
          </w:p>
        </w:tc>
        <w:tc>
          <w:tcPr>
            <w:tcW w:w="1843" w:type="dxa"/>
            <w:shd w:val="clear" w:color="auto" w:fill="auto"/>
          </w:tcPr>
          <w:p w14:paraId="0BEC2BF1" w14:textId="60CBE69B" w:rsidR="0020445E" w:rsidRDefault="0020445E" w:rsidP="0020445E">
            <w:pPr>
              <w:pStyle w:val="Tabletext"/>
            </w:pPr>
            <w:r w:rsidRPr="003E2122">
              <w:t xml:space="preserve">March 2022 </w:t>
            </w:r>
          </w:p>
        </w:tc>
        <w:tc>
          <w:tcPr>
            <w:tcW w:w="4331" w:type="dxa"/>
          </w:tcPr>
          <w:p w14:paraId="7E5E8561" w14:textId="095AA260" w:rsidR="0020445E" w:rsidRDefault="0020445E" w:rsidP="0020445E">
            <w:pPr>
              <w:pStyle w:val="Tablebullet1"/>
            </w:pPr>
            <w:r w:rsidRPr="003E2122">
              <w:t xml:space="preserve">Changes around capacity and the need for COVID Marshals </w:t>
            </w:r>
          </w:p>
        </w:tc>
      </w:tr>
      <w:tr w:rsidR="0020445E" w14:paraId="6A2601EC" w14:textId="77777777" w:rsidTr="00D7065B">
        <w:tc>
          <w:tcPr>
            <w:tcW w:w="988" w:type="dxa"/>
            <w:shd w:val="clear" w:color="auto" w:fill="auto"/>
          </w:tcPr>
          <w:p w14:paraId="586D78CA" w14:textId="7513FD16" w:rsidR="0020445E" w:rsidRDefault="0020445E" w:rsidP="0020445E">
            <w:pPr>
              <w:pStyle w:val="Tabletext"/>
            </w:pPr>
            <w:r w:rsidRPr="003E2122">
              <w:t>1.2</w:t>
            </w:r>
          </w:p>
        </w:tc>
        <w:tc>
          <w:tcPr>
            <w:tcW w:w="2126" w:type="dxa"/>
          </w:tcPr>
          <w:p w14:paraId="7ABFD2A4" w14:textId="1AE12862" w:rsidR="0020445E" w:rsidRDefault="0020445E" w:rsidP="0020445E">
            <w:pPr>
              <w:pStyle w:val="Tabletext"/>
            </w:pPr>
            <w:r w:rsidRPr="003E2122">
              <w:t>Throughout</w:t>
            </w:r>
          </w:p>
        </w:tc>
        <w:tc>
          <w:tcPr>
            <w:tcW w:w="1843" w:type="dxa"/>
            <w:shd w:val="clear" w:color="auto" w:fill="auto"/>
          </w:tcPr>
          <w:p w14:paraId="2C00E80C" w14:textId="4AD706F3" w:rsidR="0020445E" w:rsidRDefault="0020445E" w:rsidP="0020445E">
            <w:pPr>
              <w:pStyle w:val="Tabletext"/>
            </w:pPr>
            <w:r w:rsidRPr="003E2122">
              <w:t>December 2022</w:t>
            </w:r>
          </w:p>
        </w:tc>
        <w:tc>
          <w:tcPr>
            <w:tcW w:w="4331" w:type="dxa"/>
          </w:tcPr>
          <w:p w14:paraId="39D2E19C" w14:textId="36327FD4" w:rsidR="0020445E" w:rsidRDefault="0020445E" w:rsidP="0020445E">
            <w:pPr>
              <w:pStyle w:val="Tablebullet1"/>
            </w:pPr>
            <w:r w:rsidRPr="003E2122">
              <w:t>Updates made relating to COVID-Safe requirements</w:t>
            </w:r>
          </w:p>
        </w:tc>
      </w:tr>
      <w:tr w:rsidR="0020445E" w14:paraId="1C5F22C5" w14:textId="77777777" w:rsidTr="00D7065B">
        <w:tc>
          <w:tcPr>
            <w:tcW w:w="988" w:type="dxa"/>
            <w:shd w:val="clear" w:color="auto" w:fill="auto"/>
          </w:tcPr>
          <w:p w14:paraId="0D5621A4" w14:textId="4A5EC2E7" w:rsidR="0020445E" w:rsidRDefault="0020445E" w:rsidP="0020445E">
            <w:pPr>
              <w:pStyle w:val="Tabletext"/>
            </w:pPr>
            <w:r w:rsidRPr="00E71B33">
              <w:t>1.3</w:t>
            </w:r>
          </w:p>
        </w:tc>
        <w:tc>
          <w:tcPr>
            <w:tcW w:w="2126" w:type="dxa"/>
          </w:tcPr>
          <w:p w14:paraId="3C5556DD" w14:textId="3067FE6C" w:rsidR="0020445E" w:rsidRDefault="0020445E" w:rsidP="0020445E">
            <w:pPr>
              <w:pStyle w:val="Tabletext"/>
            </w:pPr>
            <w:r>
              <w:t>Throughout</w:t>
            </w:r>
          </w:p>
        </w:tc>
        <w:tc>
          <w:tcPr>
            <w:tcW w:w="1843" w:type="dxa"/>
            <w:shd w:val="clear" w:color="auto" w:fill="auto"/>
          </w:tcPr>
          <w:p w14:paraId="30F21E4C" w14:textId="20983B4B" w:rsidR="0020445E" w:rsidRDefault="0020445E" w:rsidP="0020445E">
            <w:pPr>
              <w:pStyle w:val="Tabletext"/>
            </w:pPr>
            <w:r>
              <w:t>November</w:t>
            </w:r>
            <w:r w:rsidRPr="00E71B33">
              <w:t xml:space="preserve"> 2023</w:t>
            </w:r>
          </w:p>
        </w:tc>
        <w:tc>
          <w:tcPr>
            <w:tcW w:w="4331" w:type="dxa"/>
          </w:tcPr>
          <w:p w14:paraId="0B277FB8" w14:textId="77777777" w:rsidR="0020445E" w:rsidRPr="00E71B33" w:rsidRDefault="0020445E" w:rsidP="0020445E">
            <w:pPr>
              <w:pStyle w:val="Tablebullet1"/>
            </w:pPr>
            <w:r w:rsidRPr="00E71B33">
              <w:t>Updates made relating to</w:t>
            </w:r>
            <w:r>
              <w:t xml:space="preserve"> triggers to open Cooler Places</w:t>
            </w:r>
            <w:r w:rsidRPr="00E71B33">
              <w:t xml:space="preserve"> </w:t>
            </w:r>
            <w:r>
              <w:t>when Heat health</w:t>
            </w:r>
            <w:r w:rsidRPr="00E71B33">
              <w:t xml:space="preserve"> warnings </w:t>
            </w:r>
            <w:r>
              <w:t>are issued</w:t>
            </w:r>
            <w:r w:rsidRPr="00E71B33">
              <w:t xml:space="preserve"> by the Bureau of Meteorology</w:t>
            </w:r>
          </w:p>
          <w:p w14:paraId="5381246C" w14:textId="055B76A9" w:rsidR="0020445E" w:rsidRDefault="0020445E" w:rsidP="0020445E">
            <w:pPr>
              <w:pStyle w:val="Tablebullet1"/>
            </w:pPr>
            <w:r w:rsidRPr="00A0093D">
              <w:t xml:space="preserve">Removal of COVID-Safe related requirements while keeping some measures to support infection control </w:t>
            </w:r>
          </w:p>
        </w:tc>
      </w:tr>
      <w:tr w:rsidR="0020445E" w14:paraId="1FF87A59" w14:textId="77777777" w:rsidTr="00D7065B">
        <w:tc>
          <w:tcPr>
            <w:tcW w:w="988" w:type="dxa"/>
            <w:shd w:val="clear" w:color="auto" w:fill="auto"/>
          </w:tcPr>
          <w:p w14:paraId="6C60D9C6" w14:textId="277F86DB" w:rsidR="0020445E" w:rsidRPr="00E71B33" w:rsidRDefault="0020445E" w:rsidP="0020445E">
            <w:pPr>
              <w:pStyle w:val="Tabletext"/>
            </w:pPr>
            <w:r>
              <w:t>1.4</w:t>
            </w:r>
          </w:p>
        </w:tc>
        <w:tc>
          <w:tcPr>
            <w:tcW w:w="2126" w:type="dxa"/>
          </w:tcPr>
          <w:p w14:paraId="5A8F80D5" w14:textId="0A9CEDBA" w:rsidR="0020445E" w:rsidRDefault="0020445E" w:rsidP="0020445E">
            <w:pPr>
              <w:pStyle w:val="Tabletext"/>
            </w:pPr>
            <w:r>
              <w:t>Throughout</w:t>
            </w:r>
          </w:p>
        </w:tc>
        <w:tc>
          <w:tcPr>
            <w:tcW w:w="1843" w:type="dxa"/>
            <w:shd w:val="clear" w:color="auto" w:fill="auto"/>
          </w:tcPr>
          <w:p w14:paraId="4E4E479D" w14:textId="705C929F" w:rsidR="0020445E" w:rsidRDefault="001E64E8" w:rsidP="0020445E">
            <w:pPr>
              <w:pStyle w:val="Tabletext"/>
            </w:pPr>
            <w:r>
              <w:t>April</w:t>
            </w:r>
            <w:r w:rsidR="0020445E">
              <w:t xml:space="preserve"> 2025</w:t>
            </w:r>
          </w:p>
        </w:tc>
        <w:tc>
          <w:tcPr>
            <w:tcW w:w="4331" w:type="dxa"/>
          </w:tcPr>
          <w:p w14:paraId="4158F80C" w14:textId="0D468A57" w:rsidR="00B42005" w:rsidRDefault="00B42005" w:rsidP="0020445E">
            <w:pPr>
              <w:pStyle w:val="Tablebullet1"/>
            </w:pPr>
            <w:r>
              <w:t>Operational Guideline rename from</w:t>
            </w:r>
            <w:r w:rsidR="00D12219" w:rsidRPr="00D12219">
              <w:t xml:space="preserve"> "</w:t>
            </w:r>
            <w:r w:rsidR="003A5152">
              <w:t xml:space="preserve">Access to </w:t>
            </w:r>
            <w:r w:rsidR="00D12219" w:rsidRPr="00D12219">
              <w:t xml:space="preserve">Cooler Places" to "Heat </w:t>
            </w:r>
            <w:r w:rsidR="009407DC">
              <w:t xml:space="preserve">Event </w:t>
            </w:r>
            <w:r w:rsidR="00770256">
              <w:t xml:space="preserve">Preparedness and Response – Cooler Place </w:t>
            </w:r>
            <w:r w:rsidR="00D12219" w:rsidRPr="00D12219">
              <w:t>Management" to better reflect the scope and focus of the guidelines.</w:t>
            </w:r>
          </w:p>
          <w:p w14:paraId="41E977A4" w14:textId="324FF24C" w:rsidR="00D96862" w:rsidRDefault="001B244F" w:rsidP="0020445E">
            <w:pPr>
              <w:pStyle w:val="Tablebullet1"/>
            </w:pPr>
            <w:r w:rsidRPr="001B244F">
              <w:t>Improved readability</w:t>
            </w:r>
            <w:r w:rsidR="007137CF">
              <w:t xml:space="preserve"> score</w:t>
            </w:r>
            <w:r w:rsidR="003016E4">
              <w:t xml:space="preserve"> and accessibility through document management.</w:t>
            </w:r>
          </w:p>
          <w:p w14:paraId="70BADD8C" w14:textId="77777777" w:rsidR="0020445E" w:rsidRDefault="00D96862" w:rsidP="0020445E">
            <w:pPr>
              <w:pStyle w:val="Tablebullet1"/>
            </w:pPr>
            <w:r>
              <w:t>R</w:t>
            </w:r>
            <w:r w:rsidR="001B244F" w:rsidRPr="001B244F">
              <w:t>estructu</w:t>
            </w:r>
            <w:r>
              <w:t>red</w:t>
            </w:r>
            <w:r w:rsidR="001B244F" w:rsidRPr="001B244F">
              <w:t xml:space="preserve"> and refram</w:t>
            </w:r>
            <w:r>
              <w:t xml:space="preserve">ed all </w:t>
            </w:r>
            <w:r w:rsidR="001B244F" w:rsidRPr="001B244F">
              <w:t>sections and headers to enhance process flow.</w:t>
            </w:r>
          </w:p>
          <w:p w14:paraId="165A6324" w14:textId="3AC715E7" w:rsidR="003D1C4D" w:rsidRDefault="003D1C4D" w:rsidP="0020445E">
            <w:pPr>
              <w:pStyle w:val="Tablebullet1"/>
            </w:pPr>
            <w:r w:rsidRPr="003D1C4D">
              <w:t>New sections have been added, and existing sections have been extended to provide detailed guidance</w:t>
            </w:r>
            <w:r w:rsidR="003016E4">
              <w:t xml:space="preserve"> on</w:t>
            </w:r>
            <w:r>
              <w:t>:</w:t>
            </w:r>
          </w:p>
          <w:p w14:paraId="7D8D6B10" w14:textId="477D3773" w:rsidR="003D1C4D" w:rsidRDefault="003D1C4D" w:rsidP="007A05F7">
            <w:pPr>
              <w:pStyle w:val="Tablebullet2"/>
            </w:pPr>
            <w:r>
              <w:t xml:space="preserve">Heat event </w:t>
            </w:r>
            <w:r w:rsidR="00361B02">
              <w:t>readiness</w:t>
            </w:r>
            <w:r w:rsidR="00F36A35">
              <w:t xml:space="preserve"> – Public Housings preparedness for heat events under SEMP.</w:t>
            </w:r>
          </w:p>
          <w:p w14:paraId="2D24466C" w14:textId="02D17A73" w:rsidR="00361B02" w:rsidRDefault="00361B02" w:rsidP="007A05F7">
            <w:pPr>
              <w:pStyle w:val="Tablebullet2"/>
            </w:pPr>
            <w:r>
              <w:t>Emergency information and warnings</w:t>
            </w:r>
          </w:p>
          <w:p w14:paraId="448ACD31" w14:textId="3BAD08EB" w:rsidR="004149F7" w:rsidRDefault="00F14B11" w:rsidP="003A5907">
            <w:pPr>
              <w:pStyle w:val="Tablebullet2"/>
            </w:pPr>
            <w:r>
              <w:t xml:space="preserve">Facility readiness </w:t>
            </w:r>
            <w:r w:rsidR="003E14C1">
              <w:t xml:space="preserve">– </w:t>
            </w:r>
            <w:r w:rsidR="003A5907" w:rsidRPr="003A5907">
              <w:t>pre</w:t>
            </w:r>
            <w:r w:rsidR="003A5907">
              <w:t>-</w:t>
            </w:r>
            <w:r w:rsidR="003A5907" w:rsidRPr="003A5907">
              <w:t>season inspections and restock</w:t>
            </w:r>
            <w:r w:rsidR="003A5907">
              <w:t xml:space="preserve"> of</w:t>
            </w:r>
            <w:r w:rsidR="003A5907" w:rsidRPr="003A5907">
              <w:t xml:space="preserve"> necessary items to maintain operational preparedness.</w:t>
            </w:r>
          </w:p>
          <w:p w14:paraId="46FDFE06" w14:textId="31A1C14D" w:rsidR="00F14B11" w:rsidRDefault="00F14B11" w:rsidP="007A05F7">
            <w:pPr>
              <w:pStyle w:val="Tablebullet2"/>
            </w:pPr>
            <w:r>
              <w:t xml:space="preserve">Alternative </w:t>
            </w:r>
            <w:r w:rsidR="0003737C">
              <w:t>cooling opt</w:t>
            </w:r>
            <w:r w:rsidR="003D1C4D">
              <w:t>ions</w:t>
            </w:r>
            <w:r w:rsidR="00FB4F69">
              <w:t xml:space="preserve"> – Special Accommodation Requirements and Internal/External Works Permit promotion.</w:t>
            </w:r>
          </w:p>
          <w:p w14:paraId="05F4574D" w14:textId="1C9BA76D" w:rsidR="003D1C4D" w:rsidRDefault="00F14B11" w:rsidP="00361B02">
            <w:pPr>
              <w:pStyle w:val="Tablebullet2"/>
            </w:pPr>
            <w:r w:rsidRPr="00F14B11">
              <w:t>Resources for staying safe</w:t>
            </w:r>
          </w:p>
          <w:p w14:paraId="2C1E42E1" w14:textId="4DFA18F7" w:rsidR="00F012A8" w:rsidRPr="00E71B33" w:rsidRDefault="00F012A8" w:rsidP="00361B02">
            <w:pPr>
              <w:pStyle w:val="Tablebullet2"/>
            </w:pPr>
            <w:r>
              <w:t>Divisional locations of Cooler Places</w:t>
            </w:r>
          </w:p>
        </w:tc>
      </w:tr>
    </w:tbl>
    <w:p w14:paraId="1C783DDB" w14:textId="77777777" w:rsidR="00AD4DD0" w:rsidRDefault="00AD4DD0" w:rsidP="00AD4DD0">
      <w:pPr>
        <w:pStyle w:val="Body"/>
        <w:sectPr w:rsidR="00AD4DD0" w:rsidSect="00F15144">
          <w:headerReference w:type="even" r:id="rId19"/>
          <w:headerReference w:type="default" r:id="rId20"/>
          <w:footerReference w:type="even" r:id="rId21"/>
          <w:footerReference w:type="default" r:id="rId22"/>
          <w:headerReference w:type="first" r:id="rId23"/>
          <w:pgSz w:w="11906" w:h="16838" w:code="9"/>
          <w:pgMar w:top="1418" w:right="1304" w:bottom="851" w:left="1304" w:header="680" w:footer="567" w:gutter="0"/>
          <w:cols w:space="340"/>
          <w:docGrid w:linePitch="360"/>
        </w:sectPr>
      </w:pPr>
    </w:p>
    <w:p w14:paraId="790DB68E" w14:textId="733B6DD2" w:rsidR="00F15144" w:rsidRDefault="0020445E" w:rsidP="00B94C5E">
      <w:pPr>
        <w:pStyle w:val="Heading1"/>
      </w:pPr>
      <w:bookmarkStart w:id="4" w:name="_Toc194934847"/>
      <w:r>
        <w:lastRenderedPageBreak/>
        <w:t>Overview</w:t>
      </w:r>
      <w:bookmarkEnd w:id="4"/>
    </w:p>
    <w:p w14:paraId="36E1B7EE" w14:textId="23A7E37A" w:rsidR="00472138" w:rsidRDefault="00472138" w:rsidP="00472138">
      <w:pPr>
        <w:pStyle w:val="Body"/>
      </w:pPr>
      <w:r>
        <w:t>To protect public housing renters during extreme heat events, Homes Victoria has designated over 100 community facilities across Victoria as Cooler Places. This initiative aligns with the State Emergency Management Plan's (SEMP) principle of shared responsibility, which emphasises that emergency management is a collective effort. A Cooler Place is an air-conditioned community facility that provides relief from hot weather. These venues prioritise access for those most at risk, including:</w:t>
      </w:r>
    </w:p>
    <w:p w14:paraId="714E198B" w14:textId="77777777" w:rsidR="00472138" w:rsidRDefault="00472138" w:rsidP="00472138">
      <w:pPr>
        <w:pStyle w:val="Bullet1"/>
      </w:pPr>
      <w:r>
        <w:t>The elderly</w:t>
      </w:r>
    </w:p>
    <w:p w14:paraId="3DD93601" w14:textId="77777777" w:rsidR="00472138" w:rsidRDefault="00472138" w:rsidP="00472138">
      <w:pPr>
        <w:pStyle w:val="Bullet1"/>
      </w:pPr>
      <w:r>
        <w:t>Individuals with disabilities, and</w:t>
      </w:r>
    </w:p>
    <w:p w14:paraId="12AFE8A5" w14:textId="77777777" w:rsidR="00472138" w:rsidRDefault="00472138" w:rsidP="00472138">
      <w:pPr>
        <w:pStyle w:val="Bullet1"/>
      </w:pPr>
      <w:r>
        <w:t>Parents with young children.</w:t>
      </w:r>
    </w:p>
    <w:p w14:paraId="0047A8AA" w14:textId="287F3916" w:rsidR="00472138" w:rsidRDefault="00472138" w:rsidP="00F07574">
      <w:pPr>
        <w:pStyle w:val="Bodyafterbullets"/>
      </w:pPr>
      <w:r>
        <w:t>Children under 16 must be accompanied by an adult to ensure their safety.</w:t>
      </w:r>
    </w:p>
    <w:p w14:paraId="151673E7" w14:textId="0D056FA5" w:rsidR="00AA565D" w:rsidRDefault="001166E6" w:rsidP="00AA565D">
      <w:pPr>
        <w:pStyle w:val="Heading2"/>
      </w:pPr>
      <w:bookmarkStart w:id="5" w:name="_Toc194934848"/>
      <w:r>
        <w:t xml:space="preserve">Heat </w:t>
      </w:r>
      <w:r w:rsidR="00196457">
        <w:t>event readiness</w:t>
      </w:r>
      <w:bookmarkEnd w:id="5"/>
    </w:p>
    <w:p w14:paraId="054CAD16" w14:textId="587F6C2B" w:rsidR="00F53363" w:rsidRDefault="00C9582E" w:rsidP="00F53363">
      <w:pPr>
        <w:pStyle w:val="Bodyafterbullets"/>
      </w:pPr>
      <w:r>
        <w:t xml:space="preserve">Homes Victoria and the </w:t>
      </w:r>
      <w:r w:rsidR="00F53363">
        <w:t xml:space="preserve">Department of Families, Fairness and Housing </w:t>
      </w:r>
      <w:r>
        <w:t xml:space="preserve">(the department) </w:t>
      </w:r>
      <w:r w:rsidR="00F53363">
        <w:t xml:space="preserve">has several programs aimed at preparing and reducing the impact of heat events on </w:t>
      </w:r>
      <w:r w:rsidR="00AA565D">
        <w:t>public housing renters</w:t>
      </w:r>
      <w:r w:rsidR="00F53363">
        <w:t>. These include:</w:t>
      </w:r>
    </w:p>
    <w:p w14:paraId="6DDD221F" w14:textId="3C2676EE" w:rsidR="00AA565D" w:rsidRDefault="00AA565D" w:rsidP="00AA565D">
      <w:pPr>
        <w:pStyle w:val="Tablecaption"/>
      </w:pPr>
      <w:r>
        <w:t xml:space="preserve">Table 1: </w:t>
      </w:r>
      <w:r w:rsidR="002014EC">
        <w:t>Preparedness in public housing</w:t>
      </w:r>
    </w:p>
    <w:tbl>
      <w:tblPr>
        <w:tblStyle w:val="TableGrid"/>
        <w:tblW w:w="0" w:type="auto"/>
        <w:tblLook w:val="04A0" w:firstRow="1" w:lastRow="0" w:firstColumn="1" w:lastColumn="0" w:noHBand="0" w:noVBand="1"/>
      </w:tblPr>
      <w:tblGrid>
        <w:gridCol w:w="2547"/>
        <w:gridCol w:w="6741"/>
      </w:tblGrid>
      <w:tr w:rsidR="00AA565D" w14:paraId="2B834B24" w14:textId="77777777" w:rsidTr="00AA565D">
        <w:tc>
          <w:tcPr>
            <w:tcW w:w="2547" w:type="dxa"/>
          </w:tcPr>
          <w:p w14:paraId="0A2D44BB" w14:textId="51E703D6" w:rsidR="00AA565D" w:rsidRDefault="00AA565D" w:rsidP="00AA565D">
            <w:pPr>
              <w:pStyle w:val="Tablecolhead"/>
            </w:pPr>
            <w:r>
              <w:t>Program</w:t>
            </w:r>
          </w:p>
        </w:tc>
        <w:tc>
          <w:tcPr>
            <w:tcW w:w="6741" w:type="dxa"/>
          </w:tcPr>
          <w:p w14:paraId="05B27D73" w14:textId="654EA964" w:rsidR="00AA565D" w:rsidRDefault="00AA565D" w:rsidP="00AA565D">
            <w:pPr>
              <w:pStyle w:val="Tablecolhead"/>
            </w:pPr>
            <w:r>
              <w:t xml:space="preserve">Detail </w:t>
            </w:r>
          </w:p>
        </w:tc>
      </w:tr>
      <w:tr w:rsidR="00AA565D" w14:paraId="09E8225B" w14:textId="77777777" w:rsidTr="00AA565D">
        <w:tc>
          <w:tcPr>
            <w:tcW w:w="2547" w:type="dxa"/>
          </w:tcPr>
          <w:p w14:paraId="198DA1B1" w14:textId="68C214D4" w:rsidR="00AA565D" w:rsidRDefault="00AA565D" w:rsidP="00AA565D">
            <w:pPr>
              <w:pStyle w:val="Tabletext"/>
            </w:pPr>
            <w:r w:rsidRPr="00AA565D">
              <w:t>Keeping in Touch</w:t>
            </w:r>
          </w:p>
        </w:tc>
        <w:tc>
          <w:tcPr>
            <w:tcW w:w="6741" w:type="dxa"/>
          </w:tcPr>
          <w:p w14:paraId="6C844637" w14:textId="7C4E34BF" w:rsidR="00F73C30" w:rsidRDefault="00F73C30" w:rsidP="00AA565D">
            <w:pPr>
              <w:pStyle w:val="Tabletext"/>
            </w:pPr>
            <w:r w:rsidRPr="00F73C30">
              <w:t>This program is designed for public housing renters aged 75 years and over who live alone. It offers a weekly contact service for those who opt-in, providing a safety net and support during periods of extreme weather.</w:t>
            </w:r>
          </w:p>
          <w:p w14:paraId="5073EE87" w14:textId="0BF200CB" w:rsidR="00C9582E" w:rsidRPr="00C9582E" w:rsidRDefault="00C9582E" w:rsidP="00C9582E">
            <w:pPr>
              <w:pStyle w:val="Tabletext"/>
              <w:rPr>
                <w:b/>
                <w:bCs/>
              </w:rPr>
            </w:pPr>
            <w:r w:rsidRPr="00C9582E">
              <w:rPr>
                <w:b/>
                <w:bCs/>
              </w:rPr>
              <w:t>Program features:</w:t>
            </w:r>
          </w:p>
          <w:p w14:paraId="31AAA000" w14:textId="5A8FBFFD" w:rsidR="00C9582E" w:rsidRDefault="00C9582E" w:rsidP="00C9582E">
            <w:pPr>
              <w:pStyle w:val="Tablebullet1"/>
            </w:pPr>
            <w:r w:rsidRPr="00C9582E">
              <w:rPr>
                <w:b/>
                <w:bCs/>
              </w:rPr>
              <w:t xml:space="preserve">Weekly phone calls: </w:t>
            </w:r>
            <w:r>
              <w:t>Participants receive a weekly phone call from the department to check on their health and wellbeing.</w:t>
            </w:r>
          </w:p>
          <w:p w14:paraId="2D060BB6" w14:textId="305FC551" w:rsidR="00C9582E" w:rsidRDefault="00C9582E" w:rsidP="00C9582E">
            <w:pPr>
              <w:pStyle w:val="Tablebullet1"/>
            </w:pPr>
            <w:r w:rsidRPr="00C9582E">
              <w:rPr>
                <w:b/>
                <w:bCs/>
              </w:rPr>
              <w:t xml:space="preserve">Weather </w:t>
            </w:r>
            <w:r>
              <w:rPr>
                <w:b/>
                <w:bCs/>
              </w:rPr>
              <w:t>u</w:t>
            </w:r>
            <w:r w:rsidRPr="00C9582E">
              <w:rPr>
                <w:b/>
                <w:bCs/>
              </w:rPr>
              <w:t>pdates:</w:t>
            </w:r>
            <w:r>
              <w:t xml:space="preserve"> The calls include notifications about expected hot weather conditions and provide tips on staying cool.</w:t>
            </w:r>
          </w:p>
          <w:p w14:paraId="6980B68D" w14:textId="0045CE73" w:rsidR="00AA565D" w:rsidRDefault="00C9582E" w:rsidP="00C9582E">
            <w:pPr>
              <w:pStyle w:val="Tablebullet1"/>
            </w:pPr>
            <w:r>
              <w:rPr>
                <w:b/>
                <w:bCs/>
              </w:rPr>
              <w:t>Welfare check</w:t>
            </w:r>
            <w:r w:rsidRPr="00C9582E">
              <w:rPr>
                <w:b/>
                <w:bCs/>
              </w:rPr>
              <w:t>:</w:t>
            </w:r>
            <w:r>
              <w:t xml:space="preserve"> If a renter does not respond to the call, the department contacts their </w:t>
            </w:r>
            <w:r w:rsidR="00037705">
              <w:t>N</w:t>
            </w:r>
            <w:r>
              <w:t xml:space="preserve">ext of </w:t>
            </w:r>
            <w:r w:rsidR="00037705">
              <w:t>K</w:t>
            </w:r>
            <w:r>
              <w:t>in. If this is unsuccessful, a welfare check is arranged either through Victoria Police or by a local housing office.</w:t>
            </w:r>
          </w:p>
        </w:tc>
      </w:tr>
      <w:tr w:rsidR="00AA565D" w14:paraId="260B5138" w14:textId="77777777" w:rsidTr="00AA565D">
        <w:tc>
          <w:tcPr>
            <w:tcW w:w="2547" w:type="dxa"/>
          </w:tcPr>
          <w:p w14:paraId="5C71120E" w14:textId="45F3C26D" w:rsidR="00AA565D" w:rsidRDefault="005B43E3" w:rsidP="005B43E3">
            <w:pPr>
              <w:pStyle w:val="Tabletext"/>
            </w:pPr>
            <w:r>
              <w:t>Cooler Places</w:t>
            </w:r>
          </w:p>
        </w:tc>
        <w:tc>
          <w:tcPr>
            <w:tcW w:w="6741" w:type="dxa"/>
          </w:tcPr>
          <w:p w14:paraId="78CE8683" w14:textId="014DE6F2" w:rsidR="00AA565D" w:rsidRDefault="00527CD0" w:rsidP="00455DE0">
            <w:pPr>
              <w:pStyle w:val="Tabletext"/>
            </w:pPr>
            <w:r w:rsidRPr="00527CD0">
              <w:t xml:space="preserve">Over 100 air-conditioned community facilities designated across Victoria to provide relief during extreme heat events. </w:t>
            </w:r>
            <w:r w:rsidR="006E3FEA">
              <w:t xml:space="preserve">Refer to </w:t>
            </w:r>
            <w:hyperlink w:anchor="_Divisional_locations_of" w:history="1">
              <w:r w:rsidR="006E3FEA" w:rsidRPr="006E3FEA">
                <w:rPr>
                  <w:rStyle w:val="Hyperlink"/>
                </w:rPr>
                <w:t>section 8 Divisional locations of Cooler Places.</w:t>
              </w:r>
            </w:hyperlink>
          </w:p>
        </w:tc>
      </w:tr>
      <w:tr w:rsidR="005B43E3" w14:paraId="7ECD8EE7" w14:textId="77777777" w:rsidTr="00AA565D">
        <w:tc>
          <w:tcPr>
            <w:tcW w:w="2547" w:type="dxa"/>
          </w:tcPr>
          <w:p w14:paraId="642899C3" w14:textId="663EB5B1" w:rsidR="005B43E3" w:rsidRDefault="002014EC" w:rsidP="005B43E3">
            <w:pPr>
              <w:pStyle w:val="Tabletext"/>
            </w:pPr>
            <w:r>
              <w:t>Electricity generates</w:t>
            </w:r>
          </w:p>
        </w:tc>
        <w:tc>
          <w:tcPr>
            <w:tcW w:w="6741" w:type="dxa"/>
          </w:tcPr>
          <w:p w14:paraId="049FBACA" w14:textId="5CAEC59A" w:rsidR="005B43E3" w:rsidRPr="005B43E3" w:rsidRDefault="00BE70EF" w:rsidP="005B43E3">
            <w:pPr>
              <w:pStyle w:val="Tabletext"/>
              <w:rPr>
                <w:rStyle w:val="Strong"/>
                <w:b w:val="0"/>
                <w:bCs w:val="0"/>
              </w:rPr>
            </w:pPr>
            <w:r w:rsidRPr="00BE70EF">
              <w:rPr>
                <w:rStyle w:val="Strong"/>
                <w:b w:val="0"/>
                <w:bCs w:val="0"/>
              </w:rPr>
              <w:t>Installed in high-rise public housing buildings to provide a backup electricity supply during power outages, helping to maintain essential facilities.</w:t>
            </w:r>
          </w:p>
        </w:tc>
      </w:tr>
    </w:tbl>
    <w:p w14:paraId="2B7A8C95" w14:textId="6509EC97" w:rsidR="00A819B9" w:rsidRDefault="00A819B9" w:rsidP="00DA20EE">
      <w:pPr>
        <w:pStyle w:val="Heading1"/>
      </w:pPr>
      <w:bookmarkStart w:id="6" w:name="_Heat_health_warnings"/>
      <w:bookmarkStart w:id="7" w:name="_Hlk99980134"/>
      <w:bookmarkStart w:id="8" w:name="_Toc194934849"/>
      <w:bookmarkEnd w:id="6"/>
      <w:r w:rsidRPr="00A819B9">
        <w:t>Emergency information and warnings</w:t>
      </w:r>
      <w:bookmarkEnd w:id="7"/>
      <w:bookmarkEnd w:id="8"/>
    </w:p>
    <w:p w14:paraId="79E32B2B" w14:textId="101D6420" w:rsidR="00115A08" w:rsidRDefault="00F932D7" w:rsidP="00115A08">
      <w:pPr>
        <w:pStyle w:val="Body"/>
      </w:pPr>
      <w:r>
        <w:t>T</w:t>
      </w:r>
      <w:r w:rsidR="00115A08">
        <w:t xml:space="preserve">he Victorian </w:t>
      </w:r>
      <w:hyperlink r:id="rId24" w:history="1">
        <w:r w:rsidR="00115A08" w:rsidRPr="00115A08">
          <w:rPr>
            <w:rStyle w:val="Hyperlink"/>
          </w:rPr>
          <w:t>State Emergency Management Plan – Extreme Heat Sub-Plan</w:t>
        </w:r>
      </w:hyperlink>
      <w:r w:rsidR="00115A08">
        <w:t xml:space="preserve"> &lt;https://www.emv.vic.gov.au/responsibilities/state-emergency-management-plan-sub-plans/semp-extreme-heat-sub-plan&gt; outlines the Department of Health's criteria for issuing heat health </w:t>
      </w:r>
      <w:r w:rsidR="00115A08">
        <w:lastRenderedPageBreak/>
        <w:t>warnings. When these criteria are met, appropriate state and local agencies activate their response plans.</w:t>
      </w:r>
    </w:p>
    <w:p w14:paraId="699D9382" w14:textId="2C47B980" w:rsidR="00A50AA9" w:rsidRDefault="00A50AA9" w:rsidP="00A50AA9">
      <w:pPr>
        <w:pStyle w:val="Body"/>
      </w:pPr>
      <w:r w:rsidRPr="00A50AA9">
        <w:t xml:space="preserve">To stay informed about health-related emergencies, Client Support and Housing Services (CSHS) </w:t>
      </w:r>
      <w:r w:rsidR="00945AD9">
        <w:t>M</w:t>
      </w:r>
      <w:r w:rsidRPr="00A50AA9">
        <w:t xml:space="preserve">anagers and staff overseeing Cooler Places must register for alerts and newsletters at </w:t>
      </w:r>
      <w:hyperlink r:id="rId25" w:history="1">
        <w:r w:rsidR="00756404" w:rsidRPr="00756404">
          <w:rPr>
            <w:rStyle w:val="Hyperlink"/>
          </w:rPr>
          <w:t>http://www.health.vic.gov.au/subscribe</w:t>
        </w:r>
      </w:hyperlink>
      <w:r w:rsidR="00756404">
        <w:t xml:space="preserve"> </w:t>
      </w:r>
      <w:r w:rsidRPr="00A50AA9">
        <w:t>and monitor latest warnings</w:t>
      </w:r>
      <w:r>
        <w:t>.</w:t>
      </w:r>
      <w:bookmarkStart w:id="9" w:name="_Toc119499229"/>
    </w:p>
    <w:p w14:paraId="17700A92" w14:textId="0FFD1DB4" w:rsidR="00A819B9" w:rsidRDefault="00A819B9" w:rsidP="00A50AA9">
      <w:pPr>
        <w:pStyle w:val="Heading2"/>
        <w:rPr>
          <w:rFonts w:eastAsia="Times"/>
        </w:rPr>
      </w:pPr>
      <w:bookmarkStart w:id="10" w:name="_Toc194934850"/>
      <w:r w:rsidRPr="00A819B9">
        <w:rPr>
          <w:rFonts w:eastAsia="Times"/>
        </w:rPr>
        <w:t>Bureau of Meteorology</w:t>
      </w:r>
      <w:bookmarkEnd w:id="9"/>
      <w:bookmarkEnd w:id="10"/>
    </w:p>
    <w:p w14:paraId="36E1AEFE" w14:textId="6FE5699A" w:rsidR="00A10744" w:rsidRPr="00A10744" w:rsidRDefault="00C72C48" w:rsidP="00A10744">
      <w:pPr>
        <w:pStyle w:val="Body"/>
      </w:pPr>
      <w:r w:rsidRPr="00C72C48">
        <w:t>The Bureau of Meteorology (BoM) operates the Heatwave Service from October to March, with flexibility to respond to early or late heat events. This service provides maps showing low, severe, and extreme heatwaves for the past two three-day periods and forecasts for the next five three-day periods. It gives advance notice of unusually hot conditions, allowing governments, emergency services, businesses, and communities to prepare and mitigate impacts.</w:t>
      </w:r>
    </w:p>
    <w:p w14:paraId="0B1A253B" w14:textId="0F704CAD" w:rsidR="00C72C48" w:rsidRDefault="00C72C48" w:rsidP="00C72C48">
      <w:pPr>
        <w:pStyle w:val="Bodyafterbullets"/>
      </w:pPr>
      <w:r w:rsidRPr="00C72C48">
        <w:t>A heatwave is a period of high maximum and minimum temperatures lasting for three consecutive days. It involves elevated daytime and overnight temperatures, which hinder recovery from daytime heat.</w:t>
      </w:r>
    </w:p>
    <w:p w14:paraId="79CAF52A" w14:textId="0E96CEB9" w:rsidR="00C72C48" w:rsidRDefault="00C72C48" w:rsidP="00C72C48">
      <w:pPr>
        <w:pStyle w:val="Bodyafterbullets"/>
      </w:pPr>
      <w:r>
        <w:t>BoM issues public heatwave warnings when severe or extreme heatwaves are expected to affect at least 10% of a weather district.</w:t>
      </w:r>
      <w:r w:rsidR="00960950">
        <w:t xml:space="preserve"> These warnings </w:t>
      </w:r>
      <w:r w:rsidR="00960950" w:rsidRPr="00A819B9">
        <w:t>are published on the B</w:t>
      </w:r>
      <w:r w:rsidR="00960950">
        <w:t>o</w:t>
      </w:r>
      <w:r w:rsidR="00960950" w:rsidRPr="00A819B9">
        <w:t xml:space="preserve">Ms public channels, including its website and </w:t>
      </w:r>
      <w:hyperlink r:id="rId26" w:history="1">
        <w:r w:rsidR="00960950" w:rsidRPr="00A819B9">
          <w:rPr>
            <w:rStyle w:val="Hyperlink"/>
          </w:rPr>
          <w:t>BOM weather app</w:t>
        </w:r>
      </w:hyperlink>
      <w:r w:rsidR="00960950">
        <w:t xml:space="preserve"> &lt;</w:t>
      </w:r>
      <w:r w:rsidR="00960950" w:rsidRPr="00E60701">
        <w:t>http://www.bom.gov.au/app/</w:t>
      </w:r>
      <w:r w:rsidR="00960950">
        <w:t>&gt;.</w:t>
      </w:r>
    </w:p>
    <w:p w14:paraId="63E7E498" w14:textId="02B6D893" w:rsidR="00C72C48" w:rsidRDefault="00C72C48" w:rsidP="00C72C48">
      <w:pPr>
        <w:pStyle w:val="Body"/>
      </w:pPr>
      <w:r>
        <w:t>The impact of heatwaves can differ greatly depending on their intensity. Below are the various levels of heatwave intensity:</w:t>
      </w:r>
    </w:p>
    <w:p w14:paraId="4A35057A" w14:textId="59522495" w:rsidR="00C72C48" w:rsidRPr="00C72C48" w:rsidRDefault="00C72C48" w:rsidP="00C72C48">
      <w:pPr>
        <w:pStyle w:val="Tablecaption"/>
      </w:pPr>
      <w:r>
        <w:t xml:space="preserve">Table </w:t>
      </w:r>
      <w:r w:rsidR="000664C8">
        <w:t>2</w:t>
      </w:r>
      <w:r>
        <w:t xml:space="preserve">: </w:t>
      </w:r>
      <w:r w:rsidR="000664C8">
        <w:t>Heatwave intensity levels</w:t>
      </w:r>
    </w:p>
    <w:tbl>
      <w:tblPr>
        <w:tblStyle w:val="TableGrid"/>
        <w:tblW w:w="5000" w:type="pct"/>
        <w:tblLook w:val="04A0" w:firstRow="1" w:lastRow="0" w:firstColumn="1" w:lastColumn="0" w:noHBand="0" w:noVBand="1"/>
      </w:tblPr>
      <w:tblGrid>
        <w:gridCol w:w="1837"/>
        <w:gridCol w:w="1843"/>
        <w:gridCol w:w="5608"/>
      </w:tblGrid>
      <w:tr w:rsidR="009044A2" w14:paraId="31D96D6B" w14:textId="77777777" w:rsidTr="009044A2">
        <w:tc>
          <w:tcPr>
            <w:tcW w:w="989" w:type="pct"/>
          </w:tcPr>
          <w:p w14:paraId="62B41963" w14:textId="7645EB99" w:rsidR="00C72C48" w:rsidRDefault="00C72C48" w:rsidP="00C72C48">
            <w:pPr>
              <w:pStyle w:val="Tablecolhead"/>
            </w:pPr>
            <w:r>
              <w:t xml:space="preserve">Intensity </w:t>
            </w:r>
          </w:p>
        </w:tc>
        <w:tc>
          <w:tcPr>
            <w:tcW w:w="992" w:type="pct"/>
          </w:tcPr>
          <w:p w14:paraId="4D4441D5" w14:textId="6296B0F1" w:rsidR="00C72C48" w:rsidRDefault="000664C8" w:rsidP="00C72C48">
            <w:pPr>
              <w:pStyle w:val="Tablecolhead"/>
            </w:pPr>
            <w:r>
              <w:t>Frequency</w:t>
            </w:r>
          </w:p>
        </w:tc>
        <w:tc>
          <w:tcPr>
            <w:tcW w:w="3019" w:type="pct"/>
          </w:tcPr>
          <w:p w14:paraId="323EE4B9" w14:textId="626D349B" w:rsidR="00C72C48" w:rsidRDefault="000664C8" w:rsidP="00C72C48">
            <w:pPr>
              <w:pStyle w:val="Tablecolhead"/>
            </w:pPr>
            <w:r>
              <w:t>Description</w:t>
            </w:r>
          </w:p>
        </w:tc>
      </w:tr>
      <w:tr w:rsidR="009044A2" w14:paraId="02DF8C28" w14:textId="77777777" w:rsidTr="009044A2">
        <w:tc>
          <w:tcPr>
            <w:tcW w:w="989" w:type="pct"/>
          </w:tcPr>
          <w:p w14:paraId="0E129259" w14:textId="5CC78DB6" w:rsidR="00C72C48" w:rsidRDefault="00C72C48" w:rsidP="00C72C48">
            <w:pPr>
              <w:pStyle w:val="Tabletext"/>
            </w:pPr>
            <w:r w:rsidRPr="00C72C48">
              <w:t>Low-Intensity</w:t>
            </w:r>
          </w:p>
        </w:tc>
        <w:tc>
          <w:tcPr>
            <w:tcW w:w="992" w:type="pct"/>
          </w:tcPr>
          <w:p w14:paraId="5C8570F8" w14:textId="62CEAAC4" w:rsidR="00C72C48" w:rsidRPr="00C72C48" w:rsidRDefault="00C72C48" w:rsidP="00C72C48">
            <w:pPr>
              <w:pStyle w:val="Tabletext"/>
            </w:pPr>
            <w:r w:rsidRPr="00C72C48">
              <w:t>Most common</w:t>
            </w:r>
          </w:p>
        </w:tc>
        <w:tc>
          <w:tcPr>
            <w:tcW w:w="3019" w:type="pct"/>
          </w:tcPr>
          <w:p w14:paraId="79851E12" w14:textId="05E68728" w:rsidR="00C72C48" w:rsidRDefault="00C72C48" w:rsidP="00C72C48">
            <w:pPr>
              <w:pStyle w:val="Tabletext"/>
            </w:pPr>
            <w:r>
              <w:t>M</w:t>
            </w:r>
            <w:r w:rsidRPr="00C72C48">
              <w:t>ost people can cope with this level of heat</w:t>
            </w:r>
            <w:r w:rsidR="0098257E">
              <w:t>.</w:t>
            </w:r>
          </w:p>
        </w:tc>
      </w:tr>
      <w:tr w:rsidR="009044A2" w14:paraId="0BA1D06D" w14:textId="77777777" w:rsidTr="009044A2">
        <w:tc>
          <w:tcPr>
            <w:tcW w:w="989" w:type="pct"/>
          </w:tcPr>
          <w:p w14:paraId="24AB8624" w14:textId="77A4EC96" w:rsidR="00C72C48" w:rsidRDefault="00C72C48" w:rsidP="00C72C48">
            <w:pPr>
              <w:pStyle w:val="Tabletext"/>
            </w:pPr>
            <w:r>
              <w:t>Severe</w:t>
            </w:r>
          </w:p>
        </w:tc>
        <w:tc>
          <w:tcPr>
            <w:tcW w:w="992" w:type="pct"/>
          </w:tcPr>
          <w:p w14:paraId="48CCF8F7" w14:textId="3D4F7700" w:rsidR="00C72C48" w:rsidRDefault="00C72C48" w:rsidP="00C72C48">
            <w:pPr>
              <w:pStyle w:val="Tabletext"/>
            </w:pPr>
            <w:r w:rsidRPr="00C72C48">
              <w:t>Less frequent</w:t>
            </w:r>
          </w:p>
        </w:tc>
        <w:tc>
          <w:tcPr>
            <w:tcW w:w="3019" w:type="pct"/>
          </w:tcPr>
          <w:p w14:paraId="6345E652" w14:textId="18EF1EFC" w:rsidR="00C72C48" w:rsidRDefault="00C72C48" w:rsidP="00C72C48">
            <w:pPr>
              <w:pStyle w:val="Tabletext"/>
            </w:pPr>
            <w:r>
              <w:t>P</w:t>
            </w:r>
            <w:r w:rsidRPr="00C72C48">
              <w:t>oses risks for vulnerable populations</w:t>
            </w:r>
            <w:r>
              <w:t xml:space="preserve">, </w:t>
            </w:r>
            <w:r w:rsidRPr="00C72C48">
              <w:t>such as the elderly.</w:t>
            </w:r>
          </w:p>
        </w:tc>
      </w:tr>
      <w:tr w:rsidR="00C72C48" w14:paraId="72F5A77D" w14:textId="77777777" w:rsidTr="009044A2">
        <w:tc>
          <w:tcPr>
            <w:tcW w:w="989" w:type="pct"/>
          </w:tcPr>
          <w:p w14:paraId="4483C043" w14:textId="1009189A" w:rsidR="00C72C48" w:rsidRDefault="00C72C48" w:rsidP="00C72C48">
            <w:pPr>
              <w:pStyle w:val="Tabletext"/>
            </w:pPr>
            <w:r>
              <w:t>Extreme</w:t>
            </w:r>
          </w:p>
        </w:tc>
        <w:tc>
          <w:tcPr>
            <w:tcW w:w="992" w:type="pct"/>
          </w:tcPr>
          <w:p w14:paraId="0D73A694" w14:textId="53045E6D" w:rsidR="00C72C48" w:rsidRPr="00C72C48" w:rsidRDefault="00C72C48" w:rsidP="00C72C48">
            <w:pPr>
              <w:pStyle w:val="Tabletext"/>
            </w:pPr>
            <w:r>
              <w:t>Rare</w:t>
            </w:r>
          </w:p>
        </w:tc>
        <w:tc>
          <w:tcPr>
            <w:tcW w:w="3019" w:type="pct"/>
          </w:tcPr>
          <w:p w14:paraId="28CA463F" w14:textId="7D38BC89" w:rsidR="00C72C48" w:rsidRDefault="0075234D" w:rsidP="00C72C48">
            <w:pPr>
              <w:pStyle w:val="Tabletext"/>
            </w:pPr>
            <w:r>
              <w:t>P</w:t>
            </w:r>
            <w:r w:rsidR="00C72C48" w:rsidRPr="00C72C48">
              <w:t>oses risks even for healthy individuals, particularly those outdoors.</w:t>
            </w:r>
          </w:p>
        </w:tc>
      </w:tr>
    </w:tbl>
    <w:p w14:paraId="1C9CE953" w14:textId="77777777" w:rsidR="00E32C5A" w:rsidRDefault="00E32C5A" w:rsidP="00F900B6">
      <w:pPr>
        <w:pStyle w:val="Bodyaftertablefigure"/>
      </w:pPr>
      <w:r w:rsidRPr="00767FC1">
        <w:t>A warning includes</w:t>
      </w:r>
      <w:r>
        <w:t xml:space="preserve"> the:</w:t>
      </w:r>
    </w:p>
    <w:p w14:paraId="4AAFE7F3" w14:textId="77777777" w:rsidR="00E32C5A" w:rsidRDefault="00E32C5A" w:rsidP="00E32C5A">
      <w:pPr>
        <w:pStyle w:val="Bullet1"/>
      </w:pPr>
      <w:r>
        <w:t>E</w:t>
      </w:r>
      <w:r w:rsidRPr="00767FC1">
        <w:t xml:space="preserve">xpected maximum and minimum temperatures, </w:t>
      </w:r>
    </w:p>
    <w:p w14:paraId="5962241A" w14:textId="77777777" w:rsidR="00E32C5A" w:rsidRDefault="00E32C5A" w:rsidP="00E32C5A">
      <w:pPr>
        <w:pStyle w:val="Bullet1"/>
      </w:pPr>
      <w:r>
        <w:t>T</w:t>
      </w:r>
      <w:r w:rsidRPr="00767FC1">
        <w:t>iming of when the heatwave will peak or ease, and</w:t>
      </w:r>
    </w:p>
    <w:p w14:paraId="250FD695" w14:textId="77777777" w:rsidR="00E32C5A" w:rsidRDefault="00E32C5A" w:rsidP="00E32C5A">
      <w:pPr>
        <w:pStyle w:val="Bullet1"/>
      </w:pPr>
      <w:r>
        <w:t>A</w:t>
      </w:r>
      <w:r w:rsidRPr="00767FC1">
        <w:t>ffected communities within the warning area.</w:t>
      </w:r>
    </w:p>
    <w:p w14:paraId="0E7D911D" w14:textId="54668E3A" w:rsidR="00E32C5A" w:rsidRDefault="00E32C5A" w:rsidP="00A819B9">
      <w:pPr>
        <w:pStyle w:val="Bodyafterbullets"/>
      </w:pPr>
      <w:r w:rsidRPr="00767FC1">
        <w:t xml:space="preserve">For more information visit </w:t>
      </w:r>
      <w:hyperlink r:id="rId27" w:history="1">
        <w:r w:rsidRPr="00767FC1">
          <w:rPr>
            <w:rStyle w:val="Hyperlink"/>
          </w:rPr>
          <w:t>Australia's official weather forecasts &amp; weather radar - Bureau of Meteorology</w:t>
        </w:r>
      </w:hyperlink>
      <w:r>
        <w:t xml:space="preserve"> </w:t>
      </w:r>
      <w:r w:rsidRPr="00DF0992">
        <w:rPr>
          <w:rStyle w:val="BodyChar"/>
        </w:rPr>
        <w:t>&lt;</w:t>
      </w:r>
      <w:hyperlink r:id="rId28" w:history="1">
        <w:r w:rsidRPr="00DF0992">
          <w:rPr>
            <w:rStyle w:val="BodyChar"/>
          </w:rPr>
          <w:t>http://www.bom.gov.au/</w:t>
        </w:r>
      </w:hyperlink>
      <w:r w:rsidRPr="00DF0992">
        <w:rPr>
          <w:rStyle w:val="BodyChar"/>
        </w:rPr>
        <w:t>&gt;.</w:t>
      </w:r>
    </w:p>
    <w:p w14:paraId="2EF3E6D4" w14:textId="77777777" w:rsidR="00F900B6" w:rsidRDefault="00F900B6" w:rsidP="00F900B6">
      <w:pPr>
        <w:pStyle w:val="Heading2"/>
      </w:pPr>
      <w:bookmarkStart w:id="11" w:name="_Toc194934851"/>
      <w:r w:rsidRPr="00F900B6">
        <w:t>Chief Health Officer</w:t>
      </w:r>
      <w:bookmarkEnd w:id="11"/>
      <w:r w:rsidRPr="00F900B6">
        <w:t xml:space="preserve"> </w:t>
      </w:r>
    </w:p>
    <w:p w14:paraId="35065F85" w14:textId="5F7509EB" w:rsidR="0075234D" w:rsidRDefault="0075234D" w:rsidP="0075234D">
      <w:pPr>
        <w:pStyle w:val="Bodyafterbullets"/>
      </w:pPr>
      <w:r>
        <w:t>The Chief Health Officer may issue a heat health warning for significant temperature events that don't meet the BoM’s heatwave criteria, such as:</w:t>
      </w:r>
    </w:p>
    <w:p w14:paraId="508B4CA7" w14:textId="77777777" w:rsidR="0075234D" w:rsidRDefault="0075234D" w:rsidP="0075234D">
      <w:pPr>
        <w:pStyle w:val="Bullet1"/>
      </w:pPr>
      <w:r>
        <w:t>Short-term high temperatures with significant health effects.</w:t>
      </w:r>
    </w:p>
    <w:p w14:paraId="0B088C9F" w14:textId="77777777" w:rsidR="0075234D" w:rsidRPr="00A819B9" w:rsidRDefault="0075234D" w:rsidP="0075234D">
      <w:pPr>
        <w:pStyle w:val="Bullet1"/>
      </w:pPr>
      <w:r>
        <w:t>S</w:t>
      </w:r>
      <w:r w:rsidRPr="00A819B9">
        <w:t>evere or extreme heatwave affecting less than ten per cent of a weather district but affecting a large population centre or mass gathering.</w:t>
      </w:r>
    </w:p>
    <w:p w14:paraId="62075D17" w14:textId="70712288" w:rsidR="0075234D" w:rsidRPr="00A819B9" w:rsidRDefault="0075234D" w:rsidP="0075234D">
      <w:pPr>
        <w:pStyle w:val="Bodyafterbullets"/>
      </w:pPr>
      <w:r w:rsidRPr="00A819B9">
        <w:t xml:space="preserve">More information about heat health warnings can be found at </w:t>
      </w:r>
      <w:hyperlink r:id="rId29" w:history="1">
        <w:r w:rsidR="00C46467" w:rsidRPr="009B06B2">
          <w:rPr>
            <w:rStyle w:val="Hyperlink"/>
          </w:rPr>
          <w:t>https://www.health.vic.gov.au/environmental-health/extreme-heat-and-heatwaves</w:t>
        </w:r>
      </w:hyperlink>
      <w:r w:rsidRPr="00A819B9">
        <w:t>.</w:t>
      </w:r>
    </w:p>
    <w:p w14:paraId="2E63C7B8" w14:textId="408BC545" w:rsidR="00A819B9" w:rsidRPr="00A819B9" w:rsidRDefault="00A819B9" w:rsidP="00A819B9">
      <w:pPr>
        <w:pStyle w:val="Heading2"/>
        <w:rPr>
          <w:rFonts w:eastAsia="Times"/>
        </w:rPr>
      </w:pPr>
      <w:bookmarkStart w:id="12" w:name="_Toc119499230"/>
      <w:bookmarkStart w:id="13" w:name="_Toc194934852"/>
      <w:r w:rsidRPr="00A819B9">
        <w:rPr>
          <w:rFonts w:eastAsia="Times"/>
        </w:rPr>
        <w:lastRenderedPageBreak/>
        <w:t>VicEmergency</w:t>
      </w:r>
      <w:bookmarkEnd w:id="12"/>
      <w:bookmarkEnd w:id="13"/>
    </w:p>
    <w:p w14:paraId="4E9EE5FE" w14:textId="3DEAEC2A" w:rsidR="0044282B" w:rsidRDefault="00A819B9" w:rsidP="00A819B9">
      <w:pPr>
        <w:pStyle w:val="Bodyafterbullets"/>
      </w:pPr>
      <w:r w:rsidRPr="00A819B9">
        <w:t xml:space="preserve">The </w:t>
      </w:r>
      <w:hyperlink r:id="rId30">
        <w:r w:rsidRPr="00A819B9">
          <w:rPr>
            <w:rStyle w:val="Hyperlink"/>
          </w:rPr>
          <w:t>VicEmergency platform</w:t>
        </w:r>
      </w:hyperlink>
      <w:r w:rsidRPr="00A819B9">
        <w:t xml:space="preserve"> </w:t>
      </w:r>
      <w:r w:rsidR="003C284D">
        <w:t>&lt;</w:t>
      </w:r>
      <w:r w:rsidR="003C284D" w:rsidRPr="003C284D">
        <w:t>https://www.emergency.vic.gov.au/respond/</w:t>
      </w:r>
      <w:r w:rsidR="003C284D">
        <w:t xml:space="preserve">&gt; </w:t>
      </w:r>
      <w:r w:rsidR="0044282B" w:rsidRPr="0044282B">
        <w:t xml:space="preserve">uses </w:t>
      </w:r>
      <w:r w:rsidR="00CD0ECA">
        <w:t xml:space="preserve">BoM’s </w:t>
      </w:r>
      <w:r w:rsidR="0044282B" w:rsidRPr="0044282B">
        <w:t>warnings to provide a four-day forecast, displayed on its website and app. As a heatwave approaches (within 12 hours), VicEmergency issues advice messages to affected areas. Warnings may escalate (e.g., to "Watch and Act") based on the event's severity. The platform also issues advice for one-off extreme heat events, as advised by the Department of Health, aligning with the Australian Warning System.</w:t>
      </w:r>
    </w:p>
    <w:p w14:paraId="76B5F38E" w14:textId="4F8EA0A6" w:rsidR="00E05298" w:rsidRDefault="00E05298" w:rsidP="00115A08">
      <w:pPr>
        <w:pStyle w:val="Heading1"/>
      </w:pPr>
      <w:bookmarkStart w:id="14" w:name="_Toc194934853"/>
      <w:r>
        <w:t>Health and wellbeing</w:t>
      </w:r>
      <w:bookmarkEnd w:id="14"/>
    </w:p>
    <w:p w14:paraId="7A970672" w14:textId="6A294E98" w:rsidR="00804DA4" w:rsidRDefault="00804DA4" w:rsidP="00E05298">
      <w:pPr>
        <w:pStyle w:val="Body"/>
      </w:pPr>
      <w:r w:rsidRPr="00804DA4">
        <w:t>Extreme heat events can impact anyone, regardless of age or health status. However, certain individuals may be more vulnerable due to factors such as age, pre-existing health conditions, environmental conditions, social and economic circumstances, location, or occupation. These factors can increase the risk of adverse effects from extreme heat.</w:t>
      </w:r>
    </w:p>
    <w:p w14:paraId="3509C128" w14:textId="5BC96242" w:rsidR="00143BBC" w:rsidRDefault="00143BBC" w:rsidP="00143BBC">
      <w:pPr>
        <w:pStyle w:val="Heading2"/>
      </w:pPr>
      <w:bookmarkStart w:id="15" w:name="_Toc194934854"/>
      <w:r>
        <w:t>Resources for staying safe</w:t>
      </w:r>
      <w:bookmarkEnd w:id="15"/>
    </w:p>
    <w:p w14:paraId="22A7802E" w14:textId="77777777" w:rsidR="00533017" w:rsidRDefault="007F194B" w:rsidP="00366749">
      <w:pPr>
        <w:pStyle w:val="Body"/>
        <w:divId w:val="1710687860"/>
      </w:pPr>
      <w:r w:rsidRPr="007F194B">
        <w:t xml:space="preserve">The Department of Health's Better Health Channel offers a range of informative resources on how to stay safe during extreme heat events. </w:t>
      </w:r>
      <w:r w:rsidR="0016211F" w:rsidRPr="0016211F">
        <w:t xml:space="preserve">These resources include the "Survive the Heat" posters and brochures, which are available in multiple formats and languages. Translated versions can be accessed through the </w:t>
      </w:r>
      <w:hyperlink r:id="rId31" w:history="1">
        <w:r w:rsidR="0016211F" w:rsidRPr="006E0C64">
          <w:rPr>
            <w:rStyle w:val="Hyperlink"/>
          </w:rPr>
          <w:t>Health Translations website</w:t>
        </w:r>
      </w:hyperlink>
      <w:r w:rsidR="0016211F">
        <w:t xml:space="preserve"> &lt;</w:t>
      </w:r>
      <w:r w:rsidR="0016211F" w:rsidRPr="006E0C64">
        <w:t>https://www.healthtranslations.vic.gov.au/advanced-search?q=heat&amp;field_node_resource_topic_name=Heat&amp;field_node_organisation_name=Victorian%20Department%20of%20Health</w:t>
      </w:r>
      <w:r w:rsidR="0016211F">
        <w:t>&gt;</w:t>
      </w:r>
      <w:r w:rsidR="0016211F" w:rsidRPr="0016211F">
        <w:t>, offering support in numerous community languages.</w:t>
      </w:r>
      <w:r w:rsidR="000A7A15">
        <w:t xml:space="preserve"> </w:t>
      </w:r>
    </w:p>
    <w:p w14:paraId="3F84409D" w14:textId="70FE1B33" w:rsidR="0016211F" w:rsidRDefault="00E32A43" w:rsidP="00366749">
      <w:pPr>
        <w:pStyle w:val="Body"/>
        <w:divId w:val="1710687860"/>
      </w:pPr>
      <w:r>
        <w:rPr>
          <w:rStyle w:val="s1"/>
        </w:rPr>
        <w:t>Local housing areas should leverage these resources to raise</w:t>
      </w:r>
      <w:r w:rsidR="005005DE">
        <w:rPr>
          <w:rStyle w:val="s1"/>
        </w:rPr>
        <w:t xml:space="preserve"> </w:t>
      </w:r>
      <w:r>
        <w:rPr>
          <w:rStyle w:val="s1"/>
        </w:rPr>
        <w:t>awareness on how to stay safe during heatwaves. This can be done by ensuring the resources are readily available at key locations, such as reception areas an</w:t>
      </w:r>
      <w:r w:rsidR="00366749">
        <w:rPr>
          <w:rStyle w:val="s1"/>
        </w:rPr>
        <w:t>d Cooler Place</w:t>
      </w:r>
      <w:r w:rsidR="0079539B">
        <w:rPr>
          <w:rStyle w:val="s1"/>
        </w:rPr>
        <w:t xml:space="preserve"> locations</w:t>
      </w:r>
      <w:r w:rsidR="00366749">
        <w:rPr>
          <w:rStyle w:val="s1"/>
        </w:rPr>
        <w:t xml:space="preserve">. </w:t>
      </w:r>
    </w:p>
    <w:p w14:paraId="58DEFD63" w14:textId="34AFE356" w:rsidR="006E0C64" w:rsidRDefault="006E0C64" w:rsidP="006E0C64">
      <w:pPr>
        <w:pStyle w:val="Body"/>
        <w:rPr>
          <w:rFonts w:cs="Arial"/>
          <w:color w:val="2A2736"/>
        </w:rPr>
      </w:pPr>
      <w:r>
        <w:rPr>
          <w:rFonts w:cs="Arial"/>
          <w:color w:val="2A2736"/>
        </w:rPr>
        <w:t>Staff can request printed copies of the</w:t>
      </w:r>
      <w:r w:rsidR="00B07CA6">
        <w:rPr>
          <w:rFonts w:cs="Arial"/>
          <w:color w:val="2A2736"/>
        </w:rPr>
        <w:t xml:space="preserve">se </w:t>
      </w:r>
      <w:r>
        <w:rPr>
          <w:rFonts w:cs="Arial"/>
          <w:color w:val="2A2736"/>
        </w:rPr>
        <w:t>resources using the </w:t>
      </w:r>
      <w:hyperlink r:id="rId32" w:history="1">
        <w:r w:rsidRPr="006E0C64">
          <w:rPr>
            <w:rStyle w:val="Hyperlink"/>
          </w:rPr>
          <w:t>online order form</w:t>
        </w:r>
      </w:hyperlink>
      <w:r>
        <w:t xml:space="preserve"> &lt;</w:t>
      </w:r>
      <w:r w:rsidRPr="006E0C64">
        <w:t>http://ewfds.wfds.com.au/ewfds/?th=VHHR&amp;n1=VHHR&amp;n2=VHHR</w:t>
      </w:r>
      <w:r w:rsidR="00EE5A71">
        <w:t>&gt;.</w:t>
      </w:r>
    </w:p>
    <w:p w14:paraId="683F2291" w14:textId="035717BC" w:rsidR="007E1F83" w:rsidRDefault="001B5CCF" w:rsidP="00E05298">
      <w:pPr>
        <w:pStyle w:val="Body"/>
      </w:pPr>
      <w:r w:rsidRPr="001B5CCF">
        <w:t xml:space="preserve">For more detailed guidance on coping with extreme heat, refer to the Better Health Channel's </w:t>
      </w:r>
      <w:hyperlink r:id="rId33" w:history="1">
        <w:r w:rsidR="00FF6A6C" w:rsidRPr="00FF6A6C">
          <w:rPr>
            <w:rStyle w:val="Hyperlink"/>
          </w:rPr>
          <w:t>How to cope and stay safe in extreme heat | Better Health Channel</w:t>
        </w:r>
      </w:hyperlink>
      <w:r w:rsidR="007B5C85">
        <w:t xml:space="preserve"> page </w:t>
      </w:r>
      <w:r w:rsidR="00B65F7C">
        <w:t>&lt;</w:t>
      </w:r>
      <w:r w:rsidR="00B65F7C" w:rsidRPr="00B65F7C">
        <w:t>https://www.betterhealth.vic.gov.au/health/healthyliving/how-to-cope-and-stay-safe-in-extreme-heat</w:t>
      </w:r>
      <w:r w:rsidR="00B65F7C">
        <w:t>&gt;</w:t>
      </w:r>
    </w:p>
    <w:p w14:paraId="18A9BDD3" w14:textId="03702FD5" w:rsidR="00F73795" w:rsidRPr="00F73795" w:rsidRDefault="00F73795" w:rsidP="00E0037E">
      <w:pPr>
        <w:pStyle w:val="Heading2"/>
      </w:pPr>
      <w:bookmarkStart w:id="16" w:name="_Toc194934855"/>
      <w:r w:rsidRPr="00F73795">
        <w:t>Alternative cooling options</w:t>
      </w:r>
      <w:bookmarkEnd w:id="16"/>
    </w:p>
    <w:p w14:paraId="795D04C1" w14:textId="5B257A19" w:rsidR="00F73795" w:rsidRDefault="007C142A" w:rsidP="007C142A">
      <w:pPr>
        <w:pStyle w:val="Body"/>
      </w:pPr>
      <w:r w:rsidRPr="007C142A">
        <w:t xml:space="preserve">For renters who may not have easy access to </w:t>
      </w:r>
      <w:r w:rsidR="005D46E0">
        <w:t>C</w:t>
      </w:r>
      <w:r w:rsidRPr="007C142A">
        <w:t xml:space="preserve">ooler </w:t>
      </w:r>
      <w:r w:rsidR="005D46E0">
        <w:t>P</w:t>
      </w:r>
      <w:r>
        <w:t>laces</w:t>
      </w:r>
      <w:r w:rsidRPr="007C142A">
        <w:t>,</w:t>
      </w:r>
      <w:r w:rsidR="00F73795">
        <w:t xml:space="preserve"> alternative cooling options include:</w:t>
      </w:r>
    </w:p>
    <w:p w14:paraId="7518A70E" w14:textId="28311751" w:rsidR="00C73898" w:rsidRDefault="00C73898" w:rsidP="00C947A6">
      <w:pPr>
        <w:pStyle w:val="Bullet1"/>
      </w:pPr>
      <w:r w:rsidRPr="00C73898">
        <w:rPr>
          <w:b/>
          <w:bCs/>
        </w:rPr>
        <w:t xml:space="preserve">Public facilities: </w:t>
      </w:r>
      <w:r w:rsidR="00DD1E59">
        <w:t>Libraries</w:t>
      </w:r>
      <w:r>
        <w:t>, s</w:t>
      </w:r>
      <w:r w:rsidR="00DD1E59">
        <w:t>hopping centres</w:t>
      </w:r>
      <w:r>
        <w:t>, l</w:t>
      </w:r>
      <w:r w:rsidR="00DD1E59">
        <w:t>ocal pools</w:t>
      </w:r>
      <w:r>
        <w:t>, c</w:t>
      </w:r>
      <w:r w:rsidR="00DD1E59">
        <w:t>inemas</w:t>
      </w:r>
    </w:p>
    <w:p w14:paraId="67CB4987" w14:textId="11FEDF04" w:rsidR="00CF3BFC" w:rsidRDefault="00C73898" w:rsidP="00C947A6">
      <w:pPr>
        <w:pStyle w:val="Bullet1"/>
      </w:pPr>
      <w:r w:rsidRPr="00C73898">
        <w:rPr>
          <w:b/>
          <w:bCs/>
        </w:rPr>
        <w:t>Personal networks:</w:t>
      </w:r>
      <w:r>
        <w:t xml:space="preserve"> </w:t>
      </w:r>
      <w:r w:rsidR="00DD1E59">
        <w:t>Family and friends’ homes with air conditioning.</w:t>
      </w:r>
    </w:p>
    <w:p w14:paraId="23EB9435" w14:textId="324B3C84" w:rsidR="006C06C6" w:rsidRDefault="00330539" w:rsidP="006C06C6">
      <w:pPr>
        <w:pStyle w:val="Bullet1"/>
      </w:pPr>
      <w:r w:rsidRPr="0095672A">
        <w:rPr>
          <w:b/>
          <w:bCs/>
        </w:rPr>
        <w:t>Internal/External Works Permit</w:t>
      </w:r>
      <w:r w:rsidR="0095672A" w:rsidRPr="0095672A">
        <w:rPr>
          <w:b/>
          <w:bCs/>
        </w:rPr>
        <w:t>:</w:t>
      </w:r>
      <w:r w:rsidR="0095672A">
        <w:t xml:space="preserve"> </w:t>
      </w:r>
      <w:r w:rsidR="00412AEC">
        <w:t xml:space="preserve">For renters wishing to </w:t>
      </w:r>
      <w:r w:rsidR="006C06C6">
        <w:t xml:space="preserve">install an air </w:t>
      </w:r>
      <w:r w:rsidR="00412AEC">
        <w:t>conditioner</w:t>
      </w:r>
      <w:r w:rsidR="006C06C6">
        <w:t xml:space="preserve"> at their own expense</w:t>
      </w:r>
      <w:r w:rsidR="00412AEC">
        <w:t>.</w:t>
      </w:r>
    </w:p>
    <w:p w14:paraId="1DBD568E" w14:textId="60C1FF93" w:rsidR="006C06C6" w:rsidRDefault="00E54584" w:rsidP="00C947A6">
      <w:pPr>
        <w:pStyle w:val="Bullet1"/>
      </w:pPr>
      <w:r w:rsidRPr="00E54584">
        <w:rPr>
          <w:b/>
          <w:bCs/>
        </w:rPr>
        <w:t>Special Accommodation Requirements:</w:t>
      </w:r>
      <w:r>
        <w:rPr>
          <w:b/>
          <w:bCs/>
        </w:rPr>
        <w:t xml:space="preserve"> </w:t>
      </w:r>
      <w:r w:rsidR="00081905" w:rsidRPr="00081905">
        <w:t xml:space="preserve">For renters with medical conditions requiring </w:t>
      </w:r>
      <w:r w:rsidR="00EB5774">
        <w:t xml:space="preserve">medical </w:t>
      </w:r>
      <w:r w:rsidR="00081905" w:rsidRPr="00081905">
        <w:t>cooling</w:t>
      </w:r>
      <w:r w:rsidR="00EB5774">
        <w:t>, including air conditioning.</w:t>
      </w:r>
    </w:p>
    <w:p w14:paraId="6980F235" w14:textId="4CB628DF" w:rsidR="0056655B" w:rsidRDefault="0056655B" w:rsidP="0056655B">
      <w:pPr>
        <w:pStyle w:val="Heading1"/>
      </w:pPr>
      <w:bookmarkStart w:id="17" w:name="_Toc194934856"/>
      <w:r>
        <w:lastRenderedPageBreak/>
        <w:t>Facility readiness</w:t>
      </w:r>
      <w:bookmarkEnd w:id="17"/>
    </w:p>
    <w:p w14:paraId="65C18E76" w14:textId="2A109663" w:rsidR="0056655B" w:rsidRDefault="00EA2E53" w:rsidP="0056655B">
      <w:pPr>
        <w:pStyle w:val="Body"/>
      </w:pPr>
      <w:r w:rsidRPr="00EA2E53">
        <w:t xml:space="preserve">As the summer months approach, </w:t>
      </w:r>
      <w:r w:rsidR="00EF65D3">
        <w:t xml:space="preserve">local housing areas are responsible for </w:t>
      </w:r>
      <w:r w:rsidRPr="00EA2E53">
        <w:t>ensur</w:t>
      </w:r>
      <w:r w:rsidR="007D5337">
        <w:t xml:space="preserve">ing </w:t>
      </w:r>
      <w:r w:rsidRPr="00EA2E53">
        <w:t xml:space="preserve">that facilities are ready to provide a safe and comfortable environment for </w:t>
      </w:r>
      <w:r>
        <w:t>residents</w:t>
      </w:r>
      <w:r w:rsidRPr="00EA2E53">
        <w:t xml:space="preserve"> during heatwaves. September is an ideal time to conduct necessary preparations to mitigate heat-related risks.</w:t>
      </w:r>
      <w:r w:rsidR="008300F0">
        <w:t xml:space="preserve"> </w:t>
      </w:r>
      <w:r w:rsidR="00CF02BB">
        <w:t xml:space="preserve">Preparation activities </w:t>
      </w:r>
      <w:r w:rsidR="00532AE7">
        <w:t xml:space="preserve">must </w:t>
      </w:r>
      <w:r w:rsidR="00CF02BB">
        <w:t>include</w:t>
      </w:r>
      <w:r w:rsidR="008300F0">
        <w:t>:</w:t>
      </w:r>
    </w:p>
    <w:p w14:paraId="216682A8" w14:textId="620FF18E" w:rsidR="008300F0" w:rsidRDefault="00B37FB6" w:rsidP="008300F0">
      <w:pPr>
        <w:pStyle w:val="Bullet1"/>
      </w:pPr>
      <w:r>
        <w:rPr>
          <w:b/>
          <w:bCs/>
        </w:rPr>
        <w:t>Air condi</w:t>
      </w:r>
      <w:r w:rsidR="00412B31">
        <w:rPr>
          <w:b/>
          <w:bCs/>
        </w:rPr>
        <w:t>tioner inspection</w:t>
      </w:r>
      <w:r w:rsidR="008300F0" w:rsidRPr="008300F0">
        <w:rPr>
          <w:b/>
          <w:bCs/>
        </w:rPr>
        <w:t>:</w:t>
      </w:r>
      <w:r w:rsidR="008300F0">
        <w:rPr>
          <w:b/>
          <w:bCs/>
        </w:rPr>
        <w:t xml:space="preserve"> </w:t>
      </w:r>
      <w:r w:rsidR="008300F0" w:rsidRPr="00516B05">
        <w:t xml:space="preserve">An inspection of all designated Cooler Places </w:t>
      </w:r>
      <w:r w:rsidR="00CB5F6C" w:rsidRPr="00516B05">
        <w:t>to confirm</w:t>
      </w:r>
      <w:r w:rsidR="004F5A81">
        <w:t xml:space="preserve"> </w:t>
      </w:r>
      <w:r w:rsidR="008300F0" w:rsidRPr="00516B05">
        <w:t>air conditioning units are functioning efficiently</w:t>
      </w:r>
      <w:r w:rsidR="00D0666F" w:rsidRPr="00516B05">
        <w:t>.</w:t>
      </w:r>
      <w:r w:rsidR="00D0666F">
        <w:t xml:space="preserve"> </w:t>
      </w:r>
    </w:p>
    <w:p w14:paraId="40097E00" w14:textId="6682734E" w:rsidR="00D0666F" w:rsidRPr="002C2516" w:rsidRDefault="00B37FB6" w:rsidP="008300F0">
      <w:pPr>
        <w:pStyle w:val="Bullet1"/>
        <w:rPr>
          <w:b/>
          <w:bCs/>
        </w:rPr>
      </w:pPr>
      <w:r w:rsidRPr="00412B31">
        <w:rPr>
          <w:b/>
          <w:bCs/>
        </w:rPr>
        <w:t xml:space="preserve">Hazard </w:t>
      </w:r>
      <w:r w:rsidR="00412B31">
        <w:rPr>
          <w:b/>
          <w:bCs/>
        </w:rPr>
        <w:t>i</w:t>
      </w:r>
      <w:r w:rsidRPr="00412B31">
        <w:rPr>
          <w:b/>
          <w:bCs/>
        </w:rPr>
        <w:t>dentification and</w:t>
      </w:r>
      <w:r w:rsidR="00412B31">
        <w:rPr>
          <w:b/>
          <w:bCs/>
        </w:rPr>
        <w:t xml:space="preserve"> ri</w:t>
      </w:r>
      <w:r w:rsidRPr="00412B31">
        <w:rPr>
          <w:b/>
          <w:bCs/>
        </w:rPr>
        <w:t xml:space="preserve">sk </w:t>
      </w:r>
      <w:r w:rsidR="00412B31">
        <w:rPr>
          <w:b/>
          <w:bCs/>
        </w:rPr>
        <w:t>a</w:t>
      </w:r>
      <w:r w:rsidRPr="00412B31">
        <w:rPr>
          <w:b/>
          <w:bCs/>
        </w:rPr>
        <w:t>ssessment</w:t>
      </w:r>
      <w:r w:rsidR="00412B31">
        <w:rPr>
          <w:b/>
          <w:bCs/>
        </w:rPr>
        <w:t xml:space="preserve">: </w:t>
      </w:r>
      <w:r w:rsidR="00F51D5A" w:rsidRPr="002C2516">
        <w:t xml:space="preserve">An Occupational Health and Safety check, </w:t>
      </w:r>
      <w:r w:rsidR="002C2516" w:rsidRPr="002C2516">
        <w:t xml:space="preserve">to </w:t>
      </w:r>
      <w:r w:rsidR="00F51D5A" w:rsidRPr="002C2516">
        <w:t>identify potential risks within the facility. This includes:</w:t>
      </w:r>
    </w:p>
    <w:p w14:paraId="7ACDB0BC" w14:textId="65795976" w:rsidR="00A65278" w:rsidRDefault="00A65278" w:rsidP="00A65278">
      <w:pPr>
        <w:pStyle w:val="Bullet2"/>
      </w:pPr>
      <w:r w:rsidRPr="00E16A91">
        <w:rPr>
          <w:b/>
          <w:bCs/>
        </w:rPr>
        <w:t xml:space="preserve">Tripping </w:t>
      </w:r>
      <w:r w:rsidR="00E16A91" w:rsidRPr="00E16A91">
        <w:rPr>
          <w:b/>
          <w:bCs/>
        </w:rPr>
        <w:t>h</w:t>
      </w:r>
      <w:r w:rsidRPr="00E16A91">
        <w:rPr>
          <w:b/>
          <w:bCs/>
        </w:rPr>
        <w:t>a</w:t>
      </w:r>
      <w:r w:rsidR="00E16A91" w:rsidRPr="00E16A91">
        <w:rPr>
          <w:b/>
          <w:bCs/>
        </w:rPr>
        <w:t>z</w:t>
      </w:r>
      <w:r w:rsidRPr="00E16A91">
        <w:rPr>
          <w:b/>
          <w:bCs/>
        </w:rPr>
        <w:t>ards:</w:t>
      </w:r>
      <w:r>
        <w:t xml:space="preserve"> Inspect</w:t>
      </w:r>
      <w:r w:rsidR="00A03B3E">
        <w:t>ing</w:t>
      </w:r>
      <w:r>
        <w:t xml:space="preserve"> walkways and floors for uneven surfaces, loose mats, or other obstructions that could cause slips or falls.</w:t>
      </w:r>
    </w:p>
    <w:p w14:paraId="170868C6" w14:textId="475E1A97" w:rsidR="00310140" w:rsidRDefault="00AD34C3" w:rsidP="00C947A6">
      <w:pPr>
        <w:pStyle w:val="Bullet2"/>
      </w:pPr>
      <w:r w:rsidRPr="00310140">
        <w:rPr>
          <w:b/>
          <w:bCs/>
        </w:rPr>
        <w:t>L</w:t>
      </w:r>
      <w:r w:rsidR="00A65278" w:rsidRPr="00310140">
        <w:rPr>
          <w:b/>
          <w:bCs/>
        </w:rPr>
        <w:t xml:space="preserve">ighting: </w:t>
      </w:r>
      <w:r w:rsidR="004B6567" w:rsidRPr="004B6567">
        <w:t>Verify</w:t>
      </w:r>
      <w:r w:rsidR="00A03B3E">
        <w:t>ing</w:t>
      </w:r>
      <w:r w:rsidR="004B6567" w:rsidRPr="004B6567">
        <w:t xml:space="preserve"> that all lighting is in good working order to prevent accidents and maintain visibility.</w:t>
      </w:r>
    </w:p>
    <w:p w14:paraId="491E1D2D" w14:textId="229DCD7E" w:rsidR="0033081F" w:rsidRPr="0033081F" w:rsidRDefault="00106D19" w:rsidP="0033081F">
      <w:pPr>
        <w:pStyle w:val="Bullet2"/>
      </w:pPr>
      <w:r w:rsidRPr="0033081F">
        <w:rPr>
          <w:b/>
          <w:bCs/>
        </w:rPr>
        <w:t>Emergency exit</w:t>
      </w:r>
      <w:r w:rsidR="00A532C7">
        <w:rPr>
          <w:b/>
          <w:bCs/>
        </w:rPr>
        <w:t>s</w:t>
      </w:r>
      <w:r w:rsidRPr="0033081F">
        <w:rPr>
          <w:b/>
          <w:bCs/>
        </w:rPr>
        <w:t>:</w:t>
      </w:r>
      <w:r w:rsidRPr="00106D19">
        <w:t xml:space="preserve"> </w:t>
      </w:r>
      <w:r w:rsidR="0033081F" w:rsidRPr="0033081F">
        <w:t>Confirm</w:t>
      </w:r>
      <w:r w:rsidR="00460669">
        <w:t>ing</w:t>
      </w:r>
      <w:r w:rsidR="0033081F" w:rsidRPr="0033081F">
        <w:t xml:space="preserve"> that all emergency exit signs </w:t>
      </w:r>
      <w:proofErr w:type="gramStart"/>
      <w:r w:rsidR="0033081F" w:rsidRPr="0033081F">
        <w:t>are in good working order and clearly visible at all times</w:t>
      </w:r>
      <w:proofErr w:type="gramEnd"/>
      <w:r w:rsidR="0033081F" w:rsidRPr="0033081F">
        <w:t>.</w:t>
      </w:r>
    </w:p>
    <w:p w14:paraId="6400CE3C" w14:textId="47E70B37" w:rsidR="008E4888" w:rsidRDefault="008E4888" w:rsidP="00C947A6">
      <w:pPr>
        <w:pStyle w:val="Bullet2"/>
      </w:pPr>
      <w:r w:rsidRPr="0033081F">
        <w:rPr>
          <w:b/>
          <w:bCs/>
        </w:rPr>
        <w:t xml:space="preserve">First aid kits: </w:t>
      </w:r>
      <w:r w:rsidR="0061554C" w:rsidRPr="0061554C">
        <w:t>Inspect</w:t>
      </w:r>
      <w:r w:rsidR="00460669">
        <w:t>ing</w:t>
      </w:r>
      <w:r w:rsidR="0061554C" w:rsidRPr="0061554C">
        <w:t xml:space="preserve"> first aid kits to maintain their stock levels and check for expired items. Replace any used or expired items promptly.</w:t>
      </w:r>
    </w:p>
    <w:p w14:paraId="6CD57640" w14:textId="2367F3C3" w:rsidR="00403B9B" w:rsidRDefault="00403B9B" w:rsidP="00C947A6">
      <w:pPr>
        <w:pStyle w:val="Bullet2"/>
      </w:pPr>
      <w:r w:rsidRPr="00403B9B">
        <w:rPr>
          <w:b/>
          <w:bCs/>
        </w:rPr>
        <w:t>Cleaning product storage:</w:t>
      </w:r>
      <w:r w:rsidRPr="00403B9B">
        <w:t xml:space="preserve"> </w:t>
      </w:r>
      <w:r w:rsidR="00015E24" w:rsidRPr="0051581E">
        <w:t>Verif</w:t>
      </w:r>
      <w:r w:rsidR="00015E24">
        <w:t>ying</w:t>
      </w:r>
      <w:r w:rsidR="0051581E" w:rsidRPr="0051581E">
        <w:t xml:space="preserve"> that cleaning products are properly labelled and securely stored to prevent unauthori</w:t>
      </w:r>
      <w:r w:rsidR="0051581E">
        <w:t>s</w:t>
      </w:r>
      <w:r w:rsidR="0051581E" w:rsidRPr="0051581E">
        <w:t>ed access or spills.</w:t>
      </w:r>
    </w:p>
    <w:p w14:paraId="08061821" w14:textId="667D98F6" w:rsidR="000B1FC4" w:rsidRDefault="000B1FC4" w:rsidP="000B1FC4">
      <w:pPr>
        <w:pStyle w:val="Bullet1"/>
      </w:pPr>
      <w:r>
        <w:rPr>
          <w:b/>
          <w:bCs/>
        </w:rPr>
        <w:t>General f</w:t>
      </w:r>
      <w:r w:rsidRPr="000B1FC4">
        <w:rPr>
          <w:b/>
          <w:bCs/>
        </w:rPr>
        <w:t xml:space="preserve">acility </w:t>
      </w:r>
      <w:r>
        <w:rPr>
          <w:b/>
          <w:bCs/>
        </w:rPr>
        <w:t>s</w:t>
      </w:r>
      <w:r w:rsidRPr="000B1FC4">
        <w:rPr>
          <w:b/>
          <w:bCs/>
        </w:rPr>
        <w:t>upplies:</w:t>
      </w:r>
      <w:r>
        <w:t xml:space="preserve"> </w:t>
      </w:r>
      <w:r w:rsidR="00F209A7" w:rsidRPr="00F209A7">
        <w:t>Conduct</w:t>
      </w:r>
      <w:r w:rsidR="00FA26A5">
        <w:t>ing</w:t>
      </w:r>
      <w:r w:rsidR="00F209A7" w:rsidRPr="00F209A7">
        <w:t xml:space="preserve"> an inventory check</w:t>
      </w:r>
      <w:r w:rsidR="009A527A">
        <w:t xml:space="preserve"> and </w:t>
      </w:r>
      <w:r w:rsidR="00F209A7" w:rsidRPr="00F209A7">
        <w:t>order</w:t>
      </w:r>
      <w:r w:rsidR="007B3072">
        <w:t>ing</w:t>
      </w:r>
      <w:r w:rsidR="00F209A7" w:rsidRPr="00F209A7">
        <w:t xml:space="preserve"> additional supplies as necessary</w:t>
      </w:r>
      <w:r w:rsidR="009A527A">
        <w:t xml:space="preserve">. </w:t>
      </w:r>
      <w:r w:rsidR="00F209A7" w:rsidRPr="00F209A7">
        <w:t>This includes checking the stock levels of:</w:t>
      </w:r>
    </w:p>
    <w:p w14:paraId="431C14B0" w14:textId="4A326B02" w:rsidR="000B1FC4" w:rsidRDefault="000B1FC4" w:rsidP="00834CDD">
      <w:pPr>
        <w:pStyle w:val="Bullet2"/>
      </w:pPr>
      <w:r w:rsidRPr="000B1FC4">
        <w:rPr>
          <w:b/>
          <w:bCs/>
        </w:rPr>
        <w:t xml:space="preserve">Personal Protective Equipment: </w:t>
      </w:r>
      <w:r w:rsidR="00B06F0C" w:rsidRPr="00B06F0C">
        <w:t>D</w:t>
      </w:r>
      <w:r w:rsidRPr="00B06F0C">
        <w:t>isp</w:t>
      </w:r>
      <w:r>
        <w:t>osable face masks</w:t>
      </w:r>
      <w:r w:rsidR="00C947A6">
        <w:t>.</w:t>
      </w:r>
    </w:p>
    <w:p w14:paraId="227C4F4B" w14:textId="473A1035" w:rsidR="000B1FC4" w:rsidRDefault="000B1FC4" w:rsidP="000B1FC4">
      <w:pPr>
        <w:pStyle w:val="Bullet2"/>
      </w:pPr>
      <w:r w:rsidRPr="000B1FC4">
        <w:rPr>
          <w:b/>
          <w:bCs/>
        </w:rPr>
        <w:t xml:space="preserve">Hygiene </w:t>
      </w:r>
      <w:r>
        <w:rPr>
          <w:b/>
          <w:bCs/>
        </w:rPr>
        <w:t>s</w:t>
      </w:r>
      <w:r w:rsidRPr="000B1FC4">
        <w:rPr>
          <w:b/>
          <w:bCs/>
        </w:rPr>
        <w:t xml:space="preserve">upplies: </w:t>
      </w:r>
      <w:r w:rsidR="00B06F0C" w:rsidRPr="00B06F0C">
        <w:t>C</w:t>
      </w:r>
      <w:r>
        <w:t>ups and alcohol wipes.</w:t>
      </w:r>
    </w:p>
    <w:p w14:paraId="1580D34F" w14:textId="78B0CC30" w:rsidR="000B1FC4" w:rsidRDefault="000B1FC4" w:rsidP="000B1FC4">
      <w:pPr>
        <w:pStyle w:val="Bullet2"/>
      </w:pPr>
      <w:r w:rsidRPr="000B1FC4">
        <w:rPr>
          <w:b/>
          <w:bCs/>
        </w:rPr>
        <w:t>Cleaning products:</w:t>
      </w:r>
      <w:r>
        <w:t xml:space="preserve"> </w:t>
      </w:r>
      <w:r w:rsidR="00B06F0C">
        <w:t>C</w:t>
      </w:r>
      <w:r>
        <w:t>leaning products</w:t>
      </w:r>
      <w:r w:rsidR="00E9343E">
        <w:t>.</w:t>
      </w:r>
    </w:p>
    <w:p w14:paraId="745F813D" w14:textId="170C69C4" w:rsidR="00767FC1" w:rsidRDefault="00767FC1" w:rsidP="00767FC1">
      <w:pPr>
        <w:pStyle w:val="Heading1"/>
      </w:pPr>
      <w:bookmarkStart w:id="18" w:name="_Toc194934857"/>
      <w:r w:rsidRPr="00767FC1">
        <w:t>Activation of Cooler Places</w:t>
      </w:r>
      <w:bookmarkEnd w:id="18"/>
    </w:p>
    <w:p w14:paraId="1A272DC3" w14:textId="1900AAE7" w:rsidR="004018AF" w:rsidRDefault="004018AF" w:rsidP="004018AF">
      <w:pPr>
        <w:pStyle w:val="Body"/>
      </w:pPr>
      <w:r>
        <w:t xml:space="preserve">Cooler Places </w:t>
      </w:r>
      <w:r w:rsidRPr="00624957">
        <w:t xml:space="preserve">should be activated when the Department of Health issues a </w:t>
      </w:r>
      <w:r w:rsidRPr="000E14C2">
        <w:t>heat health warning</w:t>
      </w:r>
      <w:r w:rsidRPr="00624957">
        <w:t>, specifically under the following conditions:</w:t>
      </w:r>
    </w:p>
    <w:p w14:paraId="6C134EC1" w14:textId="0356D057" w:rsidR="004018AF" w:rsidRDefault="004018AF" w:rsidP="004018AF">
      <w:pPr>
        <w:pStyle w:val="Bullet1"/>
      </w:pPr>
      <w:r w:rsidRPr="004018AF">
        <w:rPr>
          <w:b/>
          <w:bCs/>
        </w:rPr>
        <w:t xml:space="preserve">Heatwave </w:t>
      </w:r>
      <w:r w:rsidR="001741E7">
        <w:rPr>
          <w:b/>
          <w:bCs/>
        </w:rPr>
        <w:t>w</w:t>
      </w:r>
      <w:r w:rsidRPr="004018AF">
        <w:rPr>
          <w:b/>
          <w:bCs/>
        </w:rPr>
        <w:t>arnings:</w:t>
      </w:r>
      <w:r>
        <w:t xml:space="preserve"> Locations within a weather forecast district facing a Severe or Extreme heatwave risk as per the Bureau of Meteorology's warning. </w:t>
      </w:r>
    </w:p>
    <w:p w14:paraId="217ACB47" w14:textId="7599566C" w:rsidR="00F1059C" w:rsidRDefault="004018AF" w:rsidP="00F1059C">
      <w:pPr>
        <w:pStyle w:val="Bullet1"/>
      </w:pPr>
      <w:r w:rsidRPr="004018AF">
        <w:rPr>
          <w:b/>
          <w:bCs/>
        </w:rPr>
        <w:t xml:space="preserve">Chief Health Officer </w:t>
      </w:r>
      <w:r w:rsidR="001741E7">
        <w:rPr>
          <w:b/>
          <w:bCs/>
        </w:rPr>
        <w:t>a</w:t>
      </w:r>
      <w:r w:rsidRPr="004018AF">
        <w:rPr>
          <w:b/>
          <w:bCs/>
        </w:rPr>
        <w:t>lerts</w:t>
      </w:r>
      <w:r>
        <w:t xml:space="preserve">: If the Chief Health Officer identifies a heat health risk, even without a </w:t>
      </w:r>
      <w:r w:rsidR="00B91D63">
        <w:t>BoM</w:t>
      </w:r>
      <w:r>
        <w:t xml:space="preserve"> heatwave warning. This can occur during severe heat over one or two consecutive days, with details provided in the warning.</w:t>
      </w:r>
    </w:p>
    <w:p w14:paraId="1BCE9065" w14:textId="58F5F604" w:rsidR="00F25D7E" w:rsidRDefault="00842769" w:rsidP="00F25D7E">
      <w:pPr>
        <w:pStyle w:val="Bodyafterbullets"/>
        <w:divId w:val="303774373"/>
        <w:rPr>
          <w:rStyle w:val="s1"/>
        </w:rPr>
      </w:pPr>
      <w:r>
        <w:rPr>
          <w:rStyle w:val="s1"/>
        </w:rPr>
        <w:t xml:space="preserve">CSHS Managers </w:t>
      </w:r>
      <w:r w:rsidR="00B55C10">
        <w:rPr>
          <w:rStyle w:val="s1"/>
        </w:rPr>
        <w:t>are responsible for coordinating the opening of Cooler Places once the threshold is reached, and for:</w:t>
      </w:r>
    </w:p>
    <w:p w14:paraId="3341B2CE" w14:textId="45384C29" w:rsidR="00C83001" w:rsidRPr="00C83001" w:rsidRDefault="00D17E8B" w:rsidP="00F25D7E">
      <w:pPr>
        <w:pStyle w:val="Bullet1"/>
        <w:divId w:val="303774373"/>
        <w:rPr>
          <w:rStyle w:val="s1"/>
          <w:sz w:val="24"/>
          <w:szCs w:val="24"/>
        </w:rPr>
      </w:pPr>
      <w:r>
        <w:rPr>
          <w:rStyle w:val="s1"/>
        </w:rPr>
        <w:t>N</w:t>
      </w:r>
      <w:r w:rsidR="005F163B">
        <w:rPr>
          <w:rStyle w:val="s1"/>
        </w:rPr>
        <w:t xml:space="preserve">otifying relevant Community Facility Managers about the heat health warning. </w:t>
      </w:r>
    </w:p>
    <w:p w14:paraId="02B96B26" w14:textId="3174E9D8" w:rsidR="00C83001" w:rsidRPr="00C83001" w:rsidRDefault="00C83001" w:rsidP="00C83001">
      <w:pPr>
        <w:pStyle w:val="Bullet1"/>
        <w:divId w:val="508495162"/>
        <w:rPr>
          <w:rStyle w:val="s1"/>
          <w:sz w:val="24"/>
          <w:szCs w:val="24"/>
        </w:rPr>
      </w:pPr>
      <w:r>
        <w:rPr>
          <w:rStyle w:val="s1"/>
        </w:rPr>
        <w:t xml:space="preserve">Informing the Housing Call Centre at </w:t>
      </w:r>
      <w:hyperlink r:id="rId34" w:history="1">
        <w:r w:rsidRPr="00F95301">
          <w:rPr>
            <w:rStyle w:val="Hyperlink"/>
          </w:rPr>
          <w:t>HCC.leadership@dffh.vic.gov.au</w:t>
        </w:r>
      </w:hyperlink>
      <w:r>
        <w:rPr>
          <w:rStyle w:val="s1"/>
        </w:rPr>
        <w:t xml:space="preserve"> when Cooler Places are open, so renters in the Keeping in Touch program can be informed.</w:t>
      </w:r>
    </w:p>
    <w:p w14:paraId="4BA8158A" w14:textId="77777777" w:rsidR="00D0666F" w:rsidRPr="00BA1D4B" w:rsidRDefault="00D0666F" w:rsidP="00D0666F">
      <w:pPr>
        <w:pStyle w:val="Heading2"/>
      </w:pPr>
      <w:bookmarkStart w:id="19" w:name="_Toc194934858"/>
      <w:r w:rsidRPr="00BA1D4B">
        <w:t>Infection control measures</w:t>
      </w:r>
      <w:bookmarkEnd w:id="19"/>
      <w:r w:rsidRPr="00BA1D4B">
        <w:t xml:space="preserve"> </w:t>
      </w:r>
    </w:p>
    <w:p w14:paraId="0A4F1F62" w14:textId="494F8F0F" w:rsidR="00D0666F" w:rsidRPr="00BA1D4B" w:rsidRDefault="00D0666F" w:rsidP="00D0666F">
      <w:pPr>
        <w:pStyle w:val="Bodyafterbullets"/>
      </w:pPr>
      <w:r w:rsidRPr="00BA1D4B">
        <w:t xml:space="preserve">When air conditioners are in use, they should be set to maximise outdoor air exchange to minimise air recirculation. If increasing outdoor air exchange is not possible, </w:t>
      </w:r>
      <w:r w:rsidR="00271CC8">
        <w:t>windows should be opened</w:t>
      </w:r>
      <w:r w:rsidRPr="00BA1D4B">
        <w:t xml:space="preserve"> to promote airflow. </w:t>
      </w:r>
    </w:p>
    <w:p w14:paraId="1873BAAF" w14:textId="77777777" w:rsidR="00D0666F" w:rsidRDefault="00D0666F" w:rsidP="00D0666F">
      <w:pPr>
        <w:pStyle w:val="Bodyafterbullets"/>
      </w:pPr>
      <w:r w:rsidRPr="00BA1D4B">
        <w:lastRenderedPageBreak/>
        <w:t xml:space="preserve">For more information, staff can refer to the Department of Health’s Better Health Chanel, Improving ventilation to stop the spread of COVID-19 page at </w:t>
      </w:r>
      <w:hyperlink r:id="rId35" w:history="1">
        <w:r w:rsidRPr="00BA1D4B">
          <w:rPr>
            <w:rStyle w:val="Hyperlink"/>
          </w:rPr>
          <w:t>https://www.betterhealth.vic.gov.au/covid-19/improving-ventilation-stop-spread-covid-19</w:t>
        </w:r>
      </w:hyperlink>
      <w:r w:rsidRPr="00BA1D4B">
        <w:t>.</w:t>
      </w:r>
      <w:r>
        <w:t xml:space="preserve"> </w:t>
      </w:r>
    </w:p>
    <w:p w14:paraId="1277056C" w14:textId="1C0DD9C3" w:rsidR="00CA75B3" w:rsidRDefault="004E27ED" w:rsidP="00F1059C">
      <w:pPr>
        <w:pStyle w:val="Heading2"/>
      </w:pPr>
      <w:bookmarkStart w:id="20" w:name="_Toc194934859"/>
      <w:r w:rsidRPr="004E27ED">
        <w:t>Activati</w:t>
      </w:r>
      <w:r w:rsidR="00F1059C">
        <w:t>on d</w:t>
      </w:r>
      <w:r w:rsidRPr="004E27ED">
        <w:t xml:space="preserve">uring </w:t>
      </w:r>
      <w:r w:rsidR="00F1059C">
        <w:t>l</w:t>
      </w:r>
      <w:r w:rsidRPr="004E27ED">
        <w:t>ow-</w:t>
      </w:r>
      <w:r w:rsidR="00F1059C">
        <w:t>i</w:t>
      </w:r>
      <w:r w:rsidRPr="004E27ED">
        <w:t xml:space="preserve">ntensity </w:t>
      </w:r>
      <w:r w:rsidR="00F1059C">
        <w:t>h</w:t>
      </w:r>
      <w:r w:rsidRPr="004E27ED">
        <w:t>eatwaves</w:t>
      </w:r>
      <w:bookmarkEnd w:id="20"/>
    </w:p>
    <w:p w14:paraId="52C934B7" w14:textId="6660135B" w:rsidR="00E80F58" w:rsidRDefault="000B3B78" w:rsidP="004018AF">
      <w:pPr>
        <w:pStyle w:val="Bodyafterbullets"/>
      </w:pPr>
      <w:r>
        <w:t>CSH</w:t>
      </w:r>
      <w:r w:rsidR="004157B8">
        <w:t>S</w:t>
      </w:r>
      <w:r w:rsidR="004018AF">
        <w:t xml:space="preserve"> </w:t>
      </w:r>
      <w:r w:rsidR="00B52CCC">
        <w:t>M</w:t>
      </w:r>
      <w:r w:rsidR="004018AF">
        <w:t xml:space="preserve">anagers may choose to activate Cooler Places based on local conditions during low-intensity heatwaves. </w:t>
      </w:r>
      <w:r w:rsidR="00CF584C" w:rsidRPr="00CF584C">
        <w:t>For example, a low-intensity heatwave might involve temperatures reaching 28-30°C in areas where 25°C is typical.</w:t>
      </w:r>
      <w:r w:rsidR="00CF584C">
        <w:t xml:space="preserve"> </w:t>
      </w:r>
      <w:r w:rsidR="004018AF">
        <w:t>This is particularly relevant for areas with</w:t>
      </w:r>
      <w:r w:rsidR="00E80F58">
        <w:t>:</w:t>
      </w:r>
    </w:p>
    <w:p w14:paraId="50FCD707" w14:textId="20B03B89" w:rsidR="00E80F58" w:rsidRDefault="008539A2" w:rsidP="00E80F58">
      <w:pPr>
        <w:pStyle w:val="Bullet1"/>
      </w:pPr>
      <w:r>
        <w:t>E</w:t>
      </w:r>
      <w:r w:rsidR="004018AF">
        <w:t xml:space="preserve">lderly residents or </w:t>
      </w:r>
    </w:p>
    <w:p w14:paraId="7E39E4B1" w14:textId="325347FB" w:rsidR="004018AF" w:rsidRDefault="008539A2" w:rsidP="00E80F58">
      <w:pPr>
        <w:pStyle w:val="Bullet1"/>
      </w:pPr>
      <w:r>
        <w:t>F</w:t>
      </w:r>
      <w:r w:rsidR="004018AF">
        <w:t>amilies without air conditioning.</w:t>
      </w:r>
    </w:p>
    <w:p w14:paraId="27EE7DE5" w14:textId="3BF3DBB0" w:rsidR="00E6470F" w:rsidRPr="00E6470F" w:rsidRDefault="001417A8" w:rsidP="00610430">
      <w:pPr>
        <w:pStyle w:val="Bodyafterbullets"/>
      </w:pPr>
      <w:r>
        <w:t>Cooler Places</w:t>
      </w:r>
      <w:r w:rsidR="00E6470F" w:rsidRPr="00E6470F">
        <w:t xml:space="preserve"> can be opened or closed by:</w:t>
      </w:r>
    </w:p>
    <w:p w14:paraId="03607337" w14:textId="77777777" w:rsidR="00E6470F" w:rsidRPr="009D43A0" w:rsidRDefault="00E6470F" w:rsidP="00E6470F">
      <w:pPr>
        <w:numPr>
          <w:ilvl w:val="0"/>
          <w:numId w:val="7"/>
        </w:numPr>
        <w:spacing w:after="40"/>
        <w:rPr>
          <w:rFonts w:eastAsia="Times"/>
        </w:rPr>
      </w:pPr>
      <w:r w:rsidRPr="009D43A0">
        <w:rPr>
          <w:rFonts w:eastAsia="Times"/>
        </w:rPr>
        <w:t>Community Facility Managers</w:t>
      </w:r>
    </w:p>
    <w:p w14:paraId="2630C13A" w14:textId="6D8803A4" w:rsidR="00E6470F" w:rsidRPr="009D43A0" w:rsidRDefault="008539A2" w:rsidP="00E6470F">
      <w:pPr>
        <w:numPr>
          <w:ilvl w:val="0"/>
          <w:numId w:val="7"/>
        </w:numPr>
        <w:spacing w:after="40"/>
        <w:rPr>
          <w:rFonts w:eastAsia="Times"/>
        </w:rPr>
      </w:pPr>
      <w:r>
        <w:rPr>
          <w:rFonts w:eastAsia="Times"/>
        </w:rPr>
        <w:t>L</w:t>
      </w:r>
      <w:r w:rsidR="00E6470F" w:rsidRPr="009D43A0">
        <w:rPr>
          <w:rFonts w:eastAsia="Times"/>
        </w:rPr>
        <w:t>ocal office staff</w:t>
      </w:r>
    </w:p>
    <w:p w14:paraId="3771830C" w14:textId="2EE197A7" w:rsidR="00E6470F" w:rsidRPr="00E6470F" w:rsidRDefault="008539A2" w:rsidP="00E6470F">
      <w:pPr>
        <w:numPr>
          <w:ilvl w:val="0"/>
          <w:numId w:val="7"/>
        </w:numPr>
        <w:spacing w:after="40"/>
        <w:rPr>
          <w:rFonts w:eastAsia="Times"/>
        </w:rPr>
      </w:pPr>
      <w:r>
        <w:rPr>
          <w:rFonts w:eastAsia="Times"/>
        </w:rPr>
        <w:t>S</w:t>
      </w:r>
      <w:r w:rsidR="00E6470F" w:rsidRPr="00E6470F">
        <w:rPr>
          <w:rFonts w:eastAsia="Times"/>
        </w:rPr>
        <w:t>tand-by officers</w:t>
      </w:r>
    </w:p>
    <w:p w14:paraId="2B8BE59C" w14:textId="1A3C1414" w:rsidR="00E6470F" w:rsidRPr="00E6470F" w:rsidRDefault="008539A2" w:rsidP="00E6470F">
      <w:pPr>
        <w:numPr>
          <w:ilvl w:val="0"/>
          <w:numId w:val="7"/>
        </w:numPr>
        <w:spacing w:after="40"/>
        <w:rPr>
          <w:rFonts w:eastAsia="Times"/>
        </w:rPr>
      </w:pPr>
      <w:r>
        <w:rPr>
          <w:rFonts w:eastAsia="Times"/>
        </w:rPr>
        <w:t>L</w:t>
      </w:r>
      <w:r w:rsidR="00E6470F" w:rsidRPr="00E6470F">
        <w:rPr>
          <w:rFonts w:eastAsia="Times"/>
        </w:rPr>
        <w:t>ocal community service provider</w:t>
      </w:r>
      <w:r w:rsidR="009D43A0">
        <w:rPr>
          <w:rFonts w:eastAsia="Times"/>
        </w:rPr>
        <w:t>s</w:t>
      </w:r>
      <w:r w:rsidR="00E6470F" w:rsidRPr="00E6470F">
        <w:rPr>
          <w:rFonts w:eastAsia="Times"/>
        </w:rPr>
        <w:t xml:space="preserve"> </w:t>
      </w:r>
    </w:p>
    <w:p w14:paraId="4207B6F3" w14:textId="44DDF3C0" w:rsidR="00E6470F" w:rsidRDefault="00B02A16" w:rsidP="00E6470F">
      <w:pPr>
        <w:numPr>
          <w:ilvl w:val="0"/>
          <w:numId w:val="7"/>
        </w:numPr>
        <w:spacing w:after="40"/>
        <w:rPr>
          <w:rFonts w:eastAsia="Times"/>
        </w:rPr>
      </w:pPr>
      <w:r>
        <w:rPr>
          <w:rFonts w:eastAsia="Times"/>
        </w:rPr>
        <w:t>C</w:t>
      </w:r>
      <w:r w:rsidR="00E6470F" w:rsidRPr="00E6470F">
        <w:rPr>
          <w:rFonts w:eastAsia="Times"/>
        </w:rPr>
        <w:t>ontracted security guards</w:t>
      </w:r>
      <w:r w:rsidR="009D43A0">
        <w:rPr>
          <w:rFonts w:eastAsia="Times"/>
        </w:rPr>
        <w:t xml:space="preserve"> or</w:t>
      </w:r>
    </w:p>
    <w:p w14:paraId="2747128A" w14:textId="442578D0" w:rsidR="009D43A0" w:rsidRDefault="003144CA" w:rsidP="00E6470F">
      <w:pPr>
        <w:numPr>
          <w:ilvl w:val="0"/>
          <w:numId w:val="7"/>
        </w:numPr>
        <w:spacing w:after="40"/>
        <w:rPr>
          <w:rFonts w:eastAsia="Times"/>
        </w:rPr>
      </w:pPr>
      <w:r>
        <w:rPr>
          <w:rFonts w:eastAsia="Times"/>
        </w:rPr>
        <w:t>A</w:t>
      </w:r>
      <w:r w:rsidR="009D43A0">
        <w:rPr>
          <w:rFonts w:eastAsia="Times"/>
        </w:rPr>
        <w:t xml:space="preserve">ny other authorised </w:t>
      </w:r>
      <w:r w:rsidR="001A527F">
        <w:rPr>
          <w:rFonts w:eastAsia="Times"/>
        </w:rPr>
        <w:t>individual</w:t>
      </w:r>
      <w:r w:rsidR="009D43A0">
        <w:rPr>
          <w:rFonts w:eastAsia="Times"/>
        </w:rPr>
        <w:t>.</w:t>
      </w:r>
    </w:p>
    <w:p w14:paraId="09BBEBA9" w14:textId="2CA2413F" w:rsidR="00E146A8" w:rsidRDefault="00E11F39" w:rsidP="00E146A8">
      <w:pPr>
        <w:pStyle w:val="Heading2"/>
      </w:pPr>
      <w:bookmarkStart w:id="21" w:name="_Toc194934860"/>
      <w:r>
        <w:t>S</w:t>
      </w:r>
      <w:r w:rsidR="002E27B9">
        <w:t>ignage</w:t>
      </w:r>
      <w:bookmarkEnd w:id="21"/>
    </w:p>
    <w:p w14:paraId="605D4E1A" w14:textId="01DE95CA" w:rsidR="00E146A8" w:rsidRDefault="002E27B9" w:rsidP="00E146A8">
      <w:pPr>
        <w:pStyle w:val="Bodyafterbullets"/>
      </w:pPr>
      <w:r w:rsidRPr="002E27B9">
        <w:t xml:space="preserve">Multilingual signage designating a facility as a Cooler Place should be displayed on doors during heat health warnings. </w:t>
      </w:r>
      <w:r w:rsidRPr="00F7497A">
        <w:t xml:space="preserve">A Cooler Places Facility Alert sign can be found on the </w:t>
      </w:r>
      <w:hyperlink r:id="rId36" w:history="1">
        <w:r w:rsidRPr="00F23778">
          <w:rPr>
            <w:rStyle w:val="Hyperlink"/>
          </w:rPr>
          <w:t>Tenancy and Estate Management</w:t>
        </w:r>
      </w:hyperlink>
      <w:r w:rsidRPr="00F7497A">
        <w:t xml:space="preserve"> page of the Public Housing Resources SharePoint </w:t>
      </w:r>
      <w:r w:rsidR="00E146A8" w:rsidRPr="00F7497A">
        <w:t>&lt;https://dhhsvicgovau.sharepoint.com/sites/Publichousingresources/SitePages/Tenancy-management.aspx&gt;</w:t>
      </w:r>
      <w:r w:rsidR="00624957" w:rsidRPr="00F7497A">
        <w:t>.</w:t>
      </w:r>
    </w:p>
    <w:p w14:paraId="64448063" w14:textId="77777777" w:rsidR="005E42C3" w:rsidRDefault="005E42C3" w:rsidP="005E42C3">
      <w:pPr>
        <w:pStyle w:val="Heading2"/>
      </w:pPr>
      <w:bookmarkStart w:id="22" w:name="_Toc194934861"/>
      <w:r>
        <w:t>Prior booking of facilities</w:t>
      </w:r>
      <w:bookmarkEnd w:id="22"/>
    </w:p>
    <w:p w14:paraId="0B06DDE8" w14:textId="4A277241" w:rsidR="00E80F58" w:rsidRDefault="005E42C3" w:rsidP="005E42C3">
      <w:pPr>
        <w:pStyle w:val="Body"/>
      </w:pPr>
      <w:r>
        <w:t xml:space="preserve">On days with a </w:t>
      </w:r>
      <w:r w:rsidR="0067500D">
        <w:t>h</w:t>
      </w:r>
      <w:r>
        <w:t xml:space="preserve">eat </w:t>
      </w:r>
      <w:r w:rsidR="0067500D">
        <w:t>h</w:t>
      </w:r>
      <w:r>
        <w:t xml:space="preserve">ealth </w:t>
      </w:r>
      <w:r w:rsidR="00693227">
        <w:t>warning</w:t>
      </w:r>
      <w:r>
        <w:t xml:space="preserve">, prior bookings will be deferred to facilitate the opening of Cooler Places. On </w:t>
      </w:r>
      <w:r w:rsidR="009D12AF">
        <w:t xml:space="preserve">these </w:t>
      </w:r>
      <w:r>
        <w:t>days,</w:t>
      </w:r>
      <w:r w:rsidR="009B7FB2">
        <w:t xml:space="preserve"> staff or </w:t>
      </w:r>
      <w:r>
        <w:t>Community Facility Managers will</w:t>
      </w:r>
      <w:r w:rsidR="00E80F58">
        <w:t>:</w:t>
      </w:r>
    </w:p>
    <w:p w14:paraId="4B13C33E" w14:textId="31CA3C65" w:rsidR="00E80F58" w:rsidRDefault="0067500D" w:rsidP="00E80F58">
      <w:pPr>
        <w:pStyle w:val="Bullet1"/>
      </w:pPr>
      <w:r>
        <w:t>I</w:t>
      </w:r>
      <w:r w:rsidR="005E42C3">
        <w:t xml:space="preserve">nform organisations </w:t>
      </w:r>
      <w:r w:rsidR="00077B58">
        <w:t>of</w:t>
      </w:r>
      <w:r w:rsidR="005E42C3">
        <w:t xml:space="preserve"> deferred bookings and</w:t>
      </w:r>
    </w:p>
    <w:p w14:paraId="40B1A918" w14:textId="453EE149" w:rsidR="00E80F58" w:rsidRDefault="0067500D" w:rsidP="00E80F58">
      <w:pPr>
        <w:pStyle w:val="Bullet1"/>
      </w:pPr>
      <w:r>
        <w:t>O</w:t>
      </w:r>
      <w:r w:rsidR="005E42C3">
        <w:t>ffer alternative locations if available.</w:t>
      </w:r>
    </w:p>
    <w:p w14:paraId="6822C591" w14:textId="38DED0EF" w:rsidR="00406152" w:rsidRDefault="005E42C3" w:rsidP="00406152">
      <w:pPr>
        <w:pStyle w:val="Heading2"/>
      </w:pPr>
      <w:bookmarkStart w:id="23" w:name="_Toc194934862"/>
      <w:r>
        <w:t>Operating hours for t</w:t>
      </w:r>
      <w:r w:rsidR="00406152">
        <w:t>hird-party facilit</w:t>
      </w:r>
      <w:r>
        <w:t>ies</w:t>
      </w:r>
      <w:bookmarkEnd w:id="23"/>
    </w:p>
    <w:p w14:paraId="16796F85" w14:textId="3957E90A" w:rsidR="007F4302" w:rsidRDefault="007F4302" w:rsidP="00406152">
      <w:pPr>
        <w:pStyle w:val="Body"/>
      </w:pPr>
      <w:r w:rsidRPr="00513530">
        <w:t xml:space="preserve">During extreme weather events, prioritising effective management of facilities is essential. </w:t>
      </w:r>
      <w:r w:rsidR="000B3B78" w:rsidRPr="00513530">
        <w:t>CSH</w:t>
      </w:r>
      <w:r w:rsidR="004157B8" w:rsidRPr="00513530">
        <w:t>S</w:t>
      </w:r>
      <w:r w:rsidRPr="00513530">
        <w:t xml:space="preserve"> </w:t>
      </w:r>
      <w:r w:rsidR="00B52CCC">
        <w:t>M</w:t>
      </w:r>
      <w:r w:rsidRPr="00513530">
        <w:t>anagers</w:t>
      </w:r>
      <w:r w:rsidR="00965701">
        <w:t xml:space="preserve"> must </w:t>
      </w:r>
      <w:r w:rsidRPr="00513530">
        <w:t>work with Community Facility Managers to establish operating hours based on the weather. If temperatures remain excessive at 7:00 PM, Community Facility Managers are encouraged to keep the facility open as late as possible.</w:t>
      </w:r>
    </w:p>
    <w:p w14:paraId="5BC5BC50" w14:textId="43A01ABD" w:rsidR="00282C54" w:rsidRDefault="00D22301" w:rsidP="00282C54">
      <w:pPr>
        <w:pStyle w:val="Heading1"/>
      </w:pPr>
      <w:bookmarkStart w:id="24" w:name="_Divisional_locations_of"/>
      <w:bookmarkStart w:id="25" w:name="_Toc194934863"/>
      <w:bookmarkEnd w:id="24"/>
      <w:r w:rsidRPr="00D22301">
        <w:lastRenderedPageBreak/>
        <w:t xml:space="preserve">Divisional </w:t>
      </w:r>
      <w:r>
        <w:t>l</w:t>
      </w:r>
      <w:r w:rsidRPr="00D22301">
        <w:t>ocations of Cooler Places</w:t>
      </w:r>
      <w:bookmarkEnd w:id="25"/>
    </w:p>
    <w:p w14:paraId="76D77F58" w14:textId="552D1A1B" w:rsidR="0076646D" w:rsidRDefault="0076646D" w:rsidP="004254E0">
      <w:pPr>
        <w:pStyle w:val="Tablecaption"/>
        <w:rPr>
          <w:rFonts w:eastAsia="Times"/>
          <w:b w:val="0"/>
        </w:rPr>
      </w:pPr>
      <w:r w:rsidRPr="0076646D">
        <w:rPr>
          <w:rFonts w:eastAsia="Times"/>
          <w:b w:val="0"/>
        </w:rPr>
        <w:t>Cooler Places are designated across various divisions and areas. As of April 2025, Cooler Places are available in the following regions:</w:t>
      </w:r>
    </w:p>
    <w:p w14:paraId="2410CD10" w14:textId="735E6B96" w:rsidR="00982FAF" w:rsidRPr="00AC692E" w:rsidRDefault="00982FAF" w:rsidP="00AC692E">
      <w:pPr>
        <w:pStyle w:val="Tablecaption"/>
      </w:pPr>
      <w:r w:rsidRPr="00AC692E">
        <w:t xml:space="preserve">Table </w:t>
      </w:r>
      <w:r w:rsidR="00AC692E" w:rsidRPr="00AC692E">
        <w:t>3</w:t>
      </w:r>
      <w:r w:rsidRPr="00AC692E">
        <w:t>:</w:t>
      </w:r>
      <w:r w:rsidR="00AC692E" w:rsidRPr="00AC692E">
        <w:t xml:space="preserve"> Divisional locations of Cooler Places</w:t>
      </w:r>
    </w:p>
    <w:tbl>
      <w:tblPr>
        <w:tblStyle w:val="TableGrid"/>
        <w:tblW w:w="5000" w:type="pct"/>
        <w:tblLook w:val="04A0" w:firstRow="1" w:lastRow="0" w:firstColumn="1" w:lastColumn="0" w:noHBand="0" w:noVBand="1"/>
      </w:tblPr>
      <w:tblGrid>
        <w:gridCol w:w="1696"/>
        <w:gridCol w:w="7592"/>
      </w:tblGrid>
      <w:tr w:rsidR="0065729A" w14:paraId="50CAA14F" w14:textId="77777777" w:rsidTr="00066F35">
        <w:tc>
          <w:tcPr>
            <w:tcW w:w="913" w:type="pct"/>
          </w:tcPr>
          <w:p w14:paraId="7BE80286" w14:textId="7234905D" w:rsidR="0065729A" w:rsidRDefault="0065729A" w:rsidP="00F90EC3">
            <w:pPr>
              <w:pStyle w:val="Tablecolhead"/>
            </w:pPr>
            <w:r>
              <w:t>Division</w:t>
            </w:r>
          </w:p>
        </w:tc>
        <w:tc>
          <w:tcPr>
            <w:tcW w:w="4087" w:type="pct"/>
          </w:tcPr>
          <w:p w14:paraId="0EB5DB2C" w14:textId="43B82A75" w:rsidR="0065729A" w:rsidRDefault="0065729A" w:rsidP="00F90EC3">
            <w:pPr>
              <w:pStyle w:val="Tablecolhead"/>
            </w:pPr>
            <w:r>
              <w:t>Area</w:t>
            </w:r>
          </w:p>
        </w:tc>
      </w:tr>
      <w:tr w:rsidR="0065729A" w14:paraId="414B6173" w14:textId="77777777" w:rsidTr="00066F35">
        <w:tc>
          <w:tcPr>
            <w:tcW w:w="913" w:type="pct"/>
          </w:tcPr>
          <w:p w14:paraId="109CA826" w14:textId="2FA53C4B" w:rsidR="0065729A" w:rsidRDefault="0065729A" w:rsidP="003125F7">
            <w:pPr>
              <w:pStyle w:val="Body"/>
            </w:pPr>
            <w:r>
              <w:t>North</w:t>
            </w:r>
          </w:p>
        </w:tc>
        <w:tc>
          <w:tcPr>
            <w:tcW w:w="4087" w:type="pct"/>
          </w:tcPr>
          <w:p w14:paraId="64EB65C9" w14:textId="5E9B17A7" w:rsidR="0065729A" w:rsidRDefault="0065729A" w:rsidP="003125F7">
            <w:pPr>
              <w:pStyle w:val="Body"/>
            </w:pPr>
            <w:r>
              <w:t>Mallee</w:t>
            </w:r>
            <w:r w:rsidR="001B6E9F">
              <w:t>, Loddon, North East</w:t>
            </w:r>
            <w:r w:rsidR="003B2809">
              <w:t>en</w:t>
            </w:r>
            <w:r w:rsidR="001B6E9F">
              <w:t xml:space="preserve"> Melbourne Area, H</w:t>
            </w:r>
            <w:r w:rsidR="009A3DC1">
              <w:t xml:space="preserve">ume </w:t>
            </w:r>
            <w:r w:rsidR="007377D4">
              <w:t>Merri-</w:t>
            </w:r>
            <w:r w:rsidR="002C3222">
              <w:t>Bek</w:t>
            </w:r>
          </w:p>
        </w:tc>
      </w:tr>
      <w:tr w:rsidR="0065729A" w14:paraId="59F5593D" w14:textId="77777777" w:rsidTr="00066F35">
        <w:tc>
          <w:tcPr>
            <w:tcW w:w="913" w:type="pct"/>
          </w:tcPr>
          <w:p w14:paraId="34279B0E" w14:textId="3EC03FBE" w:rsidR="0065729A" w:rsidRDefault="0065729A" w:rsidP="003125F7">
            <w:pPr>
              <w:pStyle w:val="Body"/>
            </w:pPr>
            <w:r>
              <w:t>South</w:t>
            </w:r>
          </w:p>
        </w:tc>
        <w:tc>
          <w:tcPr>
            <w:tcW w:w="4087" w:type="pct"/>
          </w:tcPr>
          <w:p w14:paraId="6E744478" w14:textId="5D6503AD" w:rsidR="0065729A" w:rsidRDefault="00596506" w:rsidP="003125F7">
            <w:pPr>
              <w:pStyle w:val="Body"/>
            </w:pPr>
            <w:r>
              <w:t>B</w:t>
            </w:r>
            <w:r w:rsidR="008C2B44">
              <w:t>ayside Pe</w:t>
            </w:r>
            <w:r w:rsidR="00651AEA">
              <w:t xml:space="preserve">ninsula Area, </w:t>
            </w:r>
            <w:r w:rsidR="00382233">
              <w:t xml:space="preserve">Southern </w:t>
            </w:r>
            <w:r w:rsidR="00093CEB">
              <w:t>Melbourne</w:t>
            </w:r>
            <w:r w:rsidR="00382233">
              <w:t xml:space="preserve"> Area</w:t>
            </w:r>
            <w:r w:rsidR="004C0D95">
              <w:t xml:space="preserve">, </w:t>
            </w:r>
            <w:r w:rsidR="00093CEB">
              <w:t>Inner Gip</w:t>
            </w:r>
            <w:r w:rsidR="007B7D46">
              <w:t>psland Area</w:t>
            </w:r>
          </w:p>
        </w:tc>
      </w:tr>
      <w:tr w:rsidR="0065729A" w14:paraId="3BA684E3" w14:textId="77777777" w:rsidTr="00066F35">
        <w:tc>
          <w:tcPr>
            <w:tcW w:w="913" w:type="pct"/>
          </w:tcPr>
          <w:p w14:paraId="5240B952" w14:textId="024D96F6" w:rsidR="0065729A" w:rsidRDefault="0065729A" w:rsidP="003125F7">
            <w:pPr>
              <w:pStyle w:val="Body"/>
            </w:pPr>
            <w:r>
              <w:t>East</w:t>
            </w:r>
          </w:p>
        </w:tc>
        <w:tc>
          <w:tcPr>
            <w:tcW w:w="4087" w:type="pct"/>
          </w:tcPr>
          <w:p w14:paraId="181268AA" w14:textId="4B1F54D4" w:rsidR="0065729A" w:rsidRDefault="00596506" w:rsidP="003125F7">
            <w:pPr>
              <w:pStyle w:val="Body"/>
            </w:pPr>
            <w:r>
              <w:t xml:space="preserve">Box Hill, Ovens Murray, </w:t>
            </w:r>
            <w:r w:rsidR="00FB71B9" w:rsidRPr="00FB71B9">
              <w:t>Outer Eastern Melbourne Area</w:t>
            </w:r>
            <w:r>
              <w:t>, Goul</w:t>
            </w:r>
            <w:r w:rsidR="00F413EB">
              <w:t>burn</w:t>
            </w:r>
          </w:p>
        </w:tc>
      </w:tr>
      <w:tr w:rsidR="0065729A" w14:paraId="74BBF865" w14:textId="77777777" w:rsidTr="00066F35">
        <w:tc>
          <w:tcPr>
            <w:tcW w:w="913" w:type="pct"/>
          </w:tcPr>
          <w:p w14:paraId="28A100E5" w14:textId="6CFDDB61" w:rsidR="0065729A" w:rsidRDefault="0065729A" w:rsidP="003125F7">
            <w:pPr>
              <w:pStyle w:val="Body"/>
            </w:pPr>
            <w:r>
              <w:t>West</w:t>
            </w:r>
          </w:p>
        </w:tc>
        <w:tc>
          <w:tcPr>
            <w:tcW w:w="4087" w:type="pct"/>
          </w:tcPr>
          <w:p w14:paraId="43AC190C" w14:textId="0AF6AF6B" w:rsidR="0065729A" w:rsidRDefault="00F413EB" w:rsidP="003125F7">
            <w:pPr>
              <w:pStyle w:val="Body"/>
            </w:pPr>
            <w:r>
              <w:t xml:space="preserve">Barwon, Wimmera, Western Melbourne, </w:t>
            </w:r>
            <w:r w:rsidR="00066F35" w:rsidRPr="00066F35">
              <w:t>Central Highlands Area</w:t>
            </w:r>
          </w:p>
        </w:tc>
      </w:tr>
    </w:tbl>
    <w:p w14:paraId="31D91FFD" w14:textId="7A6915DE" w:rsidR="007259C3" w:rsidRDefault="00DB6B9F" w:rsidP="00D95F35">
      <w:pPr>
        <w:pStyle w:val="Heading1"/>
      </w:pPr>
      <w:bookmarkStart w:id="26" w:name="_Toc194934864"/>
      <w:r w:rsidRPr="00DB6B9F">
        <w:t>Cleaning</w:t>
      </w:r>
      <w:bookmarkEnd w:id="26"/>
      <w:r w:rsidR="00C656AF">
        <w:t xml:space="preserve"> </w:t>
      </w:r>
    </w:p>
    <w:p w14:paraId="641E6779" w14:textId="4BC2A8AA" w:rsidR="007259C3" w:rsidRDefault="007259C3" w:rsidP="00DB6B9F">
      <w:pPr>
        <w:pStyle w:val="Body"/>
      </w:pPr>
      <w:r>
        <w:t xml:space="preserve">Facilities should be cleaned at the end of each business day after use as Cooler Places. </w:t>
      </w:r>
      <w:r w:rsidRPr="007259C3">
        <w:t>In high-rise buildings with existing cleaning contracts, those contracts should be utili</w:t>
      </w:r>
      <w:r w:rsidR="00DB6B9F">
        <w:t>s</w:t>
      </w:r>
      <w:r w:rsidRPr="007259C3">
        <w:t>ed. If no contract exists, cleaning</w:t>
      </w:r>
      <w:r w:rsidR="00020760">
        <w:t xml:space="preserve"> will need to be </w:t>
      </w:r>
      <w:r w:rsidRPr="007259C3">
        <w:t>independently</w:t>
      </w:r>
      <w:r w:rsidR="00020760">
        <w:t xml:space="preserve"> arranged</w:t>
      </w:r>
      <w:r w:rsidRPr="007259C3">
        <w:t>.</w:t>
      </w:r>
    </w:p>
    <w:p w14:paraId="79A902F6" w14:textId="328BE91F" w:rsidR="007259C3" w:rsidRDefault="007259C3" w:rsidP="00DB6B9F">
      <w:pPr>
        <w:pStyle w:val="Body"/>
      </w:pPr>
      <w:r w:rsidRPr="007259C3">
        <w:t xml:space="preserve">Cleaning should adhere to the Community Facility Cleaning Schedule, available on the </w:t>
      </w:r>
      <w:hyperlink r:id="rId37" w:history="1">
        <w:r w:rsidRPr="00506B27">
          <w:rPr>
            <w:rStyle w:val="Hyperlink"/>
          </w:rPr>
          <w:t>Tenancy and Estate Management</w:t>
        </w:r>
      </w:hyperlink>
      <w:r w:rsidRPr="007259C3">
        <w:t xml:space="preserve"> page of the Public Housing Resources SharePoint</w:t>
      </w:r>
      <w:r w:rsidR="00506B27">
        <w:t xml:space="preserve"> </w:t>
      </w:r>
      <w:r w:rsidR="00506B27" w:rsidRPr="00F7497A">
        <w:t>&lt;https://dhhsvicgovau.sharepoint.com/sites/Publichousingresources/SitePages/Tenancy-management.aspx&gt;.</w:t>
      </w:r>
    </w:p>
    <w:p w14:paraId="42209F37" w14:textId="39356851" w:rsidR="00B24BFA" w:rsidRPr="00B24BFA" w:rsidRDefault="007259C3" w:rsidP="00B24BFA">
      <w:pPr>
        <w:pStyle w:val="Body"/>
      </w:pPr>
      <w:r w:rsidRPr="007259C3">
        <w:t xml:space="preserve">Local decisions can be made </w:t>
      </w:r>
      <w:r w:rsidR="00E80F58">
        <w:t>about</w:t>
      </w:r>
      <w:r w:rsidRPr="007259C3">
        <w:t xml:space="preserve"> the completion of the full cleaning schedule based on usage levels </w:t>
      </w:r>
      <w:r w:rsidR="00C46847">
        <w:t xml:space="preserve">as </w:t>
      </w:r>
      <w:r w:rsidRPr="007259C3">
        <w:t>Cooler Plac</w:t>
      </w:r>
      <w:r w:rsidR="00DB6B9F">
        <w:t>es.</w:t>
      </w:r>
    </w:p>
    <w:p w14:paraId="1781ADF0" w14:textId="77777777" w:rsidR="00B24BFA" w:rsidRPr="005E42C3" w:rsidRDefault="00B24BFA" w:rsidP="00DB6B9F">
      <w:pPr>
        <w:pStyle w:val="Body"/>
      </w:pPr>
    </w:p>
    <w:sectPr w:rsidR="00B24BFA" w:rsidRPr="005E42C3" w:rsidSect="00F15144">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288A" w14:textId="77777777" w:rsidR="00DB6B71" w:rsidRDefault="00DB6B71">
      <w:r>
        <w:separator/>
      </w:r>
    </w:p>
    <w:p w14:paraId="337DF885" w14:textId="77777777" w:rsidR="00DB6B71" w:rsidRDefault="00DB6B71"/>
  </w:endnote>
  <w:endnote w:type="continuationSeparator" w:id="0">
    <w:p w14:paraId="4949749A" w14:textId="77777777" w:rsidR="00DB6B71" w:rsidRDefault="00DB6B71">
      <w:r>
        <w:continuationSeparator/>
      </w:r>
    </w:p>
    <w:p w14:paraId="220B0401" w14:textId="77777777" w:rsidR="00DB6B71" w:rsidRDefault="00DB6B71"/>
  </w:endnote>
  <w:endnote w:type="continuationNotice" w:id="1">
    <w:p w14:paraId="2F74451B" w14:textId="77777777" w:rsidR="00DB6B71" w:rsidRDefault="00DB6B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01B8" w14:textId="77777777" w:rsidR="00DB6B71" w:rsidRDefault="00DB6B71" w:rsidP="00207717">
      <w:pPr>
        <w:spacing w:before="120"/>
      </w:pPr>
      <w:r>
        <w:separator/>
      </w:r>
    </w:p>
  </w:footnote>
  <w:footnote w:type="continuationSeparator" w:id="0">
    <w:p w14:paraId="22C38757" w14:textId="77777777" w:rsidR="00DB6B71" w:rsidRDefault="00DB6B71">
      <w:r>
        <w:continuationSeparator/>
      </w:r>
    </w:p>
    <w:p w14:paraId="422BE4DB" w14:textId="77777777" w:rsidR="00DB6B71" w:rsidRDefault="00DB6B71"/>
  </w:footnote>
  <w:footnote w:type="continuationNotice" w:id="1">
    <w:p w14:paraId="3735FC61" w14:textId="77777777" w:rsidR="00DB6B71" w:rsidRDefault="00DB6B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790CC039" w14:paraId="7C254EC1" w14:textId="77777777" w:rsidTr="790CC039">
      <w:trPr>
        <w:trHeight w:val="300"/>
      </w:trPr>
      <w:tc>
        <w:tcPr>
          <w:tcW w:w="3095" w:type="dxa"/>
        </w:tcPr>
        <w:p w14:paraId="2C4546B4" w14:textId="26BDC9EE" w:rsidR="790CC039" w:rsidRDefault="790CC039" w:rsidP="790CC039">
          <w:pPr>
            <w:pStyle w:val="Header"/>
            <w:ind w:left="-115"/>
          </w:pPr>
        </w:p>
      </w:tc>
      <w:tc>
        <w:tcPr>
          <w:tcW w:w="3095" w:type="dxa"/>
        </w:tcPr>
        <w:p w14:paraId="1C30C2C1" w14:textId="6B0531E7" w:rsidR="790CC039" w:rsidRDefault="790CC039" w:rsidP="790CC039">
          <w:pPr>
            <w:pStyle w:val="Header"/>
            <w:jc w:val="center"/>
          </w:pPr>
        </w:p>
      </w:tc>
      <w:tc>
        <w:tcPr>
          <w:tcW w:w="3095" w:type="dxa"/>
        </w:tcPr>
        <w:p w14:paraId="55C881D5" w14:textId="79699BF1" w:rsidR="790CC039" w:rsidRDefault="790CC039" w:rsidP="790CC039">
          <w:pPr>
            <w:pStyle w:val="Header"/>
            <w:ind w:right="-115"/>
            <w:jc w:val="right"/>
          </w:pPr>
        </w:p>
      </w:tc>
    </w:tr>
  </w:tbl>
  <w:p w14:paraId="74F5E2A7" w14:textId="0B403243" w:rsidR="790CC039" w:rsidRDefault="790CC039" w:rsidP="790CC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790CC039" w14:paraId="046B18FF" w14:textId="77777777" w:rsidTr="790CC039">
      <w:trPr>
        <w:trHeight w:val="300"/>
      </w:trPr>
      <w:tc>
        <w:tcPr>
          <w:tcW w:w="3095" w:type="dxa"/>
        </w:tcPr>
        <w:p w14:paraId="079DADE8" w14:textId="5ABEA1B2" w:rsidR="790CC039" w:rsidRDefault="790CC039" w:rsidP="790CC039">
          <w:pPr>
            <w:pStyle w:val="Header"/>
            <w:ind w:left="-115"/>
          </w:pPr>
        </w:p>
      </w:tc>
      <w:tc>
        <w:tcPr>
          <w:tcW w:w="3095" w:type="dxa"/>
        </w:tcPr>
        <w:p w14:paraId="58D9E7A9" w14:textId="639888DC" w:rsidR="790CC039" w:rsidRDefault="790CC039" w:rsidP="790CC039">
          <w:pPr>
            <w:pStyle w:val="Header"/>
            <w:jc w:val="center"/>
          </w:pPr>
        </w:p>
      </w:tc>
      <w:tc>
        <w:tcPr>
          <w:tcW w:w="3095" w:type="dxa"/>
        </w:tcPr>
        <w:p w14:paraId="6CB84064" w14:textId="47FEC12D" w:rsidR="790CC039" w:rsidRDefault="790CC039" w:rsidP="790CC039">
          <w:pPr>
            <w:pStyle w:val="Header"/>
            <w:ind w:right="-115"/>
            <w:jc w:val="right"/>
          </w:pPr>
        </w:p>
      </w:tc>
    </w:tr>
  </w:tbl>
  <w:p w14:paraId="7D400811" w14:textId="2B2491C9" w:rsidR="790CC039" w:rsidRDefault="790CC039" w:rsidP="790CC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4E007F0B" w:rsidR="00562811" w:rsidRPr="001C7128" w:rsidRDefault="00BB6C63" w:rsidP="001C7128">
    <w:pPr>
      <w:pStyle w:val="Header"/>
    </w:pPr>
    <w:r w:rsidRPr="00BB6C63">
      <w:t xml:space="preserve">Heat </w:t>
    </w:r>
    <w:r w:rsidR="00F13CE4">
      <w:t xml:space="preserve">Event </w:t>
    </w:r>
    <w:r w:rsidR="00A80640" w:rsidRPr="00A80640">
      <w:t>Preparedness</w:t>
    </w:r>
    <w:r w:rsidR="00A80640">
      <w:t xml:space="preserve"> </w:t>
    </w:r>
    <w:r w:rsidRPr="00BB6C63">
      <w:t xml:space="preserve">and </w:t>
    </w:r>
    <w:r w:rsidR="00A822ED">
      <w:t>Response</w:t>
    </w:r>
    <w:r w:rsidR="00A331BF">
      <w:t xml:space="preserve"> – Cooler Place</w:t>
    </w:r>
    <w:r w:rsidR="002512F3">
      <w:t xml:space="preserve"> </w:t>
    </w:r>
    <w:r w:rsidRPr="00BB6C63">
      <w:t>Management Operational 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790CC039" w14:paraId="18590DF4" w14:textId="77777777" w:rsidTr="790CC039">
      <w:trPr>
        <w:trHeight w:val="300"/>
      </w:trPr>
      <w:tc>
        <w:tcPr>
          <w:tcW w:w="3095" w:type="dxa"/>
        </w:tcPr>
        <w:p w14:paraId="0D4080C0" w14:textId="7AD4CFDF" w:rsidR="790CC039" w:rsidRDefault="790CC039" w:rsidP="790CC039">
          <w:pPr>
            <w:pStyle w:val="Header"/>
            <w:ind w:left="-115"/>
          </w:pPr>
        </w:p>
      </w:tc>
      <w:tc>
        <w:tcPr>
          <w:tcW w:w="3095" w:type="dxa"/>
        </w:tcPr>
        <w:p w14:paraId="679C0B90" w14:textId="29FB0C37" w:rsidR="790CC039" w:rsidRDefault="790CC039" w:rsidP="790CC039">
          <w:pPr>
            <w:pStyle w:val="Header"/>
            <w:jc w:val="center"/>
          </w:pPr>
        </w:p>
      </w:tc>
      <w:tc>
        <w:tcPr>
          <w:tcW w:w="3095" w:type="dxa"/>
        </w:tcPr>
        <w:p w14:paraId="202BE43C" w14:textId="5C0FBDD0" w:rsidR="790CC039" w:rsidRDefault="790CC039" w:rsidP="790CC039">
          <w:pPr>
            <w:pStyle w:val="Header"/>
            <w:ind w:right="-115"/>
            <w:jc w:val="right"/>
          </w:pPr>
        </w:p>
      </w:tc>
    </w:tr>
  </w:tbl>
  <w:p w14:paraId="417A9C24" w14:textId="1F20F6A6" w:rsidR="790CC039" w:rsidRDefault="790CC039" w:rsidP="790CC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354595"/>
    <w:multiLevelType w:val="hybridMultilevel"/>
    <w:tmpl w:val="69E84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9B27AC9"/>
    <w:multiLevelType w:val="multilevel"/>
    <w:tmpl w:val="0C090025"/>
    <w:lvl w:ilvl="0">
      <w:start w:val="1"/>
      <w:numFmt w:val="decimal"/>
      <w:pStyle w:val="Heading1"/>
      <w:lvlText w:val="%1"/>
      <w:lvlJc w:val="left"/>
      <w:pPr>
        <w:ind w:left="3550"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59859343">
    <w:abstractNumId w:val="10"/>
  </w:num>
  <w:num w:numId="2" w16cid:durableId="1841581776">
    <w:abstractNumId w:val="18"/>
  </w:num>
  <w:num w:numId="3" w16cid:durableId="10578220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58829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5453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8033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0895448">
    <w:abstractNumId w:val="22"/>
  </w:num>
  <w:num w:numId="8" w16cid:durableId="1276987209">
    <w:abstractNumId w:val="17"/>
  </w:num>
  <w:num w:numId="9" w16cid:durableId="647828622">
    <w:abstractNumId w:val="21"/>
  </w:num>
  <w:num w:numId="10" w16cid:durableId="6463939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6665140">
    <w:abstractNumId w:val="23"/>
  </w:num>
  <w:num w:numId="12" w16cid:durableId="13785542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894904">
    <w:abstractNumId w:val="19"/>
  </w:num>
  <w:num w:numId="14" w16cid:durableId="17708064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86588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9045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13908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8397332">
    <w:abstractNumId w:val="25"/>
  </w:num>
  <w:num w:numId="19" w16cid:durableId="738672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6548138">
    <w:abstractNumId w:val="14"/>
  </w:num>
  <w:num w:numId="21" w16cid:durableId="1939366705">
    <w:abstractNumId w:val="12"/>
  </w:num>
  <w:num w:numId="22" w16cid:durableId="943079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0545469">
    <w:abstractNumId w:val="15"/>
  </w:num>
  <w:num w:numId="24" w16cid:durableId="401878957">
    <w:abstractNumId w:val="26"/>
  </w:num>
  <w:num w:numId="25" w16cid:durableId="1579242609">
    <w:abstractNumId w:val="24"/>
  </w:num>
  <w:num w:numId="26" w16cid:durableId="1564871670">
    <w:abstractNumId w:val="20"/>
  </w:num>
  <w:num w:numId="27" w16cid:durableId="1239050908">
    <w:abstractNumId w:val="11"/>
  </w:num>
  <w:num w:numId="28" w16cid:durableId="2072852026">
    <w:abstractNumId w:val="27"/>
  </w:num>
  <w:num w:numId="29" w16cid:durableId="1906261153">
    <w:abstractNumId w:val="9"/>
  </w:num>
  <w:num w:numId="30" w16cid:durableId="1824614949">
    <w:abstractNumId w:val="7"/>
  </w:num>
  <w:num w:numId="31" w16cid:durableId="1305432737">
    <w:abstractNumId w:val="6"/>
  </w:num>
  <w:num w:numId="32" w16cid:durableId="1880242155">
    <w:abstractNumId w:val="5"/>
  </w:num>
  <w:num w:numId="33" w16cid:durableId="980621303">
    <w:abstractNumId w:val="4"/>
  </w:num>
  <w:num w:numId="34" w16cid:durableId="449709461">
    <w:abstractNumId w:val="8"/>
  </w:num>
  <w:num w:numId="35" w16cid:durableId="454719850">
    <w:abstractNumId w:val="3"/>
  </w:num>
  <w:num w:numId="36" w16cid:durableId="82605513">
    <w:abstractNumId w:val="2"/>
  </w:num>
  <w:num w:numId="37" w16cid:durableId="154034558">
    <w:abstractNumId w:val="1"/>
  </w:num>
  <w:num w:numId="38" w16cid:durableId="1177501327">
    <w:abstractNumId w:val="0"/>
  </w:num>
  <w:num w:numId="39" w16cid:durableId="10521181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6589169">
    <w:abstractNumId w:val="28"/>
  </w:num>
  <w:num w:numId="41" w16cid:durableId="11277445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16B1"/>
    <w:rsid w:val="00002D68"/>
    <w:rsid w:val="000033F7"/>
    <w:rsid w:val="00003403"/>
    <w:rsid w:val="00005347"/>
    <w:rsid w:val="000072B6"/>
    <w:rsid w:val="00007587"/>
    <w:rsid w:val="0001021B"/>
    <w:rsid w:val="00011D89"/>
    <w:rsid w:val="000154FD"/>
    <w:rsid w:val="00015852"/>
    <w:rsid w:val="00015E24"/>
    <w:rsid w:val="00020678"/>
    <w:rsid w:val="00020760"/>
    <w:rsid w:val="00022271"/>
    <w:rsid w:val="000235E8"/>
    <w:rsid w:val="00024D89"/>
    <w:rsid w:val="000250B6"/>
    <w:rsid w:val="00030894"/>
    <w:rsid w:val="00033D81"/>
    <w:rsid w:val="00033DC9"/>
    <w:rsid w:val="00037239"/>
    <w:rsid w:val="00037366"/>
    <w:rsid w:val="0003737C"/>
    <w:rsid w:val="00037705"/>
    <w:rsid w:val="00041BF0"/>
    <w:rsid w:val="00042C8A"/>
    <w:rsid w:val="00044985"/>
    <w:rsid w:val="0004536B"/>
    <w:rsid w:val="00046825"/>
    <w:rsid w:val="00046B68"/>
    <w:rsid w:val="00050CCB"/>
    <w:rsid w:val="000527DD"/>
    <w:rsid w:val="00055B2A"/>
    <w:rsid w:val="00056EC4"/>
    <w:rsid w:val="000578B2"/>
    <w:rsid w:val="00060959"/>
    <w:rsid w:val="00060C8F"/>
    <w:rsid w:val="0006298A"/>
    <w:rsid w:val="000663CD"/>
    <w:rsid w:val="000664C8"/>
    <w:rsid w:val="00066F35"/>
    <w:rsid w:val="000733FE"/>
    <w:rsid w:val="00074219"/>
    <w:rsid w:val="00074ED5"/>
    <w:rsid w:val="00077720"/>
    <w:rsid w:val="00077B58"/>
    <w:rsid w:val="0008170F"/>
    <w:rsid w:val="00081905"/>
    <w:rsid w:val="0008204A"/>
    <w:rsid w:val="0008508E"/>
    <w:rsid w:val="00087951"/>
    <w:rsid w:val="0009113B"/>
    <w:rsid w:val="00093402"/>
    <w:rsid w:val="000939ED"/>
    <w:rsid w:val="00093CEB"/>
    <w:rsid w:val="00094DA3"/>
    <w:rsid w:val="00095C12"/>
    <w:rsid w:val="00096CD1"/>
    <w:rsid w:val="00096EE0"/>
    <w:rsid w:val="000A012C"/>
    <w:rsid w:val="000A0EB9"/>
    <w:rsid w:val="000A186C"/>
    <w:rsid w:val="000A1EA4"/>
    <w:rsid w:val="000A2424"/>
    <w:rsid w:val="000A2476"/>
    <w:rsid w:val="000A641A"/>
    <w:rsid w:val="000A6EA2"/>
    <w:rsid w:val="000A7A15"/>
    <w:rsid w:val="000B1FC4"/>
    <w:rsid w:val="000B2BA0"/>
    <w:rsid w:val="000B3B78"/>
    <w:rsid w:val="000B3EDB"/>
    <w:rsid w:val="000B543D"/>
    <w:rsid w:val="000B55F9"/>
    <w:rsid w:val="000B5BF7"/>
    <w:rsid w:val="000B6BC8"/>
    <w:rsid w:val="000C0303"/>
    <w:rsid w:val="000C21B7"/>
    <w:rsid w:val="000C42EA"/>
    <w:rsid w:val="000C4546"/>
    <w:rsid w:val="000C60A9"/>
    <w:rsid w:val="000C768C"/>
    <w:rsid w:val="000D02EC"/>
    <w:rsid w:val="000D037D"/>
    <w:rsid w:val="000D1242"/>
    <w:rsid w:val="000D2ABA"/>
    <w:rsid w:val="000E0970"/>
    <w:rsid w:val="000E14C2"/>
    <w:rsid w:val="000E3CC7"/>
    <w:rsid w:val="000E50C9"/>
    <w:rsid w:val="000E6BD4"/>
    <w:rsid w:val="000E6D6D"/>
    <w:rsid w:val="000F1F1E"/>
    <w:rsid w:val="000F2259"/>
    <w:rsid w:val="000F2DDA"/>
    <w:rsid w:val="000F2EA0"/>
    <w:rsid w:val="000F5213"/>
    <w:rsid w:val="00101001"/>
    <w:rsid w:val="00101114"/>
    <w:rsid w:val="00103276"/>
    <w:rsid w:val="0010392D"/>
    <w:rsid w:val="0010447F"/>
    <w:rsid w:val="00104FE3"/>
    <w:rsid w:val="00106D19"/>
    <w:rsid w:val="0010714F"/>
    <w:rsid w:val="001120C5"/>
    <w:rsid w:val="00115A08"/>
    <w:rsid w:val="001166E6"/>
    <w:rsid w:val="00117721"/>
    <w:rsid w:val="00120BD3"/>
    <w:rsid w:val="0012169B"/>
    <w:rsid w:val="00122FEA"/>
    <w:rsid w:val="001232BD"/>
    <w:rsid w:val="00123E33"/>
    <w:rsid w:val="00124ED5"/>
    <w:rsid w:val="001276FA"/>
    <w:rsid w:val="001278BA"/>
    <w:rsid w:val="00130200"/>
    <w:rsid w:val="001417A8"/>
    <w:rsid w:val="001423BA"/>
    <w:rsid w:val="00143BBC"/>
    <w:rsid w:val="001447B3"/>
    <w:rsid w:val="0014566F"/>
    <w:rsid w:val="00146545"/>
    <w:rsid w:val="00152073"/>
    <w:rsid w:val="00152329"/>
    <w:rsid w:val="00154026"/>
    <w:rsid w:val="0015413A"/>
    <w:rsid w:val="001559BD"/>
    <w:rsid w:val="00156598"/>
    <w:rsid w:val="00161939"/>
    <w:rsid w:val="00161AA0"/>
    <w:rsid w:val="00161D2E"/>
    <w:rsid w:val="00161F3E"/>
    <w:rsid w:val="00162093"/>
    <w:rsid w:val="0016211F"/>
    <w:rsid w:val="00162CA9"/>
    <w:rsid w:val="00165459"/>
    <w:rsid w:val="00165A57"/>
    <w:rsid w:val="001708A9"/>
    <w:rsid w:val="001712C2"/>
    <w:rsid w:val="0017268C"/>
    <w:rsid w:val="00172BAF"/>
    <w:rsid w:val="00172ED0"/>
    <w:rsid w:val="001731BF"/>
    <w:rsid w:val="001741E7"/>
    <w:rsid w:val="00174BA0"/>
    <w:rsid w:val="0017674D"/>
    <w:rsid w:val="001768E7"/>
    <w:rsid w:val="00176F82"/>
    <w:rsid w:val="001771DD"/>
    <w:rsid w:val="00177995"/>
    <w:rsid w:val="00177A8C"/>
    <w:rsid w:val="00180FFD"/>
    <w:rsid w:val="0018244E"/>
    <w:rsid w:val="00183356"/>
    <w:rsid w:val="00186B33"/>
    <w:rsid w:val="00190954"/>
    <w:rsid w:val="001924DF"/>
    <w:rsid w:val="00192F9D"/>
    <w:rsid w:val="001935AB"/>
    <w:rsid w:val="00195FCA"/>
    <w:rsid w:val="00196457"/>
    <w:rsid w:val="00196DEF"/>
    <w:rsid w:val="00196EB8"/>
    <w:rsid w:val="00196EFB"/>
    <w:rsid w:val="001979FF"/>
    <w:rsid w:val="00197B17"/>
    <w:rsid w:val="001A1950"/>
    <w:rsid w:val="001A1C54"/>
    <w:rsid w:val="001A2D1C"/>
    <w:rsid w:val="001A32DC"/>
    <w:rsid w:val="001A3ACE"/>
    <w:rsid w:val="001A527F"/>
    <w:rsid w:val="001A6272"/>
    <w:rsid w:val="001A6D9E"/>
    <w:rsid w:val="001B058F"/>
    <w:rsid w:val="001B244F"/>
    <w:rsid w:val="001B5CCF"/>
    <w:rsid w:val="001B6B96"/>
    <w:rsid w:val="001B6E9F"/>
    <w:rsid w:val="001B7141"/>
    <w:rsid w:val="001B738B"/>
    <w:rsid w:val="001C09DB"/>
    <w:rsid w:val="001C277E"/>
    <w:rsid w:val="001C293D"/>
    <w:rsid w:val="001C2A72"/>
    <w:rsid w:val="001C31B7"/>
    <w:rsid w:val="001C7128"/>
    <w:rsid w:val="001C79E9"/>
    <w:rsid w:val="001D099E"/>
    <w:rsid w:val="001D0B75"/>
    <w:rsid w:val="001D29F5"/>
    <w:rsid w:val="001D39A5"/>
    <w:rsid w:val="001D3C09"/>
    <w:rsid w:val="001D44E8"/>
    <w:rsid w:val="001D5B14"/>
    <w:rsid w:val="001D60EC"/>
    <w:rsid w:val="001D6F59"/>
    <w:rsid w:val="001E0C51"/>
    <w:rsid w:val="001E44DF"/>
    <w:rsid w:val="001E64E8"/>
    <w:rsid w:val="001E68A5"/>
    <w:rsid w:val="001E6BB0"/>
    <w:rsid w:val="001E7282"/>
    <w:rsid w:val="001E7CE9"/>
    <w:rsid w:val="001F1530"/>
    <w:rsid w:val="001F2D76"/>
    <w:rsid w:val="001F3826"/>
    <w:rsid w:val="001F5084"/>
    <w:rsid w:val="001F6E46"/>
    <w:rsid w:val="001F7C91"/>
    <w:rsid w:val="002014EC"/>
    <w:rsid w:val="002033B7"/>
    <w:rsid w:val="0020445E"/>
    <w:rsid w:val="0020510C"/>
    <w:rsid w:val="00206463"/>
    <w:rsid w:val="00206F2F"/>
    <w:rsid w:val="00207717"/>
    <w:rsid w:val="0021053D"/>
    <w:rsid w:val="00210A92"/>
    <w:rsid w:val="00210D22"/>
    <w:rsid w:val="00211738"/>
    <w:rsid w:val="00212B95"/>
    <w:rsid w:val="00213452"/>
    <w:rsid w:val="00215CC8"/>
    <w:rsid w:val="00216C03"/>
    <w:rsid w:val="00220A1A"/>
    <w:rsid w:val="00220C04"/>
    <w:rsid w:val="0022278D"/>
    <w:rsid w:val="0022701F"/>
    <w:rsid w:val="002275E6"/>
    <w:rsid w:val="00227C68"/>
    <w:rsid w:val="00232FA1"/>
    <w:rsid w:val="002333F5"/>
    <w:rsid w:val="00233724"/>
    <w:rsid w:val="0023455F"/>
    <w:rsid w:val="002348C0"/>
    <w:rsid w:val="002365B4"/>
    <w:rsid w:val="002365DE"/>
    <w:rsid w:val="002432E1"/>
    <w:rsid w:val="00244839"/>
    <w:rsid w:val="00245C2D"/>
    <w:rsid w:val="00246207"/>
    <w:rsid w:val="00246C5E"/>
    <w:rsid w:val="00247A08"/>
    <w:rsid w:val="00250960"/>
    <w:rsid w:val="002512F3"/>
    <w:rsid w:val="00251343"/>
    <w:rsid w:val="002536A4"/>
    <w:rsid w:val="00253A3E"/>
    <w:rsid w:val="0025415F"/>
    <w:rsid w:val="00254F58"/>
    <w:rsid w:val="002600BD"/>
    <w:rsid w:val="002620BC"/>
    <w:rsid w:val="00262802"/>
    <w:rsid w:val="00263A90"/>
    <w:rsid w:val="0026408B"/>
    <w:rsid w:val="00266044"/>
    <w:rsid w:val="00267066"/>
    <w:rsid w:val="00267C3E"/>
    <w:rsid w:val="002709BB"/>
    <w:rsid w:val="0027131C"/>
    <w:rsid w:val="00271CC8"/>
    <w:rsid w:val="00273BAC"/>
    <w:rsid w:val="002763B3"/>
    <w:rsid w:val="002772FF"/>
    <w:rsid w:val="002802E3"/>
    <w:rsid w:val="0028213D"/>
    <w:rsid w:val="00282A7F"/>
    <w:rsid w:val="00282C54"/>
    <w:rsid w:val="00284526"/>
    <w:rsid w:val="002862F1"/>
    <w:rsid w:val="0029033F"/>
    <w:rsid w:val="00291373"/>
    <w:rsid w:val="002950EC"/>
    <w:rsid w:val="0029597D"/>
    <w:rsid w:val="002962C3"/>
    <w:rsid w:val="0029752B"/>
    <w:rsid w:val="002979FD"/>
    <w:rsid w:val="002A0A9C"/>
    <w:rsid w:val="002A1FB8"/>
    <w:rsid w:val="002A483C"/>
    <w:rsid w:val="002A6D52"/>
    <w:rsid w:val="002B0C7C"/>
    <w:rsid w:val="002B1729"/>
    <w:rsid w:val="002B36C7"/>
    <w:rsid w:val="002B4DD4"/>
    <w:rsid w:val="002B5277"/>
    <w:rsid w:val="002B5375"/>
    <w:rsid w:val="002B727D"/>
    <w:rsid w:val="002B77C1"/>
    <w:rsid w:val="002C0ED7"/>
    <w:rsid w:val="002C233C"/>
    <w:rsid w:val="002C2516"/>
    <w:rsid w:val="002C2728"/>
    <w:rsid w:val="002C3222"/>
    <w:rsid w:val="002C5B7C"/>
    <w:rsid w:val="002D09AE"/>
    <w:rsid w:val="002D1E0D"/>
    <w:rsid w:val="002D3040"/>
    <w:rsid w:val="002D5006"/>
    <w:rsid w:val="002D7C61"/>
    <w:rsid w:val="002E01D0"/>
    <w:rsid w:val="002E161D"/>
    <w:rsid w:val="002E27B9"/>
    <w:rsid w:val="002E28A2"/>
    <w:rsid w:val="002E3100"/>
    <w:rsid w:val="002E6C95"/>
    <w:rsid w:val="002E7C36"/>
    <w:rsid w:val="002F3930"/>
    <w:rsid w:val="002F3D32"/>
    <w:rsid w:val="002F5F31"/>
    <w:rsid w:val="002F5F46"/>
    <w:rsid w:val="002F6479"/>
    <w:rsid w:val="002F6EAF"/>
    <w:rsid w:val="003016E4"/>
    <w:rsid w:val="00302216"/>
    <w:rsid w:val="00303E53"/>
    <w:rsid w:val="00305CC1"/>
    <w:rsid w:val="00306E5F"/>
    <w:rsid w:val="00307E14"/>
    <w:rsid w:val="00310140"/>
    <w:rsid w:val="00310F98"/>
    <w:rsid w:val="003125F7"/>
    <w:rsid w:val="00314054"/>
    <w:rsid w:val="003144CA"/>
    <w:rsid w:val="00316F27"/>
    <w:rsid w:val="00317FCC"/>
    <w:rsid w:val="003214F1"/>
    <w:rsid w:val="00322C08"/>
    <w:rsid w:val="00322E4B"/>
    <w:rsid w:val="003232ED"/>
    <w:rsid w:val="00327870"/>
    <w:rsid w:val="00330539"/>
    <w:rsid w:val="0033081F"/>
    <w:rsid w:val="0033259D"/>
    <w:rsid w:val="003333D2"/>
    <w:rsid w:val="003336D4"/>
    <w:rsid w:val="00334686"/>
    <w:rsid w:val="00337339"/>
    <w:rsid w:val="00340345"/>
    <w:rsid w:val="003406C6"/>
    <w:rsid w:val="003418CC"/>
    <w:rsid w:val="003434EE"/>
    <w:rsid w:val="003459BD"/>
    <w:rsid w:val="00350413"/>
    <w:rsid w:val="00350D38"/>
    <w:rsid w:val="00351B36"/>
    <w:rsid w:val="00357B4E"/>
    <w:rsid w:val="00361B02"/>
    <w:rsid w:val="00366749"/>
    <w:rsid w:val="00367F83"/>
    <w:rsid w:val="0037150A"/>
    <w:rsid w:val="003716FD"/>
    <w:rsid w:val="0037204B"/>
    <w:rsid w:val="003744CF"/>
    <w:rsid w:val="00374717"/>
    <w:rsid w:val="003752A2"/>
    <w:rsid w:val="0037630E"/>
    <w:rsid w:val="0037676C"/>
    <w:rsid w:val="00381043"/>
    <w:rsid w:val="00382233"/>
    <w:rsid w:val="003829E5"/>
    <w:rsid w:val="00386109"/>
    <w:rsid w:val="00386944"/>
    <w:rsid w:val="00386E25"/>
    <w:rsid w:val="003956C4"/>
    <w:rsid w:val="003956CC"/>
    <w:rsid w:val="00395C9A"/>
    <w:rsid w:val="003A0853"/>
    <w:rsid w:val="003A5152"/>
    <w:rsid w:val="003A5907"/>
    <w:rsid w:val="003A6B67"/>
    <w:rsid w:val="003B0CD2"/>
    <w:rsid w:val="003B13B6"/>
    <w:rsid w:val="003B14C3"/>
    <w:rsid w:val="003B15E6"/>
    <w:rsid w:val="003B22EF"/>
    <w:rsid w:val="003B240B"/>
    <w:rsid w:val="003B2809"/>
    <w:rsid w:val="003B408A"/>
    <w:rsid w:val="003C08A2"/>
    <w:rsid w:val="003C2045"/>
    <w:rsid w:val="003C284D"/>
    <w:rsid w:val="003C43A1"/>
    <w:rsid w:val="003C4FC0"/>
    <w:rsid w:val="003C55F4"/>
    <w:rsid w:val="003C6A97"/>
    <w:rsid w:val="003C7897"/>
    <w:rsid w:val="003C7A3F"/>
    <w:rsid w:val="003D1C4D"/>
    <w:rsid w:val="003D1DB0"/>
    <w:rsid w:val="003D2766"/>
    <w:rsid w:val="003D2A74"/>
    <w:rsid w:val="003D3D88"/>
    <w:rsid w:val="003D3E8F"/>
    <w:rsid w:val="003D6475"/>
    <w:rsid w:val="003D6EE6"/>
    <w:rsid w:val="003D7452"/>
    <w:rsid w:val="003E14C1"/>
    <w:rsid w:val="003E375C"/>
    <w:rsid w:val="003E4086"/>
    <w:rsid w:val="003E456F"/>
    <w:rsid w:val="003E639E"/>
    <w:rsid w:val="003E71E5"/>
    <w:rsid w:val="003F0445"/>
    <w:rsid w:val="003F0CF0"/>
    <w:rsid w:val="003F11CB"/>
    <w:rsid w:val="003F14B1"/>
    <w:rsid w:val="003F2B20"/>
    <w:rsid w:val="003F3289"/>
    <w:rsid w:val="003F3C62"/>
    <w:rsid w:val="003F5CB9"/>
    <w:rsid w:val="00400D7E"/>
    <w:rsid w:val="004013C7"/>
    <w:rsid w:val="004018AF"/>
    <w:rsid w:val="00401FCF"/>
    <w:rsid w:val="00403B9B"/>
    <w:rsid w:val="00405F7D"/>
    <w:rsid w:val="00406152"/>
    <w:rsid w:val="00406285"/>
    <w:rsid w:val="004103B4"/>
    <w:rsid w:val="00410E0E"/>
    <w:rsid w:val="004115A2"/>
    <w:rsid w:val="00412AEC"/>
    <w:rsid w:val="00412B31"/>
    <w:rsid w:val="004148F9"/>
    <w:rsid w:val="004149F7"/>
    <w:rsid w:val="004157B8"/>
    <w:rsid w:val="00417BF4"/>
    <w:rsid w:val="0042084E"/>
    <w:rsid w:val="00421EEF"/>
    <w:rsid w:val="00422688"/>
    <w:rsid w:val="00423E59"/>
    <w:rsid w:val="00424D65"/>
    <w:rsid w:val="0042526D"/>
    <w:rsid w:val="004254E0"/>
    <w:rsid w:val="00430393"/>
    <w:rsid w:val="00431806"/>
    <w:rsid w:val="00431A70"/>
    <w:rsid w:val="00431F42"/>
    <w:rsid w:val="0044282B"/>
    <w:rsid w:val="00442C6C"/>
    <w:rsid w:val="00443983"/>
    <w:rsid w:val="00443CBE"/>
    <w:rsid w:val="00443E8A"/>
    <w:rsid w:val="004441BC"/>
    <w:rsid w:val="004468B4"/>
    <w:rsid w:val="004468D6"/>
    <w:rsid w:val="00446A84"/>
    <w:rsid w:val="00446D86"/>
    <w:rsid w:val="0045230A"/>
    <w:rsid w:val="0045379C"/>
    <w:rsid w:val="00453E72"/>
    <w:rsid w:val="00454AD0"/>
    <w:rsid w:val="00455DE0"/>
    <w:rsid w:val="00457337"/>
    <w:rsid w:val="00460669"/>
    <w:rsid w:val="00462E3D"/>
    <w:rsid w:val="00464E7A"/>
    <w:rsid w:val="00466E79"/>
    <w:rsid w:val="00467061"/>
    <w:rsid w:val="00470D7D"/>
    <w:rsid w:val="00472138"/>
    <w:rsid w:val="0047372D"/>
    <w:rsid w:val="00473BA3"/>
    <w:rsid w:val="004743DD"/>
    <w:rsid w:val="004744ED"/>
    <w:rsid w:val="00474CEA"/>
    <w:rsid w:val="0048082B"/>
    <w:rsid w:val="00483968"/>
    <w:rsid w:val="004841BE"/>
    <w:rsid w:val="00484F86"/>
    <w:rsid w:val="004901AC"/>
    <w:rsid w:val="004903FC"/>
    <w:rsid w:val="00490746"/>
    <w:rsid w:val="00490852"/>
    <w:rsid w:val="00491C9C"/>
    <w:rsid w:val="00492F30"/>
    <w:rsid w:val="004932C5"/>
    <w:rsid w:val="004946F4"/>
    <w:rsid w:val="0049487E"/>
    <w:rsid w:val="00495AD8"/>
    <w:rsid w:val="0049698A"/>
    <w:rsid w:val="004A160D"/>
    <w:rsid w:val="004A3E81"/>
    <w:rsid w:val="004A4195"/>
    <w:rsid w:val="004A5C62"/>
    <w:rsid w:val="004A5CE5"/>
    <w:rsid w:val="004A6B5A"/>
    <w:rsid w:val="004A707D"/>
    <w:rsid w:val="004B01F8"/>
    <w:rsid w:val="004B0974"/>
    <w:rsid w:val="004B4185"/>
    <w:rsid w:val="004B6567"/>
    <w:rsid w:val="004C014B"/>
    <w:rsid w:val="004C0D95"/>
    <w:rsid w:val="004C14C0"/>
    <w:rsid w:val="004C184B"/>
    <w:rsid w:val="004C383F"/>
    <w:rsid w:val="004C5541"/>
    <w:rsid w:val="004C5716"/>
    <w:rsid w:val="004C583C"/>
    <w:rsid w:val="004C6EEE"/>
    <w:rsid w:val="004C702B"/>
    <w:rsid w:val="004D0033"/>
    <w:rsid w:val="004D016B"/>
    <w:rsid w:val="004D1B22"/>
    <w:rsid w:val="004D23CC"/>
    <w:rsid w:val="004D25C9"/>
    <w:rsid w:val="004D36F2"/>
    <w:rsid w:val="004D48A4"/>
    <w:rsid w:val="004E106E"/>
    <w:rsid w:val="004E1106"/>
    <w:rsid w:val="004E138F"/>
    <w:rsid w:val="004E27ED"/>
    <w:rsid w:val="004E4649"/>
    <w:rsid w:val="004E511C"/>
    <w:rsid w:val="004E5C2B"/>
    <w:rsid w:val="004F00DD"/>
    <w:rsid w:val="004F2133"/>
    <w:rsid w:val="004F2544"/>
    <w:rsid w:val="004F5398"/>
    <w:rsid w:val="004F55F1"/>
    <w:rsid w:val="004F5A81"/>
    <w:rsid w:val="004F6936"/>
    <w:rsid w:val="005005DE"/>
    <w:rsid w:val="00503DC6"/>
    <w:rsid w:val="00506B27"/>
    <w:rsid w:val="00506F5D"/>
    <w:rsid w:val="00510C37"/>
    <w:rsid w:val="005126D0"/>
    <w:rsid w:val="00513530"/>
    <w:rsid w:val="00514667"/>
    <w:rsid w:val="0051568D"/>
    <w:rsid w:val="0051581E"/>
    <w:rsid w:val="00516B05"/>
    <w:rsid w:val="0052540D"/>
    <w:rsid w:val="005255E4"/>
    <w:rsid w:val="00526AC7"/>
    <w:rsid w:val="00526C15"/>
    <w:rsid w:val="00527CD0"/>
    <w:rsid w:val="00527F41"/>
    <w:rsid w:val="00532AE7"/>
    <w:rsid w:val="00533017"/>
    <w:rsid w:val="00536499"/>
    <w:rsid w:val="00542A03"/>
    <w:rsid w:val="00543903"/>
    <w:rsid w:val="00543BCC"/>
    <w:rsid w:val="00543F11"/>
    <w:rsid w:val="00546305"/>
    <w:rsid w:val="00547A95"/>
    <w:rsid w:val="0055119B"/>
    <w:rsid w:val="00552FD6"/>
    <w:rsid w:val="00560E9C"/>
    <w:rsid w:val="00561202"/>
    <w:rsid w:val="00562507"/>
    <w:rsid w:val="00562811"/>
    <w:rsid w:val="0056655B"/>
    <w:rsid w:val="00566B52"/>
    <w:rsid w:val="00570D97"/>
    <w:rsid w:val="00572031"/>
    <w:rsid w:val="00572282"/>
    <w:rsid w:val="00573CE3"/>
    <w:rsid w:val="00573DB6"/>
    <w:rsid w:val="00576E84"/>
    <w:rsid w:val="00580394"/>
    <w:rsid w:val="005804E7"/>
    <w:rsid w:val="005809CD"/>
    <w:rsid w:val="00582B8C"/>
    <w:rsid w:val="0058757E"/>
    <w:rsid w:val="005912D7"/>
    <w:rsid w:val="0059226F"/>
    <w:rsid w:val="005949FB"/>
    <w:rsid w:val="00596506"/>
    <w:rsid w:val="00596A4B"/>
    <w:rsid w:val="00597507"/>
    <w:rsid w:val="005A031E"/>
    <w:rsid w:val="005A479D"/>
    <w:rsid w:val="005A5341"/>
    <w:rsid w:val="005B1C6D"/>
    <w:rsid w:val="005B21B6"/>
    <w:rsid w:val="005B3A08"/>
    <w:rsid w:val="005B418F"/>
    <w:rsid w:val="005B43E3"/>
    <w:rsid w:val="005B6AB9"/>
    <w:rsid w:val="005B7A63"/>
    <w:rsid w:val="005C0955"/>
    <w:rsid w:val="005C49DA"/>
    <w:rsid w:val="005C4E62"/>
    <w:rsid w:val="005C50F3"/>
    <w:rsid w:val="005C54B5"/>
    <w:rsid w:val="005C5D80"/>
    <w:rsid w:val="005C5D91"/>
    <w:rsid w:val="005C6C5E"/>
    <w:rsid w:val="005D07B8"/>
    <w:rsid w:val="005D3E66"/>
    <w:rsid w:val="005D46E0"/>
    <w:rsid w:val="005D6597"/>
    <w:rsid w:val="005E14E7"/>
    <w:rsid w:val="005E26A3"/>
    <w:rsid w:val="005E2ECB"/>
    <w:rsid w:val="005E42C3"/>
    <w:rsid w:val="005E437E"/>
    <w:rsid w:val="005E447E"/>
    <w:rsid w:val="005E4FD1"/>
    <w:rsid w:val="005F0775"/>
    <w:rsid w:val="005F07D9"/>
    <w:rsid w:val="005F0CF5"/>
    <w:rsid w:val="005F163B"/>
    <w:rsid w:val="005F21EB"/>
    <w:rsid w:val="005F64CF"/>
    <w:rsid w:val="005F7B94"/>
    <w:rsid w:val="005F7C56"/>
    <w:rsid w:val="006011FF"/>
    <w:rsid w:val="00601F0E"/>
    <w:rsid w:val="006037BB"/>
    <w:rsid w:val="006041AD"/>
    <w:rsid w:val="0060517E"/>
    <w:rsid w:val="00605908"/>
    <w:rsid w:val="00607270"/>
    <w:rsid w:val="00607850"/>
    <w:rsid w:val="00607A52"/>
    <w:rsid w:val="00607CE3"/>
    <w:rsid w:val="00607EF7"/>
    <w:rsid w:val="00610430"/>
    <w:rsid w:val="00610D7C"/>
    <w:rsid w:val="00612424"/>
    <w:rsid w:val="00613414"/>
    <w:rsid w:val="00614B6D"/>
    <w:rsid w:val="0061554C"/>
    <w:rsid w:val="00620154"/>
    <w:rsid w:val="0062408D"/>
    <w:rsid w:val="006240CC"/>
    <w:rsid w:val="00624940"/>
    <w:rsid w:val="00624957"/>
    <w:rsid w:val="006254F8"/>
    <w:rsid w:val="00627DA7"/>
    <w:rsid w:val="006301A8"/>
    <w:rsid w:val="00630DA4"/>
    <w:rsid w:val="0063166A"/>
    <w:rsid w:val="00631CD4"/>
    <w:rsid w:val="00632597"/>
    <w:rsid w:val="00633661"/>
    <w:rsid w:val="006340E9"/>
    <w:rsid w:val="00634D13"/>
    <w:rsid w:val="006358B4"/>
    <w:rsid w:val="00640640"/>
    <w:rsid w:val="00641724"/>
    <w:rsid w:val="006419AA"/>
    <w:rsid w:val="00644B1F"/>
    <w:rsid w:val="00644B7E"/>
    <w:rsid w:val="006454E6"/>
    <w:rsid w:val="00646235"/>
    <w:rsid w:val="00646A68"/>
    <w:rsid w:val="006505BD"/>
    <w:rsid w:val="006508EA"/>
    <w:rsid w:val="0065092E"/>
    <w:rsid w:val="00651AEA"/>
    <w:rsid w:val="00652005"/>
    <w:rsid w:val="006557A7"/>
    <w:rsid w:val="00656290"/>
    <w:rsid w:val="006567CA"/>
    <w:rsid w:val="0065729A"/>
    <w:rsid w:val="006601C9"/>
    <w:rsid w:val="006608D8"/>
    <w:rsid w:val="006621D7"/>
    <w:rsid w:val="00662FD0"/>
    <w:rsid w:val="0066302A"/>
    <w:rsid w:val="00667770"/>
    <w:rsid w:val="006677FA"/>
    <w:rsid w:val="00670597"/>
    <w:rsid w:val="006706D0"/>
    <w:rsid w:val="0067500D"/>
    <w:rsid w:val="006774EF"/>
    <w:rsid w:val="00677574"/>
    <w:rsid w:val="00680D7C"/>
    <w:rsid w:val="006812ED"/>
    <w:rsid w:val="006833C2"/>
    <w:rsid w:val="00683878"/>
    <w:rsid w:val="00684380"/>
    <w:rsid w:val="0068454C"/>
    <w:rsid w:val="00690DEC"/>
    <w:rsid w:val="00691B62"/>
    <w:rsid w:val="00693227"/>
    <w:rsid w:val="006933B5"/>
    <w:rsid w:val="00693546"/>
    <w:rsid w:val="00693D14"/>
    <w:rsid w:val="00696F27"/>
    <w:rsid w:val="0069748C"/>
    <w:rsid w:val="006A18C2"/>
    <w:rsid w:val="006A2717"/>
    <w:rsid w:val="006A3383"/>
    <w:rsid w:val="006A4660"/>
    <w:rsid w:val="006A7E78"/>
    <w:rsid w:val="006B077C"/>
    <w:rsid w:val="006B0C81"/>
    <w:rsid w:val="006B644B"/>
    <w:rsid w:val="006B6803"/>
    <w:rsid w:val="006C06C6"/>
    <w:rsid w:val="006C4877"/>
    <w:rsid w:val="006C5F0E"/>
    <w:rsid w:val="006D0F16"/>
    <w:rsid w:val="006D2A3F"/>
    <w:rsid w:val="006D2FBC"/>
    <w:rsid w:val="006D3EF9"/>
    <w:rsid w:val="006D6246"/>
    <w:rsid w:val="006D6E34"/>
    <w:rsid w:val="006E05DA"/>
    <w:rsid w:val="006E0C64"/>
    <w:rsid w:val="006E138B"/>
    <w:rsid w:val="006E1867"/>
    <w:rsid w:val="006E3FEA"/>
    <w:rsid w:val="006F0330"/>
    <w:rsid w:val="006F1FDC"/>
    <w:rsid w:val="006F352D"/>
    <w:rsid w:val="006F5459"/>
    <w:rsid w:val="006F6943"/>
    <w:rsid w:val="006F6B76"/>
    <w:rsid w:val="006F6B8C"/>
    <w:rsid w:val="007013EF"/>
    <w:rsid w:val="00704896"/>
    <w:rsid w:val="007055BD"/>
    <w:rsid w:val="00705C7F"/>
    <w:rsid w:val="007137CF"/>
    <w:rsid w:val="0071539A"/>
    <w:rsid w:val="00716DE4"/>
    <w:rsid w:val="007173CA"/>
    <w:rsid w:val="007216AA"/>
    <w:rsid w:val="00721AB5"/>
    <w:rsid w:val="00721CFB"/>
    <w:rsid w:val="00721DEF"/>
    <w:rsid w:val="00723752"/>
    <w:rsid w:val="007249DF"/>
    <w:rsid w:val="00724A43"/>
    <w:rsid w:val="007259C3"/>
    <w:rsid w:val="007273AC"/>
    <w:rsid w:val="00731AD4"/>
    <w:rsid w:val="00734429"/>
    <w:rsid w:val="007346E4"/>
    <w:rsid w:val="00735564"/>
    <w:rsid w:val="007377D4"/>
    <w:rsid w:val="00740F22"/>
    <w:rsid w:val="00741CF0"/>
    <w:rsid w:val="00741F1A"/>
    <w:rsid w:val="007447DA"/>
    <w:rsid w:val="007450F8"/>
    <w:rsid w:val="0074696E"/>
    <w:rsid w:val="00750135"/>
    <w:rsid w:val="00750EC2"/>
    <w:rsid w:val="0075234D"/>
    <w:rsid w:val="00752B28"/>
    <w:rsid w:val="0075365D"/>
    <w:rsid w:val="007536BC"/>
    <w:rsid w:val="007541A9"/>
    <w:rsid w:val="00754E36"/>
    <w:rsid w:val="00756404"/>
    <w:rsid w:val="00763139"/>
    <w:rsid w:val="00765B51"/>
    <w:rsid w:val="00765BB5"/>
    <w:rsid w:val="0076646D"/>
    <w:rsid w:val="00766613"/>
    <w:rsid w:val="007677BD"/>
    <w:rsid w:val="00767FC1"/>
    <w:rsid w:val="00770256"/>
    <w:rsid w:val="00770294"/>
    <w:rsid w:val="00770F37"/>
    <w:rsid w:val="007711A0"/>
    <w:rsid w:val="00772BF4"/>
    <w:rsid w:val="00772D5E"/>
    <w:rsid w:val="00773C8F"/>
    <w:rsid w:val="0077463E"/>
    <w:rsid w:val="00776928"/>
    <w:rsid w:val="00776D56"/>
    <w:rsid w:val="00776E0F"/>
    <w:rsid w:val="007774B1"/>
    <w:rsid w:val="00777BE1"/>
    <w:rsid w:val="00780262"/>
    <w:rsid w:val="00782222"/>
    <w:rsid w:val="007833D8"/>
    <w:rsid w:val="00785677"/>
    <w:rsid w:val="00786F16"/>
    <w:rsid w:val="00791BD7"/>
    <w:rsid w:val="007933F7"/>
    <w:rsid w:val="00794727"/>
    <w:rsid w:val="0079539B"/>
    <w:rsid w:val="00796E20"/>
    <w:rsid w:val="00797C32"/>
    <w:rsid w:val="00797F33"/>
    <w:rsid w:val="007A05F7"/>
    <w:rsid w:val="007A11E8"/>
    <w:rsid w:val="007B0914"/>
    <w:rsid w:val="007B1374"/>
    <w:rsid w:val="007B3072"/>
    <w:rsid w:val="007B32E5"/>
    <w:rsid w:val="007B3DB9"/>
    <w:rsid w:val="007B47C5"/>
    <w:rsid w:val="007B589F"/>
    <w:rsid w:val="007B5C85"/>
    <w:rsid w:val="007B6186"/>
    <w:rsid w:val="007B73BC"/>
    <w:rsid w:val="007B7D46"/>
    <w:rsid w:val="007C142A"/>
    <w:rsid w:val="007C1838"/>
    <w:rsid w:val="007C1B7B"/>
    <w:rsid w:val="007C20B9"/>
    <w:rsid w:val="007C29DC"/>
    <w:rsid w:val="007C7301"/>
    <w:rsid w:val="007C7859"/>
    <w:rsid w:val="007C7F28"/>
    <w:rsid w:val="007D0B10"/>
    <w:rsid w:val="007D1466"/>
    <w:rsid w:val="007D1566"/>
    <w:rsid w:val="007D2BDE"/>
    <w:rsid w:val="007D2FB6"/>
    <w:rsid w:val="007D3010"/>
    <w:rsid w:val="007D49EB"/>
    <w:rsid w:val="007D4BA1"/>
    <w:rsid w:val="007D5337"/>
    <w:rsid w:val="007D5E1C"/>
    <w:rsid w:val="007D669F"/>
    <w:rsid w:val="007E0DE2"/>
    <w:rsid w:val="007E1D69"/>
    <w:rsid w:val="007E1F83"/>
    <w:rsid w:val="007E270C"/>
    <w:rsid w:val="007E2A53"/>
    <w:rsid w:val="007E3667"/>
    <w:rsid w:val="007E3B98"/>
    <w:rsid w:val="007E417A"/>
    <w:rsid w:val="007F194B"/>
    <w:rsid w:val="007F2E33"/>
    <w:rsid w:val="007F31B6"/>
    <w:rsid w:val="007F4302"/>
    <w:rsid w:val="007F546C"/>
    <w:rsid w:val="007F625F"/>
    <w:rsid w:val="007F6373"/>
    <w:rsid w:val="007F665E"/>
    <w:rsid w:val="00800412"/>
    <w:rsid w:val="00801555"/>
    <w:rsid w:val="00804DA4"/>
    <w:rsid w:val="0080587B"/>
    <w:rsid w:val="00806468"/>
    <w:rsid w:val="008119CA"/>
    <w:rsid w:val="008130C4"/>
    <w:rsid w:val="00814815"/>
    <w:rsid w:val="008155F0"/>
    <w:rsid w:val="008157EE"/>
    <w:rsid w:val="00816735"/>
    <w:rsid w:val="00816760"/>
    <w:rsid w:val="00820141"/>
    <w:rsid w:val="00820E0C"/>
    <w:rsid w:val="00823275"/>
    <w:rsid w:val="0082366F"/>
    <w:rsid w:val="008300F0"/>
    <w:rsid w:val="00831B47"/>
    <w:rsid w:val="008338A2"/>
    <w:rsid w:val="00834CDD"/>
    <w:rsid w:val="00836D6B"/>
    <w:rsid w:val="0083792A"/>
    <w:rsid w:val="00841AA9"/>
    <w:rsid w:val="00842769"/>
    <w:rsid w:val="008474FE"/>
    <w:rsid w:val="00851279"/>
    <w:rsid w:val="0085301A"/>
    <w:rsid w:val="008539A2"/>
    <w:rsid w:val="00853EE4"/>
    <w:rsid w:val="00855061"/>
    <w:rsid w:val="00855535"/>
    <w:rsid w:val="008575D0"/>
    <w:rsid w:val="00857C5A"/>
    <w:rsid w:val="00861561"/>
    <w:rsid w:val="0086255E"/>
    <w:rsid w:val="008633F0"/>
    <w:rsid w:val="00863B7C"/>
    <w:rsid w:val="00865D49"/>
    <w:rsid w:val="00867D9D"/>
    <w:rsid w:val="00871212"/>
    <w:rsid w:val="00872E0A"/>
    <w:rsid w:val="00873594"/>
    <w:rsid w:val="00875285"/>
    <w:rsid w:val="008758B5"/>
    <w:rsid w:val="00877635"/>
    <w:rsid w:val="00881007"/>
    <w:rsid w:val="00881C09"/>
    <w:rsid w:val="00884B62"/>
    <w:rsid w:val="0088529C"/>
    <w:rsid w:val="00887903"/>
    <w:rsid w:val="0089270A"/>
    <w:rsid w:val="00893AF6"/>
    <w:rsid w:val="00894BC4"/>
    <w:rsid w:val="00896890"/>
    <w:rsid w:val="008974C4"/>
    <w:rsid w:val="008A28A8"/>
    <w:rsid w:val="008A5B32"/>
    <w:rsid w:val="008A7614"/>
    <w:rsid w:val="008B2029"/>
    <w:rsid w:val="008B2EE4"/>
    <w:rsid w:val="008B3821"/>
    <w:rsid w:val="008B3BDE"/>
    <w:rsid w:val="008B4D3D"/>
    <w:rsid w:val="008B57C7"/>
    <w:rsid w:val="008C2B44"/>
    <w:rsid w:val="008C2F92"/>
    <w:rsid w:val="008C3546"/>
    <w:rsid w:val="008C5119"/>
    <w:rsid w:val="008C589D"/>
    <w:rsid w:val="008C6258"/>
    <w:rsid w:val="008C6D51"/>
    <w:rsid w:val="008D2846"/>
    <w:rsid w:val="008D4236"/>
    <w:rsid w:val="008D462F"/>
    <w:rsid w:val="008D4B1B"/>
    <w:rsid w:val="008D6DCF"/>
    <w:rsid w:val="008E4376"/>
    <w:rsid w:val="008E4888"/>
    <w:rsid w:val="008E4916"/>
    <w:rsid w:val="008E7807"/>
    <w:rsid w:val="008E7A0A"/>
    <w:rsid w:val="008E7B49"/>
    <w:rsid w:val="008F1C79"/>
    <w:rsid w:val="008F59F6"/>
    <w:rsid w:val="008F5C53"/>
    <w:rsid w:val="00900719"/>
    <w:rsid w:val="009017AC"/>
    <w:rsid w:val="00902A9A"/>
    <w:rsid w:val="009044A2"/>
    <w:rsid w:val="00904A1C"/>
    <w:rsid w:val="00905030"/>
    <w:rsid w:val="00906490"/>
    <w:rsid w:val="009111B2"/>
    <w:rsid w:val="00912CB0"/>
    <w:rsid w:val="009151F5"/>
    <w:rsid w:val="00917852"/>
    <w:rsid w:val="00920C4C"/>
    <w:rsid w:val="00924AE1"/>
    <w:rsid w:val="00924B57"/>
    <w:rsid w:val="009269B1"/>
    <w:rsid w:val="0092724D"/>
    <w:rsid w:val="009272B3"/>
    <w:rsid w:val="009315BE"/>
    <w:rsid w:val="009326DD"/>
    <w:rsid w:val="0093338F"/>
    <w:rsid w:val="0093428E"/>
    <w:rsid w:val="00934AE6"/>
    <w:rsid w:val="00937BD9"/>
    <w:rsid w:val="009407DC"/>
    <w:rsid w:val="009428FF"/>
    <w:rsid w:val="00945AD9"/>
    <w:rsid w:val="00950E2C"/>
    <w:rsid w:val="00951D50"/>
    <w:rsid w:val="009525EB"/>
    <w:rsid w:val="00953E4D"/>
    <w:rsid w:val="0095470B"/>
    <w:rsid w:val="00954874"/>
    <w:rsid w:val="0095615A"/>
    <w:rsid w:val="0095672A"/>
    <w:rsid w:val="00956883"/>
    <w:rsid w:val="00960076"/>
    <w:rsid w:val="00960950"/>
    <w:rsid w:val="00960CF4"/>
    <w:rsid w:val="00961400"/>
    <w:rsid w:val="00963646"/>
    <w:rsid w:val="0096506F"/>
    <w:rsid w:val="00965701"/>
    <w:rsid w:val="0096632D"/>
    <w:rsid w:val="00966D5A"/>
    <w:rsid w:val="00967124"/>
    <w:rsid w:val="0097166C"/>
    <w:rsid w:val="009718C7"/>
    <w:rsid w:val="0097559F"/>
    <w:rsid w:val="009761EA"/>
    <w:rsid w:val="00976B57"/>
    <w:rsid w:val="00976F47"/>
    <w:rsid w:val="0097761E"/>
    <w:rsid w:val="009809F0"/>
    <w:rsid w:val="00980AFA"/>
    <w:rsid w:val="00981964"/>
    <w:rsid w:val="009820AE"/>
    <w:rsid w:val="00982454"/>
    <w:rsid w:val="0098257E"/>
    <w:rsid w:val="00982CF0"/>
    <w:rsid w:val="00982FAF"/>
    <w:rsid w:val="00983891"/>
    <w:rsid w:val="009853E1"/>
    <w:rsid w:val="00985DAD"/>
    <w:rsid w:val="00986E6B"/>
    <w:rsid w:val="00990032"/>
    <w:rsid w:val="00990B19"/>
    <w:rsid w:val="0099153B"/>
    <w:rsid w:val="00991769"/>
    <w:rsid w:val="0099232C"/>
    <w:rsid w:val="00994386"/>
    <w:rsid w:val="009A13D8"/>
    <w:rsid w:val="009A279E"/>
    <w:rsid w:val="009A3015"/>
    <w:rsid w:val="009A32F6"/>
    <w:rsid w:val="009A3490"/>
    <w:rsid w:val="009A3DC1"/>
    <w:rsid w:val="009A527A"/>
    <w:rsid w:val="009A6A99"/>
    <w:rsid w:val="009A7ABE"/>
    <w:rsid w:val="009B05FD"/>
    <w:rsid w:val="009B0A6F"/>
    <w:rsid w:val="009B0A94"/>
    <w:rsid w:val="009B0C62"/>
    <w:rsid w:val="009B28C6"/>
    <w:rsid w:val="009B2AE8"/>
    <w:rsid w:val="009B5622"/>
    <w:rsid w:val="009B59E9"/>
    <w:rsid w:val="009B70AA"/>
    <w:rsid w:val="009B7A5A"/>
    <w:rsid w:val="009B7FB2"/>
    <w:rsid w:val="009C245E"/>
    <w:rsid w:val="009C3CF1"/>
    <w:rsid w:val="009C5E77"/>
    <w:rsid w:val="009C7A7E"/>
    <w:rsid w:val="009C7EA1"/>
    <w:rsid w:val="009D02D5"/>
    <w:rsid w:val="009D02E8"/>
    <w:rsid w:val="009D12AF"/>
    <w:rsid w:val="009D27D5"/>
    <w:rsid w:val="009D328F"/>
    <w:rsid w:val="009D43A0"/>
    <w:rsid w:val="009D51D0"/>
    <w:rsid w:val="009D6791"/>
    <w:rsid w:val="009D70A4"/>
    <w:rsid w:val="009D7B14"/>
    <w:rsid w:val="009E08D1"/>
    <w:rsid w:val="009E0D96"/>
    <w:rsid w:val="009E1B95"/>
    <w:rsid w:val="009E28E1"/>
    <w:rsid w:val="009E496F"/>
    <w:rsid w:val="009E4B0D"/>
    <w:rsid w:val="009E5250"/>
    <w:rsid w:val="009E7A69"/>
    <w:rsid w:val="009E7F92"/>
    <w:rsid w:val="009F02A3"/>
    <w:rsid w:val="009F0633"/>
    <w:rsid w:val="009F2182"/>
    <w:rsid w:val="009F2F27"/>
    <w:rsid w:val="009F34AA"/>
    <w:rsid w:val="009F3CBE"/>
    <w:rsid w:val="009F4831"/>
    <w:rsid w:val="009F668E"/>
    <w:rsid w:val="009F6BCB"/>
    <w:rsid w:val="009F74D1"/>
    <w:rsid w:val="009F7B78"/>
    <w:rsid w:val="00A0057A"/>
    <w:rsid w:val="00A01FB1"/>
    <w:rsid w:val="00A02FA1"/>
    <w:rsid w:val="00A03B3E"/>
    <w:rsid w:val="00A04CCE"/>
    <w:rsid w:val="00A07421"/>
    <w:rsid w:val="00A0776B"/>
    <w:rsid w:val="00A10744"/>
    <w:rsid w:val="00A10FB9"/>
    <w:rsid w:val="00A11421"/>
    <w:rsid w:val="00A11B0A"/>
    <w:rsid w:val="00A1389F"/>
    <w:rsid w:val="00A157B1"/>
    <w:rsid w:val="00A22229"/>
    <w:rsid w:val="00A24442"/>
    <w:rsid w:val="00A24ADA"/>
    <w:rsid w:val="00A2643A"/>
    <w:rsid w:val="00A31871"/>
    <w:rsid w:val="00A32577"/>
    <w:rsid w:val="00A330BB"/>
    <w:rsid w:val="00A331BF"/>
    <w:rsid w:val="00A35CCA"/>
    <w:rsid w:val="00A446F5"/>
    <w:rsid w:val="00A44882"/>
    <w:rsid w:val="00A45125"/>
    <w:rsid w:val="00A45EBA"/>
    <w:rsid w:val="00A47883"/>
    <w:rsid w:val="00A50AA9"/>
    <w:rsid w:val="00A532C7"/>
    <w:rsid w:val="00A540CF"/>
    <w:rsid w:val="00A54715"/>
    <w:rsid w:val="00A6061C"/>
    <w:rsid w:val="00A62D44"/>
    <w:rsid w:val="00A65278"/>
    <w:rsid w:val="00A67263"/>
    <w:rsid w:val="00A7161C"/>
    <w:rsid w:val="00A71CE4"/>
    <w:rsid w:val="00A77AA3"/>
    <w:rsid w:val="00A80640"/>
    <w:rsid w:val="00A81293"/>
    <w:rsid w:val="00A819B9"/>
    <w:rsid w:val="00A822ED"/>
    <w:rsid w:val="00A8236D"/>
    <w:rsid w:val="00A854EB"/>
    <w:rsid w:val="00A872E5"/>
    <w:rsid w:val="00A91406"/>
    <w:rsid w:val="00A9426F"/>
    <w:rsid w:val="00A96E65"/>
    <w:rsid w:val="00A96ECE"/>
    <w:rsid w:val="00A97C72"/>
    <w:rsid w:val="00AA17EB"/>
    <w:rsid w:val="00AA310B"/>
    <w:rsid w:val="00AA3FBA"/>
    <w:rsid w:val="00AA565D"/>
    <w:rsid w:val="00AA63D4"/>
    <w:rsid w:val="00AA72AA"/>
    <w:rsid w:val="00AB06E8"/>
    <w:rsid w:val="00AB1CD3"/>
    <w:rsid w:val="00AB352F"/>
    <w:rsid w:val="00AC274B"/>
    <w:rsid w:val="00AC4764"/>
    <w:rsid w:val="00AC4E9D"/>
    <w:rsid w:val="00AC5551"/>
    <w:rsid w:val="00AC692E"/>
    <w:rsid w:val="00AC6D36"/>
    <w:rsid w:val="00AD0CBA"/>
    <w:rsid w:val="00AD26E2"/>
    <w:rsid w:val="00AD34C3"/>
    <w:rsid w:val="00AD4DD0"/>
    <w:rsid w:val="00AD5B55"/>
    <w:rsid w:val="00AD784C"/>
    <w:rsid w:val="00AD78D2"/>
    <w:rsid w:val="00AE126A"/>
    <w:rsid w:val="00AE1BAE"/>
    <w:rsid w:val="00AE3005"/>
    <w:rsid w:val="00AE3BD5"/>
    <w:rsid w:val="00AE51BC"/>
    <w:rsid w:val="00AE59A0"/>
    <w:rsid w:val="00AF0C57"/>
    <w:rsid w:val="00AF26F3"/>
    <w:rsid w:val="00AF2FF6"/>
    <w:rsid w:val="00AF5F04"/>
    <w:rsid w:val="00B00672"/>
    <w:rsid w:val="00B01309"/>
    <w:rsid w:val="00B01B4D"/>
    <w:rsid w:val="00B02A16"/>
    <w:rsid w:val="00B03219"/>
    <w:rsid w:val="00B04489"/>
    <w:rsid w:val="00B06571"/>
    <w:rsid w:val="00B068BA"/>
    <w:rsid w:val="00B06981"/>
    <w:rsid w:val="00B06F0C"/>
    <w:rsid w:val="00B06F23"/>
    <w:rsid w:val="00B07217"/>
    <w:rsid w:val="00B0789D"/>
    <w:rsid w:val="00B07CA6"/>
    <w:rsid w:val="00B107EA"/>
    <w:rsid w:val="00B13851"/>
    <w:rsid w:val="00B13B1C"/>
    <w:rsid w:val="00B14B5F"/>
    <w:rsid w:val="00B21F90"/>
    <w:rsid w:val="00B22291"/>
    <w:rsid w:val="00B23F9A"/>
    <w:rsid w:val="00B2417B"/>
    <w:rsid w:val="00B24BFA"/>
    <w:rsid w:val="00B24E6F"/>
    <w:rsid w:val="00B26CB5"/>
    <w:rsid w:val="00B2752E"/>
    <w:rsid w:val="00B307CC"/>
    <w:rsid w:val="00B31889"/>
    <w:rsid w:val="00B31AE8"/>
    <w:rsid w:val="00B322CB"/>
    <w:rsid w:val="00B326B7"/>
    <w:rsid w:val="00B33E43"/>
    <w:rsid w:val="00B3588E"/>
    <w:rsid w:val="00B37FB6"/>
    <w:rsid w:val="00B4198F"/>
    <w:rsid w:val="00B41F3D"/>
    <w:rsid w:val="00B42005"/>
    <w:rsid w:val="00B431E8"/>
    <w:rsid w:val="00B43B03"/>
    <w:rsid w:val="00B45141"/>
    <w:rsid w:val="00B519CD"/>
    <w:rsid w:val="00B5273A"/>
    <w:rsid w:val="00B52B53"/>
    <w:rsid w:val="00B52CCC"/>
    <w:rsid w:val="00B550D7"/>
    <w:rsid w:val="00B55C10"/>
    <w:rsid w:val="00B57329"/>
    <w:rsid w:val="00B60E61"/>
    <w:rsid w:val="00B62B50"/>
    <w:rsid w:val="00B635B7"/>
    <w:rsid w:val="00B63AE8"/>
    <w:rsid w:val="00B65950"/>
    <w:rsid w:val="00B65F7C"/>
    <w:rsid w:val="00B66D83"/>
    <w:rsid w:val="00B672C0"/>
    <w:rsid w:val="00B676FD"/>
    <w:rsid w:val="00B678B6"/>
    <w:rsid w:val="00B67F43"/>
    <w:rsid w:val="00B75646"/>
    <w:rsid w:val="00B7629E"/>
    <w:rsid w:val="00B77914"/>
    <w:rsid w:val="00B77B39"/>
    <w:rsid w:val="00B90729"/>
    <w:rsid w:val="00B907DA"/>
    <w:rsid w:val="00B919B7"/>
    <w:rsid w:val="00B91B07"/>
    <w:rsid w:val="00B91D63"/>
    <w:rsid w:val="00B94A09"/>
    <w:rsid w:val="00B94C5E"/>
    <w:rsid w:val="00B950BC"/>
    <w:rsid w:val="00B9538B"/>
    <w:rsid w:val="00B96B58"/>
    <w:rsid w:val="00B9714C"/>
    <w:rsid w:val="00BA1D4B"/>
    <w:rsid w:val="00BA29AD"/>
    <w:rsid w:val="00BA33CF"/>
    <w:rsid w:val="00BA3F8D"/>
    <w:rsid w:val="00BA465D"/>
    <w:rsid w:val="00BB113E"/>
    <w:rsid w:val="00BB6C63"/>
    <w:rsid w:val="00BB7A10"/>
    <w:rsid w:val="00BB7DA7"/>
    <w:rsid w:val="00BC3608"/>
    <w:rsid w:val="00BC37D9"/>
    <w:rsid w:val="00BC3DF5"/>
    <w:rsid w:val="00BC60BE"/>
    <w:rsid w:val="00BC6FA8"/>
    <w:rsid w:val="00BC7468"/>
    <w:rsid w:val="00BC7D4F"/>
    <w:rsid w:val="00BC7ED7"/>
    <w:rsid w:val="00BD094B"/>
    <w:rsid w:val="00BD2850"/>
    <w:rsid w:val="00BE1123"/>
    <w:rsid w:val="00BE28D2"/>
    <w:rsid w:val="00BE4A64"/>
    <w:rsid w:val="00BE5E43"/>
    <w:rsid w:val="00BE70EF"/>
    <w:rsid w:val="00BF557D"/>
    <w:rsid w:val="00BF658D"/>
    <w:rsid w:val="00BF7C82"/>
    <w:rsid w:val="00BF7F58"/>
    <w:rsid w:val="00C00937"/>
    <w:rsid w:val="00C01003"/>
    <w:rsid w:val="00C01381"/>
    <w:rsid w:val="00C01AB1"/>
    <w:rsid w:val="00C026A0"/>
    <w:rsid w:val="00C06137"/>
    <w:rsid w:val="00C06929"/>
    <w:rsid w:val="00C079B8"/>
    <w:rsid w:val="00C10037"/>
    <w:rsid w:val="00C115E1"/>
    <w:rsid w:val="00C123EA"/>
    <w:rsid w:val="00C12A49"/>
    <w:rsid w:val="00C12B05"/>
    <w:rsid w:val="00C133EE"/>
    <w:rsid w:val="00C136BF"/>
    <w:rsid w:val="00C149D0"/>
    <w:rsid w:val="00C15D95"/>
    <w:rsid w:val="00C161AD"/>
    <w:rsid w:val="00C203A2"/>
    <w:rsid w:val="00C227D0"/>
    <w:rsid w:val="00C26588"/>
    <w:rsid w:val="00C27DE9"/>
    <w:rsid w:val="00C32989"/>
    <w:rsid w:val="00C33388"/>
    <w:rsid w:val="00C35484"/>
    <w:rsid w:val="00C4173A"/>
    <w:rsid w:val="00C44577"/>
    <w:rsid w:val="00C45422"/>
    <w:rsid w:val="00C460F0"/>
    <w:rsid w:val="00C46467"/>
    <w:rsid w:val="00C46847"/>
    <w:rsid w:val="00C473A1"/>
    <w:rsid w:val="00C50DED"/>
    <w:rsid w:val="00C52217"/>
    <w:rsid w:val="00C53DBC"/>
    <w:rsid w:val="00C5485B"/>
    <w:rsid w:val="00C55B57"/>
    <w:rsid w:val="00C57D2A"/>
    <w:rsid w:val="00C602FF"/>
    <w:rsid w:val="00C60411"/>
    <w:rsid w:val="00C61174"/>
    <w:rsid w:val="00C6148F"/>
    <w:rsid w:val="00C6196C"/>
    <w:rsid w:val="00C621B1"/>
    <w:rsid w:val="00C62F7A"/>
    <w:rsid w:val="00C63B9C"/>
    <w:rsid w:val="00C656AF"/>
    <w:rsid w:val="00C6682F"/>
    <w:rsid w:val="00C67BF4"/>
    <w:rsid w:val="00C7275E"/>
    <w:rsid w:val="00C72C48"/>
    <w:rsid w:val="00C731AF"/>
    <w:rsid w:val="00C73898"/>
    <w:rsid w:val="00C74C5D"/>
    <w:rsid w:val="00C75441"/>
    <w:rsid w:val="00C75EF9"/>
    <w:rsid w:val="00C81DB5"/>
    <w:rsid w:val="00C83001"/>
    <w:rsid w:val="00C86338"/>
    <w:rsid w:val="00C863C4"/>
    <w:rsid w:val="00C90DAB"/>
    <w:rsid w:val="00C910DC"/>
    <w:rsid w:val="00C91F83"/>
    <w:rsid w:val="00C920EA"/>
    <w:rsid w:val="00C93204"/>
    <w:rsid w:val="00C93C3E"/>
    <w:rsid w:val="00C94183"/>
    <w:rsid w:val="00C947A6"/>
    <w:rsid w:val="00C9582E"/>
    <w:rsid w:val="00CA12E3"/>
    <w:rsid w:val="00CA1476"/>
    <w:rsid w:val="00CA6611"/>
    <w:rsid w:val="00CA6AE6"/>
    <w:rsid w:val="00CA724C"/>
    <w:rsid w:val="00CA75B3"/>
    <w:rsid w:val="00CA782F"/>
    <w:rsid w:val="00CB187B"/>
    <w:rsid w:val="00CB2835"/>
    <w:rsid w:val="00CB3285"/>
    <w:rsid w:val="00CB4500"/>
    <w:rsid w:val="00CB5EA8"/>
    <w:rsid w:val="00CB5F6C"/>
    <w:rsid w:val="00CC0C72"/>
    <w:rsid w:val="00CC2BFD"/>
    <w:rsid w:val="00CC6F40"/>
    <w:rsid w:val="00CD0ECA"/>
    <w:rsid w:val="00CD1841"/>
    <w:rsid w:val="00CD3476"/>
    <w:rsid w:val="00CD64DF"/>
    <w:rsid w:val="00CD768F"/>
    <w:rsid w:val="00CE225F"/>
    <w:rsid w:val="00CE370C"/>
    <w:rsid w:val="00CE701B"/>
    <w:rsid w:val="00CE7187"/>
    <w:rsid w:val="00CF02BB"/>
    <w:rsid w:val="00CF230C"/>
    <w:rsid w:val="00CF2F50"/>
    <w:rsid w:val="00CF3BFC"/>
    <w:rsid w:val="00CF4A65"/>
    <w:rsid w:val="00CF584C"/>
    <w:rsid w:val="00CF6198"/>
    <w:rsid w:val="00D02919"/>
    <w:rsid w:val="00D04672"/>
    <w:rsid w:val="00D04C61"/>
    <w:rsid w:val="00D05B8D"/>
    <w:rsid w:val="00D05B9B"/>
    <w:rsid w:val="00D065A2"/>
    <w:rsid w:val="00D0666F"/>
    <w:rsid w:val="00D079AA"/>
    <w:rsid w:val="00D07F00"/>
    <w:rsid w:val="00D1130F"/>
    <w:rsid w:val="00D12219"/>
    <w:rsid w:val="00D128A8"/>
    <w:rsid w:val="00D1571F"/>
    <w:rsid w:val="00D17B72"/>
    <w:rsid w:val="00D17E58"/>
    <w:rsid w:val="00D17E8B"/>
    <w:rsid w:val="00D22301"/>
    <w:rsid w:val="00D24BDF"/>
    <w:rsid w:val="00D3185C"/>
    <w:rsid w:val="00D3205F"/>
    <w:rsid w:val="00D3318E"/>
    <w:rsid w:val="00D33E72"/>
    <w:rsid w:val="00D35BD6"/>
    <w:rsid w:val="00D361B5"/>
    <w:rsid w:val="00D411A2"/>
    <w:rsid w:val="00D4606D"/>
    <w:rsid w:val="00D50B9C"/>
    <w:rsid w:val="00D513AF"/>
    <w:rsid w:val="00D525AE"/>
    <w:rsid w:val="00D52D73"/>
    <w:rsid w:val="00D52E58"/>
    <w:rsid w:val="00D56B20"/>
    <w:rsid w:val="00D578B3"/>
    <w:rsid w:val="00D618F4"/>
    <w:rsid w:val="00D63636"/>
    <w:rsid w:val="00D640AD"/>
    <w:rsid w:val="00D64BAD"/>
    <w:rsid w:val="00D7065B"/>
    <w:rsid w:val="00D70BFE"/>
    <w:rsid w:val="00D714CC"/>
    <w:rsid w:val="00D75611"/>
    <w:rsid w:val="00D75AD3"/>
    <w:rsid w:val="00D75EA7"/>
    <w:rsid w:val="00D77252"/>
    <w:rsid w:val="00D80E04"/>
    <w:rsid w:val="00D81ADF"/>
    <w:rsid w:val="00D81F21"/>
    <w:rsid w:val="00D83D06"/>
    <w:rsid w:val="00D864F2"/>
    <w:rsid w:val="00D943F8"/>
    <w:rsid w:val="00D95470"/>
    <w:rsid w:val="00D95F35"/>
    <w:rsid w:val="00D961F4"/>
    <w:rsid w:val="00D96862"/>
    <w:rsid w:val="00D9696A"/>
    <w:rsid w:val="00D96B55"/>
    <w:rsid w:val="00DA20EE"/>
    <w:rsid w:val="00DA2619"/>
    <w:rsid w:val="00DA3DF0"/>
    <w:rsid w:val="00DA4239"/>
    <w:rsid w:val="00DA4932"/>
    <w:rsid w:val="00DA588C"/>
    <w:rsid w:val="00DA5DB2"/>
    <w:rsid w:val="00DA65DE"/>
    <w:rsid w:val="00DB0B61"/>
    <w:rsid w:val="00DB1474"/>
    <w:rsid w:val="00DB2962"/>
    <w:rsid w:val="00DB52FB"/>
    <w:rsid w:val="00DB5C2D"/>
    <w:rsid w:val="00DB6B71"/>
    <w:rsid w:val="00DB6B9F"/>
    <w:rsid w:val="00DC00C1"/>
    <w:rsid w:val="00DC013B"/>
    <w:rsid w:val="00DC090B"/>
    <w:rsid w:val="00DC1679"/>
    <w:rsid w:val="00DC219B"/>
    <w:rsid w:val="00DC2886"/>
    <w:rsid w:val="00DC2CF1"/>
    <w:rsid w:val="00DC2DC7"/>
    <w:rsid w:val="00DC3A7C"/>
    <w:rsid w:val="00DC4FCF"/>
    <w:rsid w:val="00DC50E0"/>
    <w:rsid w:val="00DC5A6A"/>
    <w:rsid w:val="00DC6386"/>
    <w:rsid w:val="00DC6FFA"/>
    <w:rsid w:val="00DD1130"/>
    <w:rsid w:val="00DD1951"/>
    <w:rsid w:val="00DD1E59"/>
    <w:rsid w:val="00DD449A"/>
    <w:rsid w:val="00DD487D"/>
    <w:rsid w:val="00DD4E83"/>
    <w:rsid w:val="00DD6628"/>
    <w:rsid w:val="00DD6945"/>
    <w:rsid w:val="00DD77EC"/>
    <w:rsid w:val="00DE2D04"/>
    <w:rsid w:val="00DE3250"/>
    <w:rsid w:val="00DE514D"/>
    <w:rsid w:val="00DE6028"/>
    <w:rsid w:val="00DE6C85"/>
    <w:rsid w:val="00DE78A3"/>
    <w:rsid w:val="00DF0992"/>
    <w:rsid w:val="00DF1A71"/>
    <w:rsid w:val="00DF50FC"/>
    <w:rsid w:val="00DF68C7"/>
    <w:rsid w:val="00DF731A"/>
    <w:rsid w:val="00E0037E"/>
    <w:rsid w:val="00E04BBB"/>
    <w:rsid w:val="00E05298"/>
    <w:rsid w:val="00E063EA"/>
    <w:rsid w:val="00E06B75"/>
    <w:rsid w:val="00E076D3"/>
    <w:rsid w:val="00E11332"/>
    <w:rsid w:val="00E11352"/>
    <w:rsid w:val="00E11F39"/>
    <w:rsid w:val="00E146A8"/>
    <w:rsid w:val="00E16A91"/>
    <w:rsid w:val="00E170DC"/>
    <w:rsid w:val="00E17546"/>
    <w:rsid w:val="00E209AE"/>
    <w:rsid w:val="00E210B5"/>
    <w:rsid w:val="00E26113"/>
    <w:rsid w:val="00E261B3"/>
    <w:rsid w:val="00E26818"/>
    <w:rsid w:val="00E27FFC"/>
    <w:rsid w:val="00E30B15"/>
    <w:rsid w:val="00E32A43"/>
    <w:rsid w:val="00E32C5A"/>
    <w:rsid w:val="00E33237"/>
    <w:rsid w:val="00E40181"/>
    <w:rsid w:val="00E4069D"/>
    <w:rsid w:val="00E441C2"/>
    <w:rsid w:val="00E54584"/>
    <w:rsid w:val="00E54950"/>
    <w:rsid w:val="00E55FB3"/>
    <w:rsid w:val="00E56499"/>
    <w:rsid w:val="00E56A01"/>
    <w:rsid w:val="00E60701"/>
    <w:rsid w:val="00E629A1"/>
    <w:rsid w:val="00E6470F"/>
    <w:rsid w:val="00E65ED7"/>
    <w:rsid w:val="00E6794C"/>
    <w:rsid w:val="00E71591"/>
    <w:rsid w:val="00E71CEB"/>
    <w:rsid w:val="00E720F7"/>
    <w:rsid w:val="00E7474F"/>
    <w:rsid w:val="00E77CCC"/>
    <w:rsid w:val="00E80DE3"/>
    <w:rsid w:val="00E80F58"/>
    <w:rsid w:val="00E82C55"/>
    <w:rsid w:val="00E8787E"/>
    <w:rsid w:val="00E92229"/>
    <w:rsid w:val="00E92AC3"/>
    <w:rsid w:val="00E9343E"/>
    <w:rsid w:val="00EA048D"/>
    <w:rsid w:val="00EA2E53"/>
    <w:rsid w:val="00EA2F6A"/>
    <w:rsid w:val="00EA7F9F"/>
    <w:rsid w:val="00EB00E0"/>
    <w:rsid w:val="00EB05D5"/>
    <w:rsid w:val="00EB4BC7"/>
    <w:rsid w:val="00EB5137"/>
    <w:rsid w:val="00EB5774"/>
    <w:rsid w:val="00EB65C2"/>
    <w:rsid w:val="00EC059F"/>
    <w:rsid w:val="00EC12D3"/>
    <w:rsid w:val="00EC1DA1"/>
    <w:rsid w:val="00EC1F24"/>
    <w:rsid w:val="00EC22F6"/>
    <w:rsid w:val="00EC270F"/>
    <w:rsid w:val="00EC3DB9"/>
    <w:rsid w:val="00EC42AB"/>
    <w:rsid w:val="00ED4719"/>
    <w:rsid w:val="00ED5B9B"/>
    <w:rsid w:val="00ED6BAD"/>
    <w:rsid w:val="00ED7447"/>
    <w:rsid w:val="00ED7762"/>
    <w:rsid w:val="00EE00D6"/>
    <w:rsid w:val="00EE11E7"/>
    <w:rsid w:val="00EE1488"/>
    <w:rsid w:val="00EE29AD"/>
    <w:rsid w:val="00EE3E24"/>
    <w:rsid w:val="00EE4D5D"/>
    <w:rsid w:val="00EE5131"/>
    <w:rsid w:val="00EE5A71"/>
    <w:rsid w:val="00EE6A3C"/>
    <w:rsid w:val="00EF0A8A"/>
    <w:rsid w:val="00EF109B"/>
    <w:rsid w:val="00EF201C"/>
    <w:rsid w:val="00EF2C72"/>
    <w:rsid w:val="00EF36AF"/>
    <w:rsid w:val="00EF59A3"/>
    <w:rsid w:val="00EF65D3"/>
    <w:rsid w:val="00EF6675"/>
    <w:rsid w:val="00EF7A44"/>
    <w:rsid w:val="00F0063D"/>
    <w:rsid w:val="00F00F9C"/>
    <w:rsid w:val="00F012A8"/>
    <w:rsid w:val="00F01E5F"/>
    <w:rsid w:val="00F024F3"/>
    <w:rsid w:val="00F02ABA"/>
    <w:rsid w:val="00F03E7A"/>
    <w:rsid w:val="00F0437A"/>
    <w:rsid w:val="00F07574"/>
    <w:rsid w:val="00F101B8"/>
    <w:rsid w:val="00F1059C"/>
    <w:rsid w:val="00F11037"/>
    <w:rsid w:val="00F13CE4"/>
    <w:rsid w:val="00F143BF"/>
    <w:rsid w:val="00F14B11"/>
    <w:rsid w:val="00F15144"/>
    <w:rsid w:val="00F16F1B"/>
    <w:rsid w:val="00F174B1"/>
    <w:rsid w:val="00F209A7"/>
    <w:rsid w:val="00F23778"/>
    <w:rsid w:val="00F250A9"/>
    <w:rsid w:val="00F25D7E"/>
    <w:rsid w:val="00F261A9"/>
    <w:rsid w:val="00F267AF"/>
    <w:rsid w:val="00F30FF4"/>
    <w:rsid w:val="00F3122E"/>
    <w:rsid w:val="00F31F15"/>
    <w:rsid w:val="00F32368"/>
    <w:rsid w:val="00F331AD"/>
    <w:rsid w:val="00F344C5"/>
    <w:rsid w:val="00F34B1A"/>
    <w:rsid w:val="00F35287"/>
    <w:rsid w:val="00F36A35"/>
    <w:rsid w:val="00F40A70"/>
    <w:rsid w:val="00F413EB"/>
    <w:rsid w:val="00F43362"/>
    <w:rsid w:val="00F43A37"/>
    <w:rsid w:val="00F45C41"/>
    <w:rsid w:val="00F4641B"/>
    <w:rsid w:val="00F46EB8"/>
    <w:rsid w:val="00F47AF6"/>
    <w:rsid w:val="00F50CD1"/>
    <w:rsid w:val="00F511E4"/>
    <w:rsid w:val="00F51D5A"/>
    <w:rsid w:val="00F52D09"/>
    <w:rsid w:val="00F52E08"/>
    <w:rsid w:val="00F53363"/>
    <w:rsid w:val="00F53A66"/>
    <w:rsid w:val="00F5462D"/>
    <w:rsid w:val="00F55B21"/>
    <w:rsid w:val="00F56EF6"/>
    <w:rsid w:val="00F60082"/>
    <w:rsid w:val="00F61A9F"/>
    <w:rsid w:val="00F61B5F"/>
    <w:rsid w:val="00F64696"/>
    <w:rsid w:val="00F64E4F"/>
    <w:rsid w:val="00F65AA9"/>
    <w:rsid w:val="00F667B8"/>
    <w:rsid w:val="00F6768F"/>
    <w:rsid w:val="00F72C2C"/>
    <w:rsid w:val="00F73795"/>
    <w:rsid w:val="00F73C30"/>
    <w:rsid w:val="00F741F2"/>
    <w:rsid w:val="00F7497A"/>
    <w:rsid w:val="00F76CAB"/>
    <w:rsid w:val="00F772C6"/>
    <w:rsid w:val="00F815B5"/>
    <w:rsid w:val="00F85195"/>
    <w:rsid w:val="00F857D4"/>
    <w:rsid w:val="00F860A1"/>
    <w:rsid w:val="00F868E3"/>
    <w:rsid w:val="00F900B6"/>
    <w:rsid w:val="00F90EC3"/>
    <w:rsid w:val="00F932D7"/>
    <w:rsid w:val="00F938BA"/>
    <w:rsid w:val="00F93AD0"/>
    <w:rsid w:val="00F93F34"/>
    <w:rsid w:val="00F97919"/>
    <w:rsid w:val="00FA230B"/>
    <w:rsid w:val="00FA26A5"/>
    <w:rsid w:val="00FA2C46"/>
    <w:rsid w:val="00FA3525"/>
    <w:rsid w:val="00FA5A53"/>
    <w:rsid w:val="00FA5AA2"/>
    <w:rsid w:val="00FB1F6E"/>
    <w:rsid w:val="00FB4769"/>
    <w:rsid w:val="00FB4CDA"/>
    <w:rsid w:val="00FB4F69"/>
    <w:rsid w:val="00FB6481"/>
    <w:rsid w:val="00FB6D36"/>
    <w:rsid w:val="00FB71B9"/>
    <w:rsid w:val="00FC0965"/>
    <w:rsid w:val="00FC0F81"/>
    <w:rsid w:val="00FC252F"/>
    <w:rsid w:val="00FC395C"/>
    <w:rsid w:val="00FC5E8E"/>
    <w:rsid w:val="00FC69C7"/>
    <w:rsid w:val="00FD0287"/>
    <w:rsid w:val="00FD2EB7"/>
    <w:rsid w:val="00FD3766"/>
    <w:rsid w:val="00FD3D05"/>
    <w:rsid w:val="00FD47C4"/>
    <w:rsid w:val="00FE131A"/>
    <w:rsid w:val="00FE1B86"/>
    <w:rsid w:val="00FE2DCF"/>
    <w:rsid w:val="00FE331E"/>
    <w:rsid w:val="00FE3FA7"/>
    <w:rsid w:val="00FE4081"/>
    <w:rsid w:val="00FF1AEA"/>
    <w:rsid w:val="00FF2A4E"/>
    <w:rsid w:val="00FF2FCE"/>
    <w:rsid w:val="00FF4F7D"/>
    <w:rsid w:val="00FF6A6C"/>
    <w:rsid w:val="00FF6D9D"/>
    <w:rsid w:val="00FF7620"/>
    <w:rsid w:val="00FF7DD5"/>
    <w:rsid w:val="790CC03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0E8FE485-8A8A-4423-8DE7-DFF52674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numPr>
        <w:numId w:val="40"/>
      </w:numPr>
      <w:spacing w:before="520" w:after="240" w:line="480" w:lineRule="atLeast"/>
      <w:ind w:left="432"/>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numPr>
        <w:ilvl w:val="1"/>
        <w:numId w:val="40"/>
      </w:numPr>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numPr>
        <w:ilvl w:val="2"/>
        <w:numId w:val="40"/>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numPr>
        <w:ilvl w:val="3"/>
        <w:numId w:val="40"/>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40"/>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5912D7"/>
    <w:pPr>
      <w:keepNext/>
      <w:keepLines/>
      <w:numPr>
        <w:ilvl w:val="5"/>
        <w:numId w:val="4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912D7"/>
    <w:pPr>
      <w:keepNext/>
      <w:keepLines/>
      <w:numPr>
        <w:ilvl w:val="6"/>
        <w:numId w:val="4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912D7"/>
    <w:pPr>
      <w:keepNext/>
      <w:keepLines/>
      <w:numPr>
        <w:ilvl w:val="7"/>
        <w:numId w:val="40"/>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912D7"/>
    <w:pPr>
      <w:keepNext/>
      <w:keepLines/>
      <w:numPr>
        <w:ilvl w:val="8"/>
        <w:numId w:val="40"/>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Body"/>
    <w:uiPriority w:val="3"/>
    <w:rsid w:val="00F15144"/>
    <w:pPr>
      <w:numPr>
        <w:ilvl w:val="1"/>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customStyle="1" w:styleId="DHHStabletext">
    <w:name w:val="DHHS table text"/>
    <w:uiPriority w:val="3"/>
    <w:rsid w:val="0020445E"/>
    <w:pPr>
      <w:spacing w:before="80" w:after="60"/>
    </w:pPr>
    <w:rPr>
      <w:rFonts w:ascii="Arial" w:hAnsi="Arial"/>
      <w:lang w:eastAsia="en-US"/>
    </w:rPr>
  </w:style>
  <w:style w:type="character" w:customStyle="1" w:styleId="Heading6Char">
    <w:name w:val="Heading 6 Char"/>
    <w:basedOn w:val="DefaultParagraphFont"/>
    <w:link w:val="Heading6"/>
    <w:uiPriority w:val="9"/>
    <w:semiHidden/>
    <w:rsid w:val="005912D7"/>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5912D7"/>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5912D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5912D7"/>
    <w:rPr>
      <w:rFonts w:asciiTheme="majorHAnsi" w:eastAsiaTheme="majorEastAsia" w:hAnsiTheme="majorHAnsi" w:cstheme="majorBidi"/>
      <w:i/>
      <w:iCs/>
      <w:color w:val="272727" w:themeColor="text1" w:themeTint="D8"/>
      <w:sz w:val="21"/>
      <w:szCs w:val="21"/>
      <w:lang w:eastAsia="en-US"/>
    </w:rPr>
  </w:style>
  <w:style w:type="paragraph" w:styleId="NormalWeb">
    <w:name w:val="Normal (Web)"/>
    <w:basedOn w:val="Normal"/>
    <w:uiPriority w:val="99"/>
    <w:semiHidden/>
    <w:unhideWhenUsed/>
    <w:rsid w:val="006E0C64"/>
    <w:pPr>
      <w:spacing w:before="100" w:beforeAutospacing="1" w:after="100" w:afterAutospacing="1" w:line="240" w:lineRule="auto"/>
    </w:pPr>
    <w:rPr>
      <w:rFonts w:ascii="Times New Roman" w:hAnsi="Times New Roman"/>
      <w:sz w:val="24"/>
      <w:szCs w:val="24"/>
      <w:lang w:eastAsia="en-AU"/>
    </w:rPr>
  </w:style>
  <w:style w:type="character" w:customStyle="1" w:styleId="rpl-text-label">
    <w:name w:val="rpl-text-label"/>
    <w:basedOn w:val="DefaultParagraphFont"/>
    <w:rsid w:val="006E0C64"/>
  </w:style>
  <w:style w:type="character" w:customStyle="1" w:styleId="rpl-text-icongroup">
    <w:name w:val="rpl-text-icon__group"/>
    <w:basedOn w:val="DefaultParagraphFont"/>
    <w:rsid w:val="006E0C64"/>
  </w:style>
  <w:style w:type="paragraph" w:customStyle="1" w:styleId="p1">
    <w:name w:val="p1"/>
    <w:basedOn w:val="Normal"/>
    <w:rsid w:val="005F163B"/>
    <w:pPr>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1">
    <w:name w:val="s1"/>
    <w:basedOn w:val="DefaultParagraphFont"/>
    <w:rsid w:val="005F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5592905">
      <w:bodyDiv w:val="1"/>
      <w:marLeft w:val="0"/>
      <w:marRight w:val="0"/>
      <w:marTop w:val="0"/>
      <w:marBottom w:val="0"/>
      <w:divBdr>
        <w:top w:val="none" w:sz="0" w:space="0" w:color="auto"/>
        <w:left w:val="none" w:sz="0" w:space="0" w:color="auto"/>
        <w:bottom w:val="none" w:sz="0" w:space="0" w:color="auto"/>
        <w:right w:val="none" w:sz="0" w:space="0" w:color="auto"/>
      </w:divBdr>
    </w:div>
    <w:div w:id="543953760">
      <w:bodyDiv w:val="1"/>
      <w:marLeft w:val="0"/>
      <w:marRight w:val="0"/>
      <w:marTop w:val="0"/>
      <w:marBottom w:val="0"/>
      <w:divBdr>
        <w:top w:val="none" w:sz="0" w:space="0" w:color="auto"/>
        <w:left w:val="none" w:sz="0" w:space="0" w:color="auto"/>
        <w:bottom w:val="none" w:sz="0" w:space="0" w:color="auto"/>
        <w:right w:val="none" w:sz="0" w:space="0" w:color="auto"/>
      </w:divBdr>
    </w:div>
    <w:div w:id="63021015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2649171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482798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068786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6532098">
      <w:bodyDiv w:val="1"/>
      <w:marLeft w:val="0"/>
      <w:marRight w:val="0"/>
      <w:marTop w:val="0"/>
      <w:marBottom w:val="0"/>
      <w:divBdr>
        <w:top w:val="none" w:sz="0" w:space="0" w:color="auto"/>
        <w:left w:val="none" w:sz="0" w:space="0" w:color="auto"/>
        <w:bottom w:val="none" w:sz="0" w:space="0" w:color="auto"/>
        <w:right w:val="none" w:sz="0" w:space="0" w:color="auto"/>
      </w:divBdr>
      <w:divsChild>
        <w:div w:id="508495162">
          <w:marLeft w:val="0"/>
          <w:marRight w:val="0"/>
          <w:marTop w:val="0"/>
          <w:marBottom w:val="0"/>
          <w:divBdr>
            <w:top w:val="none" w:sz="0" w:space="0" w:color="auto"/>
            <w:left w:val="none" w:sz="0" w:space="0" w:color="auto"/>
            <w:bottom w:val="none" w:sz="0" w:space="0" w:color="auto"/>
            <w:right w:val="none" w:sz="0" w:space="0" w:color="auto"/>
          </w:divBdr>
        </w:div>
        <w:div w:id="1973557168">
          <w:marLeft w:val="0"/>
          <w:marRight w:val="0"/>
          <w:marTop w:val="0"/>
          <w:marBottom w:val="0"/>
          <w:divBdr>
            <w:top w:val="none" w:sz="0" w:space="0" w:color="auto"/>
            <w:left w:val="none" w:sz="0" w:space="0" w:color="auto"/>
            <w:bottom w:val="none" w:sz="0" w:space="0" w:color="auto"/>
            <w:right w:val="none" w:sz="0" w:space="0" w:color="auto"/>
          </w:divBdr>
          <w:divsChild>
            <w:div w:id="303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roviders.dffh.vic.gov.au/public-housing-policy-and-practice-manuals" TargetMode="External"/><Relationship Id="rId26" Type="http://schemas.openxmlformats.org/officeDocument/2006/relationships/hyperlink" Target="http://www.bom.gov.au/ap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mailto:HCC.leadership@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nquiries@homes.vic.gov.au" TargetMode="External"/><Relationship Id="rId25" Type="http://schemas.openxmlformats.org/officeDocument/2006/relationships/hyperlink" Target="http://www.health.vic.gov.au/subscribe" TargetMode="External"/><Relationship Id="rId33" Type="http://schemas.openxmlformats.org/officeDocument/2006/relationships/hyperlink" Target="https://www.betterhealth.vic.gov.au/health/healthyliving/how-to-cope-and-stay-safe-in-extreme-hea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www.health.vic.gov.au/environmental-health/extreme-heat-and-heatwav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mv.vic.gov.au/responsibilities/state-emergency-management-plan-sub-plans/semp-extreme-heat-sub-plan" TargetMode="External"/><Relationship Id="rId32" Type="http://schemas.openxmlformats.org/officeDocument/2006/relationships/hyperlink" Target="http://ewfds.wfds.com.au/ewfds/?th=VHHR&amp;n1=VHHR&amp;n2=VHHR" TargetMode="External"/><Relationship Id="rId37" Type="http://schemas.openxmlformats.org/officeDocument/2006/relationships/hyperlink" Target="https://dhhsvicgovau.sharepoint.com/sites/Publichousingresources/SitePages/Tenancy-management.aspx"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www.bom.gov.au/" TargetMode="External"/><Relationship Id="rId36" Type="http://schemas.openxmlformats.org/officeDocument/2006/relationships/hyperlink" Target="https://dhhsvicgovau.sharepoint.com/sites/Publichousingresources/SitePages/Tenancy-management.aspx"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healthtranslations.vic.gov.au/advanced-search?q=heat&amp;field_node_resource_topic_name=Heat&amp;field_node_organisation_name=Victorian%20Department%20of%20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www.bom.gov.au/" TargetMode="External"/><Relationship Id="rId30" Type="http://schemas.openxmlformats.org/officeDocument/2006/relationships/hyperlink" Target="https://www.emergency.vic.gov.au/respond/" TargetMode="External"/><Relationship Id="rId35" Type="http://schemas.openxmlformats.org/officeDocument/2006/relationships/hyperlink" Target="https://www.betterhealth.vic.gov.au/covid-19/improving-ventilation-stop-spread-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331FCA30F2154CB1D939AE8293BFAF" ma:contentTypeVersion="11" ma:contentTypeDescription="Create a new document." ma:contentTypeScope="" ma:versionID="49a706865bf0f979ac7612c865f34209">
  <xsd:schema xmlns:xsd="http://www.w3.org/2001/XMLSchema" xmlns:xs="http://www.w3.org/2001/XMLSchema" xmlns:p="http://schemas.microsoft.com/office/2006/metadata/properties" xmlns:ns2="42674362-9d98-4819-99f6-ff16a4040d0f" xmlns:ns3="fcac07ac-adcc-47c2-bc80-ef8513efc12f" targetNamespace="http://schemas.microsoft.com/office/2006/metadata/properties" ma:root="true" ma:fieldsID="354cc8616020d3aed12531aa44b3360f" ns2:_="" ns3:_="">
    <xsd:import namespace="42674362-9d98-4819-99f6-ff16a4040d0f"/>
    <xsd:import namespace="fcac07ac-adcc-47c2-bc80-ef8513efc1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74362-9d98-4819-99f6-ff16a4040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c07ac-adcc-47c2-bc80-ef8513efc1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F5D7F-1693-4C70-8FA5-721A8F6AEC32}">
  <ds:schemaRefs>
    <ds:schemaRef ds:uri="http://schemas.microsoft.com/office/2006/metadata/contentType"/>
    <ds:schemaRef ds:uri="http://schemas.microsoft.com/office/2006/metadata/properties/metaAttributes"/>
    <ds:schemaRef ds:uri="http://www.w3.org/2000/xmlns/"/>
    <ds:schemaRef ds:uri="http://www.w3.org/2001/XMLSchema"/>
    <ds:schemaRef ds:uri="42674362-9d98-4819-99f6-ff16a4040d0f"/>
    <ds:schemaRef ds:uri="fcac07ac-adcc-47c2-bc80-ef8513efc12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fcac07ac-adcc-47c2-bc80-ef8513efc12f"/>
    <ds:schemaRef ds:uri="42674362-9d98-4819-99f6-ff16a4040d0f"/>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2190</Words>
  <Characters>16499</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Heat Event Preparedness and Response - Cooler Management Operational Guidelines</vt:lpstr>
    </vt:vector>
  </TitlesOfParts>
  <Company>Victoria State Government, Department of Families, Fairness and Housing</Company>
  <LinksUpToDate>false</LinksUpToDate>
  <CharactersWithSpaces>18652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 Event Preparedness and Response - Cooler Management Operational Guidelines</dc:title>
  <dc:subject>Cooler Place manageet guidelines</dc:subject>
  <dc:creator>Homes Victoria</dc:creator>
  <cp:keywords>Guideline, Cooler places, Emergency management</cp:keywords>
  <cp:revision>6</cp:revision>
  <cp:lastPrinted>2021-01-29T05:27:00Z</cp:lastPrinted>
  <dcterms:created xsi:type="dcterms:W3CDTF">2025-05-01T04:07:00Z</dcterms:created>
  <dcterms:modified xsi:type="dcterms:W3CDTF">2025-05-02T00:46:00Z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0x0101008F331FCA30F2154CB1D939AE8293BFAF</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Report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https://dhhsvicgovau.sharepoint.com/:w:/s/dffh/Ec1sUX29ovVNg1yz-k3q1CIBvxIHfUXXZlqlU8WV6A4LBA</vt:lpwstr>
  </property>
  <property fmtid="{D5CDD505-2E9C-101B-9397-08002B2CF9AE}" pid="21" name="Link">
    <vt:lpwstr>https://dhhsvicgovau.sharepoint.com/:w:/s/dffh/Ec1sUX29ovVNg1yz-k3q1CIBvxIHfUXXZlqlU8WV6A4LBA, https://dhhsvicgovau.sharepoint.com/:w:/s/dffh/Ec1sUX29ovVNg1yz-k3q1CIBvxIHfUXXZlqlU8WV6A4LBA</vt:lpwstr>
  </property>
  <property fmtid="{D5CDD505-2E9C-101B-9397-08002B2CF9AE}" pid="22" name="xd_Signature">
    <vt:bool>false</vt:bool>
  </property>
</Properties>
</file>