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D1B7C" w14:textId="77777777" w:rsidR="0074696E" w:rsidRPr="004C6EEE" w:rsidRDefault="00E2157F" w:rsidP="00AD784C">
      <w:pPr>
        <w:pStyle w:val="Spacerparatopoffirstpage"/>
      </w:pPr>
      <w:r>
        <w:rPr>
          <w:lang w:eastAsia="en-AU"/>
        </w:rPr>
        <w:drawing>
          <wp:anchor distT="0" distB="0" distL="114300" distR="114300" simplePos="0" relativeHeight="251657728" behindDoc="1" locked="1" layoutInCell="0" allowOverlap="1" wp14:anchorId="2C3AC15F" wp14:editId="651916CD">
            <wp:simplePos x="0" y="0"/>
            <wp:positionH relativeFrom="page">
              <wp:posOffset>0</wp:posOffset>
            </wp:positionH>
            <wp:positionV relativeFrom="page">
              <wp:posOffset>0</wp:posOffset>
            </wp:positionV>
            <wp:extent cx="7570470" cy="2075180"/>
            <wp:effectExtent l="0" t="0" r="0" b="1270"/>
            <wp:wrapNone/>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42337"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374B7A07" w14:textId="77777777" w:rsidTr="001C277E">
        <w:trPr>
          <w:trHeight w:val="1247"/>
        </w:trPr>
        <w:tc>
          <w:tcPr>
            <w:tcW w:w="8046" w:type="dxa"/>
            <w:shd w:val="clear" w:color="auto" w:fill="auto"/>
            <w:vAlign w:val="bottom"/>
          </w:tcPr>
          <w:p w14:paraId="70C7AD2D" w14:textId="31D538F5" w:rsidR="00AD784C" w:rsidRPr="00C03B9F" w:rsidRDefault="00E2157F" w:rsidP="002F2711">
            <w:pPr>
              <w:pStyle w:val="DHHSmainheading"/>
            </w:pPr>
            <w:r>
              <w:t xml:space="preserve">Guidelines for </w:t>
            </w:r>
            <w:r w:rsidR="002F2711">
              <w:t>r</w:t>
            </w:r>
            <w:r>
              <w:t xml:space="preserve">egistered </w:t>
            </w:r>
            <w:r w:rsidR="002F2711">
              <w:t>h</w:t>
            </w:r>
            <w:r>
              <w:t xml:space="preserve">ousing </w:t>
            </w:r>
            <w:r w:rsidR="002F2711">
              <w:t>a</w:t>
            </w:r>
            <w:r>
              <w:t>gencies</w:t>
            </w:r>
          </w:p>
        </w:tc>
      </w:tr>
      <w:tr w:rsidR="00AD784C" w14:paraId="29E88A88" w14:textId="77777777" w:rsidTr="00357B4E">
        <w:trPr>
          <w:trHeight w:hRule="exact" w:val="1162"/>
        </w:trPr>
        <w:tc>
          <w:tcPr>
            <w:tcW w:w="8046" w:type="dxa"/>
            <w:shd w:val="clear" w:color="auto" w:fill="auto"/>
            <w:tcMar>
              <w:top w:w="170" w:type="dxa"/>
              <w:bottom w:w="510" w:type="dxa"/>
            </w:tcMar>
          </w:tcPr>
          <w:p w14:paraId="659540EC" w14:textId="77777777" w:rsidR="00357B4E" w:rsidRPr="00C03B9F" w:rsidRDefault="00591F59" w:rsidP="00591F59">
            <w:pPr>
              <w:pStyle w:val="DHHSmainsubheading"/>
            </w:pPr>
            <w:r>
              <w:t>Tenant eligibility and r</w:t>
            </w:r>
            <w:r w:rsidR="00E2157F" w:rsidRPr="00E2157F">
              <w:t>ent setting for properties funded by the Department of Health and Human Services</w:t>
            </w:r>
          </w:p>
        </w:tc>
      </w:tr>
    </w:tbl>
    <w:p w14:paraId="5917535B" w14:textId="77777777" w:rsidR="007173CA" w:rsidRDefault="007173CA" w:rsidP="007173CA">
      <w:pPr>
        <w:pStyle w:val="DHHSbody"/>
      </w:pPr>
    </w:p>
    <w:p w14:paraId="6EE59CA1" w14:textId="77777777"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0" w:name="_Toc440566508"/>
    </w:p>
    <w:p w14:paraId="79B6ACC5" w14:textId="77777777" w:rsidR="002F2711" w:rsidRDefault="002F2711" w:rsidP="002F2711">
      <w:pPr>
        <w:pStyle w:val="Heading1"/>
      </w:pPr>
      <w:r>
        <w:t>Introduction</w:t>
      </w:r>
    </w:p>
    <w:p w14:paraId="700EEB23" w14:textId="77777777" w:rsidR="002F2711" w:rsidRDefault="00A136BA" w:rsidP="002F2711">
      <w:pPr>
        <w:pStyle w:val="DHHSbody"/>
      </w:pPr>
      <w:r>
        <w:t>A key way the Victorian Government offers affordable housing to those unable to afford or access the private housing market is by p</w:t>
      </w:r>
      <w:r w:rsidR="002F2711">
        <w:t>artner</w:t>
      </w:r>
      <w:r>
        <w:t xml:space="preserve">ing </w:t>
      </w:r>
      <w:r w:rsidR="002F2711">
        <w:t xml:space="preserve">with Registered Housing Agencies (RHAs) </w:t>
      </w:r>
      <w:r>
        <w:t>to provide community housing.</w:t>
      </w:r>
    </w:p>
    <w:p w14:paraId="075F9B60" w14:textId="77777777" w:rsidR="002F2711" w:rsidRDefault="002F2711" w:rsidP="002F2711">
      <w:pPr>
        <w:pStyle w:val="DHHSbody"/>
      </w:pPr>
      <w:r>
        <w:t>The Department of Health and Human Services (DHHS) has established policies to ensure that government funds provided to RHAs are targeted to those most in need. Compliance with these policies is generally a written condition of capital grant funding or stock transfer.</w:t>
      </w:r>
    </w:p>
    <w:p w14:paraId="79D85683" w14:textId="77777777" w:rsidR="002F2711" w:rsidRDefault="002F2711" w:rsidP="002F2711">
      <w:pPr>
        <w:pStyle w:val="DHHSbody"/>
      </w:pPr>
      <w:r>
        <w:t xml:space="preserve">This document </w:t>
      </w:r>
      <w:r w:rsidR="00C11FCA">
        <w:t>explains the income limits and eligibility guidelines</w:t>
      </w:r>
      <w:r>
        <w:t xml:space="preserve"> for RHAs that have received capital grant funding or transferred stock from DHHS. RHAs </w:t>
      </w:r>
      <w:r w:rsidR="00591F59">
        <w:t>are</w:t>
      </w:r>
      <w:r>
        <w:t xml:space="preserve"> required to report to the Housing Registrar on compliance with these criteria.</w:t>
      </w:r>
    </w:p>
    <w:p w14:paraId="7B7BD8F8" w14:textId="77777777" w:rsidR="002F2711" w:rsidRDefault="002F2711" w:rsidP="002F2711">
      <w:pPr>
        <w:pStyle w:val="Heading2"/>
      </w:pPr>
      <w:r>
        <w:t>Eligibility</w:t>
      </w:r>
    </w:p>
    <w:p w14:paraId="593FAC2F" w14:textId="77777777" w:rsidR="002F2711" w:rsidRDefault="00A136BA" w:rsidP="002F2711">
      <w:pPr>
        <w:pStyle w:val="DHHSbody"/>
      </w:pPr>
      <w:r>
        <w:t>The i</w:t>
      </w:r>
      <w:r w:rsidR="002F2711">
        <w:t xml:space="preserve">ncome and asset eligibility for </w:t>
      </w:r>
      <w:r w:rsidR="002F2711" w:rsidRPr="002F2711">
        <w:t>community housing funded by DHHS</w:t>
      </w:r>
      <w:r w:rsidR="002F2711">
        <w:t xml:space="preserve"> is</w:t>
      </w:r>
      <w:r>
        <w:t xml:space="preserve"> </w:t>
      </w:r>
      <w:r w:rsidR="005617A7">
        <w:t>outlined</w:t>
      </w:r>
      <w:r>
        <w:t xml:space="preserve"> </w:t>
      </w:r>
      <w:r w:rsidR="003574CC">
        <w:t>can be found at</w:t>
      </w:r>
      <w:r w:rsidR="002F2711">
        <w:t xml:space="preserve"> &lt;</w:t>
      </w:r>
      <w:r w:rsidR="002F2711" w:rsidRPr="00676B75">
        <w:t>http://www.housing.vic.gov.au/social-housing-income-and-asset-limits</w:t>
      </w:r>
      <w:r w:rsidR="002F2711">
        <w:t>&gt;</w:t>
      </w:r>
    </w:p>
    <w:p w14:paraId="7ABD7E48" w14:textId="77777777" w:rsidR="002F2711" w:rsidRDefault="002F2711" w:rsidP="002F2711">
      <w:pPr>
        <w:pStyle w:val="Heading3"/>
      </w:pPr>
      <w:r>
        <w:t>Other eligibility criteria</w:t>
      </w:r>
    </w:p>
    <w:p w14:paraId="52A28FFC" w14:textId="77777777" w:rsidR="002F2711" w:rsidRPr="002F2711" w:rsidRDefault="002F2711" w:rsidP="002F2711">
      <w:pPr>
        <w:pStyle w:val="DHHSbody"/>
      </w:pPr>
      <w:r>
        <w:t xml:space="preserve">RHAs have the discretion to determine their own policy approach </w:t>
      </w:r>
      <w:r w:rsidR="00A136BA">
        <w:t>for</w:t>
      </w:r>
      <w:r>
        <w:t xml:space="preserve"> other eligibility criteria, </w:t>
      </w:r>
      <w:r w:rsidR="00A136BA">
        <w:t>like</w:t>
      </w:r>
      <w:r>
        <w:t xml:space="preserve"> permanent residency and outstanding debts to the Director of Housing.</w:t>
      </w:r>
    </w:p>
    <w:p w14:paraId="417A8BE4" w14:textId="77777777" w:rsidR="00E2157F" w:rsidRPr="00E2157F" w:rsidRDefault="00E2157F" w:rsidP="002F2711">
      <w:pPr>
        <w:pStyle w:val="Heading2"/>
      </w:pPr>
      <w:r w:rsidRPr="00E2157F">
        <w:t>Rent setting and affordability</w:t>
      </w:r>
    </w:p>
    <w:p w14:paraId="15557F66" w14:textId="77777777" w:rsidR="00E2157F" w:rsidRPr="00E2157F" w:rsidRDefault="002F2711" w:rsidP="00E2157F">
      <w:pPr>
        <w:spacing w:after="120" w:line="270" w:lineRule="atLeast"/>
        <w:rPr>
          <w:rFonts w:ascii="Arial" w:eastAsia="Times" w:hAnsi="Arial"/>
        </w:rPr>
      </w:pPr>
      <w:r>
        <w:rPr>
          <w:rFonts w:ascii="Arial" w:eastAsia="Times" w:hAnsi="Arial"/>
        </w:rPr>
        <w:t>RHAs</w:t>
      </w:r>
      <w:r w:rsidR="00E2157F">
        <w:rPr>
          <w:rFonts w:ascii="Arial" w:eastAsia="Times" w:hAnsi="Arial"/>
        </w:rPr>
        <w:t xml:space="preserve"> </w:t>
      </w:r>
      <w:r w:rsidR="00E2157F" w:rsidRPr="00E2157F">
        <w:rPr>
          <w:rFonts w:ascii="Arial" w:eastAsia="Times" w:hAnsi="Arial"/>
        </w:rPr>
        <w:t>are required to set rents which are affordable for tenants while maintaining financial viability.</w:t>
      </w:r>
    </w:p>
    <w:p w14:paraId="0C05302B" w14:textId="77777777" w:rsidR="00E2157F" w:rsidRPr="00E2157F" w:rsidRDefault="00E2157F" w:rsidP="00E2157F">
      <w:pPr>
        <w:spacing w:after="120" w:line="270" w:lineRule="atLeast"/>
        <w:rPr>
          <w:rFonts w:ascii="Arial" w:eastAsia="Times" w:hAnsi="Arial"/>
        </w:rPr>
      </w:pPr>
      <w:r w:rsidRPr="00E2157F">
        <w:rPr>
          <w:rFonts w:ascii="Arial" w:eastAsia="Times" w:hAnsi="Arial"/>
        </w:rPr>
        <w:t>For lower income households, the ‘Net Rent’ charged at the commencement of a tenancy should be set at no more than 30% of gross household income. ‘Net Rent’ is the rent charged</w:t>
      </w:r>
      <w:r w:rsidR="003574CC">
        <w:rPr>
          <w:rFonts w:ascii="Arial" w:eastAsia="Times" w:hAnsi="Arial"/>
        </w:rPr>
        <w:t xml:space="preserve"> to tenants</w:t>
      </w:r>
      <w:r w:rsidRPr="00E2157F">
        <w:rPr>
          <w:rFonts w:ascii="Arial" w:eastAsia="Times" w:hAnsi="Arial"/>
        </w:rPr>
        <w:t xml:space="preserve"> minus Commonwealth Rent Assistance. Details of the 30% limit are outlined in the following table:</w:t>
      </w:r>
    </w:p>
    <w:p w14:paraId="3E15995E" w14:textId="77777777" w:rsidR="00E2157F" w:rsidRPr="00E2157F" w:rsidRDefault="00E2157F" w:rsidP="00E2157F">
      <w:pPr>
        <w:keepNext/>
        <w:keepLines/>
        <w:spacing w:before="240" w:after="120" w:line="240" w:lineRule="atLeast"/>
        <w:rPr>
          <w:rFonts w:ascii="Arial" w:hAnsi="Arial"/>
          <w:b/>
        </w:rPr>
      </w:pPr>
      <w:r w:rsidRPr="00E2157F">
        <w:rPr>
          <w:rFonts w:ascii="Arial" w:hAnsi="Arial"/>
          <w:b/>
        </w:rPr>
        <w:t>Household Income Limits for 30% Net Rent Requirement for tenants of DHHS funded community housing</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E2157F" w:rsidRPr="00E2157F" w14:paraId="34AD88A6" w14:textId="77777777" w:rsidTr="00A91CFD">
        <w:trPr>
          <w:tblHeader/>
        </w:trPr>
        <w:tc>
          <w:tcPr>
            <w:tcW w:w="2552" w:type="dxa"/>
            <w:tcBorders>
              <w:top w:val="nil"/>
              <w:left w:val="nil"/>
              <w:bottom w:val="single" w:sz="4" w:space="0" w:color="auto"/>
            </w:tcBorders>
            <w:shd w:val="clear" w:color="auto" w:fill="auto"/>
          </w:tcPr>
          <w:p w14:paraId="5DA98A61" w14:textId="77777777" w:rsidR="00E2157F" w:rsidRPr="00E2157F" w:rsidRDefault="00E2157F" w:rsidP="00E2157F">
            <w:pPr>
              <w:spacing w:before="80" w:after="60"/>
              <w:rPr>
                <w:rFonts w:ascii="Arial" w:hAnsi="Arial"/>
                <w:b/>
                <w:color w:val="007B4B"/>
              </w:rPr>
            </w:pPr>
          </w:p>
        </w:tc>
        <w:tc>
          <w:tcPr>
            <w:tcW w:w="7655" w:type="dxa"/>
            <w:gridSpan w:val="3"/>
          </w:tcPr>
          <w:p w14:paraId="4C2EA645" w14:textId="77777777" w:rsidR="00E2157F" w:rsidRPr="00E2157F" w:rsidRDefault="00E2157F" w:rsidP="00E2157F">
            <w:pPr>
              <w:spacing w:before="80" w:after="60"/>
              <w:jc w:val="center"/>
              <w:rPr>
                <w:rFonts w:ascii="Arial" w:hAnsi="Arial"/>
                <w:b/>
                <w:color w:val="53565A"/>
              </w:rPr>
            </w:pPr>
            <w:r w:rsidRPr="00E2157F">
              <w:rPr>
                <w:rFonts w:ascii="Arial" w:hAnsi="Arial"/>
                <w:b/>
                <w:color w:val="53565A"/>
              </w:rPr>
              <w:t>Household size</w:t>
            </w:r>
            <w:r w:rsidRPr="00E2157F">
              <w:rPr>
                <w:rFonts w:ascii="Arial" w:hAnsi="Arial"/>
                <w:b/>
                <w:color w:val="53565A"/>
              </w:rPr>
              <w:br/>
            </w:r>
            <w:r w:rsidRPr="00E2157F">
              <w:rPr>
                <w:rFonts w:ascii="Arial" w:hAnsi="Arial"/>
                <w:b/>
                <w:color w:val="53565A"/>
                <w:sz w:val="12"/>
              </w:rPr>
              <w:t>(Includes children of any age)</w:t>
            </w:r>
          </w:p>
        </w:tc>
      </w:tr>
      <w:tr w:rsidR="00E2157F" w:rsidRPr="00E2157F" w14:paraId="7AF2B2CA" w14:textId="77777777" w:rsidTr="00A91CFD">
        <w:trPr>
          <w:tblHeader/>
        </w:trPr>
        <w:tc>
          <w:tcPr>
            <w:tcW w:w="2552" w:type="dxa"/>
            <w:tcBorders>
              <w:bottom w:val="nil"/>
            </w:tcBorders>
            <w:shd w:val="clear" w:color="auto" w:fill="auto"/>
          </w:tcPr>
          <w:p w14:paraId="00600B25" w14:textId="77777777" w:rsidR="00E2157F" w:rsidRPr="00E2157F" w:rsidRDefault="00E2157F" w:rsidP="00E2157F">
            <w:pPr>
              <w:spacing w:before="80" w:after="60"/>
              <w:rPr>
                <w:rFonts w:ascii="Arial" w:hAnsi="Arial"/>
                <w:b/>
                <w:color w:val="53565A"/>
              </w:rPr>
            </w:pPr>
            <w:r w:rsidRPr="00E2157F">
              <w:rPr>
                <w:rFonts w:ascii="Arial" w:hAnsi="Arial"/>
                <w:b/>
                <w:color w:val="53565A"/>
              </w:rPr>
              <w:t>Cut off point for 30% Net Rent** Requirement</w:t>
            </w:r>
          </w:p>
        </w:tc>
        <w:tc>
          <w:tcPr>
            <w:tcW w:w="2552" w:type="dxa"/>
          </w:tcPr>
          <w:p w14:paraId="7F983ED0" w14:textId="77777777" w:rsidR="00E2157F" w:rsidRPr="00E2157F" w:rsidRDefault="00E2157F" w:rsidP="00E2157F">
            <w:pPr>
              <w:spacing w:before="80" w:after="60"/>
              <w:jc w:val="center"/>
              <w:rPr>
                <w:rFonts w:ascii="Arial" w:hAnsi="Arial"/>
                <w:b/>
                <w:color w:val="53565A"/>
              </w:rPr>
            </w:pPr>
            <w:r w:rsidRPr="00E2157F">
              <w:rPr>
                <w:rFonts w:ascii="Arial" w:hAnsi="Arial"/>
                <w:b/>
                <w:color w:val="53565A"/>
              </w:rPr>
              <w:t>1 Person</w:t>
            </w:r>
          </w:p>
        </w:tc>
        <w:tc>
          <w:tcPr>
            <w:tcW w:w="2552" w:type="dxa"/>
            <w:shd w:val="clear" w:color="auto" w:fill="auto"/>
          </w:tcPr>
          <w:p w14:paraId="0EAEB07F" w14:textId="77777777" w:rsidR="00E2157F" w:rsidRPr="00E2157F" w:rsidRDefault="00E2157F" w:rsidP="00E2157F">
            <w:pPr>
              <w:spacing w:before="80" w:after="60"/>
              <w:jc w:val="center"/>
              <w:rPr>
                <w:rFonts w:ascii="Arial" w:hAnsi="Arial"/>
                <w:b/>
                <w:color w:val="53565A"/>
              </w:rPr>
            </w:pPr>
            <w:r w:rsidRPr="00E2157F">
              <w:rPr>
                <w:rFonts w:ascii="Arial" w:hAnsi="Arial"/>
                <w:b/>
                <w:color w:val="53565A"/>
              </w:rPr>
              <w:t>2 Persons</w:t>
            </w:r>
          </w:p>
        </w:tc>
        <w:tc>
          <w:tcPr>
            <w:tcW w:w="2551" w:type="dxa"/>
          </w:tcPr>
          <w:p w14:paraId="5EB5AE75" w14:textId="77777777" w:rsidR="00E2157F" w:rsidRPr="00E2157F" w:rsidRDefault="00E2157F" w:rsidP="00E2157F">
            <w:pPr>
              <w:spacing w:before="80" w:after="60"/>
              <w:jc w:val="center"/>
              <w:rPr>
                <w:rFonts w:ascii="Arial" w:hAnsi="Arial"/>
                <w:b/>
                <w:color w:val="53565A"/>
              </w:rPr>
            </w:pPr>
            <w:r w:rsidRPr="00E2157F">
              <w:rPr>
                <w:rFonts w:ascii="Arial" w:hAnsi="Arial"/>
                <w:b/>
                <w:color w:val="53565A"/>
              </w:rPr>
              <w:t>3+ Persons</w:t>
            </w:r>
          </w:p>
        </w:tc>
      </w:tr>
      <w:tr w:rsidR="00E2157F" w:rsidRPr="00E2157F" w14:paraId="4224F0BC" w14:textId="77777777" w:rsidTr="00A91CFD">
        <w:tc>
          <w:tcPr>
            <w:tcW w:w="2552" w:type="dxa"/>
            <w:tcBorders>
              <w:top w:val="nil"/>
            </w:tcBorders>
            <w:shd w:val="clear" w:color="auto" w:fill="auto"/>
          </w:tcPr>
          <w:p w14:paraId="4BC1EBFD" w14:textId="77777777" w:rsidR="00E2157F" w:rsidRPr="00E2157F" w:rsidRDefault="00E2157F" w:rsidP="00E2157F">
            <w:pPr>
              <w:spacing w:before="80" w:after="60"/>
              <w:rPr>
                <w:rFonts w:ascii="Arial" w:hAnsi="Arial"/>
                <w:b/>
                <w:color w:val="53565A"/>
              </w:rPr>
            </w:pPr>
            <w:r w:rsidRPr="00E2157F">
              <w:rPr>
                <w:rFonts w:ascii="Arial" w:hAnsi="Arial"/>
                <w:b/>
                <w:color w:val="53565A"/>
                <w:sz w:val="14"/>
              </w:rPr>
              <w:t>Tenants earning under these amounts should not pay more than 30% of household income as net rent</w:t>
            </w:r>
          </w:p>
        </w:tc>
        <w:tc>
          <w:tcPr>
            <w:tcW w:w="2552" w:type="dxa"/>
          </w:tcPr>
          <w:p w14:paraId="69872572" w14:textId="77777777" w:rsidR="00E2157F" w:rsidRPr="00E2157F" w:rsidRDefault="00E2157F" w:rsidP="00E2157F">
            <w:pPr>
              <w:spacing w:before="80" w:after="60"/>
              <w:jc w:val="center"/>
              <w:rPr>
                <w:rFonts w:ascii="Arial" w:hAnsi="Arial"/>
              </w:rPr>
            </w:pPr>
            <w:r w:rsidRPr="00E2157F">
              <w:rPr>
                <w:rFonts w:ascii="Arial" w:hAnsi="Arial"/>
              </w:rPr>
              <w:t>$</w:t>
            </w:r>
            <w:r w:rsidR="00E76E7B">
              <w:rPr>
                <w:rFonts w:ascii="Arial" w:hAnsi="Arial"/>
              </w:rPr>
              <w:t>702</w:t>
            </w:r>
            <w:r w:rsidRPr="00E2157F">
              <w:rPr>
                <w:rFonts w:ascii="Arial" w:hAnsi="Arial"/>
              </w:rPr>
              <w:t xml:space="preserve"> gross per week</w:t>
            </w:r>
          </w:p>
          <w:p w14:paraId="00B46CC5" w14:textId="77777777" w:rsidR="00E2157F" w:rsidRPr="00E2157F" w:rsidRDefault="00E2157F" w:rsidP="002F2711">
            <w:pPr>
              <w:spacing w:before="80" w:after="60"/>
              <w:jc w:val="center"/>
              <w:rPr>
                <w:rFonts w:ascii="Arial" w:hAnsi="Arial"/>
              </w:rPr>
            </w:pPr>
            <w:r w:rsidRPr="00E2157F">
              <w:rPr>
                <w:rFonts w:ascii="Arial" w:hAnsi="Arial"/>
                <w:sz w:val="16"/>
              </w:rPr>
              <w:t>($</w:t>
            </w:r>
            <w:r w:rsidR="00E76E7B">
              <w:rPr>
                <w:rFonts w:ascii="Arial" w:hAnsi="Arial"/>
                <w:sz w:val="16"/>
              </w:rPr>
              <w:t>36,586</w:t>
            </w:r>
            <w:r w:rsidRPr="00E2157F">
              <w:rPr>
                <w:rFonts w:ascii="Arial" w:hAnsi="Arial"/>
                <w:sz w:val="16"/>
              </w:rPr>
              <w:t>)</w:t>
            </w:r>
          </w:p>
        </w:tc>
        <w:tc>
          <w:tcPr>
            <w:tcW w:w="2552" w:type="dxa"/>
            <w:shd w:val="clear" w:color="auto" w:fill="auto"/>
          </w:tcPr>
          <w:p w14:paraId="24BD79B1" w14:textId="77777777" w:rsidR="00E2157F" w:rsidRPr="00E2157F" w:rsidRDefault="00E2157F" w:rsidP="00E2157F">
            <w:pPr>
              <w:spacing w:before="80" w:after="60"/>
              <w:jc w:val="center"/>
              <w:rPr>
                <w:rFonts w:ascii="Arial" w:hAnsi="Arial"/>
              </w:rPr>
            </w:pPr>
            <w:r w:rsidRPr="00E2157F">
              <w:rPr>
                <w:rFonts w:ascii="Arial" w:hAnsi="Arial"/>
              </w:rPr>
              <w:t>$</w:t>
            </w:r>
            <w:r w:rsidR="00E76E7B">
              <w:rPr>
                <w:rFonts w:ascii="Arial" w:hAnsi="Arial"/>
              </w:rPr>
              <w:t>1,078</w:t>
            </w:r>
            <w:r w:rsidRPr="00E2157F">
              <w:rPr>
                <w:rFonts w:ascii="Arial" w:hAnsi="Arial"/>
              </w:rPr>
              <w:t xml:space="preserve"> gross per week</w:t>
            </w:r>
          </w:p>
          <w:p w14:paraId="13F230A7" w14:textId="77777777" w:rsidR="00E2157F" w:rsidRPr="00E2157F" w:rsidRDefault="00E2157F" w:rsidP="002F2711">
            <w:pPr>
              <w:spacing w:before="80" w:after="60"/>
              <w:jc w:val="center"/>
              <w:rPr>
                <w:rFonts w:ascii="Arial" w:hAnsi="Arial"/>
              </w:rPr>
            </w:pPr>
            <w:r w:rsidRPr="00E2157F">
              <w:rPr>
                <w:rFonts w:ascii="Arial" w:hAnsi="Arial"/>
                <w:sz w:val="16"/>
              </w:rPr>
              <w:t>($</w:t>
            </w:r>
            <w:r w:rsidR="00E76E7B">
              <w:rPr>
                <w:rFonts w:ascii="Arial" w:hAnsi="Arial"/>
                <w:sz w:val="16"/>
              </w:rPr>
              <w:t>56,200</w:t>
            </w:r>
            <w:r w:rsidRPr="00E2157F">
              <w:rPr>
                <w:rFonts w:ascii="Arial" w:hAnsi="Arial"/>
                <w:sz w:val="16"/>
              </w:rPr>
              <w:t>)</w:t>
            </w:r>
          </w:p>
        </w:tc>
        <w:tc>
          <w:tcPr>
            <w:tcW w:w="2551" w:type="dxa"/>
          </w:tcPr>
          <w:p w14:paraId="4D41423C" w14:textId="77777777" w:rsidR="00E2157F" w:rsidRPr="00E2157F" w:rsidRDefault="00E2157F" w:rsidP="00E2157F">
            <w:pPr>
              <w:spacing w:before="80" w:after="60"/>
              <w:jc w:val="center"/>
              <w:rPr>
                <w:rFonts w:ascii="Arial" w:hAnsi="Arial"/>
              </w:rPr>
            </w:pPr>
            <w:r w:rsidRPr="00E2157F">
              <w:rPr>
                <w:rFonts w:ascii="Arial" w:hAnsi="Arial"/>
              </w:rPr>
              <w:t>$1,</w:t>
            </w:r>
            <w:r w:rsidR="002F2711">
              <w:rPr>
                <w:rFonts w:ascii="Arial" w:hAnsi="Arial"/>
              </w:rPr>
              <w:t>4</w:t>
            </w:r>
            <w:r w:rsidR="00E76E7B">
              <w:rPr>
                <w:rFonts w:ascii="Arial" w:hAnsi="Arial"/>
              </w:rPr>
              <w:t>89</w:t>
            </w:r>
            <w:r w:rsidRPr="00E2157F">
              <w:rPr>
                <w:rFonts w:ascii="Arial" w:hAnsi="Arial"/>
              </w:rPr>
              <w:t xml:space="preserve"> gross per week</w:t>
            </w:r>
          </w:p>
          <w:p w14:paraId="5B96C589" w14:textId="77777777" w:rsidR="00E2157F" w:rsidRPr="00E2157F" w:rsidRDefault="00E2157F" w:rsidP="002F2711">
            <w:pPr>
              <w:spacing w:before="80" w:after="60"/>
              <w:jc w:val="center"/>
              <w:rPr>
                <w:rFonts w:ascii="Arial" w:hAnsi="Arial"/>
              </w:rPr>
            </w:pPr>
            <w:r w:rsidRPr="00E2157F">
              <w:rPr>
                <w:rFonts w:ascii="Arial" w:hAnsi="Arial"/>
                <w:sz w:val="16"/>
              </w:rPr>
              <w:t>($7</w:t>
            </w:r>
            <w:r w:rsidR="00E76E7B">
              <w:rPr>
                <w:rFonts w:ascii="Arial" w:hAnsi="Arial"/>
                <w:sz w:val="16"/>
              </w:rPr>
              <w:t>7</w:t>
            </w:r>
            <w:r w:rsidRPr="00E2157F">
              <w:rPr>
                <w:rFonts w:ascii="Arial" w:hAnsi="Arial"/>
                <w:sz w:val="16"/>
              </w:rPr>
              <w:t>,</w:t>
            </w:r>
            <w:r w:rsidR="00E76E7B">
              <w:rPr>
                <w:rFonts w:ascii="Arial" w:hAnsi="Arial"/>
                <w:sz w:val="16"/>
              </w:rPr>
              <w:t>645</w:t>
            </w:r>
            <w:r w:rsidRPr="00E2157F">
              <w:rPr>
                <w:rFonts w:ascii="Arial" w:hAnsi="Arial"/>
                <w:sz w:val="16"/>
              </w:rPr>
              <w:t>)</w:t>
            </w:r>
          </w:p>
        </w:tc>
      </w:tr>
    </w:tbl>
    <w:p w14:paraId="1E343F94" w14:textId="77777777" w:rsidR="00E2157F" w:rsidRPr="00E2157F" w:rsidRDefault="00E2157F" w:rsidP="00E2157F">
      <w:pPr>
        <w:spacing w:after="120" w:line="270" w:lineRule="atLeast"/>
        <w:rPr>
          <w:rFonts w:ascii="Arial" w:eastAsia="Times" w:hAnsi="Arial"/>
        </w:rPr>
      </w:pPr>
      <w:r w:rsidRPr="00E2157F">
        <w:rPr>
          <w:rFonts w:ascii="Arial" w:hAnsi="Arial"/>
          <w:i/>
          <w:sz w:val="18"/>
        </w:rPr>
        <w:t xml:space="preserve">** Applicable from </w:t>
      </w:r>
      <w:r>
        <w:rPr>
          <w:rFonts w:ascii="Arial" w:hAnsi="Arial"/>
          <w:i/>
          <w:sz w:val="18"/>
        </w:rPr>
        <w:t>1</w:t>
      </w:r>
      <w:r w:rsidRPr="00E2157F">
        <w:rPr>
          <w:rFonts w:ascii="Arial" w:hAnsi="Arial"/>
          <w:i/>
          <w:sz w:val="18"/>
        </w:rPr>
        <w:t xml:space="preserve"> </w:t>
      </w:r>
      <w:r w:rsidR="00E76E7B">
        <w:rPr>
          <w:rFonts w:ascii="Arial" w:hAnsi="Arial"/>
          <w:i/>
          <w:sz w:val="18"/>
        </w:rPr>
        <w:t>October 2019</w:t>
      </w:r>
      <w:r w:rsidRPr="00E2157F">
        <w:rPr>
          <w:rFonts w:ascii="Arial" w:hAnsi="Arial"/>
          <w:i/>
          <w:sz w:val="18"/>
        </w:rPr>
        <w:t>. Gross household income from all sources is used, net of Commonwealth Rent Assistance. Calculations based on the maximum income eligibility limits for Commonwealth Rent Assistance.</w:t>
      </w:r>
    </w:p>
    <w:p w14:paraId="5577DE17" w14:textId="46088FB9" w:rsidR="00E2157F" w:rsidRPr="00E2157F" w:rsidRDefault="00E2157F" w:rsidP="00E2157F">
      <w:pPr>
        <w:spacing w:after="120" w:line="270" w:lineRule="atLeast"/>
        <w:rPr>
          <w:rFonts w:ascii="Arial" w:eastAsia="Times" w:hAnsi="Arial"/>
        </w:rPr>
      </w:pPr>
      <w:r w:rsidRPr="00E2157F">
        <w:rPr>
          <w:rFonts w:ascii="Arial" w:eastAsia="Times" w:hAnsi="Arial"/>
        </w:rPr>
        <w:t>RHAs will be required to report to the Housing Registrar on the rent charged for low income households, and to have hardship provisions in place for</w:t>
      </w:r>
      <w:r w:rsidR="00C71E71">
        <w:rPr>
          <w:rFonts w:ascii="Arial" w:eastAsia="Times" w:hAnsi="Arial"/>
        </w:rPr>
        <w:t xml:space="preserve"> those instances where</w:t>
      </w:r>
      <w:r w:rsidRPr="00E2157F">
        <w:rPr>
          <w:rFonts w:ascii="Arial" w:eastAsia="Times" w:hAnsi="Arial"/>
        </w:rPr>
        <w:t xml:space="preserve"> tenants</w:t>
      </w:r>
      <w:r w:rsidR="00F2305B">
        <w:rPr>
          <w:rFonts w:ascii="Arial" w:eastAsia="Times" w:hAnsi="Arial"/>
        </w:rPr>
        <w:t>’</w:t>
      </w:r>
      <w:r w:rsidRPr="00E2157F">
        <w:rPr>
          <w:rFonts w:ascii="Arial" w:eastAsia="Times" w:hAnsi="Arial"/>
        </w:rPr>
        <w:t xml:space="preserve"> income</w:t>
      </w:r>
      <w:r w:rsidR="00C71E71">
        <w:rPr>
          <w:rFonts w:ascii="Arial" w:eastAsia="Times" w:hAnsi="Arial"/>
        </w:rPr>
        <w:t xml:space="preserve"> reduces</w:t>
      </w:r>
      <w:r w:rsidRPr="00E2157F">
        <w:rPr>
          <w:rFonts w:ascii="Arial" w:eastAsia="Times" w:hAnsi="Arial"/>
        </w:rPr>
        <w:t xml:space="preserve"> significantly.</w:t>
      </w:r>
    </w:p>
    <w:bookmarkEnd w:id="0"/>
    <w:p w14:paraId="72900393" w14:textId="77777777" w:rsidR="002802E3" w:rsidRPr="00591F59" w:rsidRDefault="002802E3" w:rsidP="00591F59">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14B701A6" w14:textId="77777777"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19E61BD6" w14:textId="6030749C" w:rsidR="00254F58" w:rsidRDefault="00254F58" w:rsidP="00770F37">
            <w:pPr>
              <w:pStyle w:val="DHHSaccessibilitypara"/>
            </w:pPr>
            <w:r w:rsidRPr="00254F58">
              <w:t xml:space="preserve">To receive this publication in </w:t>
            </w:r>
            <w:r w:rsidRPr="00770F37">
              <w:t>an</w:t>
            </w:r>
            <w:r w:rsidRPr="00254F58">
              <w:t xml:space="preserve"> accessible format </w:t>
            </w:r>
            <w:r w:rsidRPr="002F2711">
              <w:t xml:space="preserve">phone </w:t>
            </w:r>
            <w:r w:rsidR="00E2157F" w:rsidRPr="002F2711">
              <w:t>1800 128 496</w:t>
            </w:r>
            <w:r w:rsidRPr="002F2711">
              <w:t xml:space="preserve">, using the National Relay Service 13 36 77 if required, or </w:t>
            </w:r>
            <w:hyperlink r:id="rId12" w:history="1">
              <w:r w:rsidRPr="00EE57C8">
                <w:rPr>
                  <w:rStyle w:val="Hyperlink"/>
                </w:rPr>
                <w:t xml:space="preserve">email </w:t>
              </w:r>
              <w:r w:rsidR="00EE57C8" w:rsidRPr="00EE57C8">
                <w:rPr>
                  <w:rStyle w:val="Hyperlink"/>
                </w:rPr>
                <w:t>Victorian Housing Register</w:t>
              </w:r>
            </w:hyperlink>
            <w:r w:rsidR="00EE57C8">
              <w:t xml:space="preserve"> &lt;</w:t>
            </w:r>
            <w:r w:rsidR="00EE57C8" w:rsidRPr="00EE57C8">
              <w:t>victorianhousingregister@dhhs.vic.gov.au</w:t>
            </w:r>
            <w:r w:rsidR="00EE57C8">
              <w:t>&gt;</w:t>
            </w:r>
          </w:p>
          <w:p w14:paraId="2BC696EB" w14:textId="0D442AB8" w:rsidR="002C3972" w:rsidRPr="00254F58" w:rsidRDefault="002C3972" w:rsidP="00770F37">
            <w:pPr>
              <w:pStyle w:val="DHHSaccessibilitypara"/>
            </w:pPr>
            <w:r w:rsidRPr="003B0A5C">
              <w:t xml:space="preserve">ISBN </w:t>
            </w:r>
            <w:r w:rsidR="003B0A5C">
              <w:t>978-1-76069-056-4</w:t>
            </w:r>
          </w:p>
          <w:p w14:paraId="7C98755B" w14:textId="77777777" w:rsidR="00254F58" w:rsidRPr="00254F58" w:rsidRDefault="00254F58" w:rsidP="00254F58">
            <w:pPr>
              <w:pStyle w:val="DHHSbody"/>
            </w:pPr>
            <w:r w:rsidRPr="00254F58">
              <w:t>Authorised and published by the Victorian Governmen</w:t>
            </w:r>
            <w:r w:rsidR="001F3826">
              <w:t>t, 1 Treasury Place, Melbourne.</w:t>
            </w:r>
          </w:p>
          <w:p w14:paraId="7FDB28E7" w14:textId="359BF958"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Pr="00BA3F8D">
              <w:rPr>
                <w:color w:val="008950"/>
              </w:rPr>
              <w:t xml:space="preserve"> </w:t>
            </w:r>
            <w:r w:rsidR="00045024" w:rsidRPr="00045024">
              <w:t xml:space="preserve">October </w:t>
            </w:r>
            <w:r w:rsidR="00E76E7B" w:rsidRPr="00045024">
              <w:t>2019</w:t>
            </w:r>
            <w:r w:rsidR="00F61A9F" w:rsidRPr="00045024">
              <w:t>.</w:t>
            </w:r>
          </w:p>
          <w:p w14:paraId="15BD2812" w14:textId="1FA681FB" w:rsidR="002802E3" w:rsidRPr="00E2157F" w:rsidRDefault="00254F58" w:rsidP="00254F58">
            <w:pPr>
              <w:pStyle w:val="DHHSbody"/>
              <w:rPr>
                <w:szCs w:val="19"/>
              </w:rPr>
            </w:pPr>
            <w:r w:rsidRPr="00254F58">
              <w:rPr>
                <w:szCs w:val="19"/>
              </w:rPr>
              <w:t xml:space="preserve">Available </w:t>
            </w:r>
            <w:r w:rsidR="00561677">
              <w:rPr>
                <w:szCs w:val="19"/>
              </w:rPr>
              <w:t xml:space="preserve">from the </w:t>
            </w:r>
            <w:hyperlink r:id="rId13" w:history="1">
              <w:r w:rsidR="00561677" w:rsidRPr="00561677">
                <w:rPr>
                  <w:rStyle w:val="Hyperlink"/>
                  <w:szCs w:val="19"/>
                </w:rPr>
                <w:t>Rent setting for registered housing agencies</w:t>
              </w:r>
              <w:r w:rsidR="00561677" w:rsidRPr="00561677">
                <w:rPr>
                  <w:rStyle w:val="Hyperlink"/>
                  <w:szCs w:val="19"/>
                </w:rPr>
                <w:t xml:space="preserve"> page</w:t>
              </w:r>
            </w:hyperlink>
            <w:r w:rsidR="00561677">
              <w:rPr>
                <w:szCs w:val="19"/>
              </w:rPr>
              <w:t xml:space="preserve"> on the Providers website &lt;</w:t>
            </w:r>
            <w:r w:rsidR="007C1701" w:rsidRPr="00561677">
              <w:t>https://providers.dhhs.vic.gov.au/rent-setting-registered-housing-agencies</w:t>
            </w:r>
            <w:r w:rsidR="00561677">
              <w:t>&gt;</w:t>
            </w:r>
            <w:bookmarkStart w:id="1" w:name="_GoBack"/>
            <w:bookmarkEnd w:id="1"/>
          </w:p>
        </w:tc>
      </w:tr>
    </w:tbl>
    <w:p w14:paraId="4BC6FF3E" w14:textId="77777777" w:rsidR="00B2752E" w:rsidRPr="00906490" w:rsidRDefault="00B2752E" w:rsidP="00FF6D9D">
      <w:pPr>
        <w:pStyle w:val="DHHSbody"/>
      </w:pPr>
    </w:p>
    <w:sectPr w:rsidR="00B2752E" w:rsidRPr="00906490" w:rsidSect="00E2157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948D1" w14:textId="77777777" w:rsidR="00293080" w:rsidRDefault="00293080">
      <w:r>
        <w:separator/>
      </w:r>
    </w:p>
  </w:endnote>
  <w:endnote w:type="continuationSeparator" w:id="0">
    <w:p w14:paraId="45A978FB" w14:textId="77777777" w:rsidR="00293080" w:rsidRDefault="0029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2CA85" w14:textId="77777777" w:rsidR="009D70A4" w:rsidRPr="00F65AA9" w:rsidRDefault="00E2157F" w:rsidP="0051568D">
    <w:pPr>
      <w:pStyle w:val="DHHSfooter"/>
    </w:pPr>
    <w:r>
      <w:rPr>
        <w:noProof/>
        <w:lang w:eastAsia="en-AU"/>
      </w:rPr>
      <w:drawing>
        <wp:anchor distT="0" distB="0" distL="114300" distR="114300" simplePos="0" relativeHeight="251657728" behindDoc="0" locked="1" layoutInCell="0" allowOverlap="1" wp14:anchorId="514F00DB" wp14:editId="5EE0C0D3">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9C3F" w14:textId="77777777" w:rsidR="009D70A4" w:rsidRPr="00A11421" w:rsidRDefault="00591F59" w:rsidP="00591F59">
    <w:pPr>
      <w:pStyle w:val="DHHSfooter"/>
    </w:pPr>
    <w:r>
      <w:t>Guidelines for registered housing agencies</w:t>
    </w:r>
    <w:r w:rsidR="009D70A4" w:rsidRPr="00A11421">
      <w:tab/>
    </w:r>
    <w:r w:rsidR="009D70A4" w:rsidRPr="00A11421">
      <w:fldChar w:fldCharType="begin"/>
    </w:r>
    <w:r w:rsidR="009D70A4" w:rsidRPr="00A11421">
      <w:instrText xml:space="preserve"> PAGE </w:instrText>
    </w:r>
    <w:r w:rsidR="009D70A4" w:rsidRPr="00A11421">
      <w:fldChar w:fldCharType="separate"/>
    </w:r>
    <w:r w:rsidR="00676B75">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FE995" w14:textId="77777777" w:rsidR="00293080" w:rsidRDefault="00293080" w:rsidP="002862F1">
      <w:pPr>
        <w:spacing w:before="120"/>
      </w:pPr>
      <w:r>
        <w:separator/>
      </w:r>
    </w:p>
  </w:footnote>
  <w:footnote w:type="continuationSeparator" w:id="0">
    <w:p w14:paraId="3CE23143" w14:textId="77777777" w:rsidR="00293080" w:rsidRDefault="0029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8968"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7F"/>
    <w:rsid w:val="000072B6"/>
    <w:rsid w:val="0001021B"/>
    <w:rsid w:val="00011D89"/>
    <w:rsid w:val="00024D89"/>
    <w:rsid w:val="000250B6"/>
    <w:rsid w:val="00033D81"/>
    <w:rsid w:val="00041BF0"/>
    <w:rsid w:val="00045024"/>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5427"/>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080"/>
    <w:rsid w:val="0029597D"/>
    <w:rsid w:val="002962C3"/>
    <w:rsid w:val="0029752B"/>
    <w:rsid w:val="002A483C"/>
    <w:rsid w:val="002B1729"/>
    <w:rsid w:val="002B36C7"/>
    <w:rsid w:val="002B4DD4"/>
    <w:rsid w:val="002B5277"/>
    <w:rsid w:val="002B5375"/>
    <w:rsid w:val="002B77C1"/>
    <w:rsid w:val="002C2728"/>
    <w:rsid w:val="002C3972"/>
    <w:rsid w:val="002D5006"/>
    <w:rsid w:val="002E01D0"/>
    <w:rsid w:val="002E161D"/>
    <w:rsid w:val="002E3100"/>
    <w:rsid w:val="002E6C95"/>
    <w:rsid w:val="002E7C36"/>
    <w:rsid w:val="002F2711"/>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4CC"/>
    <w:rsid w:val="00357B4E"/>
    <w:rsid w:val="003744CF"/>
    <w:rsid w:val="00374717"/>
    <w:rsid w:val="0037676C"/>
    <w:rsid w:val="003829E5"/>
    <w:rsid w:val="003956CC"/>
    <w:rsid w:val="00395C9A"/>
    <w:rsid w:val="003A6B67"/>
    <w:rsid w:val="003B0A5C"/>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35874"/>
    <w:rsid w:val="00442C6C"/>
    <w:rsid w:val="00443CBE"/>
    <w:rsid w:val="00443E8A"/>
    <w:rsid w:val="004441BC"/>
    <w:rsid w:val="004468B4"/>
    <w:rsid w:val="0045230A"/>
    <w:rsid w:val="00457337"/>
    <w:rsid w:val="004577BF"/>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61677"/>
    <w:rsid w:val="005617A7"/>
    <w:rsid w:val="00572031"/>
    <w:rsid w:val="005724C8"/>
    <w:rsid w:val="00576E84"/>
    <w:rsid w:val="00582B8C"/>
    <w:rsid w:val="0058757E"/>
    <w:rsid w:val="00591F59"/>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6B75"/>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1701"/>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1B64"/>
    <w:rsid w:val="008827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62DE"/>
    <w:rsid w:val="00937BD9"/>
    <w:rsid w:val="00950E2C"/>
    <w:rsid w:val="00951D50"/>
    <w:rsid w:val="009525EB"/>
    <w:rsid w:val="00954874"/>
    <w:rsid w:val="00961400"/>
    <w:rsid w:val="00963646"/>
    <w:rsid w:val="009741A8"/>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36BA"/>
    <w:rsid w:val="00A157B1"/>
    <w:rsid w:val="00A22229"/>
    <w:rsid w:val="00A44882"/>
    <w:rsid w:val="00A45778"/>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4F7E"/>
    <w:rsid w:val="00BF7F58"/>
    <w:rsid w:val="00C01381"/>
    <w:rsid w:val="00C03B9F"/>
    <w:rsid w:val="00C079B8"/>
    <w:rsid w:val="00C11FCA"/>
    <w:rsid w:val="00C123EA"/>
    <w:rsid w:val="00C12A49"/>
    <w:rsid w:val="00C133EE"/>
    <w:rsid w:val="00C27DE9"/>
    <w:rsid w:val="00C33388"/>
    <w:rsid w:val="00C35484"/>
    <w:rsid w:val="00C4173A"/>
    <w:rsid w:val="00C602FF"/>
    <w:rsid w:val="00C61174"/>
    <w:rsid w:val="00C6148F"/>
    <w:rsid w:val="00C62F7A"/>
    <w:rsid w:val="00C63B9C"/>
    <w:rsid w:val="00C6682F"/>
    <w:rsid w:val="00C71E71"/>
    <w:rsid w:val="00C7275E"/>
    <w:rsid w:val="00C74C5D"/>
    <w:rsid w:val="00C863C4"/>
    <w:rsid w:val="00C93C3E"/>
    <w:rsid w:val="00CA12E3"/>
    <w:rsid w:val="00CA6611"/>
    <w:rsid w:val="00CA6AE6"/>
    <w:rsid w:val="00CA782F"/>
    <w:rsid w:val="00CB3285"/>
    <w:rsid w:val="00CC0C72"/>
    <w:rsid w:val="00CC2BFD"/>
    <w:rsid w:val="00CD3476"/>
    <w:rsid w:val="00CD64DF"/>
    <w:rsid w:val="00CF2F50"/>
    <w:rsid w:val="00CF3E2A"/>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76BF8"/>
    <w:rsid w:val="00D81F21"/>
    <w:rsid w:val="00D8458A"/>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157F"/>
    <w:rsid w:val="00E26818"/>
    <w:rsid w:val="00E27FFC"/>
    <w:rsid w:val="00E30B15"/>
    <w:rsid w:val="00E40181"/>
    <w:rsid w:val="00E56A01"/>
    <w:rsid w:val="00E629A1"/>
    <w:rsid w:val="00E6794C"/>
    <w:rsid w:val="00E71591"/>
    <w:rsid w:val="00E76E7B"/>
    <w:rsid w:val="00E82C55"/>
    <w:rsid w:val="00E92AC3"/>
    <w:rsid w:val="00EB00E0"/>
    <w:rsid w:val="00EC059F"/>
    <w:rsid w:val="00EC1F24"/>
    <w:rsid w:val="00EC22F6"/>
    <w:rsid w:val="00ED5B9B"/>
    <w:rsid w:val="00ED6BAD"/>
    <w:rsid w:val="00ED7447"/>
    <w:rsid w:val="00EE1488"/>
    <w:rsid w:val="00EE4D5D"/>
    <w:rsid w:val="00EE5131"/>
    <w:rsid w:val="00EE57C8"/>
    <w:rsid w:val="00EF109B"/>
    <w:rsid w:val="00EF36AF"/>
    <w:rsid w:val="00F00F9C"/>
    <w:rsid w:val="00F01E5F"/>
    <w:rsid w:val="00F02ABA"/>
    <w:rsid w:val="00F0437A"/>
    <w:rsid w:val="00F11037"/>
    <w:rsid w:val="00F16F1B"/>
    <w:rsid w:val="00F2305B"/>
    <w:rsid w:val="00F250A9"/>
    <w:rsid w:val="00F30FF4"/>
    <w:rsid w:val="00F3122E"/>
    <w:rsid w:val="00F331AD"/>
    <w:rsid w:val="00F35287"/>
    <w:rsid w:val="00F427F3"/>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B67A6"/>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489BAB1"/>
  <w15:docId w15:val="{7E940668-3A02-44C6-8CDC-1D187851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UnresolvedMention">
    <w:name w:val="Unresolved Mention"/>
    <w:basedOn w:val="DefaultParagraphFont"/>
    <w:uiPriority w:val="99"/>
    <w:semiHidden/>
    <w:unhideWhenUsed/>
    <w:rsid w:val="002C3972"/>
    <w:rPr>
      <w:color w:val="605E5C"/>
      <w:shd w:val="clear" w:color="auto" w:fill="E1DFDD"/>
    </w:rPr>
  </w:style>
  <w:style w:type="character" w:styleId="CommentReference">
    <w:name w:val="annotation reference"/>
    <w:basedOn w:val="DefaultParagraphFont"/>
    <w:uiPriority w:val="99"/>
    <w:semiHidden/>
    <w:unhideWhenUsed/>
    <w:rsid w:val="009741A8"/>
    <w:rPr>
      <w:sz w:val="16"/>
      <w:szCs w:val="16"/>
    </w:rPr>
  </w:style>
  <w:style w:type="paragraph" w:styleId="CommentText">
    <w:name w:val="annotation text"/>
    <w:basedOn w:val="Normal"/>
    <w:link w:val="CommentTextChar"/>
    <w:uiPriority w:val="99"/>
    <w:semiHidden/>
    <w:unhideWhenUsed/>
    <w:rsid w:val="009741A8"/>
  </w:style>
  <w:style w:type="character" w:customStyle="1" w:styleId="CommentTextChar">
    <w:name w:val="Comment Text Char"/>
    <w:basedOn w:val="DefaultParagraphFont"/>
    <w:link w:val="CommentText"/>
    <w:uiPriority w:val="99"/>
    <w:semiHidden/>
    <w:rsid w:val="009741A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741A8"/>
    <w:rPr>
      <w:b/>
      <w:bCs/>
    </w:rPr>
  </w:style>
  <w:style w:type="character" w:customStyle="1" w:styleId="CommentSubjectChar">
    <w:name w:val="Comment Subject Char"/>
    <w:basedOn w:val="CommentTextChar"/>
    <w:link w:val="CommentSubject"/>
    <w:uiPriority w:val="99"/>
    <w:semiHidden/>
    <w:rsid w:val="009741A8"/>
    <w:rPr>
      <w:rFonts w:ascii="Cambria" w:hAnsi="Cambria"/>
      <w:b/>
      <w:bCs/>
      <w:lang w:eastAsia="en-US"/>
    </w:rPr>
  </w:style>
  <w:style w:type="paragraph" w:styleId="BalloonText">
    <w:name w:val="Balloon Text"/>
    <w:basedOn w:val="Normal"/>
    <w:link w:val="BalloonTextChar"/>
    <w:uiPriority w:val="99"/>
    <w:semiHidden/>
    <w:unhideWhenUsed/>
    <w:rsid w:val="00974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A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s.dhhs.vic.gov.au/rent-setting-registered-housing-agencies"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ctorianhousingregister@dhhs.vic.gov.a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Greysc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9D65791-220C-477C-8127-C7007AE61F76}">
  <ds:schemaRefs>
    <ds:schemaRef ds:uri="http://schemas.openxmlformats.org/officeDocument/2006/bibliography"/>
  </ds:schemaRefs>
</ds:datastoreItem>
</file>

<file path=customXml/itemProps2.xml><?xml version="1.0" encoding="utf-8"?>
<ds:datastoreItem xmlns:ds="http://schemas.openxmlformats.org/officeDocument/2006/customXml" ds:itemID="{49914DAD-6D69-459A-81C7-494046BA679F}"/>
</file>

<file path=customXml/itemProps3.xml><?xml version="1.0" encoding="utf-8"?>
<ds:datastoreItem xmlns:ds="http://schemas.openxmlformats.org/officeDocument/2006/customXml" ds:itemID="{80E8ECD6-99DB-43BB-B8E5-685CF4D47133}"/>
</file>

<file path=customXml/itemProps4.xml><?xml version="1.0" encoding="utf-8"?>
<ds:datastoreItem xmlns:ds="http://schemas.openxmlformats.org/officeDocument/2006/customXml" ds:itemID="{4CCA70C0-3219-48B9-81F7-FCBE702D8C16}"/>
</file>

<file path=docProps/app.xml><?xml version="1.0" encoding="utf-8"?>
<Properties xmlns="http://schemas.openxmlformats.org/officeDocument/2006/extended-properties" xmlns:vt="http://schemas.openxmlformats.org/officeDocument/2006/docPropsVTypes">
  <Template>DHHS Factsheet Greyscale.dot</Template>
  <TotalTime>2</TotalTime>
  <Pages>2</Pages>
  <Words>447</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Guidelines for registered housing agencies</vt:lpstr>
    </vt:vector>
  </TitlesOfParts>
  <Company>Department of Health and Human Services</Company>
  <LinksUpToDate>false</LinksUpToDate>
  <CharactersWithSpaces>3236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registered housing agencies</dc:title>
  <dc:subject>Guidelines for registered housing agencies</dc:subject>
  <dc:creator>Sarah Luscombe (DHHS)</dc:creator>
  <cp:keywords>Housing, Rent, Setting, Community Housing</cp:keywords>
  <cp:lastModifiedBy>Sarah Luscombe (DHHS)</cp:lastModifiedBy>
  <cp:revision>3</cp:revision>
  <cp:lastPrinted>2018-06-19T01:49:00Z</cp:lastPrinted>
  <dcterms:created xsi:type="dcterms:W3CDTF">2019-10-23T01:26:00Z</dcterms:created>
  <dcterms:modified xsi:type="dcterms:W3CDTF">2019-10-23T01:28:00Z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