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33DF6721">
            <wp:simplePos x="0" y="0"/>
            <wp:positionH relativeFrom="page">
              <wp:posOffset>0</wp:posOffset>
            </wp:positionH>
            <wp:positionV relativeFrom="page">
              <wp:posOffset>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E90761" w14:paraId="18FF4B0B" w14:textId="77777777" w:rsidTr="00431F42">
        <w:trPr>
          <w:cantSplit/>
        </w:trPr>
        <w:tc>
          <w:tcPr>
            <w:tcW w:w="0" w:type="auto"/>
            <w:tcMar>
              <w:top w:w="0" w:type="dxa"/>
              <w:left w:w="0" w:type="dxa"/>
              <w:right w:w="0" w:type="dxa"/>
            </w:tcMar>
          </w:tcPr>
          <w:p w14:paraId="30E6956D" w14:textId="5D8DE0BD" w:rsidR="00E90761" w:rsidRPr="00431F42" w:rsidRDefault="00E90761" w:rsidP="00E90761">
            <w:pPr>
              <w:pStyle w:val="Documenttitle"/>
            </w:pPr>
            <w:r>
              <w:t>Getting it together</w:t>
            </w:r>
          </w:p>
        </w:tc>
      </w:tr>
      <w:tr w:rsidR="00E90761" w14:paraId="246F9CB0" w14:textId="77777777" w:rsidTr="00431F42">
        <w:trPr>
          <w:cantSplit/>
        </w:trPr>
        <w:tc>
          <w:tcPr>
            <w:tcW w:w="0" w:type="auto"/>
          </w:tcPr>
          <w:p w14:paraId="14EEB3AC" w14:textId="68E0567B" w:rsidR="00E90761" w:rsidRPr="00A1389F" w:rsidRDefault="00E90761" w:rsidP="00E90761">
            <w:pPr>
              <w:pStyle w:val="Documentsubtitle"/>
            </w:pPr>
            <w:r w:rsidRPr="002D71DF">
              <w:t>A guide for individuals, carers, and services on accessing the Multiple and Complex Needs Initiative</w:t>
            </w:r>
            <w:r>
              <w:t xml:space="preserve"> (MACNI)</w:t>
            </w:r>
            <w:r w:rsidRPr="002D71DF">
              <w:t>.</w:t>
            </w:r>
          </w:p>
        </w:tc>
      </w:tr>
      <w:tr w:rsidR="00430393" w14:paraId="2AE57792" w14:textId="77777777" w:rsidTr="00431F42">
        <w:trPr>
          <w:cantSplit/>
        </w:trPr>
        <w:tc>
          <w:tcPr>
            <w:tcW w:w="0" w:type="auto"/>
          </w:tcPr>
          <w:p w14:paraId="68DABF30" w14:textId="77777777" w:rsidR="00430393" w:rsidRDefault="00000000" w:rsidP="00430393">
            <w:pPr>
              <w:pStyle w:val="Bannermarking"/>
            </w:pPr>
            <w:fldSimple w:instr=" FILLIN  &quot;Type the protective marking&quot; \d OFFICIAL \o  \* MERGEFORMAT ">
              <w:r w:rsidR="001A6272">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851" w:left="1304" w:header="680" w:footer="567" w:gutter="0"/>
          <w:cols w:space="34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645F65" w:rsidRPr="00645F65" w14:paraId="66E8E5AC" w14:textId="77777777" w:rsidTr="00E1622B">
        <w:trPr>
          <w:cantSplit/>
          <w:trHeight w:val="7088"/>
        </w:trPr>
        <w:tc>
          <w:tcPr>
            <w:tcW w:w="9288" w:type="dxa"/>
          </w:tcPr>
          <w:p w14:paraId="40F089F2" w14:textId="42A59754" w:rsidR="00645F65" w:rsidRPr="00645F65" w:rsidRDefault="00645F65" w:rsidP="00645F65">
            <w:pPr>
              <w:pStyle w:val="Body"/>
            </w:pPr>
          </w:p>
        </w:tc>
      </w:tr>
      <w:tr w:rsidR="00645F65" w14:paraId="72FECB74" w14:textId="77777777" w:rsidTr="00E1622B">
        <w:trPr>
          <w:cantSplit/>
          <w:trHeight w:val="5103"/>
        </w:trPr>
        <w:tc>
          <w:tcPr>
            <w:tcW w:w="9288" w:type="dxa"/>
            <w:vAlign w:val="bottom"/>
          </w:tcPr>
          <w:p w14:paraId="101439EC" w14:textId="2DCB73C5" w:rsidR="00645F65" w:rsidRDefault="00645F65" w:rsidP="00645F65">
            <w:pPr>
              <w:pStyle w:val="Imprint"/>
            </w:pPr>
          </w:p>
        </w:tc>
      </w:tr>
      <w:tr w:rsidR="00645F65" w14:paraId="4FBEFF9E" w14:textId="77777777" w:rsidTr="00E1622B">
        <w:trPr>
          <w:cantSplit/>
        </w:trPr>
        <w:tc>
          <w:tcPr>
            <w:tcW w:w="9288" w:type="dxa"/>
          </w:tcPr>
          <w:p w14:paraId="33D00E3D" w14:textId="77777777" w:rsidR="00645F65" w:rsidRPr="0055119B" w:rsidRDefault="00645F65" w:rsidP="00E1622B">
            <w:pPr>
              <w:pStyle w:val="Body"/>
            </w:pPr>
          </w:p>
        </w:tc>
      </w:tr>
    </w:tbl>
    <w:p w14:paraId="509243C7" w14:textId="77777777" w:rsidR="00645F65" w:rsidRDefault="00645F65">
      <w:pPr>
        <w:spacing w:after="0" w:line="240" w:lineRule="auto"/>
        <w:rPr>
          <w:rFonts w:eastAsia="Times"/>
          <w:sz w:val="24"/>
          <w:szCs w:val="19"/>
        </w:rPr>
      </w:pPr>
      <w:r>
        <w:br w:type="page"/>
      </w:r>
    </w:p>
    <w:p w14:paraId="6C2632DE" w14:textId="4A5AA0B6" w:rsidR="00CF230C" w:rsidRDefault="00CF230C" w:rsidP="005C2923">
      <w:pPr>
        <w:spacing w:after="0" w:line="240" w:lineRule="auto"/>
        <w:rPr>
          <w:rFonts w:eastAsia="Times"/>
        </w:rPr>
      </w:pP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0DAD78BD" w:rsidR="00431F42" w:rsidRDefault="00E90761" w:rsidP="00431F42">
            <w:pPr>
              <w:pStyle w:val="Documenttitle"/>
            </w:pPr>
            <w:r>
              <w:t>Getting it together</w:t>
            </w:r>
          </w:p>
          <w:p w14:paraId="482C3FE9" w14:textId="6B81385F" w:rsidR="00431F42" w:rsidRDefault="00E90761" w:rsidP="00431F42">
            <w:pPr>
              <w:pStyle w:val="Documentsubtitle"/>
            </w:pPr>
            <w:r w:rsidRPr="002D71DF">
              <w:t>A guide for individuals, carers, and services on accessing the Multiple and Complex Needs Initiative</w:t>
            </w:r>
            <w:r>
              <w:t xml:space="preserve"> (MACNI)</w:t>
            </w:r>
            <w:r w:rsidRPr="002D71DF">
              <w:t>.</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6CB2BDC7" w14:textId="77777777" w:rsidTr="00562507">
        <w:trPr>
          <w:cantSplit/>
          <w:trHeight w:val="7088"/>
        </w:trPr>
        <w:tc>
          <w:tcPr>
            <w:tcW w:w="9288" w:type="dxa"/>
          </w:tcPr>
          <w:p w14:paraId="48A49346" w14:textId="575C9610" w:rsidR="009F2182" w:rsidRPr="006A2717" w:rsidRDefault="009F2182" w:rsidP="001C7128">
            <w:pPr>
              <w:pStyle w:val="Body"/>
              <w:spacing w:before="120"/>
              <w:rPr>
                <w:rFonts w:eastAsia="Times New Roman"/>
                <w:color w:val="87189D"/>
                <w:sz w:val="24"/>
                <w:szCs w:val="24"/>
              </w:rPr>
            </w:pPr>
          </w:p>
        </w:tc>
      </w:tr>
      <w:tr w:rsidR="00B521BD" w14:paraId="2657A1D9" w14:textId="77777777" w:rsidTr="00562507">
        <w:trPr>
          <w:cantSplit/>
          <w:trHeight w:val="5103"/>
        </w:trPr>
        <w:tc>
          <w:tcPr>
            <w:tcW w:w="9288" w:type="dxa"/>
            <w:vAlign w:val="bottom"/>
          </w:tcPr>
          <w:p w14:paraId="112EE620" w14:textId="77777777" w:rsidR="00B521BD" w:rsidRPr="0055119B" w:rsidRDefault="00B521BD" w:rsidP="00B521BD">
            <w:pPr>
              <w:pStyle w:val="Accessibilitypara"/>
            </w:pPr>
            <w:r w:rsidRPr="0055119B">
              <w:t>To receive this document in another format</w:t>
            </w:r>
            <w:r>
              <w:t>,</w:t>
            </w:r>
            <w:r w:rsidRPr="0055119B">
              <w:t xml:space="preserve"> </w:t>
            </w:r>
            <w:hyperlink r:id="rId18" w:history="1">
              <w:r w:rsidRPr="002C3B9A">
                <w:rPr>
                  <w:rStyle w:val="Hyperlink"/>
                </w:rPr>
                <w:t>email Central Complex Needs</w:t>
              </w:r>
            </w:hyperlink>
            <w:r w:rsidRPr="0055119B">
              <w:rPr>
                <w:color w:val="004C97"/>
              </w:rPr>
              <w:t xml:space="preserve"> </w:t>
            </w:r>
            <w:r w:rsidRPr="0055119B">
              <w:t>&lt;</w:t>
            </w:r>
            <w:r>
              <w:t>Central.ComplexNeeds@dffh.vic.gov.au</w:t>
            </w:r>
            <w:r w:rsidRPr="0055119B">
              <w:t>&gt;.</w:t>
            </w:r>
          </w:p>
          <w:p w14:paraId="4F3F1B09" w14:textId="77777777" w:rsidR="00B521BD" w:rsidRPr="0055119B" w:rsidRDefault="00B521BD" w:rsidP="00B521BD">
            <w:pPr>
              <w:pStyle w:val="Imprint"/>
            </w:pPr>
            <w:r w:rsidRPr="0055119B">
              <w:t>Authorised and published by the Victorian Government, 1 Treasury Place, Melbourne.</w:t>
            </w:r>
          </w:p>
          <w:p w14:paraId="42FD1810" w14:textId="77777777" w:rsidR="00B521BD" w:rsidRPr="0055119B" w:rsidRDefault="00B521BD" w:rsidP="00B521BD">
            <w:pPr>
              <w:pStyle w:val="Imprint"/>
            </w:pPr>
            <w:r w:rsidRPr="0055119B">
              <w:t xml:space="preserve">© State of Victoria, Australia, Department </w:t>
            </w:r>
            <w:r w:rsidRPr="001B058F">
              <w:t xml:space="preserve">of </w:t>
            </w:r>
            <w:r>
              <w:t>Families, Fairness and Housing</w:t>
            </w:r>
            <w:r w:rsidRPr="00463BAE">
              <w:t>, August 2023.</w:t>
            </w:r>
          </w:p>
          <w:p w14:paraId="0290F7F5" w14:textId="77777777" w:rsidR="00B521BD" w:rsidRPr="00463BAE" w:rsidRDefault="00B521BD" w:rsidP="00B521BD">
            <w:pPr>
              <w:pStyle w:val="Imprint"/>
            </w:pPr>
            <w:r w:rsidRPr="00463BAE">
              <w:t>Except where otherwise indicated, the images in this document show models and illustrative settings only, and do not necessarily depict actual services, facilities or recipients of services. This document may contain images of deceased Aboriginal and Torres Strait Islander peoples.</w:t>
            </w:r>
          </w:p>
          <w:p w14:paraId="0E8512D3" w14:textId="77777777" w:rsidR="00B521BD" w:rsidRPr="00463BAE" w:rsidRDefault="00B521BD" w:rsidP="00B521BD">
            <w:pPr>
              <w:pStyle w:val="Imprint"/>
            </w:pPr>
            <w:r w:rsidRPr="00463BAE">
              <w:t>In this document, ‘Aboriginal’ refers to both Aboriginal and Torres Strait Islander people. ‘Indigenous’ or ‘Koori/Koorie’ is retained when part of the title of a report, program or quotation.</w:t>
            </w:r>
          </w:p>
          <w:p w14:paraId="222FF190" w14:textId="1FE4693B" w:rsidR="00B521BD" w:rsidRPr="0055119B" w:rsidRDefault="00B521BD" w:rsidP="00B521BD">
            <w:pPr>
              <w:pStyle w:val="Imprint"/>
            </w:pPr>
            <w:r w:rsidRPr="0055119B">
              <w:t xml:space="preserve">ISBN </w:t>
            </w:r>
            <w:r w:rsidR="00D839B1">
              <w:t>978-1-76130</w:t>
            </w:r>
            <w:r w:rsidR="000A3E1A">
              <w:t>-330-2</w:t>
            </w:r>
            <w:r w:rsidRPr="00E33237">
              <w:rPr>
                <w:color w:val="004C97"/>
              </w:rPr>
              <w:t xml:space="preserve"> </w:t>
            </w:r>
            <w:r w:rsidRPr="0055119B">
              <w:t>(online)</w:t>
            </w:r>
          </w:p>
          <w:p w14:paraId="20277F9E" w14:textId="1F8EBCE9" w:rsidR="00B521BD" w:rsidRDefault="00262C0C" w:rsidP="00B521BD">
            <w:pPr>
              <w:pStyle w:val="Imprint"/>
            </w:pPr>
            <w:r w:rsidRPr="0055119B">
              <w:t xml:space="preserve">Available at </w:t>
            </w:r>
            <w:hyperlink r:id="rId19" w:history="1">
              <w:r w:rsidRPr="00D35BE1">
                <w:rPr>
                  <w:rStyle w:val="Hyperlink"/>
                </w:rPr>
                <w:t>Complex Needs Services</w:t>
              </w:r>
            </w:hyperlink>
            <w:r>
              <w:t xml:space="preserve"> &lt;</w:t>
            </w:r>
            <w:r w:rsidRPr="003A0CEF">
              <w:t>https://providers.dhhs.vic.gov.au/multiple-and-complex-needs-initiative</w:t>
            </w:r>
            <w:r>
              <w:rPr>
                <w:rStyle w:val="Hyperlink"/>
                <w:rFonts w:eastAsia="MS Gothic"/>
              </w:rPr>
              <w:t>&gt;</w:t>
            </w:r>
          </w:p>
        </w:tc>
      </w:tr>
      <w:tr w:rsidR="00B521BD" w14:paraId="657B4CC4" w14:textId="77777777" w:rsidTr="0008204A">
        <w:trPr>
          <w:cantSplit/>
        </w:trPr>
        <w:tc>
          <w:tcPr>
            <w:tcW w:w="9288" w:type="dxa"/>
          </w:tcPr>
          <w:p w14:paraId="14002AEC" w14:textId="77777777" w:rsidR="00B521BD" w:rsidRPr="0055119B" w:rsidRDefault="00B521BD" w:rsidP="00B521BD">
            <w:pPr>
              <w:pStyle w:val="Body"/>
            </w:pPr>
          </w:p>
        </w:tc>
      </w:tr>
    </w:tbl>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19400069" w14:textId="13E69442" w:rsidR="00BD2020"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44299816" w:history="1">
        <w:r w:rsidR="00BD2020" w:rsidRPr="001F4CFE">
          <w:rPr>
            <w:rStyle w:val="Hyperlink"/>
          </w:rPr>
          <w:t>What is the Multiple and Complex Needs Initiative?</w:t>
        </w:r>
        <w:r w:rsidR="00BD2020">
          <w:rPr>
            <w:webHidden/>
          </w:rPr>
          <w:tab/>
        </w:r>
        <w:r w:rsidR="00BD2020">
          <w:rPr>
            <w:webHidden/>
          </w:rPr>
          <w:fldChar w:fldCharType="begin"/>
        </w:r>
        <w:r w:rsidR="00BD2020">
          <w:rPr>
            <w:webHidden/>
          </w:rPr>
          <w:instrText xml:space="preserve"> PAGEREF _Toc144299816 \h </w:instrText>
        </w:r>
        <w:r w:rsidR="00BD2020">
          <w:rPr>
            <w:webHidden/>
          </w:rPr>
        </w:r>
        <w:r w:rsidR="00BD2020">
          <w:rPr>
            <w:webHidden/>
          </w:rPr>
          <w:fldChar w:fldCharType="separate"/>
        </w:r>
        <w:r w:rsidR="00105BCE">
          <w:rPr>
            <w:webHidden/>
          </w:rPr>
          <w:t>6</w:t>
        </w:r>
        <w:r w:rsidR="00BD2020">
          <w:rPr>
            <w:webHidden/>
          </w:rPr>
          <w:fldChar w:fldCharType="end"/>
        </w:r>
      </w:hyperlink>
    </w:p>
    <w:p w14:paraId="475C73E4" w14:textId="3247B8E8" w:rsidR="00BD2020" w:rsidRDefault="00000000">
      <w:pPr>
        <w:pStyle w:val="TOC2"/>
        <w:rPr>
          <w:rFonts w:asciiTheme="minorHAnsi" w:eastAsiaTheme="minorEastAsia" w:hAnsiTheme="minorHAnsi" w:cstheme="minorBidi"/>
          <w:sz w:val="22"/>
          <w:szCs w:val="22"/>
          <w:lang w:eastAsia="en-AU"/>
        </w:rPr>
      </w:pPr>
      <w:hyperlink w:anchor="_Toc144299817" w:history="1">
        <w:r w:rsidR="00BD2020" w:rsidRPr="001F4CFE">
          <w:rPr>
            <w:rStyle w:val="Hyperlink"/>
          </w:rPr>
          <w:t>Key elements of MACNI</w:t>
        </w:r>
        <w:r w:rsidR="00BD2020">
          <w:rPr>
            <w:webHidden/>
          </w:rPr>
          <w:tab/>
        </w:r>
        <w:r w:rsidR="00BD2020">
          <w:rPr>
            <w:webHidden/>
          </w:rPr>
          <w:fldChar w:fldCharType="begin"/>
        </w:r>
        <w:r w:rsidR="00BD2020">
          <w:rPr>
            <w:webHidden/>
          </w:rPr>
          <w:instrText xml:space="preserve"> PAGEREF _Toc144299817 \h </w:instrText>
        </w:r>
        <w:r w:rsidR="00BD2020">
          <w:rPr>
            <w:webHidden/>
          </w:rPr>
        </w:r>
        <w:r w:rsidR="00BD2020">
          <w:rPr>
            <w:webHidden/>
          </w:rPr>
          <w:fldChar w:fldCharType="separate"/>
        </w:r>
        <w:r w:rsidR="00105BCE">
          <w:rPr>
            <w:webHidden/>
          </w:rPr>
          <w:t>6</w:t>
        </w:r>
        <w:r w:rsidR="00BD2020">
          <w:rPr>
            <w:webHidden/>
          </w:rPr>
          <w:fldChar w:fldCharType="end"/>
        </w:r>
      </w:hyperlink>
    </w:p>
    <w:p w14:paraId="40D6D110" w14:textId="41ABB86D" w:rsidR="00BD2020" w:rsidRDefault="00000000">
      <w:pPr>
        <w:pStyle w:val="TOC2"/>
        <w:rPr>
          <w:rFonts w:asciiTheme="minorHAnsi" w:eastAsiaTheme="minorEastAsia" w:hAnsiTheme="minorHAnsi" w:cstheme="minorBidi"/>
          <w:sz w:val="22"/>
          <w:szCs w:val="22"/>
          <w:lang w:eastAsia="en-AU"/>
        </w:rPr>
      </w:pPr>
      <w:hyperlink w:anchor="_Toc144299818" w:history="1">
        <w:r w:rsidR="00BD2020" w:rsidRPr="001F4CFE">
          <w:rPr>
            <w:rStyle w:val="Hyperlink"/>
          </w:rPr>
          <w:t>The legislation</w:t>
        </w:r>
        <w:r w:rsidR="00BD2020">
          <w:rPr>
            <w:webHidden/>
          </w:rPr>
          <w:tab/>
        </w:r>
        <w:r w:rsidR="00BD2020">
          <w:rPr>
            <w:webHidden/>
          </w:rPr>
          <w:fldChar w:fldCharType="begin"/>
        </w:r>
        <w:r w:rsidR="00BD2020">
          <w:rPr>
            <w:webHidden/>
          </w:rPr>
          <w:instrText xml:space="preserve"> PAGEREF _Toc144299818 \h </w:instrText>
        </w:r>
        <w:r w:rsidR="00BD2020">
          <w:rPr>
            <w:webHidden/>
          </w:rPr>
        </w:r>
        <w:r w:rsidR="00BD2020">
          <w:rPr>
            <w:webHidden/>
          </w:rPr>
          <w:fldChar w:fldCharType="separate"/>
        </w:r>
        <w:r w:rsidR="00105BCE">
          <w:rPr>
            <w:webHidden/>
          </w:rPr>
          <w:t>6</w:t>
        </w:r>
        <w:r w:rsidR="00BD2020">
          <w:rPr>
            <w:webHidden/>
          </w:rPr>
          <w:fldChar w:fldCharType="end"/>
        </w:r>
      </w:hyperlink>
    </w:p>
    <w:p w14:paraId="0C1F277C" w14:textId="67B94CBB" w:rsidR="00BD2020" w:rsidRDefault="00000000">
      <w:pPr>
        <w:pStyle w:val="TOC1"/>
        <w:rPr>
          <w:rFonts w:asciiTheme="minorHAnsi" w:eastAsiaTheme="minorEastAsia" w:hAnsiTheme="minorHAnsi" w:cstheme="minorBidi"/>
          <w:b w:val="0"/>
          <w:sz w:val="22"/>
          <w:szCs w:val="22"/>
          <w:lang w:eastAsia="en-AU"/>
        </w:rPr>
      </w:pPr>
      <w:hyperlink w:anchor="_Toc144299819" w:history="1">
        <w:r w:rsidR="00BD2020" w:rsidRPr="001F4CFE">
          <w:rPr>
            <w:rStyle w:val="Hyperlink"/>
          </w:rPr>
          <w:t>Eligibility for MACNI</w:t>
        </w:r>
        <w:r w:rsidR="00BD2020">
          <w:rPr>
            <w:webHidden/>
          </w:rPr>
          <w:tab/>
        </w:r>
        <w:r w:rsidR="00BD2020">
          <w:rPr>
            <w:webHidden/>
          </w:rPr>
          <w:fldChar w:fldCharType="begin"/>
        </w:r>
        <w:r w:rsidR="00BD2020">
          <w:rPr>
            <w:webHidden/>
          </w:rPr>
          <w:instrText xml:space="preserve"> PAGEREF _Toc144299819 \h </w:instrText>
        </w:r>
        <w:r w:rsidR="00BD2020">
          <w:rPr>
            <w:webHidden/>
          </w:rPr>
        </w:r>
        <w:r w:rsidR="00BD2020">
          <w:rPr>
            <w:webHidden/>
          </w:rPr>
          <w:fldChar w:fldCharType="separate"/>
        </w:r>
        <w:r w:rsidR="00105BCE">
          <w:rPr>
            <w:webHidden/>
          </w:rPr>
          <w:t>6</w:t>
        </w:r>
        <w:r w:rsidR="00BD2020">
          <w:rPr>
            <w:webHidden/>
          </w:rPr>
          <w:fldChar w:fldCharType="end"/>
        </w:r>
      </w:hyperlink>
    </w:p>
    <w:p w14:paraId="223A7D44" w14:textId="7C5CE519" w:rsidR="00BD2020" w:rsidRDefault="00000000">
      <w:pPr>
        <w:pStyle w:val="TOC1"/>
        <w:rPr>
          <w:rFonts w:asciiTheme="minorHAnsi" w:eastAsiaTheme="minorEastAsia" w:hAnsiTheme="minorHAnsi" w:cstheme="minorBidi"/>
          <w:b w:val="0"/>
          <w:sz w:val="22"/>
          <w:szCs w:val="22"/>
          <w:lang w:eastAsia="en-AU"/>
        </w:rPr>
      </w:pPr>
      <w:hyperlink w:anchor="_Toc144299820" w:history="1">
        <w:r w:rsidR="00BD2020" w:rsidRPr="001F4CFE">
          <w:rPr>
            <w:rStyle w:val="Hyperlink"/>
          </w:rPr>
          <w:t>Who can make referrals?</w:t>
        </w:r>
        <w:r w:rsidR="00BD2020">
          <w:rPr>
            <w:webHidden/>
          </w:rPr>
          <w:tab/>
        </w:r>
        <w:r w:rsidR="00BD2020">
          <w:rPr>
            <w:webHidden/>
          </w:rPr>
          <w:fldChar w:fldCharType="begin"/>
        </w:r>
        <w:r w:rsidR="00BD2020">
          <w:rPr>
            <w:webHidden/>
          </w:rPr>
          <w:instrText xml:space="preserve"> PAGEREF _Toc144299820 \h </w:instrText>
        </w:r>
        <w:r w:rsidR="00BD2020">
          <w:rPr>
            <w:webHidden/>
          </w:rPr>
        </w:r>
        <w:r w:rsidR="00BD2020">
          <w:rPr>
            <w:webHidden/>
          </w:rPr>
          <w:fldChar w:fldCharType="separate"/>
        </w:r>
        <w:r w:rsidR="00105BCE">
          <w:rPr>
            <w:webHidden/>
          </w:rPr>
          <w:t>7</w:t>
        </w:r>
        <w:r w:rsidR="00BD2020">
          <w:rPr>
            <w:webHidden/>
          </w:rPr>
          <w:fldChar w:fldCharType="end"/>
        </w:r>
      </w:hyperlink>
    </w:p>
    <w:p w14:paraId="38E45C8A" w14:textId="0023824F" w:rsidR="00BD2020" w:rsidRDefault="00000000">
      <w:pPr>
        <w:pStyle w:val="TOC1"/>
        <w:rPr>
          <w:rFonts w:asciiTheme="minorHAnsi" w:eastAsiaTheme="minorEastAsia" w:hAnsiTheme="minorHAnsi" w:cstheme="minorBidi"/>
          <w:b w:val="0"/>
          <w:sz w:val="22"/>
          <w:szCs w:val="22"/>
          <w:lang w:eastAsia="en-AU"/>
        </w:rPr>
      </w:pPr>
      <w:hyperlink w:anchor="_Toc144299821" w:history="1">
        <w:r w:rsidR="00BD2020" w:rsidRPr="001F4CFE">
          <w:rPr>
            <w:rStyle w:val="Hyperlink"/>
          </w:rPr>
          <w:t>Operating model</w:t>
        </w:r>
        <w:r w:rsidR="00BD2020">
          <w:rPr>
            <w:webHidden/>
          </w:rPr>
          <w:tab/>
        </w:r>
        <w:r w:rsidR="00BD2020">
          <w:rPr>
            <w:webHidden/>
          </w:rPr>
          <w:fldChar w:fldCharType="begin"/>
        </w:r>
        <w:r w:rsidR="00BD2020">
          <w:rPr>
            <w:webHidden/>
          </w:rPr>
          <w:instrText xml:space="preserve"> PAGEREF _Toc144299821 \h </w:instrText>
        </w:r>
        <w:r w:rsidR="00BD2020">
          <w:rPr>
            <w:webHidden/>
          </w:rPr>
        </w:r>
        <w:r w:rsidR="00BD2020">
          <w:rPr>
            <w:webHidden/>
          </w:rPr>
          <w:fldChar w:fldCharType="separate"/>
        </w:r>
        <w:r w:rsidR="00105BCE">
          <w:rPr>
            <w:webHidden/>
          </w:rPr>
          <w:t>7</w:t>
        </w:r>
        <w:r w:rsidR="00BD2020">
          <w:rPr>
            <w:webHidden/>
          </w:rPr>
          <w:fldChar w:fldCharType="end"/>
        </w:r>
      </w:hyperlink>
    </w:p>
    <w:p w14:paraId="2BBEF4DF" w14:textId="656685C6" w:rsidR="00BD2020" w:rsidRDefault="00000000">
      <w:pPr>
        <w:pStyle w:val="TOC1"/>
        <w:rPr>
          <w:rFonts w:asciiTheme="minorHAnsi" w:eastAsiaTheme="minorEastAsia" w:hAnsiTheme="minorHAnsi" w:cstheme="minorBidi"/>
          <w:b w:val="0"/>
          <w:sz w:val="22"/>
          <w:szCs w:val="22"/>
          <w:lang w:eastAsia="en-AU"/>
        </w:rPr>
      </w:pPr>
      <w:hyperlink w:anchor="_Toc144299822" w:history="1">
        <w:r w:rsidR="00BD2020" w:rsidRPr="001F4CFE">
          <w:rPr>
            <w:rStyle w:val="Hyperlink"/>
          </w:rPr>
          <w:t>How do you access MACNI?</w:t>
        </w:r>
        <w:r w:rsidR="00BD2020">
          <w:rPr>
            <w:webHidden/>
          </w:rPr>
          <w:tab/>
        </w:r>
        <w:r w:rsidR="00BD2020">
          <w:rPr>
            <w:webHidden/>
          </w:rPr>
          <w:fldChar w:fldCharType="begin"/>
        </w:r>
        <w:r w:rsidR="00BD2020">
          <w:rPr>
            <w:webHidden/>
          </w:rPr>
          <w:instrText xml:space="preserve"> PAGEREF _Toc144299822 \h </w:instrText>
        </w:r>
        <w:r w:rsidR="00BD2020">
          <w:rPr>
            <w:webHidden/>
          </w:rPr>
        </w:r>
        <w:r w:rsidR="00BD2020">
          <w:rPr>
            <w:webHidden/>
          </w:rPr>
          <w:fldChar w:fldCharType="separate"/>
        </w:r>
        <w:r w:rsidR="00105BCE">
          <w:rPr>
            <w:webHidden/>
          </w:rPr>
          <w:t>8</w:t>
        </w:r>
        <w:r w:rsidR="00BD2020">
          <w:rPr>
            <w:webHidden/>
          </w:rPr>
          <w:fldChar w:fldCharType="end"/>
        </w:r>
      </w:hyperlink>
    </w:p>
    <w:p w14:paraId="57C4E793" w14:textId="545A3A99" w:rsidR="00BD2020" w:rsidRDefault="00000000">
      <w:pPr>
        <w:pStyle w:val="TOC1"/>
        <w:rPr>
          <w:rFonts w:asciiTheme="minorHAnsi" w:eastAsiaTheme="minorEastAsia" w:hAnsiTheme="minorHAnsi" w:cstheme="minorBidi"/>
          <w:b w:val="0"/>
          <w:sz w:val="22"/>
          <w:szCs w:val="22"/>
          <w:lang w:eastAsia="en-AU"/>
        </w:rPr>
      </w:pPr>
      <w:hyperlink w:anchor="_Toc144299823" w:history="1">
        <w:r w:rsidR="00BD2020" w:rsidRPr="001F4CFE">
          <w:rPr>
            <w:rStyle w:val="Hyperlink"/>
          </w:rPr>
          <w:t>Complex Needs Coordinators</w:t>
        </w:r>
        <w:r w:rsidR="00BD2020">
          <w:rPr>
            <w:webHidden/>
          </w:rPr>
          <w:tab/>
        </w:r>
        <w:r w:rsidR="00BD2020">
          <w:rPr>
            <w:webHidden/>
          </w:rPr>
          <w:fldChar w:fldCharType="begin"/>
        </w:r>
        <w:r w:rsidR="00BD2020">
          <w:rPr>
            <w:webHidden/>
          </w:rPr>
          <w:instrText xml:space="preserve"> PAGEREF _Toc144299823 \h </w:instrText>
        </w:r>
        <w:r w:rsidR="00BD2020">
          <w:rPr>
            <w:webHidden/>
          </w:rPr>
        </w:r>
        <w:r w:rsidR="00BD2020">
          <w:rPr>
            <w:webHidden/>
          </w:rPr>
          <w:fldChar w:fldCharType="separate"/>
        </w:r>
        <w:r w:rsidR="00105BCE">
          <w:rPr>
            <w:webHidden/>
          </w:rPr>
          <w:t>8</w:t>
        </w:r>
        <w:r w:rsidR="00BD2020">
          <w:rPr>
            <w:webHidden/>
          </w:rPr>
          <w:fldChar w:fldCharType="end"/>
        </w:r>
      </w:hyperlink>
    </w:p>
    <w:p w14:paraId="37F4E711" w14:textId="6380DF37" w:rsidR="00BD2020" w:rsidRDefault="00000000">
      <w:pPr>
        <w:pStyle w:val="TOC1"/>
        <w:rPr>
          <w:rFonts w:asciiTheme="minorHAnsi" w:eastAsiaTheme="minorEastAsia" w:hAnsiTheme="minorHAnsi" w:cstheme="minorBidi"/>
          <w:b w:val="0"/>
          <w:sz w:val="22"/>
          <w:szCs w:val="22"/>
          <w:lang w:eastAsia="en-AU"/>
        </w:rPr>
      </w:pPr>
      <w:hyperlink w:anchor="_Toc144299824" w:history="1">
        <w:r w:rsidR="00BD2020" w:rsidRPr="001F4CFE">
          <w:rPr>
            <w:rStyle w:val="Hyperlink"/>
          </w:rPr>
          <w:t>Intake</w:t>
        </w:r>
        <w:r w:rsidR="00BD2020">
          <w:rPr>
            <w:webHidden/>
          </w:rPr>
          <w:tab/>
        </w:r>
        <w:r w:rsidR="00BD2020">
          <w:rPr>
            <w:webHidden/>
          </w:rPr>
          <w:fldChar w:fldCharType="begin"/>
        </w:r>
        <w:r w:rsidR="00BD2020">
          <w:rPr>
            <w:webHidden/>
          </w:rPr>
          <w:instrText xml:space="preserve"> PAGEREF _Toc144299824 \h </w:instrText>
        </w:r>
        <w:r w:rsidR="00BD2020">
          <w:rPr>
            <w:webHidden/>
          </w:rPr>
        </w:r>
        <w:r w:rsidR="00BD2020">
          <w:rPr>
            <w:webHidden/>
          </w:rPr>
          <w:fldChar w:fldCharType="separate"/>
        </w:r>
        <w:r w:rsidR="00105BCE">
          <w:rPr>
            <w:webHidden/>
          </w:rPr>
          <w:t>8</w:t>
        </w:r>
        <w:r w:rsidR="00BD2020">
          <w:rPr>
            <w:webHidden/>
          </w:rPr>
          <w:fldChar w:fldCharType="end"/>
        </w:r>
      </w:hyperlink>
    </w:p>
    <w:p w14:paraId="495149E5" w14:textId="3D394C1C" w:rsidR="00BD2020" w:rsidRDefault="00000000">
      <w:pPr>
        <w:pStyle w:val="TOC1"/>
        <w:rPr>
          <w:rFonts w:asciiTheme="minorHAnsi" w:eastAsiaTheme="minorEastAsia" w:hAnsiTheme="minorHAnsi" w:cstheme="minorBidi"/>
          <w:b w:val="0"/>
          <w:sz w:val="22"/>
          <w:szCs w:val="22"/>
          <w:lang w:eastAsia="en-AU"/>
        </w:rPr>
      </w:pPr>
      <w:hyperlink w:anchor="_Toc144299825" w:history="1">
        <w:r w:rsidR="00BD2020" w:rsidRPr="001F4CFE">
          <w:rPr>
            <w:rStyle w:val="Hyperlink"/>
          </w:rPr>
          <w:t>Referral and eligibility</w:t>
        </w:r>
        <w:r w:rsidR="00BD2020">
          <w:rPr>
            <w:webHidden/>
          </w:rPr>
          <w:tab/>
        </w:r>
        <w:r w:rsidR="00BD2020">
          <w:rPr>
            <w:webHidden/>
          </w:rPr>
          <w:fldChar w:fldCharType="begin"/>
        </w:r>
        <w:r w:rsidR="00BD2020">
          <w:rPr>
            <w:webHidden/>
          </w:rPr>
          <w:instrText xml:space="preserve"> PAGEREF _Toc144299825 \h </w:instrText>
        </w:r>
        <w:r w:rsidR="00BD2020">
          <w:rPr>
            <w:webHidden/>
          </w:rPr>
        </w:r>
        <w:r w:rsidR="00BD2020">
          <w:rPr>
            <w:webHidden/>
          </w:rPr>
          <w:fldChar w:fldCharType="separate"/>
        </w:r>
        <w:r w:rsidR="00105BCE">
          <w:rPr>
            <w:webHidden/>
          </w:rPr>
          <w:t>9</w:t>
        </w:r>
        <w:r w:rsidR="00BD2020">
          <w:rPr>
            <w:webHidden/>
          </w:rPr>
          <w:fldChar w:fldCharType="end"/>
        </w:r>
      </w:hyperlink>
    </w:p>
    <w:p w14:paraId="4E8CC469" w14:textId="0C83BCBB" w:rsidR="00BD2020" w:rsidRDefault="00000000">
      <w:pPr>
        <w:pStyle w:val="TOC1"/>
        <w:rPr>
          <w:rFonts w:asciiTheme="minorHAnsi" w:eastAsiaTheme="minorEastAsia" w:hAnsiTheme="minorHAnsi" w:cstheme="minorBidi"/>
          <w:b w:val="0"/>
          <w:sz w:val="22"/>
          <w:szCs w:val="22"/>
          <w:lang w:eastAsia="en-AU"/>
        </w:rPr>
      </w:pPr>
      <w:hyperlink w:anchor="_Toc144299826" w:history="1">
        <w:r w:rsidR="00BD2020" w:rsidRPr="001F4CFE">
          <w:rPr>
            <w:rStyle w:val="Hyperlink"/>
          </w:rPr>
          <w:t>Consultation</w:t>
        </w:r>
        <w:r w:rsidR="00BD2020">
          <w:rPr>
            <w:webHidden/>
          </w:rPr>
          <w:tab/>
        </w:r>
        <w:r w:rsidR="00BD2020">
          <w:rPr>
            <w:webHidden/>
          </w:rPr>
          <w:fldChar w:fldCharType="begin"/>
        </w:r>
        <w:r w:rsidR="00BD2020">
          <w:rPr>
            <w:webHidden/>
          </w:rPr>
          <w:instrText xml:space="preserve"> PAGEREF _Toc144299826 \h </w:instrText>
        </w:r>
        <w:r w:rsidR="00BD2020">
          <w:rPr>
            <w:webHidden/>
          </w:rPr>
        </w:r>
        <w:r w:rsidR="00BD2020">
          <w:rPr>
            <w:webHidden/>
          </w:rPr>
          <w:fldChar w:fldCharType="separate"/>
        </w:r>
        <w:r w:rsidR="00105BCE">
          <w:rPr>
            <w:webHidden/>
          </w:rPr>
          <w:t>9</w:t>
        </w:r>
        <w:r w:rsidR="00BD2020">
          <w:rPr>
            <w:webHidden/>
          </w:rPr>
          <w:fldChar w:fldCharType="end"/>
        </w:r>
      </w:hyperlink>
    </w:p>
    <w:p w14:paraId="0957D168" w14:textId="5BAFB4CD" w:rsidR="00BD2020" w:rsidRDefault="00000000">
      <w:pPr>
        <w:pStyle w:val="TOC1"/>
        <w:rPr>
          <w:rFonts w:asciiTheme="minorHAnsi" w:eastAsiaTheme="minorEastAsia" w:hAnsiTheme="minorHAnsi" w:cstheme="minorBidi"/>
          <w:b w:val="0"/>
          <w:sz w:val="22"/>
          <w:szCs w:val="22"/>
          <w:lang w:eastAsia="en-AU"/>
        </w:rPr>
      </w:pPr>
      <w:hyperlink w:anchor="_Toc144299827" w:history="1">
        <w:r w:rsidR="00BD2020" w:rsidRPr="001F4CFE">
          <w:rPr>
            <w:rStyle w:val="Hyperlink"/>
          </w:rPr>
          <w:t>Pre-MACNI</w:t>
        </w:r>
        <w:r w:rsidR="00BD2020">
          <w:rPr>
            <w:webHidden/>
          </w:rPr>
          <w:tab/>
        </w:r>
        <w:r w:rsidR="00BD2020">
          <w:rPr>
            <w:webHidden/>
          </w:rPr>
          <w:fldChar w:fldCharType="begin"/>
        </w:r>
        <w:r w:rsidR="00BD2020">
          <w:rPr>
            <w:webHidden/>
          </w:rPr>
          <w:instrText xml:space="preserve"> PAGEREF _Toc144299827 \h </w:instrText>
        </w:r>
        <w:r w:rsidR="00BD2020">
          <w:rPr>
            <w:webHidden/>
          </w:rPr>
        </w:r>
        <w:r w:rsidR="00BD2020">
          <w:rPr>
            <w:webHidden/>
          </w:rPr>
          <w:fldChar w:fldCharType="separate"/>
        </w:r>
        <w:r w:rsidR="00105BCE">
          <w:rPr>
            <w:webHidden/>
          </w:rPr>
          <w:t>10</w:t>
        </w:r>
        <w:r w:rsidR="00BD2020">
          <w:rPr>
            <w:webHidden/>
          </w:rPr>
          <w:fldChar w:fldCharType="end"/>
        </w:r>
      </w:hyperlink>
    </w:p>
    <w:p w14:paraId="09092D6B" w14:textId="73E11C2E" w:rsidR="00BD2020" w:rsidRDefault="00000000">
      <w:pPr>
        <w:pStyle w:val="TOC1"/>
        <w:rPr>
          <w:rFonts w:asciiTheme="minorHAnsi" w:eastAsiaTheme="minorEastAsia" w:hAnsiTheme="minorHAnsi" w:cstheme="minorBidi"/>
          <w:b w:val="0"/>
          <w:sz w:val="22"/>
          <w:szCs w:val="22"/>
          <w:lang w:eastAsia="en-AU"/>
        </w:rPr>
      </w:pPr>
      <w:hyperlink w:anchor="_Toc144299828" w:history="1">
        <w:r w:rsidR="00BD2020" w:rsidRPr="001F4CFE">
          <w:rPr>
            <w:rStyle w:val="Hyperlink"/>
          </w:rPr>
          <w:t>Making a referral to formal MACNI</w:t>
        </w:r>
        <w:r w:rsidR="00BD2020">
          <w:rPr>
            <w:webHidden/>
          </w:rPr>
          <w:tab/>
        </w:r>
        <w:r w:rsidR="00BD2020">
          <w:rPr>
            <w:webHidden/>
          </w:rPr>
          <w:fldChar w:fldCharType="begin"/>
        </w:r>
        <w:r w:rsidR="00BD2020">
          <w:rPr>
            <w:webHidden/>
          </w:rPr>
          <w:instrText xml:space="preserve"> PAGEREF _Toc144299828 \h </w:instrText>
        </w:r>
        <w:r w:rsidR="00BD2020">
          <w:rPr>
            <w:webHidden/>
          </w:rPr>
        </w:r>
        <w:r w:rsidR="00BD2020">
          <w:rPr>
            <w:webHidden/>
          </w:rPr>
          <w:fldChar w:fldCharType="separate"/>
        </w:r>
        <w:r w:rsidR="00105BCE">
          <w:rPr>
            <w:webHidden/>
          </w:rPr>
          <w:t>10</w:t>
        </w:r>
        <w:r w:rsidR="00BD2020">
          <w:rPr>
            <w:webHidden/>
          </w:rPr>
          <w:fldChar w:fldCharType="end"/>
        </w:r>
      </w:hyperlink>
    </w:p>
    <w:p w14:paraId="402022E9" w14:textId="725164EE" w:rsidR="00BD2020" w:rsidRDefault="00000000">
      <w:pPr>
        <w:pStyle w:val="TOC1"/>
        <w:rPr>
          <w:rFonts w:asciiTheme="minorHAnsi" w:eastAsiaTheme="minorEastAsia" w:hAnsiTheme="minorHAnsi" w:cstheme="minorBidi"/>
          <w:b w:val="0"/>
          <w:sz w:val="22"/>
          <w:szCs w:val="22"/>
          <w:lang w:eastAsia="en-AU"/>
        </w:rPr>
      </w:pPr>
      <w:hyperlink w:anchor="_Toc144299829" w:history="1">
        <w:r w:rsidR="00BD2020" w:rsidRPr="001F4CFE">
          <w:rPr>
            <w:rStyle w:val="Hyperlink"/>
          </w:rPr>
          <w:t>Complex Needs Panels</w:t>
        </w:r>
        <w:r w:rsidR="00BD2020">
          <w:rPr>
            <w:webHidden/>
          </w:rPr>
          <w:tab/>
        </w:r>
        <w:r w:rsidR="00BD2020">
          <w:rPr>
            <w:webHidden/>
          </w:rPr>
          <w:fldChar w:fldCharType="begin"/>
        </w:r>
        <w:r w:rsidR="00BD2020">
          <w:rPr>
            <w:webHidden/>
          </w:rPr>
          <w:instrText xml:space="preserve"> PAGEREF _Toc144299829 \h </w:instrText>
        </w:r>
        <w:r w:rsidR="00BD2020">
          <w:rPr>
            <w:webHidden/>
          </w:rPr>
        </w:r>
        <w:r w:rsidR="00BD2020">
          <w:rPr>
            <w:webHidden/>
          </w:rPr>
          <w:fldChar w:fldCharType="separate"/>
        </w:r>
        <w:r w:rsidR="00105BCE">
          <w:rPr>
            <w:webHidden/>
          </w:rPr>
          <w:t>10</w:t>
        </w:r>
        <w:r w:rsidR="00BD2020">
          <w:rPr>
            <w:webHidden/>
          </w:rPr>
          <w:fldChar w:fldCharType="end"/>
        </w:r>
      </w:hyperlink>
    </w:p>
    <w:p w14:paraId="2BE81199" w14:textId="28EE3B8A" w:rsidR="00BD2020" w:rsidRDefault="00000000">
      <w:pPr>
        <w:pStyle w:val="TOC2"/>
        <w:rPr>
          <w:rFonts w:asciiTheme="minorHAnsi" w:eastAsiaTheme="minorEastAsia" w:hAnsiTheme="minorHAnsi" w:cstheme="minorBidi"/>
          <w:sz w:val="22"/>
          <w:szCs w:val="22"/>
          <w:lang w:eastAsia="en-AU"/>
        </w:rPr>
      </w:pPr>
      <w:hyperlink w:anchor="_Toc144299830" w:history="1">
        <w:r w:rsidR="00BD2020" w:rsidRPr="001F4CFE">
          <w:rPr>
            <w:rStyle w:val="Hyperlink"/>
          </w:rPr>
          <w:t>What happens if the person is eligible?</w:t>
        </w:r>
        <w:r w:rsidR="00BD2020">
          <w:rPr>
            <w:webHidden/>
          </w:rPr>
          <w:tab/>
        </w:r>
        <w:r w:rsidR="00BD2020">
          <w:rPr>
            <w:webHidden/>
          </w:rPr>
          <w:fldChar w:fldCharType="begin"/>
        </w:r>
        <w:r w:rsidR="00BD2020">
          <w:rPr>
            <w:webHidden/>
          </w:rPr>
          <w:instrText xml:space="preserve"> PAGEREF _Toc144299830 \h </w:instrText>
        </w:r>
        <w:r w:rsidR="00BD2020">
          <w:rPr>
            <w:webHidden/>
          </w:rPr>
        </w:r>
        <w:r w:rsidR="00BD2020">
          <w:rPr>
            <w:webHidden/>
          </w:rPr>
          <w:fldChar w:fldCharType="separate"/>
        </w:r>
        <w:r w:rsidR="00105BCE">
          <w:rPr>
            <w:webHidden/>
          </w:rPr>
          <w:t>11</w:t>
        </w:r>
        <w:r w:rsidR="00BD2020">
          <w:rPr>
            <w:webHidden/>
          </w:rPr>
          <w:fldChar w:fldCharType="end"/>
        </w:r>
      </w:hyperlink>
    </w:p>
    <w:p w14:paraId="00F7E2F8" w14:textId="77DAB916" w:rsidR="00BD2020" w:rsidRDefault="00000000">
      <w:pPr>
        <w:pStyle w:val="TOC1"/>
        <w:rPr>
          <w:rFonts w:asciiTheme="minorHAnsi" w:eastAsiaTheme="minorEastAsia" w:hAnsiTheme="minorHAnsi" w:cstheme="minorBidi"/>
          <w:b w:val="0"/>
          <w:sz w:val="22"/>
          <w:szCs w:val="22"/>
          <w:lang w:eastAsia="en-AU"/>
        </w:rPr>
      </w:pPr>
      <w:hyperlink w:anchor="_Toc144299831" w:history="1">
        <w:r w:rsidR="00BD2020" w:rsidRPr="001F4CFE">
          <w:rPr>
            <w:rStyle w:val="Hyperlink"/>
          </w:rPr>
          <w:t>Care plan</w:t>
        </w:r>
        <w:r w:rsidR="00BD2020">
          <w:rPr>
            <w:webHidden/>
          </w:rPr>
          <w:tab/>
        </w:r>
        <w:r w:rsidR="00BD2020">
          <w:rPr>
            <w:webHidden/>
          </w:rPr>
          <w:fldChar w:fldCharType="begin"/>
        </w:r>
        <w:r w:rsidR="00BD2020">
          <w:rPr>
            <w:webHidden/>
          </w:rPr>
          <w:instrText xml:space="preserve"> PAGEREF _Toc144299831 \h </w:instrText>
        </w:r>
        <w:r w:rsidR="00BD2020">
          <w:rPr>
            <w:webHidden/>
          </w:rPr>
        </w:r>
        <w:r w:rsidR="00BD2020">
          <w:rPr>
            <w:webHidden/>
          </w:rPr>
          <w:fldChar w:fldCharType="separate"/>
        </w:r>
        <w:r w:rsidR="00105BCE">
          <w:rPr>
            <w:webHidden/>
          </w:rPr>
          <w:t>11</w:t>
        </w:r>
        <w:r w:rsidR="00BD2020">
          <w:rPr>
            <w:webHidden/>
          </w:rPr>
          <w:fldChar w:fldCharType="end"/>
        </w:r>
      </w:hyperlink>
    </w:p>
    <w:p w14:paraId="40CAE30A" w14:textId="75FD1F54" w:rsidR="00BD2020" w:rsidRDefault="00000000">
      <w:pPr>
        <w:pStyle w:val="TOC1"/>
        <w:rPr>
          <w:rFonts w:asciiTheme="minorHAnsi" w:eastAsiaTheme="minorEastAsia" w:hAnsiTheme="minorHAnsi" w:cstheme="minorBidi"/>
          <w:b w:val="0"/>
          <w:sz w:val="22"/>
          <w:szCs w:val="22"/>
          <w:lang w:eastAsia="en-AU"/>
        </w:rPr>
      </w:pPr>
      <w:hyperlink w:anchor="_Toc144299832" w:history="1">
        <w:r w:rsidR="00BD2020" w:rsidRPr="001F4CFE">
          <w:rPr>
            <w:rStyle w:val="Hyperlink"/>
          </w:rPr>
          <w:t>What is the role of the care plan coordinator?</w:t>
        </w:r>
        <w:r w:rsidR="00BD2020">
          <w:rPr>
            <w:webHidden/>
          </w:rPr>
          <w:tab/>
        </w:r>
        <w:r w:rsidR="00BD2020">
          <w:rPr>
            <w:webHidden/>
          </w:rPr>
          <w:fldChar w:fldCharType="begin"/>
        </w:r>
        <w:r w:rsidR="00BD2020">
          <w:rPr>
            <w:webHidden/>
          </w:rPr>
          <w:instrText xml:space="preserve"> PAGEREF _Toc144299832 \h </w:instrText>
        </w:r>
        <w:r w:rsidR="00BD2020">
          <w:rPr>
            <w:webHidden/>
          </w:rPr>
        </w:r>
        <w:r w:rsidR="00BD2020">
          <w:rPr>
            <w:webHidden/>
          </w:rPr>
          <w:fldChar w:fldCharType="separate"/>
        </w:r>
        <w:r w:rsidR="00105BCE">
          <w:rPr>
            <w:webHidden/>
          </w:rPr>
          <w:t>11</w:t>
        </w:r>
        <w:r w:rsidR="00BD2020">
          <w:rPr>
            <w:webHidden/>
          </w:rPr>
          <w:fldChar w:fldCharType="end"/>
        </w:r>
      </w:hyperlink>
    </w:p>
    <w:p w14:paraId="4274D126" w14:textId="609B04BB" w:rsidR="00BD2020" w:rsidRDefault="00000000">
      <w:pPr>
        <w:pStyle w:val="TOC1"/>
        <w:rPr>
          <w:rFonts w:asciiTheme="minorHAnsi" w:eastAsiaTheme="minorEastAsia" w:hAnsiTheme="minorHAnsi" w:cstheme="minorBidi"/>
          <w:b w:val="0"/>
          <w:sz w:val="22"/>
          <w:szCs w:val="22"/>
          <w:lang w:eastAsia="en-AU"/>
        </w:rPr>
      </w:pPr>
      <w:hyperlink w:anchor="_Toc144299833" w:history="1">
        <w:r w:rsidR="00BD2020" w:rsidRPr="001F4CFE">
          <w:rPr>
            <w:rStyle w:val="Hyperlink"/>
          </w:rPr>
          <w:t>Reviewing and closing a care plan</w:t>
        </w:r>
        <w:r w:rsidR="00BD2020">
          <w:rPr>
            <w:webHidden/>
          </w:rPr>
          <w:tab/>
        </w:r>
        <w:r w:rsidR="00BD2020">
          <w:rPr>
            <w:webHidden/>
          </w:rPr>
          <w:fldChar w:fldCharType="begin"/>
        </w:r>
        <w:r w:rsidR="00BD2020">
          <w:rPr>
            <w:webHidden/>
          </w:rPr>
          <w:instrText xml:space="preserve"> PAGEREF _Toc144299833 \h </w:instrText>
        </w:r>
        <w:r w:rsidR="00BD2020">
          <w:rPr>
            <w:webHidden/>
          </w:rPr>
        </w:r>
        <w:r w:rsidR="00BD2020">
          <w:rPr>
            <w:webHidden/>
          </w:rPr>
          <w:fldChar w:fldCharType="separate"/>
        </w:r>
        <w:r w:rsidR="00105BCE">
          <w:rPr>
            <w:webHidden/>
          </w:rPr>
          <w:t>12</w:t>
        </w:r>
        <w:r w:rsidR="00BD2020">
          <w:rPr>
            <w:webHidden/>
          </w:rPr>
          <w:fldChar w:fldCharType="end"/>
        </w:r>
      </w:hyperlink>
    </w:p>
    <w:p w14:paraId="16886DEF" w14:textId="527CBC74" w:rsidR="00BD2020" w:rsidRDefault="00000000">
      <w:pPr>
        <w:pStyle w:val="TOC1"/>
        <w:rPr>
          <w:rFonts w:asciiTheme="minorHAnsi" w:eastAsiaTheme="minorEastAsia" w:hAnsiTheme="minorHAnsi" w:cstheme="minorBidi"/>
          <w:b w:val="0"/>
          <w:sz w:val="22"/>
          <w:szCs w:val="22"/>
          <w:lang w:eastAsia="en-AU"/>
        </w:rPr>
      </w:pPr>
      <w:hyperlink w:anchor="_Toc144299834" w:history="1">
        <w:r w:rsidR="00BD2020" w:rsidRPr="001F4CFE">
          <w:rPr>
            <w:rStyle w:val="Hyperlink"/>
          </w:rPr>
          <w:t>Post-MACNI support</w:t>
        </w:r>
        <w:r w:rsidR="00BD2020">
          <w:rPr>
            <w:webHidden/>
          </w:rPr>
          <w:tab/>
        </w:r>
        <w:r w:rsidR="00BD2020">
          <w:rPr>
            <w:webHidden/>
          </w:rPr>
          <w:fldChar w:fldCharType="begin"/>
        </w:r>
        <w:r w:rsidR="00BD2020">
          <w:rPr>
            <w:webHidden/>
          </w:rPr>
          <w:instrText xml:space="preserve"> PAGEREF _Toc144299834 \h </w:instrText>
        </w:r>
        <w:r w:rsidR="00BD2020">
          <w:rPr>
            <w:webHidden/>
          </w:rPr>
        </w:r>
        <w:r w:rsidR="00BD2020">
          <w:rPr>
            <w:webHidden/>
          </w:rPr>
          <w:fldChar w:fldCharType="separate"/>
        </w:r>
        <w:r w:rsidR="00105BCE">
          <w:rPr>
            <w:webHidden/>
          </w:rPr>
          <w:t>12</w:t>
        </w:r>
        <w:r w:rsidR="00BD2020">
          <w:rPr>
            <w:webHidden/>
          </w:rPr>
          <w:fldChar w:fldCharType="end"/>
        </w:r>
      </w:hyperlink>
    </w:p>
    <w:p w14:paraId="0AEE161C" w14:textId="11F04B3F" w:rsidR="00BD2020" w:rsidRDefault="00000000">
      <w:pPr>
        <w:pStyle w:val="TOC1"/>
        <w:rPr>
          <w:rFonts w:asciiTheme="minorHAnsi" w:eastAsiaTheme="minorEastAsia" w:hAnsiTheme="minorHAnsi" w:cstheme="minorBidi"/>
          <w:b w:val="0"/>
          <w:sz w:val="22"/>
          <w:szCs w:val="22"/>
          <w:lang w:eastAsia="en-AU"/>
        </w:rPr>
      </w:pPr>
      <w:hyperlink w:anchor="_Toc144299835" w:history="1">
        <w:r w:rsidR="00BD2020" w:rsidRPr="001F4CFE">
          <w:rPr>
            <w:rStyle w:val="Hyperlink"/>
          </w:rPr>
          <w:t>Making a complaint</w:t>
        </w:r>
        <w:r w:rsidR="00BD2020">
          <w:rPr>
            <w:webHidden/>
          </w:rPr>
          <w:tab/>
        </w:r>
        <w:r w:rsidR="00BD2020">
          <w:rPr>
            <w:webHidden/>
          </w:rPr>
          <w:fldChar w:fldCharType="begin"/>
        </w:r>
        <w:r w:rsidR="00BD2020">
          <w:rPr>
            <w:webHidden/>
          </w:rPr>
          <w:instrText xml:space="preserve"> PAGEREF _Toc144299835 \h </w:instrText>
        </w:r>
        <w:r w:rsidR="00BD2020">
          <w:rPr>
            <w:webHidden/>
          </w:rPr>
        </w:r>
        <w:r w:rsidR="00BD2020">
          <w:rPr>
            <w:webHidden/>
          </w:rPr>
          <w:fldChar w:fldCharType="separate"/>
        </w:r>
        <w:r w:rsidR="00105BCE">
          <w:rPr>
            <w:webHidden/>
          </w:rPr>
          <w:t>12</w:t>
        </w:r>
        <w:r w:rsidR="00BD2020">
          <w:rPr>
            <w:webHidden/>
          </w:rPr>
          <w:fldChar w:fldCharType="end"/>
        </w:r>
      </w:hyperlink>
    </w:p>
    <w:p w14:paraId="6AD2F10F" w14:textId="2CAA626B" w:rsidR="00BD2020" w:rsidRDefault="00000000">
      <w:pPr>
        <w:pStyle w:val="TOC1"/>
        <w:rPr>
          <w:rFonts w:asciiTheme="minorHAnsi" w:eastAsiaTheme="minorEastAsia" w:hAnsiTheme="minorHAnsi" w:cstheme="minorBidi"/>
          <w:b w:val="0"/>
          <w:sz w:val="22"/>
          <w:szCs w:val="22"/>
          <w:lang w:eastAsia="en-AU"/>
        </w:rPr>
      </w:pPr>
      <w:hyperlink w:anchor="_Toc144299836" w:history="1">
        <w:r w:rsidR="00BD2020" w:rsidRPr="001F4CFE">
          <w:rPr>
            <w:rStyle w:val="Hyperlink"/>
          </w:rPr>
          <w:t>Enquiries</w:t>
        </w:r>
        <w:r w:rsidR="00BD2020">
          <w:rPr>
            <w:webHidden/>
          </w:rPr>
          <w:tab/>
        </w:r>
        <w:r w:rsidR="00BD2020">
          <w:rPr>
            <w:webHidden/>
          </w:rPr>
          <w:fldChar w:fldCharType="begin"/>
        </w:r>
        <w:r w:rsidR="00BD2020">
          <w:rPr>
            <w:webHidden/>
          </w:rPr>
          <w:instrText xml:space="preserve"> PAGEREF _Toc144299836 \h </w:instrText>
        </w:r>
        <w:r w:rsidR="00BD2020">
          <w:rPr>
            <w:webHidden/>
          </w:rPr>
        </w:r>
        <w:r w:rsidR="00BD2020">
          <w:rPr>
            <w:webHidden/>
          </w:rPr>
          <w:fldChar w:fldCharType="separate"/>
        </w:r>
        <w:r w:rsidR="00105BCE">
          <w:rPr>
            <w:webHidden/>
          </w:rPr>
          <w:t>13</w:t>
        </w:r>
        <w:r w:rsidR="00BD2020">
          <w:rPr>
            <w:webHidden/>
          </w:rPr>
          <w:fldChar w:fldCharType="end"/>
        </w:r>
      </w:hyperlink>
    </w:p>
    <w:p w14:paraId="3976B1D4" w14:textId="3411B4CE" w:rsidR="00BD2020" w:rsidRDefault="00000000">
      <w:pPr>
        <w:pStyle w:val="TOC1"/>
        <w:rPr>
          <w:rFonts w:asciiTheme="minorHAnsi" w:eastAsiaTheme="minorEastAsia" w:hAnsiTheme="minorHAnsi" w:cstheme="minorBidi"/>
          <w:b w:val="0"/>
          <w:sz w:val="22"/>
          <w:szCs w:val="22"/>
          <w:lang w:eastAsia="en-AU"/>
        </w:rPr>
      </w:pPr>
      <w:hyperlink w:anchor="_Toc144299837" w:history="1">
        <w:r w:rsidR="00BD2020" w:rsidRPr="001F4CFE">
          <w:rPr>
            <w:rStyle w:val="Hyperlink"/>
          </w:rPr>
          <w:t>Appendix 1: Potential referrer self-assessment</w:t>
        </w:r>
        <w:r w:rsidR="00BD2020">
          <w:rPr>
            <w:webHidden/>
          </w:rPr>
          <w:tab/>
        </w:r>
        <w:r w:rsidR="00BD2020">
          <w:rPr>
            <w:webHidden/>
          </w:rPr>
          <w:fldChar w:fldCharType="begin"/>
        </w:r>
        <w:r w:rsidR="00BD2020">
          <w:rPr>
            <w:webHidden/>
          </w:rPr>
          <w:instrText xml:space="preserve"> PAGEREF _Toc144299837 \h </w:instrText>
        </w:r>
        <w:r w:rsidR="00BD2020">
          <w:rPr>
            <w:webHidden/>
          </w:rPr>
        </w:r>
        <w:r w:rsidR="00BD2020">
          <w:rPr>
            <w:webHidden/>
          </w:rPr>
          <w:fldChar w:fldCharType="separate"/>
        </w:r>
        <w:r w:rsidR="00105BCE">
          <w:rPr>
            <w:webHidden/>
          </w:rPr>
          <w:t>14</w:t>
        </w:r>
        <w:r w:rsidR="00BD2020">
          <w:rPr>
            <w:webHidden/>
          </w:rPr>
          <w:fldChar w:fldCharType="end"/>
        </w:r>
      </w:hyperlink>
    </w:p>
    <w:p w14:paraId="42C49055" w14:textId="1990E2B7" w:rsidR="00FB1F6E" w:rsidRDefault="00AD784C" w:rsidP="00D079AA">
      <w:pPr>
        <w:pStyle w:val="Body"/>
      </w:pPr>
      <w:r>
        <w:fldChar w:fldCharType="end"/>
      </w:r>
    </w:p>
    <w:p w14:paraId="51023C5D" w14:textId="77777777" w:rsidR="00E90761" w:rsidRDefault="00FB1F6E" w:rsidP="00E90761">
      <w:pPr>
        <w:pStyle w:val="Heading1"/>
      </w:pPr>
      <w:r>
        <w:br w:type="page"/>
      </w:r>
      <w:bookmarkStart w:id="0" w:name="_Toc83816723"/>
      <w:bookmarkStart w:id="1" w:name="_Toc144299816"/>
      <w:r w:rsidR="00E90761">
        <w:lastRenderedPageBreak/>
        <w:t>What is the Multiple and Complex Needs Initiative?</w:t>
      </w:r>
      <w:bookmarkEnd w:id="0"/>
      <w:bookmarkEnd w:id="1"/>
    </w:p>
    <w:p w14:paraId="5DD2A1FC" w14:textId="77777777" w:rsidR="00E90761" w:rsidRDefault="00E90761" w:rsidP="00E90761">
      <w:pPr>
        <w:pStyle w:val="Body"/>
      </w:pPr>
      <w:r>
        <w:t>The Multiple and Complex Needs Initiative (MACNI) is a time-limited service response for people aged 16 years and older with multiple and complex needs.</w:t>
      </w:r>
    </w:p>
    <w:p w14:paraId="749D3775" w14:textId="77777777" w:rsidR="00E90761" w:rsidRDefault="00E90761" w:rsidP="00E90761">
      <w:pPr>
        <w:pStyle w:val="Body"/>
      </w:pPr>
      <w:r>
        <w:t>People will have a combination of mental illness, substance use, intellectual impairment, and acquired brain injury, and will benefit from a coordinated service response to meet their needs and goals.</w:t>
      </w:r>
    </w:p>
    <w:p w14:paraId="4E656775" w14:textId="77777777" w:rsidR="00E90761" w:rsidRDefault="00E90761" w:rsidP="00E90761">
      <w:pPr>
        <w:pStyle w:val="Body"/>
      </w:pPr>
      <w:r>
        <w:t>MACNI is funded by the Department of Families Fairness and Housing, the Department of Justice and Community Safety, and the Director of Housing.</w:t>
      </w:r>
    </w:p>
    <w:p w14:paraId="233ED955" w14:textId="77777777" w:rsidR="00E90761" w:rsidRDefault="00E90761" w:rsidP="00E90761">
      <w:pPr>
        <w:pStyle w:val="Body"/>
      </w:pPr>
      <w:r>
        <w:t>MACNI involves the partnership of the two departments and numerous service providers who provide both specialist and generic services to clients, such as:</w:t>
      </w:r>
    </w:p>
    <w:p w14:paraId="3D2465F3" w14:textId="77777777" w:rsidR="00E90761" w:rsidRDefault="00E90761" w:rsidP="00E90761">
      <w:pPr>
        <w:pStyle w:val="Bullet1"/>
      </w:pPr>
      <w:r>
        <w:t>Aboriginal community-controlled organisations</w:t>
      </w:r>
    </w:p>
    <w:p w14:paraId="3867ED79" w14:textId="77777777" w:rsidR="00E90761" w:rsidRDefault="00E90761" w:rsidP="00E90761">
      <w:pPr>
        <w:pStyle w:val="Bullet1"/>
      </w:pPr>
      <w:r>
        <w:t>mental health services</w:t>
      </w:r>
    </w:p>
    <w:p w14:paraId="060E1EC4" w14:textId="77777777" w:rsidR="00E90761" w:rsidRDefault="00E90761" w:rsidP="00E90761">
      <w:pPr>
        <w:pStyle w:val="Bullet1"/>
      </w:pPr>
      <w:r>
        <w:t>housing services</w:t>
      </w:r>
    </w:p>
    <w:p w14:paraId="66BEF694" w14:textId="77777777" w:rsidR="00E90761" w:rsidRDefault="00E90761" w:rsidP="00E90761">
      <w:pPr>
        <w:pStyle w:val="Bullet1"/>
      </w:pPr>
      <w:r>
        <w:t>justice and correctional services</w:t>
      </w:r>
    </w:p>
    <w:p w14:paraId="47068081" w14:textId="77777777" w:rsidR="00E90761" w:rsidRDefault="00E90761" w:rsidP="00E90761">
      <w:pPr>
        <w:pStyle w:val="Bullet1"/>
      </w:pPr>
      <w:r>
        <w:t>drug and alcohol services</w:t>
      </w:r>
    </w:p>
    <w:p w14:paraId="5F7CAE8D" w14:textId="77777777" w:rsidR="00E90761" w:rsidRDefault="00E90761" w:rsidP="00E90761">
      <w:pPr>
        <w:pStyle w:val="Bullet1"/>
      </w:pPr>
      <w:r>
        <w:t>disability and health services.</w:t>
      </w:r>
    </w:p>
    <w:p w14:paraId="4D414152" w14:textId="77777777" w:rsidR="00E90761" w:rsidRDefault="00E90761" w:rsidP="00E90761">
      <w:pPr>
        <w:pStyle w:val="Bodyafterbullets"/>
      </w:pPr>
      <w:r>
        <w:t>Focusing on a more effective and coordinated approach to support, MACNI aims to:</w:t>
      </w:r>
    </w:p>
    <w:p w14:paraId="5B73C86B" w14:textId="77777777" w:rsidR="00E90761" w:rsidRDefault="00E90761" w:rsidP="00E90761">
      <w:pPr>
        <w:pStyle w:val="Bullet1"/>
      </w:pPr>
      <w:r>
        <w:t>stabilise housing, health, social connection and safety issues</w:t>
      </w:r>
    </w:p>
    <w:p w14:paraId="03DCA4B7" w14:textId="77777777" w:rsidR="00E90761" w:rsidRDefault="00E90761" w:rsidP="00E90761">
      <w:pPr>
        <w:pStyle w:val="Bullet1"/>
      </w:pPr>
      <w:r>
        <w:t>pursue planned and consistent therapeutic goals for each individual</w:t>
      </w:r>
    </w:p>
    <w:p w14:paraId="42A7ACEA" w14:textId="77777777" w:rsidR="00E90761" w:rsidRDefault="00E90761" w:rsidP="00E90761">
      <w:pPr>
        <w:pStyle w:val="Bullet1"/>
      </w:pPr>
      <w:r>
        <w:t xml:space="preserve">provide a platform for long-term engagement in the service system. </w:t>
      </w:r>
    </w:p>
    <w:p w14:paraId="35A15BD5" w14:textId="77777777" w:rsidR="00E90761" w:rsidRDefault="00E90761" w:rsidP="00E90761">
      <w:pPr>
        <w:pStyle w:val="Bodyafterbullets"/>
      </w:pPr>
      <w:r>
        <w:t>Participation in MACNI is voluntary. A person can decide to discontinue MACNI services at any time during the process.</w:t>
      </w:r>
    </w:p>
    <w:p w14:paraId="0A4CD785" w14:textId="77777777" w:rsidR="00E90761" w:rsidRDefault="00E90761" w:rsidP="00E90761">
      <w:pPr>
        <w:pStyle w:val="Heading2"/>
      </w:pPr>
      <w:bookmarkStart w:id="2" w:name="_Toc83816724"/>
      <w:bookmarkStart w:id="3" w:name="_Toc144299817"/>
      <w:r>
        <w:t>Key elements of MACNI</w:t>
      </w:r>
      <w:bookmarkEnd w:id="2"/>
      <w:bookmarkEnd w:id="3"/>
    </w:p>
    <w:p w14:paraId="40F4B453" w14:textId="77777777" w:rsidR="00E90761" w:rsidRPr="002D71DF" w:rsidRDefault="00E90761" w:rsidP="00E90761">
      <w:pPr>
        <w:pStyle w:val="Bullet1"/>
        <w:rPr>
          <w:i/>
          <w:iCs/>
        </w:rPr>
      </w:pPr>
      <w:r w:rsidRPr="002D71DF">
        <w:rPr>
          <w:i/>
          <w:iCs/>
        </w:rPr>
        <w:t>Human Services (Complex Needs) Act 2009</w:t>
      </w:r>
    </w:p>
    <w:p w14:paraId="06B6B809" w14:textId="77777777" w:rsidR="00E90761" w:rsidRDefault="00E90761" w:rsidP="00E90761">
      <w:pPr>
        <w:pStyle w:val="Bullet1"/>
      </w:pPr>
      <w:r>
        <w:t>information, consultation and referral</w:t>
      </w:r>
    </w:p>
    <w:p w14:paraId="2ABEE99E" w14:textId="77777777" w:rsidR="00E90761" w:rsidRDefault="00E90761" w:rsidP="00E90761">
      <w:pPr>
        <w:pStyle w:val="Bullet1"/>
      </w:pPr>
      <w:r>
        <w:t>care plan development and coordination</w:t>
      </w:r>
    </w:p>
    <w:p w14:paraId="79151CA6" w14:textId="77777777" w:rsidR="00E90761" w:rsidRPr="00955273" w:rsidRDefault="00E90761" w:rsidP="00E90761">
      <w:pPr>
        <w:pStyle w:val="Bullet1"/>
        <w:rPr>
          <w:i/>
          <w:iCs/>
        </w:rPr>
      </w:pPr>
      <w:r w:rsidRPr="002D71DF">
        <w:rPr>
          <w:i/>
          <w:iCs/>
        </w:rPr>
        <w:t xml:space="preserve">Service Provision </w:t>
      </w:r>
      <w:r w:rsidRPr="00955273">
        <w:rPr>
          <w:i/>
          <w:iCs/>
        </w:rPr>
        <w:t>Framework: Complex Needs</w:t>
      </w:r>
    </w:p>
    <w:p w14:paraId="39F90CBC" w14:textId="77777777" w:rsidR="00E90761" w:rsidRPr="00955273" w:rsidRDefault="00E90761" w:rsidP="00E90761">
      <w:pPr>
        <w:pStyle w:val="Bullet1"/>
      </w:pPr>
      <w:r w:rsidRPr="00955273">
        <w:t>The Complex Needs team.</w:t>
      </w:r>
    </w:p>
    <w:p w14:paraId="226A48AA" w14:textId="77777777" w:rsidR="00E90761" w:rsidRDefault="00E90761" w:rsidP="00E90761">
      <w:pPr>
        <w:pStyle w:val="Heading2"/>
      </w:pPr>
      <w:bookmarkStart w:id="4" w:name="_Toc83816725"/>
      <w:bookmarkStart w:id="5" w:name="_Toc144299818"/>
      <w:r>
        <w:t>The legislation</w:t>
      </w:r>
      <w:bookmarkEnd w:id="4"/>
      <w:bookmarkEnd w:id="5"/>
    </w:p>
    <w:p w14:paraId="6272565B" w14:textId="77777777" w:rsidR="00E90761" w:rsidRDefault="00E90761" w:rsidP="00E90761">
      <w:pPr>
        <w:pStyle w:val="Body"/>
      </w:pPr>
      <w:r>
        <w:t xml:space="preserve">MACNI is underpinned by the </w:t>
      </w:r>
      <w:r w:rsidRPr="00E56279">
        <w:rPr>
          <w:i/>
          <w:iCs/>
        </w:rPr>
        <w:t>Human Services (Complex Needs) Act 2009</w:t>
      </w:r>
      <w:r>
        <w:t>. This Act establishes the authority for a collaborative and coordinated approach to planning service delivery for people with multiple and complex needs.</w:t>
      </w:r>
    </w:p>
    <w:p w14:paraId="5767CE87" w14:textId="77777777" w:rsidR="00E90761" w:rsidRDefault="00E90761" w:rsidP="00E90761">
      <w:pPr>
        <w:pStyle w:val="Heading1"/>
      </w:pPr>
      <w:bookmarkStart w:id="6" w:name="_Toc83816726"/>
      <w:bookmarkStart w:id="7" w:name="_Toc144299819"/>
      <w:r>
        <w:t>Eligibility for MACNI</w:t>
      </w:r>
      <w:bookmarkEnd w:id="6"/>
      <w:bookmarkEnd w:id="7"/>
    </w:p>
    <w:p w14:paraId="446AF958" w14:textId="77777777" w:rsidR="00E90761" w:rsidRDefault="00E90761" w:rsidP="00E90761">
      <w:pPr>
        <w:pStyle w:val="Body"/>
      </w:pPr>
      <w:r>
        <w:t>For a person to be eligible for MACNI, they must meet the eligibility criteria in section 7 of the Act.</w:t>
      </w:r>
    </w:p>
    <w:p w14:paraId="56EC78D0" w14:textId="77777777" w:rsidR="00E90761" w:rsidRDefault="00E90761" w:rsidP="00E90761">
      <w:pPr>
        <w:pStyle w:val="Body"/>
      </w:pPr>
      <w:r>
        <w:t xml:space="preserve">An eligible person is a person who: </w:t>
      </w:r>
    </w:p>
    <w:p w14:paraId="48E3A738" w14:textId="77777777" w:rsidR="00E90761" w:rsidRDefault="00E90761" w:rsidP="00E90761">
      <w:pPr>
        <w:pStyle w:val="Numberloweralpha"/>
      </w:pPr>
      <w:r>
        <w:lastRenderedPageBreak/>
        <w:t>has attained 16 years of age; and</w:t>
      </w:r>
    </w:p>
    <w:p w14:paraId="6092D925" w14:textId="77777777" w:rsidR="00E90761" w:rsidRDefault="00E90761" w:rsidP="00E90761">
      <w:pPr>
        <w:pStyle w:val="Numberloweralpha"/>
      </w:pPr>
      <w:r>
        <w:t>appears to satisfy two or more of the following criteria—</w:t>
      </w:r>
    </w:p>
    <w:p w14:paraId="7CA15D6B" w14:textId="77777777" w:rsidR="00E90761" w:rsidRDefault="00E90761" w:rsidP="00E90761">
      <w:pPr>
        <w:pStyle w:val="Numberlowerromanindent"/>
      </w:pPr>
      <w:r>
        <w:t xml:space="preserve">has a mental disorder within the meaning of the </w:t>
      </w:r>
      <w:r w:rsidRPr="002D71DF">
        <w:rPr>
          <w:i/>
          <w:iCs/>
        </w:rPr>
        <w:t>Mental Health Act 2014</w:t>
      </w:r>
    </w:p>
    <w:p w14:paraId="5589D12C" w14:textId="77777777" w:rsidR="00E90761" w:rsidRDefault="00E90761" w:rsidP="00E90761">
      <w:pPr>
        <w:pStyle w:val="Numberlowerromanindent"/>
      </w:pPr>
      <w:r>
        <w:t>has an acquired brain injury</w:t>
      </w:r>
    </w:p>
    <w:p w14:paraId="232A7634" w14:textId="77777777" w:rsidR="00E90761" w:rsidRDefault="00E90761" w:rsidP="00E90761">
      <w:pPr>
        <w:pStyle w:val="Numberlowerromanindent"/>
      </w:pPr>
      <w:r>
        <w:t>has an intellectual impairment</w:t>
      </w:r>
    </w:p>
    <w:p w14:paraId="2F056DFA" w14:textId="77777777" w:rsidR="00E90761" w:rsidRDefault="00E90761" w:rsidP="00E90761">
      <w:pPr>
        <w:pStyle w:val="Numberlowerromanindent"/>
      </w:pPr>
      <w:r>
        <w:t xml:space="preserve">has a severe substance dependence within the meaning of section 5 of the </w:t>
      </w:r>
      <w:r w:rsidRPr="002D71DF">
        <w:rPr>
          <w:i/>
          <w:iCs/>
        </w:rPr>
        <w:t>Severe Substance Dependence Treatment Act 2010</w:t>
      </w:r>
      <w:r>
        <w:t>, and</w:t>
      </w:r>
    </w:p>
    <w:p w14:paraId="7E58D56D" w14:textId="77777777" w:rsidR="00E90761" w:rsidRDefault="00E90761" w:rsidP="00E90761">
      <w:pPr>
        <w:pStyle w:val="Numberloweralpha"/>
      </w:pPr>
      <w:r>
        <w:t xml:space="preserve">has exhibited violent or dangerous behaviour that caused serious harm to himself or herself or some other person or is exhibiting behaviour which is reasonably likely to place himself or herself or some other person at risk of serious harm; and </w:t>
      </w:r>
    </w:p>
    <w:p w14:paraId="3100ACFC" w14:textId="77777777" w:rsidR="00E90761" w:rsidRDefault="00E90761" w:rsidP="00E90761">
      <w:pPr>
        <w:pStyle w:val="Numberloweralpha"/>
      </w:pPr>
      <w:r>
        <w:t>is in need of intensive supervision and support and would derive benefit from receiving coordinated services in accordance with a care plan that may include welfare services, health services, mental health services, disability services, drug and alcohol treatment services or housing and support services.</w:t>
      </w:r>
    </w:p>
    <w:p w14:paraId="01F91917" w14:textId="77777777" w:rsidR="00E90761" w:rsidRDefault="00E90761" w:rsidP="00E90761">
      <w:pPr>
        <w:pStyle w:val="Heading1"/>
      </w:pPr>
      <w:bookmarkStart w:id="8" w:name="_Toc83816727"/>
      <w:bookmarkStart w:id="9" w:name="_Toc144299820"/>
      <w:r>
        <w:t>Who can make referrals?</w:t>
      </w:r>
      <w:bookmarkEnd w:id="8"/>
      <w:bookmarkEnd w:id="9"/>
    </w:p>
    <w:p w14:paraId="4C443D27" w14:textId="77777777" w:rsidR="00E90761" w:rsidRDefault="00E90761" w:rsidP="00E90761">
      <w:pPr>
        <w:pStyle w:val="Body"/>
      </w:pPr>
      <w:r>
        <w:t>Anyone can make a referral to MACNI, for example:</w:t>
      </w:r>
    </w:p>
    <w:p w14:paraId="70EAEB0B" w14:textId="77777777" w:rsidR="00E90761" w:rsidRDefault="00E90761" w:rsidP="00E90761">
      <w:pPr>
        <w:pStyle w:val="Bullet1"/>
      </w:pPr>
      <w:r>
        <w:t>referrals from individuals for themselves</w:t>
      </w:r>
    </w:p>
    <w:p w14:paraId="7F47E8B9" w14:textId="77777777" w:rsidR="00E90761" w:rsidRDefault="00E90761" w:rsidP="00E90761">
      <w:pPr>
        <w:pStyle w:val="Bullet1"/>
      </w:pPr>
      <w:r>
        <w:t>family members or significant others</w:t>
      </w:r>
    </w:p>
    <w:p w14:paraId="04B7F86C" w14:textId="77777777" w:rsidR="00E90761" w:rsidRDefault="00E90761" w:rsidP="00E90761">
      <w:pPr>
        <w:pStyle w:val="Bullet1"/>
      </w:pPr>
      <w:r>
        <w:t>existing service providers working with the person</w:t>
      </w:r>
    </w:p>
    <w:p w14:paraId="20C1FA6A" w14:textId="77777777" w:rsidR="00E90761" w:rsidRDefault="00E90761" w:rsidP="00E90761">
      <w:pPr>
        <w:pStyle w:val="Bullet1"/>
      </w:pPr>
      <w:r>
        <w:t xml:space="preserve">court support services </w:t>
      </w:r>
    </w:p>
    <w:p w14:paraId="4CB06A4E" w14:textId="77777777" w:rsidR="00E90761" w:rsidRDefault="00E90761" w:rsidP="00E90761">
      <w:pPr>
        <w:pStyle w:val="Bullet1"/>
      </w:pPr>
      <w:r>
        <w:t>correctional services</w:t>
      </w:r>
    </w:p>
    <w:p w14:paraId="26EB1C36" w14:textId="77777777" w:rsidR="00E90761" w:rsidRDefault="00E90761" w:rsidP="00E90761">
      <w:pPr>
        <w:pStyle w:val="Bullet1"/>
      </w:pPr>
      <w:r>
        <w:t>mental health services</w:t>
      </w:r>
    </w:p>
    <w:p w14:paraId="24A61059" w14:textId="77777777" w:rsidR="00E90761" w:rsidRDefault="00E90761" w:rsidP="00E90761">
      <w:pPr>
        <w:pStyle w:val="Bullet1"/>
      </w:pPr>
      <w:r>
        <w:t>Aboriginal community-controlled organisations</w:t>
      </w:r>
    </w:p>
    <w:p w14:paraId="11CDD9D0" w14:textId="77777777" w:rsidR="00E90761" w:rsidRDefault="00E90761" w:rsidP="00E90761">
      <w:pPr>
        <w:pStyle w:val="Bullet1"/>
      </w:pPr>
      <w:r>
        <w:t>community service organisations.</w:t>
      </w:r>
    </w:p>
    <w:p w14:paraId="2129ABE0" w14:textId="77777777" w:rsidR="00E90761" w:rsidRDefault="00E90761" w:rsidP="00E90761">
      <w:pPr>
        <w:pStyle w:val="Bodyafterbullets"/>
      </w:pPr>
      <w:r>
        <w:t>Appendix 1 is a brief referral checklist that gives potential referrers an indication of the information needed for a MACNI referral.</w:t>
      </w:r>
    </w:p>
    <w:p w14:paraId="3AF934A5" w14:textId="77777777" w:rsidR="00E90761" w:rsidRDefault="00E90761" w:rsidP="00E90761">
      <w:pPr>
        <w:pStyle w:val="Heading1"/>
      </w:pPr>
      <w:bookmarkStart w:id="10" w:name="_Toc83816728"/>
      <w:bookmarkStart w:id="11" w:name="_Toc144299821"/>
      <w:r>
        <w:t>Operating model</w:t>
      </w:r>
      <w:bookmarkEnd w:id="10"/>
      <w:bookmarkEnd w:id="11"/>
    </w:p>
    <w:p w14:paraId="056569B3" w14:textId="213BA824" w:rsidR="00E90761" w:rsidRDefault="00E90761" w:rsidP="00E90761">
      <w:pPr>
        <w:pStyle w:val="Body"/>
      </w:pPr>
      <w:r>
        <w:t>MACNI provides a range of targeted supports for people with multiple and complex needs ranging from information, consultation, coordination and referral through to care plan development and coordination for those determined eligible under the Act.</w:t>
      </w:r>
    </w:p>
    <w:p w14:paraId="1E949DA5" w14:textId="77777777" w:rsidR="00E90761" w:rsidRDefault="00E90761" w:rsidP="00E90761">
      <w:pPr>
        <w:pStyle w:val="Body"/>
      </w:pPr>
      <w:r>
        <w:t>At any stage of MACNI intervention where a critical need arises, the Complex Needs Coordinator will work with the involved services and Panel to determine the most appropriate level of support. Similarly, a case may be closed at any stage or duration of involvement and are not required to progress through stages before closure is recommended.</w:t>
      </w:r>
    </w:p>
    <w:p w14:paraId="46707D76" w14:textId="77777777" w:rsidR="00E90761" w:rsidRDefault="00E90761" w:rsidP="00E90761">
      <w:pPr>
        <w:pStyle w:val="Body"/>
      </w:pPr>
      <w:r>
        <w:t>The MACNI model is not strictly linear; at any stage, it may become apparent that the client’s needs cannot be effectively met without a higher level of coordination or intervention. At this point, the Complex Needs Coordinator will work with the involved services to determine the next steps of either a referral for:</w:t>
      </w:r>
    </w:p>
    <w:p w14:paraId="6489EC62" w14:textId="77777777" w:rsidR="00E90761" w:rsidRDefault="00E90761" w:rsidP="00E90761">
      <w:pPr>
        <w:pStyle w:val="Bullet1"/>
      </w:pPr>
      <w:r>
        <w:lastRenderedPageBreak/>
        <w:t>Pre-MACNI</w:t>
      </w:r>
    </w:p>
    <w:p w14:paraId="1A3E679C" w14:textId="77777777" w:rsidR="00E90761" w:rsidRDefault="00E90761" w:rsidP="00E90761">
      <w:pPr>
        <w:pStyle w:val="Bullet1"/>
      </w:pPr>
      <w:r>
        <w:t>MACNI eligibility determination to receive care plan coordination under the Act.</w:t>
      </w:r>
    </w:p>
    <w:p w14:paraId="671996BF" w14:textId="77777777" w:rsidR="00E90761" w:rsidRDefault="00E90761" w:rsidP="00E90761">
      <w:pPr>
        <w:pStyle w:val="Bodyafterbullets"/>
      </w:pPr>
      <w:r>
        <w:t>Standardised templates are provided in the appendix to assist Areas implement MACNI at a local level. These templates are to be used by all Complex Needs Coordinators to enhance consistency and promote adherence to legislation and operational guidelines. Where appropriate, templates can be adjusted to each client’s communication capacity and may benefit from pictorial representations and/or translation.</w:t>
      </w:r>
    </w:p>
    <w:p w14:paraId="30FEE6B7" w14:textId="77777777" w:rsidR="00E90761" w:rsidRDefault="00E90761" w:rsidP="00E90761">
      <w:pPr>
        <w:pStyle w:val="Heading1"/>
      </w:pPr>
      <w:bookmarkStart w:id="12" w:name="_Toc83816729"/>
      <w:bookmarkStart w:id="13" w:name="_Toc144299822"/>
      <w:r>
        <w:t>How do you access MACNI?</w:t>
      </w:r>
      <w:bookmarkEnd w:id="12"/>
      <w:bookmarkEnd w:id="13"/>
    </w:p>
    <w:p w14:paraId="3DE5C39C" w14:textId="77777777" w:rsidR="00E90761" w:rsidRDefault="00E90761" w:rsidP="00E90761">
      <w:pPr>
        <w:pStyle w:val="Body"/>
      </w:pPr>
      <w:r>
        <w:t>The Department of Families Fairness and Housing consists of 17 area across four divisions responsible for oversight and coordination of local areas that provide direct services across Victoria.</w:t>
      </w:r>
    </w:p>
    <w:p w14:paraId="328E1C4D" w14:textId="77777777" w:rsidR="00E90761" w:rsidRDefault="00E90761" w:rsidP="00E90761">
      <w:pPr>
        <w:pStyle w:val="Body"/>
      </w:pPr>
      <w:r>
        <w:t>Each area has at least one Complex Needs Coordinator, who is the first point of contact to discuss a potential referral to MACNI. Complex Needs Coordinator contacts are listed at the end of this booklet.</w:t>
      </w:r>
    </w:p>
    <w:p w14:paraId="507C626A" w14:textId="77777777" w:rsidR="00B612B6" w:rsidRDefault="00B612B6" w:rsidP="006526E4">
      <w:pPr>
        <w:pStyle w:val="Heading1"/>
      </w:pPr>
      <w:bookmarkStart w:id="14" w:name="_Toc137636726"/>
      <w:bookmarkStart w:id="15" w:name="_Toc142486626"/>
      <w:bookmarkStart w:id="16" w:name="_Toc144299823"/>
      <w:bookmarkStart w:id="17" w:name="_Toc83816730"/>
      <w:r w:rsidRPr="003076B4">
        <w:t>Comp</w:t>
      </w:r>
      <w:r>
        <w:t>lex Needs Coordinators</w:t>
      </w:r>
      <w:bookmarkEnd w:id="14"/>
      <w:bookmarkEnd w:id="15"/>
      <w:bookmarkEnd w:id="16"/>
    </w:p>
    <w:p w14:paraId="5B5BB2AD" w14:textId="77777777" w:rsidR="00B612B6" w:rsidRDefault="00B612B6" w:rsidP="00B612B6">
      <w:pPr>
        <w:pStyle w:val="Body"/>
      </w:pPr>
      <w:r>
        <w:t>The Complex Needs Coordinators provide support to referrers and care teams in localised problem-solving and assistance in navigating systemic issues for improved service responses to people with complex needs. The range of responsibilities are:</w:t>
      </w:r>
    </w:p>
    <w:p w14:paraId="67E28477" w14:textId="000BC8A9" w:rsidR="00B612B6" w:rsidRPr="00461585" w:rsidRDefault="00B612B6" w:rsidP="00B612B6">
      <w:pPr>
        <w:pStyle w:val="Bullet1"/>
        <w:numPr>
          <w:ilvl w:val="0"/>
          <w:numId w:val="40"/>
        </w:numPr>
        <w:ind w:left="357" w:hanging="357"/>
      </w:pPr>
      <w:r w:rsidRPr="00461585">
        <w:t xml:space="preserve">provide a contact point for enquiries, information provision and eligibility screening for complex needs responses </w:t>
      </w:r>
    </w:p>
    <w:p w14:paraId="7800BF77" w14:textId="77777777" w:rsidR="00B612B6" w:rsidRPr="00461585" w:rsidRDefault="00B612B6" w:rsidP="00B612B6">
      <w:pPr>
        <w:pStyle w:val="Bullet1"/>
        <w:numPr>
          <w:ilvl w:val="0"/>
          <w:numId w:val="40"/>
        </w:numPr>
        <w:ind w:left="357" w:hanging="357"/>
      </w:pPr>
      <w:r w:rsidRPr="00461585">
        <w:t xml:space="preserve">provide consultation and facilitate </w:t>
      </w:r>
      <w:r>
        <w:t>improved</w:t>
      </w:r>
      <w:r w:rsidRPr="00461585">
        <w:t xml:space="preserve"> planning </w:t>
      </w:r>
      <w:r>
        <w:t xml:space="preserve">by services as </w:t>
      </w:r>
      <w:r w:rsidRPr="00461585">
        <w:t>a diversionary approach</w:t>
      </w:r>
    </w:p>
    <w:p w14:paraId="4FBE2A32" w14:textId="77777777" w:rsidR="00B612B6" w:rsidRPr="00461585" w:rsidRDefault="00B612B6" w:rsidP="00B612B6">
      <w:pPr>
        <w:pStyle w:val="Bullet1"/>
        <w:numPr>
          <w:ilvl w:val="0"/>
          <w:numId w:val="40"/>
        </w:numPr>
        <w:ind w:left="357" w:hanging="357"/>
      </w:pPr>
      <w:r w:rsidRPr="00461585">
        <w:t xml:space="preserve">identify systems gaps and systemic risks for </w:t>
      </w:r>
      <w:r>
        <w:t xml:space="preserve">people </w:t>
      </w:r>
      <w:r w:rsidRPr="00461585">
        <w:t>with complex needs</w:t>
      </w:r>
    </w:p>
    <w:p w14:paraId="4D65A4A4" w14:textId="77777777" w:rsidR="00B612B6" w:rsidRPr="00461585" w:rsidRDefault="00B612B6" w:rsidP="00B612B6">
      <w:pPr>
        <w:pStyle w:val="Bullet1"/>
        <w:numPr>
          <w:ilvl w:val="0"/>
          <w:numId w:val="40"/>
        </w:numPr>
        <w:ind w:left="357" w:hanging="357"/>
      </w:pPr>
      <w:r w:rsidRPr="00461585">
        <w:t>provide capacity building to assist the service system</w:t>
      </w:r>
      <w:r>
        <w:t>’</w:t>
      </w:r>
      <w:r w:rsidRPr="00461585">
        <w:t>s</w:t>
      </w:r>
      <w:r>
        <w:t xml:space="preserve"> </w:t>
      </w:r>
      <w:r w:rsidRPr="00461585">
        <w:t xml:space="preserve">support for </w:t>
      </w:r>
      <w:r>
        <w:t>people</w:t>
      </w:r>
      <w:r w:rsidRPr="00461585">
        <w:t xml:space="preserve"> with complex needs </w:t>
      </w:r>
    </w:p>
    <w:p w14:paraId="4F6A17AC" w14:textId="77777777" w:rsidR="00B612B6" w:rsidRPr="00461585" w:rsidRDefault="00B612B6" w:rsidP="00B612B6">
      <w:pPr>
        <w:pStyle w:val="Bullet1"/>
        <w:numPr>
          <w:ilvl w:val="0"/>
          <w:numId w:val="40"/>
        </w:numPr>
        <w:ind w:left="357" w:hanging="357"/>
      </w:pPr>
      <w:r w:rsidRPr="00461585">
        <w:t xml:space="preserve">facilitate relationships between departmental program areas and external services, </w:t>
      </w:r>
    </w:p>
    <w:p w14:paraId="341AF122" w14:textId="77777777" w:rsidR="00B612B6" w:rsidRPr="00461585" w:rsidRDefault="00B612B6" w:rsidP="00B612B6">
      <w:pPr>
        <w:pStyle w:val="Bullet1"/>
        <w:numPr>
          <w:ilvl w:val="0"/>
          <w:numId w:val="40"/>
        </w:numPr>
        <w:ind w:left="357" w:hanging="357"/>
      </w:pPr>
      <w:r>
        <w:t>facilitate</w:t>
      </w:r>
      <w:r w:rsidRPr="00461585">
        <w:t xml:space="preserve"> integrated responses with service providers and promote practice excellence</w:t>
      </w:r>
    </w:p>
    <w:p w14:paraId="08A1826B" w14:textId="77777777" w:rsidR="00B612B6" w:rsidRPr="00461585" w:rsidRDefault="00B612B6" w:rsidP="00B612B6">
      <w:pPr>
        <w:pStyle w:val="Bullet1"/>
        <w:numPr>
          <w:ilvl w:val="0"/>
          <w:numId w:val="40"/>
        </w:numPr>
        <w:ind w:left="357" w:hanging="357"/>
      </w:pPr>
      <w:r w:rsidRPr="00461585">
        <w:t>support the functions of the Complex Needs Panel and perform the administrative functions required by legislation for MACNI under the Act</w:t>
      </w:r>
    </w:p>
    <w:p w14:paraId="3714E6EA" w14:textId="77777777" w:rsidR="00B612B6" w:rsidRPr="00461585" w:rsidRDefault="00B612B6" w:rsidP="00B612B6">
      <w:pPr>
        <w:pStyle w:val="Bullet1"/>
        <w:numPr>
          <w:ilvl w:val="0"/>
          <w:numId w:val="40"/>
        </w:numPr>
        <w:ind w:left="357" w:hanging="357"/>
      </w:pPr>
      <w:r w:rsidRPr="00461585">
        <w:t xml:space="preserve">action/support the implementation of Area Complex Needs panel </w:t>
      </w:r>
      <w:r>
        <w:t xml:space="preserve">decisions </w:t>
      </w:r>
      <w:r w:rsidRPr="00461585">
        <w:t xml:space="preserve">with </w:t>
      </w:r>
      <w:r>
        <w:t>c</w:t>
      </w:r>
      <w:r w:rsidRPr="00461585">
        <w:t xml:space="preserve">are </w:t>
      </w:r>
      <w:r>
        <w:t>p</w:t>
      </w:r>
      <w:r w:rsidRPr="00461585">
        <w:t xml:space="preserve">lan </w:t>
      </w:r>
      <w:r>
        <w:t>c</w:t>
      </w:r>
      <w:r w:rsidRPr="00461585">
        <w:t>oordinators and/or care team members</w:t>
      </w:r>
    </w:p>
    <w:p w14:paraId="37EB60A5" w14:textId="77777777" w:rsidR="00B612B6" w:rsidRPr="001310C7" w:rsidRDefault="00B612B6" w:rsidP="00B612B6">
      <w:pPr>
        <w:pStyle w:val="lastbullett"/>
        <w:numPr>
          <w:ilvl w:val="0"/>
          <w:numId w:val="40"/>
        </w:numPr>
        <w:ind w:left="357" w:hanging="357"/>
      </w:pPr>
      <w:r w:rsidRPr="00461585">
        <w:t>manage</w:t>
      </w:r>
      <w:r>
        <w:t xml:space="preserve"> </w:t>
      </w:r>
      <w:r w:rsidRPr="001310C7">
        <w:t>brokerage processes in line with procurement guidelines.</w:t>
      </w:r>
    </w:p>
    <w:p w14:paraId="5BE77846" w14:textId="77777777" w:rsidR="00B612B6" w:rsidRDefault="00B612B6" w:rsidP="00B612B6">
      <w:pPr>
        <w:pStyle w:val="Bodyafterbullets"/>
      </w:pPr>
      <w:r>
        <w:t xml:space="preserve">Complex Needs Coordinators </w:t>
      </w:r>
      <w:r w:rsidRPr="009D5C43">
        <w:t>do not provide:</w:t>
      </w:r>
    </w:p>
    <w:p w14:paraId="59FE0991" w14:textId="77777777" w:rsidR="00B612B6" w:rsidRDefault="00B612B6" w:rsidP="00B612B6">
      <w:pPr>
        <w:pStyle w:val="Bullet1"/>
        <w:numPr>
          <w:ilvl w:val="0"/>
          <w:numId w:val="40"/>
        </w:numPr>
        <w:ind w:left="357" w:hanging="357"/>
      </w:pPr>
      <w:r>
        <w:t>case management</w:t>
      </w:r>
    </w:p>
    <w:p w14:paraId="01C1EE59" w14:textId="77777777" w:rsidR="00B612B6" w:rsidRDefault="00B612B6" w:rsidP="00B612B6">
      <w:pPr>
        <w:pStyle w:val="Bullet1"/>
        <w:numPr>
          <w:ilvl w:val="0"/>
          <w:numId w:val="40"/>
        </w:numPr>
        <w:ind w:left="357" w:hanging="357"/>
      </w:pPr>
      <w:r>
        <w:t>crisis response</w:t>
      </w:r>
    </w:p>
    <w:p w14:paraId="07E18AAD" w14:textId="77777777" w:rsidR="00B612B6" w:rsidRDefault="00B612B6" w:rsidP="00B612B6">
      <w:pPr>
        <w:pStyle w:val="lastbullett"/>
        <w:numPr>
          <w:ilvl w:val="0"/>
          <w:numId w:val="40"/>
        </w:numPr>
        <w:ind w:left="357" w:hanging="357"/>
      </w:pPr>
      <w:r>
        <w:t>direct client work.</w:t>
      </w:r>
    </w:p>
    <w:p w14:paraId="7291C71E" w14:textId="2DE58D95" w:rsidR="00B612B6" w:rsidRDefault="00B612B6" w:rsidP="006526E4">
      <w:pPr>
        <w:pStyle w:val="Heading1"/>
      </w:pPr>
      <w:bookmarkStart w:id="18" w:name="_Toc137636727"/>
      <w:bookmarkStart w:id="19" w:name="_Toc142486627"/>
      <w:bookmarkStart w:id="20" w:name="_Toc144299824"/>
      <w:r>
        <w:t>Intake</w:t>
      </w:r>
      <w:bookmarkEnd w:id="18"/>
      <w:bookmarkEnd w:id="19"/>
      <w:bookmarkEnd w:id="20"/>
      <w:r>
        <w:t xml:space="preserve"> </w:t>
      </w:r>
    </w:p>
    <w:p w14:paraId="5D90CA8A" w14:textId="77777777" w:rsidR="00B612B6" w:rsidRDefault="00B612B6" w:rsidP="00B612B6">
      <w:pPr>
        <w:pStyle w:val="Body"/>
      </w:pPr>
      <w:r>
        <w:t xml:space="preserve">At intake the </w:t>
      </w:r>
      <w:r w:rsidRPr="00C3413A">
        <w:t>Complex</w:t>
      </w:r>
      <w:r>
        <w:t xml:space="preserve"> Needs Coordinator provides a tailored response based on the initial identification of client need, </w:t>
      </w:r>
      <w:r w:rsidRPr="18D75DDB">
        <w:t xml:space="preserve">eligibility consideration, </w:t>
      </w:r>
      <w:r>
        <w:t xml:space="preserve">care team functionality, the service system’s capacity to effectively respond to the client’s </w:t>
      </w:r>
      <w:r w:rsidRPr="002E7DC3">
        <w:t xml:space="preserve">support needs, (reflecting on the success of </w:t>
      </w:r>
      <w:r w:rsidRPr="002E7DC3">
        <w:lastRenderedPageBreak/>
        <w:t xml:space="preserve">interventions and service responses used to this point), and other case-by-case considerations. </w:t>
      </w:r>
      <w:r>
        <w:t>For incoming client</w:t>
      </w:r>
      <w:r w:rsidRPr="002E7DC3">
        <w:t xml:space="preserve"> referrals</w:t>
      </w:r>
      <w:r>
        <w:t>, the pathway options will be:</w:t>
      </w:r>
    </w:p>
    <w:p w14:paraId="16B6FC68" w14:textId="77777777" w:rsidR="00B612B6" w:rsidRDefault="00B612B6" w:rsidP="00B612B6">
      <w:pPr>
        <w:pStyle w:val="Bullet1"/>
        <w:numPr>
          <w:ilvl w:val="0"/>
          <w:numId w:val="40"/>
        </w:numPr>
        <w:ind w:left="357" w:hanging="357"/>
      </w:pPr>
      <w:r>
        <w:t>consultation with the Complex Needs Coordinator, which may progress to Pre-MACNI and/or formal MACNI</w:t>
      </w:r>
    </w:p>
    <w:p w14:paraId="04FDE752" w14:textId="77777777" w:rsidR="00B612B6" w:rsidRDefault="00B612B6" w:rsidP="00B612B6">
      <w:pPr>
        <w:pStyle w:val="Bullet1"/>
        <w:numPr>
          <w:ilvl w:val="0"/>
          <w:numId w:val="40"/>
        </w:numPr>
        <w:ind w:left="357" w:hanging="357"/>
      </w:pPr>
      <w:r>
        <w:t>Assertive Outreach and Support (AOS)</w:t>
      </w:r>
    </w:p>
    <w:p w14:paraId="1B9FD77C" w14:textId="77777777" w:rsidR="00B612B6" w:rsidRDefault="00B612B6" w:rsidP="00B612B6">
      <w:pPr>
        <w:pStyle w:val="Bullet1"/>
        <w:numPr>
          <w:ilvl w:val="0"/>
          <w:numId w:val="40"/>
        </w:numPr>
        <w:ind w:left="357" w:hanging="357"/>
      </w:pPr>
      <w:r>
        <w:t>Support for High-Risk Tenancies (SfHRT)</w:t>
      </w:r>
    </w:p>
    <w:p w14:paraId="5E1A6758" w14:textId="77777777" w:rsidR="00B612B6" w:rsidRDefault="00B612B6" w:rsidP="00B612B6">
      <w:pPr>
        <w:pStyle w:val="lastbullett"/>
        <w:numPr>
          <w:ilvl w:val="0"/>
          <w:numId w:val="40"/>
        </w:numPr>
        <w:ind w:left="357" w:hanging="357"/>
      </w:pPr>
      <w:r>
        <w:t>non-acceptance and referral to alternate existing service system response.</w:t>
      </w:r>
    </w:p>
    <w:p w14:paraId="35FB76C2" w14:textId="77777777" w:rsidR="00B612B6" w:rsidRPr="00553C4F" w:rsidRDefault="00B612B6" w:rsidP="006526E4">
      <w:pPr>
        <w:pStyle w:val="Heading1"/>
      </w:pPr>
      <w:bookmarkStart w:id="21" w:name="_Toc144299825"/>
      <w:r>
        <w:t>Referral and eligibility</w:t>
      </w:r>
      <w:bookmarkEnd w:id="21"/>
    </w:p>
    <w:p w14:paraId="0B07B783" w14:textId="77777777" w:rsidR="00B612B6" w:rsidRPr="009073EE" w:rsidRDefault="00B612B6" w:rsidP="00B612B6">
      <w:pPr>
        <w:pStyle w:val="Body"/>
      </w:pPr>
      <w:r>
        <w:t>A r</w:t>
      </w:r>
      <w:r w:rsidRPr="009073EE">
        <w:t xml:space="preserve">eferral to </w:t>
      </w:r>
      <w:r>
        <w:t xml:space="preserve">a </w:t>
      </w:r>
      <w:r w:rsidRPr="009073EE">
        <w:t xml:space="preserve">Complex Needs </w:t>
      </w:r>
      <w:r>
        <w:t xml:space="preserve">team is </w:t>
      </w:r>
      <w:r w:rsidRPr="009073EE">
        <w:t xml:space="preserve">made for </w:t>
      </w:r>
      <w:r>
        <w:t>a person</w:t>
      </w:r>
      <w:r w:rsidRPr="009073EE">
        <w:t xml:space="preserve"> who would benefit from a service response due to:</w:t>
      </w:r>
    </w:p>
    <w:p w14:paraId="4217D78F" w14:textId="77777777" w:rsidR="00B612B6" w:rsidRPr="00AE65AB" w:rsidRDefault="00B612B6" w:rsidP="00B612B6">
      <w:pPr>
        <w:pStyle w:val="Bullet1"/>
        <w:numPr>
          <w:ilvl w:val="0"/>
          <w:numId w:val="40"/>
        </w:numPr>
        <w:ind w:left="357" w:hanging="357"/>
      </w:pPr>
      <w:r w:rsidRPr="00AE65AB">
        <w:t>the person needing support with their multiple and/or complex health or social needs. This can include individuals with medical conditions, mental health issues, disabilities, high-risk behaviours, or social issues, such as homelessness or substance use</w:t>
      </w:r>
    </w:p>
    <w:p w14:paraId="27B560EB" w14:textId="77777777" w:rsidR="00B612B6" w:rsidRPr="00AE65AB" w:rsidRDefault="00B612B6" w:rsidP="00B612B6">
      <w:pPr>
        <w:pStyle w:val="Bullet1"/>
        <w:numPr>
          <w:ilvl w:val="0"/>
          <w:numId w:val="40"/>
        </w:numPr>
        <w:ind w:left="357" w:hanging="357"/>
      </w:pPr>
      <w:r w:rsidRPr="00AE65AB">
        <w:t>the person may be experiencing significant service gaps and/or barriers to service access</w:t>
      </w:r>
    </w:p>
    <w:p w14:paraId="7453D449" w14:textId="77777777" w:rsidR="00B612B6" w:rsidRDefault="00B612B6" w:rsidP="00B612B6">
      <w:pPr>
        <w:pStyle w:val="Bullet1"/>
        <w:numPr>
          <w:ilvl w:val="0"/>
          <w:numId w:val="40"/>
        </w:numPr>
        <w:ind w:left="357" w:hanging="357"/>
      </w:pPr>
      <w:r w:rsidRPr="00AE65AB">
        <w:t xml:space="preserve">existing services needing additional resourcing, service coordination, expert input, and/or shared problem-solving, decision-making, planning to stabilise and continue service provision for </w:t>
      </w:r>
      <w:r>
        <w:t>improved client outcomes.</w:t>
      </w:r>
    </w:p>
    <w:p w14:paraId="4F03E835" w14:textId="77777777" w:rsidR="00B612B6" w:rsidRPr="00314580" w:rsidRDefault="00B612B6" w:rsidP="00B612B6">
      <w:pPr>
        <w:pStyle w:val="Bodyafterbullets"/>
      </w:pPr>
      <w:r w:rsidRPr="008023A7">
        <w:t xml:space="preserve">On contact, the referrer will be asked to </w:t>
      </w:r>
      <w:r w:rsidRPr="007D1801">
        <w:t>complete a referral form to enable the Complex Needs Coordinator to initially assess eligibility and identify</w:t>
      </w:r>
      <w:r>
        <w:t xml:space="preserve"> the client’s support needs. Intake allows for the referral to progress to the most suitable </w:t>
      </w:r>
      <w:r w:rsidRPr="00881865">
        <w:t xml:space="preserve">complex needs services </w:t>
      </w:r>
      <w:r>
        <w:t>response.</w:t>
      </w:r>
    </w:p>
    <w:p w14:paraId="10E08DA4" w14:textId="165DA58E" w:rsidR="00E90761" w:rsidRDefault="00E90761" w:rsidP="00E90761">
      <w:pPr>
        <w:pStyle w:val="Heading1"/>
      </w:pPr>
      <w:bookmarkStart w:id="22" w:name="_Toc144299826"/>
      <w:r>
        <w:t>Consultation</w:t>
      </w:r>
      <w:bookmarkEnd w:id="17"/>
      <w:bookmarkEnd w:id="22"/>
    </w:p>
    <w:p w14:paraId="4B997D3D" w14:textId="77777777" w:rsidR="00A070BD" w:rsidRDefault="00A070BD" w:rsidP="00A070BD">
      <w:pPr>
        <w:pStyle w:val="Body"/>
      </w:pPr>
      <w:r>
        <w:t xml:space="preserve">Complex Needs Coordinators’ work is predominantly in the consultation support phase. </w:t>
      </w:r>
    </w:p>
    <w:p w14:paraId="459C0272" w14:textId="77777777" w:rsidR="007B5457" w:rsidRPr="009721F5" w:rsidRDefault="007B5457" w:rsidP="007B5457">
      <w:pPr>
        <w:pStyle w:val="Bodyafterbullets"/>
      </w:pPr>
      <w:r>
        <w:t>Including intake, c</w:t>
      </w:r>
      <w:r w:rsidRPr="00745E4C">
        <w:t>onsultation services are provided for clients who have complex support needs</w:t>
      </w:r>
      <w:r>
        <w:t xml:space="preserve"> which are not being suitably supported within the existing service system</w:t>
      </w:r>
      <w:r w:rsidRPr="00745E4C">
        <w:t xml:space="preserve">. </w:t>
      </w:r>
      <w:r>
        <w:t>C</w:t>
      </w:r>
      <w:r w:rsidRPr="009721F5">
        <w:t xml:space="preserve">onsultation is intended </w:t>
      </w:r>
      <w:r>
        <w:t>to</w:t>
      </w:r>
      <w:r w:rsidRPr="009721F5">
        <w:t xml:space="preserve"> </w:t>
      </w:r>
      <w:r>
        <w:t xml:space="preserve">complement and enhance </w:t>
      </w:r>
      <w:r w:rsidRPr="009721F5">
        <w:t>the sustainability of the existing service system</w:t>
      </w:r>
      <w:r>
        <w:t>,</w:t>
      </w:r>
      <w:r w:rsidRPr="009721F5">
        <w:t xml:space="preserve"> rather than replace or duplicate </w:t>
      </w:r>
      <w:r>
        <w:t xml:space="preserve">specific </w:t>
      </w:r>
      <w:r w:rsidRPr="009721F5">
        <w:t>service responses. The primary function is to improve client outcomes through support and guidance to engaged services to maximise flexibility and responsiveness of support options</w:t>
      </w:r>
      <w:r>
        <w:t xml:space="preserve"> in the standard service system</w:t>
      </w:r>
      <w:r w:rsidRPr="009721F5">
        <w:t xml:space="preserve">. </w:t>
      </w:r>
    </w:p>
    <w:p w14:paraId="0D16A2BD" w14:textId="77777777" w:rsidR="007B5457" w:rsidRPr="00745E4C" w:rsidRDefault="007B5457" w:rsidP="007B5457">
      <w:pPr>
        <w:pStyle w:val="Bodyafterbullets"/>
      </w:pPr>
      <w:r w:rsidRPr="00745E4C">
        <w:t xml:space="preserve">The </w:t>
      </w:r>
      <w:r>
        <w:t>Complex Needs C</w:t>
      </w:r>
      <w:r w:rsidRPr="00745E4C">
        <w:t>oordinator’s tasks at this stage are:</w:t>
      </w:r>
    </w:p>
    <w:p w14:paraId="386DDF8A" w14:textId="77777777" w:rsidR="007B5457" w:rsidRPr="00FB04FB" w:rsidRDefault="007B5457" w:rsidP="007B5457">
      <w:pPr>
        <w:pStyle w:val="Bullet1"/>
        <w:numPr>
          <w:ilvl w:val="0"/>
          <w:numId w:val="40"/>
        </w:numPr>
        <w:ind w:left="357" w:hanging="357"/>
      </w:pPr>
      <w:r>
        <w:t>information and practice advice</w:t>
      </w:r>
    </w:p>
    <w:p w14:paraId="6A25716B" w14:textId="77777777" w:rsidR="007B5457" w:rsidRPr="00FB04FB" w:rsidRDefault="007B5457" w:rsidP="007B5457">
      <w:pPr>
        <w:pStyle w:val="Bullet1"/>
        <w:numPr>
          <w:ilvl w:val="0"/>
          <w:numId w:val="40"/>
        </w:numPr>
        <w:ind w:left="357" w:hanging="357"/>
      </w:pPr>
      <w:r>
        <w:t>system navigation and problem-solving</w:t>
      </w:r>
    </w:p>
    <w:p w14:paraId="397D103B" w14:textId="77777777" w:rsidR="007B5457" w:rsidRDefault="007B5457" w:rsidP="007B5457">
      <w:pPr>
        <w:pStyle w:val="Bullet1"/>
        <w:numPr>
          <w:ilvl w:val="0"/>
          <w:numId w:val="40"/>
        </w:numPr>
        <w:ind w:left="357" w:hanging="357"/>
      </w:pPr>
      <w:r>
        <w:t>capacity-building</w:t>
      </w:r>
    </w:p>
    <w:p w14:paraId="0DE472AA" w14:textId="77777777" w:rsidR="007B5457" w:rsidRPr="00745E4C" w:rsidRDefault="007B5457" w:rsidP="007B5457">
      <w:pPr>
        <w:pStyle w:val="Bullet1"/>
        <w:numPr>
          <w:ilvl w:val="0"/>
          <w:numId w:val="40"/>
        </w:numPr>
        <w:ind w:left="357" w:hanging="357"/>
      </w:pPr>
      <w:r>
        <w:t>facilitate assessment for diagnostic clarity and to drive required service responses</w:t>
      </w:r>
    </w:p>
    <w:p w14:paraId="100FA553" w14:textId="77777777" w:rsidR="007B5457" w:rsidRPr="00745E4C" w:rsidRDefault="007B5457" w:rsidP="007B5457">
      <w:pPr>
        <w:pStyle w:val="lastbullett"/>
        <w:numPr>
          <w:ilvl w:val="0"/>
          <w:numId w:val="40"/>
        </w:numPr>
        <w:ind w:left="357" w:hanging="357"/>
      </w:pPr>
      <w:r>
        <w:t>service coordination (time-limited and less than 4 hours per week).</w:t>
      </w:r>
    </w:p>
    <w:p w14:paraId="43461228" w14:textId="77777777" w:rsidR="007B5457" w:rsidRDefault="007B5457" w:rsidP="007B5457">
      <w:pPr>
        <w:pStyle w:val="Body"/>
      </w:pPr>
      <w:r>
        <w:t xml:space="preserve">The Complex Needs Coordinator does not directly engage with, provide direct support, or case management with individuals and families. There may be contact if people self-refer/families refer or are in a care team. </w:t>
      </w:r>
    </w:p>
    <w:p w14:paraId="72335A6D" w14:textId="77777777" w:rsidR="007B5457" w:rsidRDefault="007B5457" w:rsidP="007B5457">
      <w:pPr>
        <w:pStyle w:val="Bodyafterbullets"/>
      </w:pPr>
      <w:r>
        <w:t xml:space="preserve">During consultation, it may become apparent that the client or care team’s needs cannot be effectively supported without a more specific response or higher level of service or care </w:t>
      </w:r>
      <w:r>
        <w:lastRenderedPageBreak/>
        <w:t>coordination. If so, the Complex Needs Coordinator will work with involved services to determine the next steps of either a referral for:</w:t>
      </w:r>
    </w:p>
    <w:p w14:paraId="3720F5E5" w14:textId="77777777" w:rsidR="007B5457" w:rsidRPr="003F1944" w:rsidRDefault="007B5457" w:rsidP="007B5457">
      <w:pPr>
        <w:pStyle w:val="Bullet1"/>
        <w:numPr>
          <w:ilvl w:val="0"/>
          <w:numId w:val="40"/>
        </w:numPr>
        <w:ind w:left="357" w:hanging="357"/>
      </w:pPr>
      <w:r>
        <w:t xml:space="preserve">Pre-MACNI </w:t>
      </w:r>
    </w:p>
    <w:p w14:paraId="0686140F" w14:textId="77777777" w:rsidR="007B5457" w:rsidRDefault="007B5457" w:rsidP="007B5457">
      <w:pPr>
        <w:pStyle w:val="Bullet1"/>
        <w:numPr>
          <w:ilvl w:val="0"/>
          <w:numId w:val="40"/>
        </w:numPr>
        <w:ind w:left="357" w:hanging="357"/>
      </w:pPr>
      <w:r>
        <w:t>MACNI eligibility determination to receive formal care plan coordination under the Act.</w:t>
      </w:r>
    </w:p>
    <w:p w14:paraId="5D3204C0" w14:textId="77777777" w:rsidR="00E90761" w:rsidRDefault="00E90761" w:rsidP="00E90761">
      <w:pPr>
        <w:pStyle w:val="Heading1"/>
      </w:pPr>
      <w:bookmarkStart w:id="23" w:name="_Toc83816731"/>
      <w:bookmarkStart w:id="24" w:name="_Toc144299827"/>
      <w:r>
        <w:t>Pre-MACNI</w:t>
      </w:r>
      <w:bookmarkEnd w:id="23"/>
      <w:bookmarkEnd w:id="24"/>
    </w:p>
    <w:p w14:paraId="62ED2917" w14:textId="77777777" w:rsidR="00E90761" w:rsidRDefault="00E90761" w:rsidP="00E90761">
      <w:pPr>
        <w:pStyle w:val="Body"/>
      </w:pPr>
      <w:r>
        <w:t>Pre-MACNI is indicated where:</w:t>
      </w:r>
    </w:p>
    <w:p w14:paraId="3F4E5469" w14:textId="77777777" w:rsidR="00E90761" w:rsidRDefault="00E90761" w:rsidP="00E90761">
      <w:pPr>
        <w:pStyle w:val="Bullet1"/>
      </w:pPr>
      <w:r>
        <w:t xml:space="preserve">a client appears to meet the </w:t>
      </w:r>
      <w:r w:rsidRPr="00E56279">
        <w:rPr>
          <w:i/>
          <w:iCs/>
        </w:rPr>
        <w:t>Human Services (Complex Needs) Act 2009</w:t>
      </w:r>
      <w:r>
        <w:t xml:space="preserve"> eligibility criteria (does not require to be confirmed by formal assessment)</w:t>
      </w:r>
    </w:p>
    <w:p w14:paraId="3B09200E" w14:textId="77777777" w:rsidR="00E90761" w:rsidRDefault="00E90761" w:rsidP="00E90761">
      <w:pPr>
        <w:pStyle w:val="Bullet1"/>
      </w:pPr>
      <w:r>
        <w:t>the client’s presenting issues were not able to be adequately resolved through consultation, local problem-solving and collaboration</w:t>
      </w:r>
    </w:p>
    <w:p w14:paraId="681F7FBE" w14:textId="77777777" w:rsidR="00E90761" w:rsidRDefault="00E90761" w:rsidP="00E90761">
      <w:pPr>
        <w:pStyle w:val="Bullet1"/>
      </w:pPr>
      <w:r>
        <w:t>the client and care team would benefit from time limited care coordination (&lt;4 hours per week)</w:t>
      </w:r>
    </w:p>
    <w:p w14:paraId="1B7480E1" w14:textId="77777777" w:rsidR="00E90761" w:rsidRDefault="00E90761" w:rsidP="00E90761">
      <w:pPr>
        <w:pStyle w:val="Bullet1"/>
      </w:pPr>
      <w:r>
        <w:t>there is evidence to suggest that a particular support intervention is likely to positively impact on the client’s situation and longer-term outcome and can only be achieved through the use of Pre-MACNI brokerage funding.</w:t>
      </w:r>
    </w:p>
    <w:p w14:paraId="5F80FDF2" w14:textId="77777777" w:rsidR="00E90761" w:rsidRDefault="00E90761" w:rsidP="00E90761">
      <w:pPr>
        <w:pStyle w:val="Bodyafterbullets"/>
      </w:pPr>
      <w:r>
        <w:t>Based on the above, a Pre-MACNI response may be considered by the Complex Needs Coordinator.</w:t>
      </w:r>
    </w:p>
    <w:p w14:paraId="729B0E51" w14:textId="7B099A69" w:rsidR="00E90761" w:rsidRDefault="00E90761" w:rsidP="00E90761">
      <w:pPr>
        <w:pStyle w:val="Heading1"/>
      </w:pPr>
      <w:bookmarkStart w:id="25" w:name="_Toc83816732"/>
      <w:bookmarkStart w:id="26" w:name="_Toc144299828"/>
      <w:r>
        <w:t xml:space="preserve">Making a referral to </w:t>
      </w:r>
      <w:r w:rsidR="0044340A">
        <w:t xml:space="preserve">formal </w:t>
      </w:r>
      <w:r>
        <w:t>MACNI</w:t>
      </w:r>
      <w:bookmarkEnd w:id="25"/>
      <w:bookmarkEnd w:id="26"/>
    </w:p>
    <w:p w14:paraId="030D3FA0" w14:textId="2BFC5E80" w:rsidR="00EF5295" w:rsidRDefault="00E90761" w:rsidP="00E90761">
      <w:pPr>
        <w:pStyle w:val="Body"/>
      </w:pPr>
      <w:r>
        <w:t xml:space="preserve">Referrals to </w:t>
      </w:r>
      <w:r w:rsidR="00B16198">
        <w:t xml:space="preserve">formal </w:t>
      </w:r>
      <w:r>
        <w:t>MACNI must be made through the Complex Needs Coordinator, the single access point to the MACNI referral process.</w:t>
      </w:r>
      <w:r w:rsidR="00EF5295">
        <w:t xml:space="preserve"> All referrals commence in the consultation phase and are only escalated for consideration for formal MACNI once all other options have been exhausted. The </w:t>
      </w:r>
      <w:r w:rsidR="00EF5295" w:rsidRPr="00EF5295">
        <w:t>Complex Needs Coordinator decides if and when a client should be considered eligibility under the Act and</w:t>
      </w:r>
      <w:r w:rsidR="00EF5295">
        <w:t xml:space="preserve"> this decision needs to be endorsed by the Complex Needs Panel and </w:t>
      </w:r>
      <w:r w:rsidR="007A3A21">
        <w:t xml:space="preserve">Area </w:t>
      </w:r>
      <w:r w:rsidR="00EF5295">
        <w:t>Executive Director. This process can be len</w:t>
      </w:r>
      <w:r w:rsidR="00B16198">
        <w:t>gthy</w:t>
      </w:r>
      <w:r w:rsidR="00EF5295">
        <w:t xml:space="preserve">, however </w:t>
      </w:r>
      <w:r w:rsidR="007A3A21">
        <w:t>many</w:t>
      </w:r>
      <w:r w:rsidR="00EF5295">
        <w:t xml:space="preserve"> referrals can be resolved at the consultation stage without needing further escalation.</w:t>
      </w:r>
    </w:p>
    <w:p w14:paraId="1AACA9B9" w14:textId="5E33F0E0" w:rsidR="00E90761" w:rsidRDefault="007A3A21" w:rsidP="00E90761">
      <w:pPr>
        <w:pStyle w:val="Body"/>
      </w:pPr>
      <w:r>
        <w:t>If a referral to formal MACNI is appropriate, t</w:t>
      </w:r>
      <w:r w:rsidR="00E90761">
        <w:t xml:space="preserve">he Complex Needs Coordinator is available to help a referrer complete the </w:t>
      </w:r>
      <w:r w:rsidR="008319CB">
        <w:t xml:space="preserve">eligibility request form </w:t>
      </w:r>
      <w:r w:rsidR="00E90761">
        <w:t>and ensure all of the requirements are met.</w:t>
      </w:r>
      <w:r w:rsidR="00B16198">
        <w:t xml:space="preserve"> </w:t>
      </w:r>
      <w:r w:rsidR="00E90761">
        <w:t xml:space="preserve">Once </w:t>
      </w:r>
      <w:r w:rsidR="002C12E5">
        <w:t xml:space="preserve">completed, </w:t>
      </w:r>
      <w:r w:rsidR="00E90761">
        <w:t xml:space="preserve">the Complex Needs Coordinator will review and present the </w:t>
      </w:r>
      <w:r w:rsidR="002C12E5">
        <w:t>eligibility request</w:t>
      </w:r>
      <w:r w:rsidR="00E90761">
        <w:t xml:space="preserve"> to the local area panel for its assessment and recommendation of eligibility.</w:t>
      </w:r>
    </w:p>
    <w:p w14:paraId="6CF7DB6C" w14:textId="79363349" w:rsidR="00E90761" w:rsidRDefault="00F81241" w:rsidP="00F81241">
      <w:pPr>
        <w:pStyle w:val="Heading1"/>
      </w:pPr>
      <w:bookmarkStart w:id="27" w:name="_Toc83816733"/>
      <w:bookmarkStart w:id="28" w:name="_Toc144299829"/>
      <w:r>
        <w:t>Complex Needs P</w:t>
      </w:r>
      <w:r w:rsidR="00E90761">
        <w:t>anels</w:t>
      </w:r>
      <w:bookmarkEnd w:id="27"/>
      <w:bookmarkEnd w:id="28"/>
      <w:r w:rsidR="00E90761">
        <w:t xml:space="preserve"> </w:t>
      </w:r>
    </w:p>
    <w:p w14:paraId="7BA9A76E" w14:textId="77777777" w:rsidR="00E90761" w:rsidRDefault="00E90761" w:rsidP="00E90761">
      <w:pPr>
        <w:pStyle w:val="Body"/>
      </w:pPr>
      <w:r>
        <w:t>The key roles and responsibilities of the panel are:</w:t>
      </w:r>
    </w:p>
    <w:p w14:paraId="36892810" w14:textId="77777777" w:rsidR="00E90761" w:rsidRDefault="00E90761" w:rsidP="00E90761">
      <w:pPr>
        <w:pStyle w:val="Bullet1"/>
      </w:pPr>
      <w:r>
        <w:t xml:space="preserve">evaluate the effectiveness of care plans intended to promote holistic, innovative, flexible, client-centred and value-for-money service responses </w:t>
      </w:r>
    </w:p>
    <w:p w14:paraId="46D2C674" w14:textId="77777777" w:rsidR="00E90761" w:rsidRDefault="00E90761" w:rsidP="00E90761">
      <w:pPr>
        <w:pStyle w:val="Bullet1"/>
      </w:pPr>
      <w:r>
        <w:t>consider eligibility, recommend, vary and terminate care plans for the Multiple &amp; Complex Needs Initiative according to the Act</w:t>
      </w:r>
    </w:p>
    <w:p w14:paraId="1F142569" w14:textId="77777777" w:rsidR="00E90761" w:rsidRDefault="00E90761" w:rsidP="00E90761">
      <w:pPr>
        <w:pStyle w:val="Bullet1"/>
      </w:pPr>
      <w:r>
        <w:t>consider, recommend and review brokerage for clients with complex needs, including SfHRT consultations (for requests over $15,000 only), MACNI consultations, Pre-MACNI and formal MACNI clients</w:t>
      </w:r>
    </w:p>
    <w:p w14:paraId="62EBFBBE" w14:textId="77777777" w:rsidR="00E90761" w:rsidRDefault="00E90761" w:rsidP="00E90761">
      <w:pPr>
        <w:pStyle w:val="Bullet1"/>
      </w:pPr>
      <w:r>
        <w:lastRenderedPageBreak/>
        <w:t>escalate systemic issues and trend analysis findings to the Disability and Complex Clients Practice Advice and Support unit.</w:t>
      </w:r>
    </w:p>
    <w:p w14:paraId="1225969F" w14:textId="77777777" w:rsidR="00E90761" w:rsidRDefault="00E90761" w:rsidP="00E90761">
      <w:pPr>
        <w:pStyle w:val="Bullet1"/>
      </w:pPr>
      <w:r>
        <w:t>enhance the service system capacity through cross-program and service partnership and collaborative practice</w:t>
      </w:r>
    </w:p>
    <w:p w14:paraId="47100922" w14:textId="77777777" w:rsidR="00E90761" w:rsidRDefault="00E90761" w:rsidP="00E90761">
      <w:pPr>
        <w:pStyle w:val="Bullet1"/>
      </w:pPr>
      <w:r>
        <w:t>empower and support practitioners to problem solve client and service system issues through robust discussion and critical reflection.</w:t>
      </w:r>
    </w:p>
    <w:p w14:paraId="4D3B401B" w14:textId="77777777" w:rsidR="00E90761" w:rsidRDefault="00E90761" w:rsidP="00E90761">
      <w:pPr>
        <w:pStyle w:val="Heading2"/>
      </w:pPr>
      <w:bookmarkStart w:id="29" w:name="_Toc83816734"/>
      <w:bookmarkStart w:id="30" w:name="_Toc144299830"/>
      <w:r>
        <w:t>What happens if the person is eligible?</w:t>
      </w:r>
      <w:bookmarkEnd w:id="29"/>
      <w:bookmarkEnd w:id="30"/>
      <w:r>
        <w:t xml:space="preserve"> </w:t>
      </w:r>
    </w:p>
    <w:p w14:paraId="75173514" w14:textId="77777777" w:rsidR="00E90761" w:rsidRDefault="00E90761" w:rsidP="00E90761">
      <w:pPr>
        <w:pStyle w:val="Body"/>
      </w:pPr>
      <w:r>
        <w:t>If the person is determined to be eligible for MACNI, the Complex Needs Coordinator will notify the person and the referrer of the eligibility determination outcome.</w:t>
      </w:r>
    </w:p>
    <w:p w14:paraId="165C4857" w14:textId="77777777" w:rsidR="00E90761" w:rsidRDefault="00E90761" w:rsidP="00E90761">
      <w:pPr>
        <w:pStyle w:val="Body"/>
      </w:pPr>
      <w:r>
        <w:t>A Complex Needs Panel will meet to arrange for a service to develop a draft care plan for that person. This plan will be based on a thorough understanding of the person’s needs, goals and best interests, including cultural identity and safety, cultural planning and self-determination.</w:t>
      </w:r>
    </w:p>
    <w:p w14:paraId="6D4FDFAF" w14:textId="77777777" w:rsidR="00E90761" w:rsidRDefault="00E90761" w:rsidP="00E90761">
      <w:pPr>
        <w:pStyle w:val="Heading1"/>
      </w:pPr>
      <w:bookmarkStart w:id="31" w:name="_Toc83816735"/>
      <w:bookmarkStart w:id="32" w:name="_Toc144299831"/>
      <w:r>
        <w:t>Care plan</w:t>
      </w:r>
      <w:bookmarkEnd w:id="31"/>
      <w:bookmarkEnd w:id="32"/>
      <w:r>
        <w:t xml:space="preserve"> </w:t>
      </w:r>
    </w:p>
    <w:p w14:paraId="2C45319D" w14:textId="77777777" w:rsidR="00E90761" w:rsidRDefault="00E90761" w:rsidP="00E90761">
      <w:pPr>
        <w:pStyle w:val="Body"/>
      </w:pPr>
      <w:r>
        <w:t>The care plan enables a coordinated response to the needs of the person. It seeks to promote stabilisation in housing, health and wellbeing, safety and social connectedness, including the promotion of cultural identity.</w:t>
      </w:r>
    </w:p>
    <w:p w14:paraId="758D2362" w14:textId="77777777" w:rsidR="00E90761" w:rsidRDefault="00E90761" w:rsidP="00E90761">
      <w:pPr>
        <w:pStyle w:val="Body"/>
      </w:pPr>
      <w:r>
        <w:t xml:space="preserve">A care plan is initially developed for a 12-month period and may be extended to a maximum of 36-months. </w:t>
      </w:r>
    </w:p>
    <w:p w14:paraId="42934E27" w14:textId="77777777" w:rsidR="00E90761" w:rsidRDefault="00E90761" w:rsidP="00E90761">
      <w:pPr>
        <w:pStyle w:val="Body"/>
      </w:pPr>
      <w:r>
        <w:t>The care plan outlines the:</w:t>
      </w:r>
    </w:p>
    <w:p w14:paraId="282A0935" w14:textId="77777777" w:rsidR="00E90761" w:rsidRDefault="00E90761" w:rsidP="00E90761">
      <w:pPr>
        <w:pStyle w:val="Bullet1"/>
      </w:pPr>
      <w:r>
        <w:t>areas of the person’s life which have been identified as a priority</w:t>
      </w:r>
    </w:p>
    <w:p w14:paraId="6FB00454" w14:textId="77777777" w:rsidR="00E90761" w:rsidRDefault="00E90761" w:rsidP="00E90761">
      <w:pPr>
        <w:pStyle w:val="Bullet1"/>
      </w:pPr>
      <w:r>
        <w:t>priority goals for the person</w:t>
      </w:r>
    </w:p>
    <w:p w14:paraId="4EA2EEB2" w14:textId="77777777" w:rsidR="00E90761" w:rsidRDefault="00E90761" w:rsidP="00E90761">
      <w:pPr>
        <w:pStyle w:val="Bullet1"/>
      </w:pPr>
      <w:r>
        <w:t>strategies to engage the person</w:t>
      </w:r>
    </w:p>
    <w:p w14:paraId="5BABF6F5" w14:textId="77777777" w:rsidR="00E90761" w:rsidRDefault="00E90761" w:rsidP="00E90761">
      <w:pPr>
        <w:pStyle w:val="Bullet1"/>
      </w:pPr>
      <w:r>
        <w:t>services and supports required and their roles and responsibilities</w:t>
      </w:r>
    </w:p>
    <w:p w14:paraId="6F2DFC1A" w14:textId="77777777" w:rsidR="00E90761" w:rsidRDefault="00E90761" w:rsidP="00E90761">
      <w:pPr>
        <w:pStyle w:val="Bullet1"/>
      </w:pPr>
      <w:r>
        <w:t>crisis intervention and contingency plans specific to the person.</w:t>
      </w:r>
    </w:p>
    <w:p w14:paraId="522D6F40" w14:textId="77777777" w:rsidR="00E90761" w:rsidRDefault="00E90761" w:rsidP="00E90761">
      <w:pPr>
        <w:pStyle w:val="Bodyafterbullets"/>
      </w:pPr>
      <w:r>
        <w:t xml:space="preserve">The </w:t>
      </w:r>
      <w:r w:rsidRPr="002D71DF">
        <w:rPr>
          <w:i/>
          <w:iCs/>
        </w:rPr>
        <w:t>Human Services (Complex Needs) Act 2009</w:t>
      </w:r>
      <w:r>
        <w:t xml:space="preserve"> permits services to share an eligible person’s personal, sensitive or health information if it is in the best interests of that person.</w:t>
      </w:r>
    </w:p>
    <w:p w14:paraId="3411C331" w14:textId="77777777" w:rsidR="00E90761" w:rsidRDefault="00E90761" w:rsidP="00E90761">
      <w:pPr>
        <w:pStyle w:val="Body"/>
      </w:pPr>
      <w:r>
        <w:t>The care plan will identify a care plan coordinator. This will be either an existing service provider to the person or an alternate service, depending on which is best placed to provide care plan coordination.</w:t>
      </w:r>
    </w:p>
    <w:p w14:paraId="2879F995" w14:textId="77777777" w:rsidR="00E90761" w:rsidRDefault="00E90761" w:rsidP="00E90761">
      <w:pPr>
        <w:pStyle w:val="Heading1"/>
      </w:pPr>
      <w:bookmarkStart w:id="33" w:name="_Toc83816736"/>
      <w:bookmarkStart w:id="34" w:name="_Toc144299832"/>
      <w:r>
        <w:t>What is the role of the care plan coordinator?</w:t>
      </w:r>
      <w:bookmarkEnd w:id="33"/>
      <w:bookmarkEnd w:id="34"/>
    </w:p>
    <w:p w14:paraId="6A68873E" w14:textId="77777777" w:rsidR="00E90761" w:rsidRDefault="00E90761" w:rsidP="00E90761">
      <w:pPr>
        <w:pStyle w:val="Body"/>
      </w:pPr>
      <w:r>
        <w:t xml:space="preserve">A care plan coordinator is appointed by an area panel when a care plan for a person is approved. </w:t>
      </w:r>
    </w:p>
    <w:p w14:paraId="4719459E" w14:textId="77777777" w:rsidR="00E90761" w:rsidRDefault="00E90761" w:rsidP="00E90761">
      <w:pPr>
        <w:pStyle w:val="Body"/>
      </w:pPr>
      <w:r>
        <w:t>Key responsibilities of the care plan coordinator are to:</w:t>
      </w:r>
    </w:p>
    <w:p w14:paraId="2F908E0C" w14:textId="77777777" w:rsidR="00E90761" w:rsidRDefault="00E90761" w:rsidP="00E90761">
      <w:pPr>
        <w:pStyle w:val="Bullet1"/>
      </w:pPr>
      <w:r>
        <w:t xml:space="preserve">schedule and chair care team meetings, including responsibility for meeting agenda and minutes </w:t>
      </w:r>
    </w:p>
    <w:p w14:paraId="57A63F6B" w14:textId="77777777" w:rsidR="00E90761" w:rsidRDefault="00E90761" w:rsidP="00E90761">
      <w:pPr>
        <w:pStyle w:val="Bullet1"/>
      </w:pPr>
      <w:r>
        <w:t>monitor the care plan’s implementation and progress of the client</w:t>
      </w:r>
    </w:p>
    <w:p w14:paraId="1FDBDCA4" w14:textId="77777777" w:rsidR="00E90761" w:rsidRDefault="00E90761" w:rsidP="00E90761">
      <w:pPr>
        <w:pStyle w:val="Bullet1"/>
      </w:pPr>
      <w:r>
        <w:t>coordinate the services provided to the client as per the care plan</w:t>
      </w:r>
    </w:p>
    <w:p w14:paraId="50AC4137" w14:textId="77777777" w:rsidR="00E90761" w:rsidRDefault="00E90761" w:rsidP="00E90761">
      <w:pPr>
        <w:pStyle w:val="Bullet1"/>
      </w:pPr>
      <w:r>
        <w:t>conduct six-monthly reviews of the care plan including funding acquittals</w:t>
      </w:r>
    </w:p>
    <w:p w14:paraId="7B4EB950" w14:textId="77777777" w:rsidR="00E90761" w:rsidRDefault="00E90761" w:rsidP="00E90761">
      <w:pPr>
        <w:pStyle w:val="Bullet1"/>
      </w:pPr>
      <w:r>
        <w:t>provide a report to the department on client progress when requested</w:t>
      </w:r>
    </w:p>
    <w:p w14:paraId="16282634" w14:textId="77777777" w:rsidR="00E90761" w:rsidRDefault="00E90761" w:rsidP="00E90761">
      <w:pPr>
        <w:pStyle w:val="Bullet1"/>
      </w:pPr>
      <w:r>
        <w:lastRenderedPageBreak/>
        <w:t>provide a transition / exit plan six months prior to closure</w:t>
      </w:r>
    </w:p>
    <w:p w14:paraId="1D4E6159" w14:textId="77777777" w:rsidR="00E90761" w:rsidRDefault="00E90761" w:rsidP="00E90761">
      <w:pPr>
        <w:pStyle w:val="Bullet1"/>
      </w:pPr>
      <w:r>
        <w:t>provide a closure report at the point of closure.</w:t>
      </w:r>
    </w:p>
    <w:p w14:paraId="62F95F9B" w14:textId="77777777" w:rsidR="00E90761" w:rsidRDefault="00E90761" w:rsidP="00E90761">
      <w:pPr>
        <w:pStyle w:val="Heading1"/>
      </w:pPr>
      <w:bookmarkStart w:id="35" w:name="_Toc83816737"/>
      <w:bookmarkStart w:id="36" w:name="_Toc144299833"/>
      <w:r>
        <w:t>Reviewing and closing a care plan</w:t>
      </w:r>
      <w:bookmarkEnd w:id="35"/>
      <w:bookmarkEnd w:id="36"/>
    </w:p>
    <w:p w14:paraId="13D5BA11" w14:textId="77777777" w:rsidR="00E90761" w:rsidRDefault="00E90761" w:rsidP="00E90761">
      <w:pPr>
        <w:pStyle w:val="Body"/>
      </w:pPr>
      <w:r>
        <w:t>Care plan review is the key mechanism for the care plan coordinator, the services involved in delivering the plan and the area panel to monitor the progress and effectiveness of the care plan. Reviews are held every six months and additionally upon request.</w:t>
      </w:r>
    </w:p>
    <w:p w14:paraId="094FE237" w14:textId="77777777" w:rsidR="00E90761" w:rsidRDefault="00E90761" w:rsidP="00E90761">
      <w:pPr>
        <w:pStyle w:val="Body"/>
      </w:pPr>
      <w:r>
        <w:t>Area panels can seek to change and close a care plan based on the input of the care plan coordinator, with the approval of the relevant departmental director.</w:t>
      </w:r>
    </w:p>
    <w:p w14:paraId="58A608C2" w14:textId="77777777" w:rsidR="00E90761" w:rsidRDefault="00E90761" w:rsidP="00E90761">
      <w:pPr>
        <w:pStyle w:val="Body"/>
      </w:pPr>
      <w:r>
        <w:t>Throughout the life of the care plan, and particularly in its last six months, the care plan coordinator also ensures transition planning is in place for the provision of services to meet the needs of the person beyond the life of the MACNI care plan. This planning will need liaison and negotiation with the relevant departmental area and the services to remain involved with the person.</w:t>
      </w:r>
    </w:p>
    <w:p w14:paraId="74AADDD4" w14:textId="77777777" w:rsidR="00E90761" w:rsidRDefault="00E90761" w:rsidP="00E90761">
      <w:pPr>
        <w:pStyle w:val="Heading1"/>
      </w:pPr>
      <w:bookmarkStart w:id="37" w:name="_Toc83816738"/>
      <w:bookmarkStart w:id="38" w:name="_Toc144299834"/>
      <w:r>
        <w:t>Post-MACNI support</w:t>
      </w:r>
      <w:bookmarkEnd w:id="37"/>
      <w:bookmarkEnd w:id="38"/>
    </w:p>
    <w:p w14:paraId="5A0D08AC" w14:textId="77777777" w:rsidR="00E90761" w:rsidRDefault="00E90761" w:rsidP="00E90761">
      <w:pPr>
        <w:pStyle w:val="Body"/>
      </w:pPr>
      <w:r>
        <w:t>A small number of people supported by MACNI may not be able to fully transition to sustainable engagement with the existing service system by the time their MACNI care plan is closed. This applies in particular to people whose care plan has been in place for the maximum period.</w:t>
      </w:r>
    </w:p>
    <w:p w14:paraId="411295A9" w14:textId="77777777" w:rsidR="00E90761" w:rsidRDefault="00E90761" w:rsidP="00E90761">
      <w:pPr>
        <w:pStyle w:val="Body"/>
      </w:pPr>
      <w:r>
        <w:t>The department and services engaged in the care plan can continue to provide coordinated care for an agreed time-limited period to ensure the person’s needs can be effectively met by the existing service system.</w:t>
      </w:r>
    </w:p>
    <w:p w14:paraId="010452CF" w14:textId="77777777" w:rsidR="00E90761" w:rsidRDefault="00E90761" w:rsidP="00E90761">
      <w:pPr>
        <w:pStyle w:val="Heading1"/>
      </w:pPr>
      <w:bookmarkStart w:id="39" w:name="_Toc83816739"/>
      <w:bookmarkStart w:id="40" w:name="_Toc144299835"/>
      <w:r>
        <w:t>Making a complaint</w:t>
      </w:r>
      <w:bookmarkEnd w:id="39"/>
      <w:bookmarkEnd w:id="40"/>
    </w:p>
    <w:p w14:paraId="1DE97D95" w14:textId="77777777" w:rsidR="00E90761" w:rsidRDefault="00E90761" w:rsidP="00E90761">
      <w:pPr>
        <w:pStyle w:val="Body"/>
      </w:pPr>
      <w:r>
        <w:t>The department wants our services to work for people who need and use them. We can always do better and we listen to people using our services, their advocates and representatives.</w:t>
      </w:r>
    </w:p>
    <w:p w14:paraId="21838151" w14:textId="77777777" w:rsidR="00E90761" w:rsidRDefault="00E90761" w:rsidP="00E90761">
      <w:pPr>
        <w:pStyle w:val="Body"/>
      </w:pPr>
      <w:r>
        <w:t>We want to know if you:</w:t>
      </w:r>
    </w:p>
    <w:p w14:paraId="4D04CAA4" w14:textId="77777777" w:rsidR="00E90761" w:rsidRDefault="00E90761" w:rsidP="00E90761">
      <w:pPr>
        <w:pStyle w:val="Bullet1"/>
      </w:pPr>
      <w:r>
        <w:t>feel a service is unsatisfactory</w:t>
      </w:r>
    </w:p>
    <w:p w14:paraId="4BDEDF57" w14:textId="77777777" w:rsidR="00E90761" w:rsidRDefault="00E90761" w:rsidP="00E90761">
      <w:pPr>
        <w:pStyle w:val="Bullet1"/>
      </w:pPr>
      <w:r>
        <w:t>did not receive enough information or choice</w:t>
      </w:r>
    </w:p>
    <w:p w14:paraId="402AE206" w14:textId="77777777" w:rsidR="00E90761" w:rsidRDefault="00E90761" w:rsidP="00E90761">
      <w:pPr>
        <w:pStyle w:val="Bullet1"/>
      </w:pPr>
      <w:r>
        <w:t>were denied respect, dignity or privacy.</w:t>
      </w:r>
    </w:p>
    <w:p w14:paraId="482DDCB7" w14:textId="77777777" w:rsidR="00E90761" w:rsidRDefault="00E90761" w:rsidP="00E90761">
      <w:pPr>
        <w:pStyle w:val="Bodyafterbullets"/>
      </w:pPr>
      <w:r>
        <w:t>Take the following steps to get your complaint resolved:</w:t>
      </w:r>
    </w:p>
    <w:p w14:paraId="22793ED6" w14:textId="77777777" w:rsidR="00E90761" w:rsidRDefault="00E90761" w:rsidP="00E90761">
      <w:pPr>
        <w:pStyle w:val="Body"/>
      </w:pPr>
      <w:r w:rsidRPr="002D71DF">
        <w:rPr>
          <w:b/>
          <w:bCs/>
        </w:rPr>
        <w:t>Step 1.</w:t>
      </w:r>
      <w:r>
        <w:t xml:space="preserve"> Discuss your complaint with your worker or another staff member, including the Complex Needs Coordinator at your local office.</w:t>
      </w:r>
    </w:p>
    <w:p w14:paraId="206C4FDE" w14:textId="77777777" w:rsidR="00E90761" w:rsidRDefault="00E90761" w:rsidP="00E90761">
      <w:pPr>
        <w:pStyle w:val="Body"/>
      </w:pPr>
      <w:r w:rsidRPr="002D71DF">
        <w:rPr>
          <w:b/>
          <w:bCs/>
        </w:rPr>
        <w:t>Step 2.</w:t>
      </w:r>
      <w:r>
        <w:t xml:space="preserve"> If you have tried to resolve your concerns but you are still dissatisfied with the outcome, you can refer your complaint to the Manager, Client Support and Housing Services or another senior manager at the local office.</w:t>
      </w:r>
    </w:p>
    <w:p w14:paraId="7640ACFF" w14:textId="77777777" w:rsidR="00E90761" w:rsidRDefault="00E90761" w:rsidP="00E90761">
      <w:pPr>
        <w:pStyle w:val="Body"/>
      </w:pPr>
      <w:r w:rsidRPr="002D71DF">
        <w:rPr>
          <w:b/>
          <w:bCs/>
        </w:rPr>
        <w:t>Step 3</w:t>
      </w:r>
      <w:r>
        <w:t>. If your complaint cannot be resolved at Step 1 or Step 2, the department’s Complaints and Privacy unit will assist you and can be contacted on 1300 884 706.</w:t>
      </w:r>
    </w:p>
    <w:p w14:paraId="2A399911" w14:textId="77777777" w:rsidR="00E90761" w:rsidRPr="00E90761" w:rsidRDefault="00E90761" w:rsidP="00E90761">
      <w:pPr>
        <w:pStyle w:val="Body"/>
      </w:pPr>
      <w:r w:rsidRPr="00E90761">
        <w:br w:type="page"/>
      </w:r>
    </w:p>
    <w:p w14:paraId="043F7E36" w14:textId="77777777" w:rsidR="00E90761" w:rsidRDefault="00E90761" w:rsidP="00E90761">
      <w:pPr>
        <w:pStyle w:val="Heading1"/>
      </w:pPr>
      <w:bookmarkStart w:id="41" w:name="_Toc143094126"/>
      <w:bookmarkStart w:id="42" w:name="_Toc144299836"/>
      <w:r>
        <w:lastRenderedPageBreak/>
        <w:t>Enquiries</w:t>
      </w:r>
      <w:bookmarkEnd w:id="41"/>
      <w:bookmarkEnd w:id="42"/>
    </w:p>
    <w:p w14:paraId="12D98BA0" w14:textId="77777777" w:rsidR="00E90761" w:rsidRPr="00C42885" w:rsidRDefault="00E90761" w:rsidP="00E90761">
      <w:pPr>
        <w:pStyle w:val="Body"/>
      </w:pPr>
      <w:r>
        <w:t>Contact the Complex Needs Coordinator in your area for MACNI enquiries.</w:t>
      </w:r>
      <w:bookmarkStart w:id="43" w:name="_j8sehv" w:colFirst="0" w:colLast="0"/>
      <w:bookmarkEnd w:id="43"/>
      <w:r>
        <w:t xml:space="preserve"> If you are unsure who to contact email </w:t>
      </w:r>
      <w:hyperlink r:id="rId20" w:history="1">
        <w:r w:rsidRPr="00685DAB">
          <w:rPr>
            <w:rStyle w:val="Hyperlink"/>
          </w:rPr>
          <w:t>Central.ComplexNeeds@dffh.vic.gov.au</w:t>
        </w:r>
      </w:hyperlink>
      <w:r>
        <w:t xml:space="preserve"> .</w:t>
      </w:r>
    </w:p>
    <w:p w14:paraId="3ECE40D5" w14:textId="77777777" w:rsidR="00E90761" w:rsidRPr="00487627" w:rsidRDefault="00E90761" w:rsidP="00E90761">
      <w:pPr>
        <w:pStyle w:val="Heading3"/>
      </w:pPr>
      <w:r w:rsidRPr="00487627">
        <w:t xml:space="preserve">North </w:t>
      </w:r>
      <w:r>
        <w:t>D</w:t>
      </w:r>
      <w:r w:rsidRPr="00487627">
        <w:t>ivision</w:t>
      </w:r>
    </w:p>
    <w:tbl>
      <w:tblPr>
        <w:tblStyle w:val="TableGrid"/>
        <w:tblW w:w="5000" w:type="pct"/>
        <w:tblLook w:val="04A0" w:firstRow="1" w:lastRow="0" w:firstColumn="1" w:lastColumn="0" w:noHBand="0" w:noVBand="1"/>
      </w:tblPr>
      <w:tblGrid>
        <w:gridCol w:w="2899"/>
        <w:gridCol w:w="1676"/>
        <w:gridCol w:w="4713"/>
      </w:tblGrid>
      <w:tr w:rsidR="00E90761" w:rsidRPr="00487627" w14:paraId="287BD434" w14:textId="77777777" w:rsidTr="005C0F00">
        <w:tc>
          <w:tcPr>
            <w:tcW w:w="2191" w:type="pct"/>
          </w:tcPr>
          <w:p w14:paraId="0999FEB4" w14:textId="77777777" w:rsidR="00E90761" w:rsidRPr="00487627" w:rsidRDefault="00E90761" w:rsidP="005C0F00">
            <w:pPr>
              <w:pStyle w:val="Tablecolhead"/>
            </w:pPr>
            <w:bookmarkStart w:id="44" w:name="_Hlk10726012"/>
            <w:r w:rsidRPr="00487627">
              <w:t>Area</w:t>
            </w:r>
          </w:p>
        </w:tc>
        <w:tc>
          <w:tcPr>
            <w:tcW w:w="1528" w:type="pct"/>
          </w:tcPr>
          <w:p w14:paraId="73CCF244" w14:textId="77777777" w:rsidR="00E90761" w:rsidRPr="00487627" w:rsidRDefault="00E90761" w:rsidP="005C0F00">
            <w:pPr>
              <w:pStyle w:val="Tablecolhead"/>
            </w:pPr>
            <w:r w:rsidRPr="00487627">
              <w:t>Office</w:t>
            </w:r>
          </w:p>
        </w:tc>
        <w:tc>
          <w:tcPr>
            <w:tcW w:w="1281" w:type="pct"/>
          </w:tcPr>
          <w:p w14:paraId="1877015C" w14:textId="77777777" w:rsidR="00E90761" w:rsidRPr="00487627" w:rsidRDefault="00E90761" w:rsidP="005C0F00">
            <w:pPr>
              <w:pStyle w:val="Tablecolhead"/>
            </w:pPr>
            <w:r w:rsidRPr="00487627">
              <w:t>Contact</w:t>
            </w:r>
          </w:p>
        </w:tc>
      </w:tr>
      <w:tr w:rsidR="00E90761" w:rsidRPr="001B0D1A" w14:paraId="4A1CCD6D" w14:textId="77777777" w:rsidTr="005C0F00">
        <w:tc>
          <w:tcPr>
            <w:tcW w:w="2191" w:type="pct"/>
          </w:tcPr>
          <w:p w14:paraId="3188A80E" w14:textId="77777777" w:rsidR="00E90761" w:rsidRPr="001B0D1A" w:rsidRDefault="00E90761" w:rsidP="005C0F00">
            <w:pPr>
              <w:pStyle w:val="Tabletext"/>
              <w:rPr>
                <w:rFonts w:cs="Arial"/>
              </w:rPr>
            </w:pPr>
            <w:bookmarkStart w:id="45" w:name="_Int_ucNIfPij"/>
            <w:r w:rsidRPr="638F93E6">
              <w:rPr>
                <w:rFonts w:cs="Arial"/>
              </w:rPr>
              <w:t>North East</w:t>
            </w:r>
            <w:bookmarkEnd w:id="45"/>
            <w:r w:rsidRPr="638F93E6">
              <w:rPr>
                <w:rFonts w:cs="Arial"/>
              </w:rPr>
              <w:t xml:space="preserve"> Melbourne</w:t>
            </w:r>
          </w:p>
        </w:tc>
        <w:tc>
          <w:tcPr>
            <w:tcW w:w="1528" w:type="pct"/>
          </w:tcPr>
          <w:p w14:paraId="62A400C4" w14:textId="77777777" w:rsidR="00E90761" w:rsidRPr="001B0D1A" w:rsidRDefault="00E90761" w:rsidP="005C0F00">
            <w:pPr>
              <w:pStyle w:val="Tabletext"/>
              <w:rPr>
                <w:rFonts w:cs="Arial"/>
                <w:szCs w:val="21"/>
              </w:rPr>
            </w:pPr>
            <w:r w:rsidRPr="001B0D1A">
              <w:rPr>
                <w:rFonts w:cs="Arial"/>
                <w:szCs w:val="21"/>
              </w:rPr>
              <w:t>Preston</w:t>
            </w:r>
          </w:p>
        </w:tc>
        <w:tc>
          <w:tcPr>
            <w:tcW w:w="1281" w:type="pct"/>
          </w:tcPr>
          <w:p w14:paraId="48BE5DAF" w14:textId="77777777" w:rsidR="00E90761" w:rsidRPr="001B0D1A" w:rsidRDefault="00000000" w:rsidP="005C0F00">
            <w:pPr>
              <w:pStyle w:val="Tabletext"/>
              <w:rPr>
                <w:rFonts w:cs="Arial"/>
                <w:szCs w:val="21"/>
              </w:rPr>
            </w:pPr>
            <w:hyperlink r:id="rId21" w:history="1">
              <w:r w:rsidR="00E90761" w:rsidRPr="005948AF">
                <w:rPr>
                  <w:rStyle w:val="Hyperlink"/>
                  <w:rFonts w:eastAsia="MS Mincho" w:cs="Arial"/>
                  <w:szCs w:val="21"/>
                  <w:shd w:val="clear" w:color="auto" w:fill="FFFFFF"/>
                </w:rPr>
                <w:t>NEMAComplexClients@dffh.vic.gov.au</w:t>
              </w:r>
            </w:hyperlink>
          </w:p>
        </w:tc>
      </w:tr>
      <w:tr w:rsidR="00E90761" w:rsidRPr="001B0D1A" w14:paraId="432AA570" w14:textId="77777777" w:rsidTr="005C0F00">
        <w:tc>
          <w:tcPr>
            <w:tcW w:w="2191" w:type="pct"/>
          </w:tcPr>
          <w:p w14:paraId="4E01BA0B" w14:textId="77777777" w:rsidR="00E90761" w:rsidRPr="001B0D1A" w:rsidRDefault="00E90761" w:rsidP="005C0F00">
            <w:pPr>
              <w:pStyle w:val="Tabletext"/>
              <w:rPr>
                <w:rFonts w:cs="Arial"/>
                <w:szCs w:val="21"/>
              </w:rPr>
            </w:pPr>
            <w:r w:rsidRPr="001B0D1A">
              <w:rPr>
                <w:rFonts w:cs="Arial"/>
                <w:szCs w:val="21"/>
              </w:rPr>
              <w:t>Hume M</w:t>
            </w:r>
            <w:r>
              <w:rPr>
                <w:rFonts w:cs="Arial"/>
                <w:szCs w:val="21"/>
              </w:rPr>
              <w:t>erri-bek</w:t>
            </w:r>
          </w:p>
        </w:tc>
        <w:tc>
          <w:tcPr>
            <w:tcW w:w="1528" w:type="pct"/>
          </w:tcPr>
          <w:p w14:paraId="334B23F8" w14:textId="77777777" w:rsidR="00E90761" w:rsidRPr="001B0D1A" w:rsidRDefault="00E90761" w:rsidP="005C0F00">
            <w:pPr>
              <w:pStyle w:val="Tabletext"/>
              <w:rPr>
                <w:rFonts w:cs="Arial"/>
                <w:szCs w:val="21"/>
              </w:rPr>
            </w:pPr>
            <w:r w:rsidRPr="001B0D1A">
              <w:rPr>
                <w:rFonts w:cs="Arial"/>
                <w:szCs w:val="21"/>
              </w:rPr>
              <w:t>Broadmeadows</w:t>
            </w:r>
          </w:p>
        </w:tc>
        <w:tc>
          <w:tcPr>
            <w:tcW w:w="1281" w:type="pct"/>
          </w:tcPr>
          <w:p w14:paraId="64AFB11E" w14:textId="77777777" w:rsidR="00E90761" w:rsidRPr="001B0D1A" w:rsidRDefault="00000000" w:rsidP="005C0F00">
            <w:pPr>
              <w:pStyle w:val="Tabletext"/>
              <w:rPr>
                <w:rFonts w:cs="Arial"/>
                <w:szCs w:val="21"/>
              </w:rPr>
            </w:pPr>
            <w:hyperlink r:id="rId22" w:history="1">
              <w:r w:rsidR="00E90761" w:rsidRPr="002258CC">
                <w:rPr>
                  <w:rStyle w:val="Hyperlink"/>
                  <w:rFonts w:cs="Arial"/>
                  <w:szCs w:val="21"/>
                </w:rPr>
                <w:t>HumeMoreland.ComplexNeeds@dffh.vic.gov.au</w:t>
              </w:r>
            </w:hyperlink>
          </w:p>
        </w:tc>
      </w:tr>
      <w:tr w:rsidR="00E90761" w:rsidRPr="001B0D1A" w14:paraId="52714B86" w14:textId="77777777" w:rsidTr="005C0F00">
        <w:tc>
          <w:tcPr>
            <w:tcW w:w="2191" w:type="pct"/>
          </w:tcPr>
          <w:p w14:paraId="561995D9" w14:textId="77777777" w:rsidR="00E90761" w:rsidRPr="001B0D1A" w:rsidRDefault="00E90761" w:rsidP="005C0F00">
            <w:pPr>
              <w:pStyle w:val="Tabletext"/>
              <w:rPr>
                <w:rFonts w:cs="Arial"/>
                <w:szCs w:val="21"/>
              </w:rPr>
            </w:pPr>
            <w:r w:rsidRPr="001B0D1A">
              <w:rPr>
                <w:rFonts w:cs="Arial"/>
                <w:szCs w:val="21"/>
              </w:rPr>
              <w:t>Loddon</w:t>
            </w:r>
          </w:p>
        </w:tc>
        <w:tc>
          <w:tcPr>
            <w:tcW w:w="1528" w:type="pct"/>
          </w:tcPr>
          <w:p w14:paraId="2E968FB5" w14:textId="77777777" w:rsidR="00E90761" w:rsidRPr="001B0D1A" w:rsidRDefault="00E90761" w:rsidP="005C0F00">
            <w:pPr>
              <w:pStyle w:val="Tabletext"/>
              <w:rPr>
                <w:rFonts w:cs="Arial"/>
                <w:szCs w:val="21"/>
              </w:rPr>
            </w:pPr>
            <w:r w:rsidRPr="001B0D1A">
              <w:rPr>
                <w:rFonts w:cs="Arial"/>
                <w:szCs w:val="21"/>
              </w:rPr>
              <w:t>Bendigo</w:t>
            </w:r>
          </w:p>
        </w:tc>
        <w:tc>
          <w:tcPr>
            <w:tcW w:w="1281" w:type="pct"/>
          </w:tcPr>
          <w:p w14:paraId="6113DF7B" w14:textId="77777777" w:rsidR="00E90761" w:rsidRPr="001B0D1A" w:rsidRDefault="00000000" w:rsidP="005C0F00">
            <w:pPr>
              <w:pStyle w:val="Tabletext"/>
              <w:rPr>
                <w:rFonts w:cs="Arial"/>
                <w:szCs w:val="21"/>
              </w:rPr>
            </w:pPr>
            <w:hyperlink r:id="rId23" w:history="1">
              <w:r w:rsidR="00E90761" w:rsidRPr="005948AF">
                <w:rPr>
                  <w:rStyle w:val="Hyperlink"/>
                  <w:rFonts w:cs="Arial"/>
                  <w:szCs w:val="21"/>
                </w:rPr>
                <w:t>Loddon.ComplexNeeds@dffh.vic.gov.au</w:t>
              </w:r>
            </w:hyperlink>
          </w:p>
        </w:tc>
      </w:tr>
      <w:tr w:rsidR="00E90761" w:rsidRPr="001B0D1A" w14:paraId="47F5E119" w14:textId="77777777" w:rsidTr="005C0F00">
        <w:tc>
          <w:tcPr>
            <w:tcW w:w="2191" w:type="pct"/>
          </w:tcPr>
          <w:p w14:paraId="5F6B255A" w14:textId="77777777" w:rsidR="00E90761" w:rsidRPr="001B0D1A" w:rsidRDefault="00E90761" w:rsidP="005C0F00">
            <w:pPr>
              <w:pStyle w:val="Tabletext"/>
              <w:rPr>
                <w:rFonts w:cs="Arial"/>
                <w:szCs w:val="21"/>
              </w:rPr>
            </w:pPr>
            <w:r w:rsidRPr="001B0D1A">
              <w:rPr>
                <w:rFonts w:cs="Arial"/>
                <w:szCs w:val="21"/>
              </w:rPr>
              <w:t>Mallee</w:t>
            </w:r>
          </w:p>
        </w:tc>
        <w:tc>
          <w:tcPr>
            <w:tcW w:w="1528" w:type="pct"/>
          </w:tcPr>
          <w:p w14:paraId="2C84C716" w14:textId="77777777" w:rsidR="00E90761" w:rsidRPr="001B0D1A" w:rsidRDefault="00E90761" w:rsidP="005C0F00">
            <w:pPr>
              <w:pStyle w:val="Tabletext"/>
              <w:rPr>
                <w:rFonts w:cs="Arial"/>
                <w:szCs w:val="21"/>
              </w:rPr>
            </w:pPr>
            <w:r w:rsidRPr="001B0D1A">
              <w:rPr>
                <w:rFonts w:cs="Arial"/>
                <w:szCs w:val="21"/>
              </w:rPr>
              <w:t>Mildura</w:t>
            </w:r>
          </w:p>
        </w:tc>
        <w:tc>
          <w:tcPr>
            <w:tcW w:w="1281" w:type="pct"/>
          </w:tcPr>
          <w:p w14:paraId="7CD66537" w14:textId="77777777" w:rsidR="00E90761" w:rsidRPr="001B0D1A" w:rsidRDefault="00000000" w:rsidP="005C0F00">
            <w:pPr>
              <w:pStyle w:val="Tabletext"/>
              <w:rPr>
                <w:rFonts w:cs="Arial"/>
                <w:szCs w:val="21"/>
              </w:rPr>
            </w:pPr>
            <w:hyperlink r:id="rId24" w:history="1">
              <w:r w:rsidR="00E90761" w:rsidRPr="00FD7B7E">
                <w:rPr>
                  <w:rStyle w:val="Hyperlink"/>
                  <w:rFonts w:cs="Arial"/>
                  <w:szCs w:val="21"/>
                </w:rPr>
                <w:t>MalleeComplexNeeds@dffh.vic.gov.au</w:t>
              </w:r>
            </w:hyperlink>
          </w:p>
        </w:tc>
      </w:tr>
    </w:tbl>
    <w:bookmarkEnd w:id="44"/>
    <w:p w14:paraId="3EC94822" w14:textId="77777777" w:rsidR="00E90761" w:rsidRPr="00487627" w:rsidRDefault="00E90761" w:rsidP="00E90761">
      <w:pPr>
        <w:pStyle w:val="Heading3"/>
      </w:pPr>
      <w:r w:rsidRPr="00487627">
        <w:t xml:space="preserve">East </w:t>
      </w:r>
      <w:r>
        <w:t>D</w:t>
      </w:r>
      <w:r w:rsidRPr="00487627">
        <w:t>ivision</w:t>
      </w:r>
    </w:p>
    <w:tbl>
      <w:tblPr>
        <w:tblStyle w:val="TableGrid"/>
        <w:tblW w:w="5000" w:type="pct"/>
        <w:tblLook w:val="04A0" w:firstRow="1" w:lastRow="0" w:firstColumn="1" w:lastColumn="0" w:noHBand="0" w:noVBand="1"/>
      </w:tblPr>
      <w:tblGrid>
        <w:gridCol w:w="3116"/>
        <w:gridCol w:w="1634"/>
        <w:gridCol w:w="4538"/>
      </w:tblGrid>
      <w:tr w:rsidR="00E90761" w:rsidRPr="00487627" w14:paraId="742A9C79" w14:textId="77777777" w:rsidTr="005C0F00">
        <w:tc>
          <w:tcPr>
            <w:tcW w:w="1719" w:type="pct"/>
          </w:tcPr>
          <w:p w14:paraId="4AE12834" w14:textId="77777777" w:rsidR="00E90761" w:rsidRPr="00487627" w:rsidRDefault="00E90761" w:rsidP="005C0F00">
            <w:pPr>
              <w:pStyle w:val="Tablecolhead"/>
            </w:pPr>
            <w:r w:rsidRPr="00487627">
              <w:t>Area</w:t>
            </w:r>
          </w:p>
        </w:tc>
        <w:tc>
          <w:tcPr>
            <w:tcW w:w="921" w:type="pct"/>
          </w:tcPr>
          <w:p w14:paraId="3AD0234A" w14:textId="77777777" w:rsidR="00E90761" w:rsidRPr="00487627" w:rsidRDefault="00E90761" w:rsidP="005C0F00">
            <w:pPr>
              <w:pStyle w:val="Tablecolhead"/>
            </w:pPr>
            <w:r w:rsidRPr="00487627">
              <w:t>Office</w:t>
            </w:r>
          </w:p>
        </w:tc>
        <w:tc>
          <w:tcPr>
            <w:tcW w:w="2360" w:type="pct"/>
          </w:tcPr>
          <w:p w14:paraId="5DE6A3E6" w14:textId="77777777" w:rsidR="00E90761" w:rsidRPr="00487627" w:rsidRDefault="00E90761" w:rsidP="005C0F00">
            <w:pPr>
              <w:pStyle w:val="Tablecolhead"/>
            </w:pPr>
            <w:r w:rsidRPr="00487627">
              <w:t>Contact</w:t>
            </w:r>
          </w:p>
        </w:tc>
      </w:tr>
      <w:tr w:rsidR="00E90761" w:rsidRPr="001B0D1A" w14:paraId="17FC96D4" w14:textId="77777777" w:rsidTr="005C0F00">
        <w:tc>
          <w:tcPr>
            <w:tcW w:w="1719" w:type="pct"/>
          </w:tcPr>
          <w:p w14:paraId="21C1B9B5" w14:textId="77777777" w:rsidR="00E90761" w:rsidRPr="001B0D1A" w:rsidRDefault="00E90761" w:rsidP="005C0F00">
            <w:pPr>
              <w:pStyle w:val="Tabletext"/>
              <w:rPr>
                <w:rFonts w:cs="Arial"/>
                <w:szCs w:val="21"/>
              </w:rPr>
            </w:pPr>
            <w:r w:rsidRPr="001B0D1A">
              <w:rPr>
                <w:rFonts w:cs="Arial"/>
                <w:szCs w:val="21"/>
              </w:rPr>
              <w:t>Inner Eastern Melbourne</w:t>
            </w:r>
          </w:p>
        </w:tc>
        <w:tc>
          <w:tcPr>
            <w:tcW w:w="921" w:type="pct"/>
          </w:tcPr>
          <w:p w14:paraId="1FFE1006" w14:textId="77777777" w:rsidR="00E90761" w:rsidRPr="001B0D1A" w:rsidRDefault="00E90761" w:rsidP="005C0F00">
            <w:pPr>
              <w:pStyle w:val="Tabletext"/>
              <w:rPr>
                <w:rFonts w:cs="Arial"/>
                <w:szCs w:val="21"/>
              </w:rPr>
            </w:pPr>
            <w:r w:rsidRPr="001B0D1A">
              <w:rPr>
                <w:rFonts w:cs="Arial"/>
                <w:szCs w:val="21"/>
              </w:rPr>
              <w:t>Box Hill</w:t>
            </w:r>
          </w:p>
        </w:tc>
        <w:tc>
          <w:tcPr>
            <w:tcW w:w="2360" w:type="pct"/>
          </w:tcPr>
          <w:p w14:paraId="70B983A7" w14:textId="77777777" w:rsidR="00E90761" w:rsidRPr="001B0D1A" w:rsidRDefault="00000000" w:rsidP="005C0F00">
            <w:pPr>
              <w:pStyle w:val="Tabletext"/>
              <w:rPr>
                <w:rFonts w:cs="Arial"/>
                <w:szCs w:val="21"/>
              </w:rPr>
            </w:pPr>
            <w:hyperlink r:id="rId25" w:history="1">
              <w:r w:rsidR="00E90761" w:rsidRPr="005948AF">
                <w:rPr>
                  <w:rStyle w:val="Hyperlink"/>
                  <w:rFonts w:eastAsia="MS Mincho" w:cs="Arial"/>
                  <w:szCs w:val="21"/>
                  <w:shd w:val="clear" w:color="auto" w:fill="FFFFFF"/>
                </w:rPr>
                <w:t>IEMAComplexNeeds@dffh.vic.gov.au</w:t>
              </w:r>
            </w:hyperlink>
          </w:p>
        </w:tc>
      </w:tr>
      <w:tr w:rsidR="00E90761" w:rsidRPr="001B0D1A" w14:paraId="00B32647" w14:textId="77777777" w:rsidTr="005C0F00">
        <w:tc>
          <w:tcPr>
            <w:tcW w:w="1719" w:type="pct"/>
          </w:tcPr>
          <w:p w14:paraId="503311EA" w14:textId="77777777" w:rsidR="00E90761" w:rsidRPr="001B0D1A" w:rsidRDefault="00E90761" w:rsidP="005C0F00">
            <w:pPr>
              <w:pStyle w:val="Tabletext"/>
              <w:rPr>
                <w:rFonts w:cs="Arial"/>
                <w:szCs w:val="21"/>
              </w:rPr>
            </w:pPr>
            <w:r w:rsidRPr="001B0D1A">
              <w:rPr>
                <w:rFonts w:cs="Arial"/>
                <w:szCs w:val="21"/>
              </w:rPr>
              <w:t>Outer Eastern Melbourne</w:t>
            </w:r>
          </w:p>
        </w:tc>
        <w:tc>
          <w:tcPr>
            <w:tcW w:w="921" w:type="pct"/>
          </w:tcPr>
          <w:p w14:paraId="5243221C" w14:textId="77777777" w:rsidR="00E90761" w:rsidRPr="00D87491" w:rsidRDefault="00E90761" w:rsidP="005C0F00">
            <w:pPr>
              <w:pStyle w:val="Tabletext"/>
              <w:rPr>
                <w:rFonts w:cs="Arial"/>
                <w:szCs w:val="21"/>
              </w:rPr>
            </w:pPr>
            <w:r w:rsidRPr="00D87491">
              <w:rPr>
                <w:rFonts w:cs="Arial"/>
                <w:szCs w:val="21"/>
              </w:rPr>
              <w:t>Ringwood</w:t>
            </w:r>
          </w:p>
        </w:tc>
        <w:tc>
          <w:tcPr>
            <w:tcW w:w="2360" w:type="pct"/>
          </w:tcPr>
          <w:p w14:paraId="74807FC9" w14:textId="77777777" w:rsidR="00E90761" w:rsidRPr="00A51259" w:rsidRDefault="00000000" w:rsidP="005C0F00">
            <w:pPr>
              <w:pStyle w:val="Tabletext"/>
              <w:rPr>
                <w:szCs w:val="21"/>
              </w:rPr>
            </w:pPr>
            <w:hyperlink r:id="rId26" w:history="1">
              <w:r w:rsidR="00E90761" w:rsidRPr="00D87491">
                <w:rPr>
                  <w:rStyle w:val="Hyperlink"/>
                  <w:szCs w:val="21"/>
                </w:rPr>
                <w:t>OEMA.ComplexNeeds@dffh.vic.gov.au</w:t>
              </w:r>
            </w:hyperlink>
          </w:p>
        </w:tc>
      </w:tr>
      <w:tr w:rsidR="00E90761" w:rsidRPr="001B0D1A" w14:paraId="6DEBCE16" w14:textId="77777777" w:rsidTr="005C0F00">
        <w:tc>
          <w:tcPr>
            <w:tcW w:w="1719" w:type="pct"/>
          </w:tcPr>
          <w:p w14:paraId="73D026C4" w14:textId="77777777" w:rsidR="00E90761" w:rsidRPr="001B0D1A" w:rsidRDefault="00E90761" w:rsidP="005C0F00">
            <w:pPr>
              <w:pStyle w:val="Tabletext"/>
              <w:rPr>
                <w:rFonts w:cs="Arial"/>
                <w:szCs w:val="21"/>
              </w:rPr>
            </w:pPr>
            <w:r w:rsidRPr="001B0D1A">
              <w:rPr>
                <w:rFonts w:cs="Arial"/>
                <w:szCs w:val="21"/>
              </w:rPr>
              <w:t>Goulburn</w:t>
            </w:r>
          </w:p>
        </w:tc>
        <w:tc>
          <w:tcPr>
            <w:tcW w:w="921" w:type="pct"/>
          </w:tcPr>
          <w:p w14:paraId="136C1728" w14:textId="77777777" w:rsidR="00E90761" w:rsidRPr="00D87491" w:rsidRDefault="00E90761" w:rsidP="005C0F00">
            <w:pPr>
              <w:pStyle w:val="Tabletext"/>
              <w:rPr>
                <w:rFonts w:cs="Arial"/>
                <w:szCs w:val="21"/>
              </w:rPr>
            </w:pPr>
            <w:r w:rsidRPr="00D87491">
              <w:rPr>
                <w:rFonts w:cs="Arial"/>
                <w:szCs w:val="21"/>
              </w:rPr>
              <w:t>Shepparton</w:t>
            </w:r>
          </w:p>
        </w:tc>
        <w:tc>
          <w:tcPr>
            <w:tcW w:w="2360" w:type="pct"/>
          </w:tcPr>
          <w:p w14:paraId="34C11267" w14:textId="77777777" w:rsidR="00E90761" w:rsidRPr="00D87491" w:rsidRDefault="00000000" w:rsidP="005C0F00">
            <w:pPr>
              <w:pStyle w:val="Tabletext"/>
              <w:rPr>
                <w:rFonts w:cs="Arial"/>
                <w:szCs w:val="21"/>
              </w:rPr>
            </w:pPr>
            <w:hyperlink r:id="rId27" w:history="1">
              <w:r w:rsidR="00E90761" w:rsidRPr="00873B65">
                <w:rPr>
                  <w:rStyle w:val="Hyperlink"/>
                  <w:rFonts w:cs="Arial"/>
                  <w:szCs w:val="21"/>
                </w:rPr>
                <w:t>Goulburn.ComplexNeeds@dffh.vic.gov.au</w:t>
              </w:r>
            </w:hyperlink>
          </w:p>
        </w:tc>
      </w:tr>
      <w:tr w:rsidR="00E90761" w:rsidRPr="001B0D1A" w14:paraId="1E07B303" w14:textId="77777777" w:rsidTr="005C0F00">
        <w:tc>
          <w:tcPr>
            <w:tcW w:w="1719" w:type="pct"/>
          </w:tcPr>
          <w:p w14:paraId="0A4E0593" w14:textId="77777777" w:rsidR="00E90761" w:rsidRPr="001B0D1A" w:rsidRDefault="00E90761" w:rsidP="005C0F00">
            <w:pPr>
              <w:pStyle w:val="Tabletext"/>
              <w:rPr>
                <w:rFonts w:cs="Arial"/>
                <w:szCs w:val="21"/>
              </w:rPr>
            </w:pPr>
            <w:r w:rsidRPr="001B0D1A">
              <w:rPr>
                <w:rFonts w:cs="Arial"/>
                <w:szCs w:val="21"/>
              </w:rPr>
              <w:t>Ovens Murray</w:t>
            </w:r>
          </w:p>
        </w:tc>
        <w:tc>
          <w:tcPr>
            <w:tcW w:w="921" w:type="pct"/>
          </w:tcPr>
          <w:p w14:paraId="6E389B50" w14:textId="77777777" w:rsidR="00E90761" w:rsidRPr="001B0D1A" w:rsidRDefault="00E90761" w:rsidP="005C0F00">
            <w:pPr>
              <w:pStyle w:val="Tabletext"/>
              <w:rPr>
                <w:rFonts w:cs="Arial"/>
                <w:szCs w:val="21"/>
              </w:rPr>
            </w:pPr>
            <w:r w:rsidRPr="001B0D1A">
              <w:rPr>
                <w:rFonts w:cs="Arial"/>
                <w:szCs w:val="21"/>
              </w:rPr>
              <w:t>Wangaratta</w:t>
            </w:r>
          </w:p>
        </w:tc>
        <w:tc>
          <w:tcPr>
            <w:tcW w:w="2360" w:type="pct"/>
          </w:tcPr>
          <w:p w14:paraId="0CAB2DC6" w14:textId="77777777" w:rsidR="00E90761" w:rsidRPr="001B0D1A" w:rsidRDefault="00000000" w:rsidP="005C0F00">
            <w:pPr>
              <w:pStyle w:val="Tabletext"/>
              <w:rPr>
                <w:rFonts w:cs="Arial"/>
                <w:szCs w:val="21"/>
              </w:rPr>
            </w:pPr>
            <w:hyperlink r:id="rId28" w:history="1">
              <w:r w:rsidR="00E90761" w:rsidRPr="00890CBF">
                <w:rPr>
                  <w:rStyle w:val="Hyperlink"/>
                  <w:rFonts w:cs="Arial"/>
                  <w:szCs w:val="21"/>
                </w:rPr>
                <w:t>OvensMurray.ComplexNeeds@dffh.vic.gov.au</w:t>
              </w:r>
            </w:hyperlink>
          </w:p>
        </w:tc>
      </w:tr>
    </w:tbl>
    <w:p w14:paraId="286B48C4" w14:textId="77777777" w:rsidR="00E90761" w:rsidRPr="00487627" w:rsidRDefault="00E90761" w:rsidP="00E90761">
      <w:pPr>
        <w:pStyle w:val="Heading3"/>
      </w:pPr>
      <w:r w:rsidRPr="00487627">
        <w:t xml:space="preserve">South </w:t>
      </w:r>
      <w:r>
        <w:t>D</w:t>
      </w:r>
      <w:r w:rsidRPr="00487627">
        <w:t>ivision</w:t>
      </w:r>
    </w:p>
    <w:tbl>
      <w:tblPr>
        <w:tblStyle w:val="TableGrid"/>
        <w:tblW w:w="5000" w:type="pct"/>
        <w:tblLook w:val="04A0" w:firstRow="1" w:lastRow="0" w:firstColumn="1" w:lastColumn="0" w:noHBand="0" w:noVBand="1"/>
      </w:tblPr>
      <w:tblGrid>
        <w:gridCol w:w="3446"/>
        <w:gridCol w:w="2214"/>
        <w:gridCol w:w="3628"/>
      </w:tblGrid>
      <w:tr w:rsidR="00E90761" w:rsidRPr="00487627" w14:paraId="37DB3C06" w14:textId="77777777" w:rsidTr="005C0F00">
        <w:tc>
          <w:tcPr>
            <w:tcW w:w="2191" w:type="pct"/>
          </w:tcPr>
          <w:p w14:paraId="36D35667" w14:textId="77777777" w:rsidR="00E90761" w:rsidRPr="00487627" w:rsidRDefault="00E90761" w:rsidP="005C0F00">
            <w:pPr>
              <w:pStyle w:val="Tablecolhead"/>
            </w:pPr>
            <w:r w:rsidRPr="00487627">
              <w:t>Area</w:t>
            </w:r>
          </w:p>
        </w:tc>
        <w:tc>
          <w:tcPr>
            <w:tcW w:w="1528" w:type="pct"/>
          </w:tcPr>
          <w:p w14:paraId="64A68708" w14:textId="77777777" w:rsidR="00E90761" w:rsidRPr="00487627" w:rsidRDefault="00E90761" w:rsidP="005C0F00">
            <w:pPr>
              <w:pStyle w:val="Tablecolhead"/>
            </w:pPr>
            <w:r w:rsidRPr="00487627">
              <w:t>Office</w:t>
            </w:r>
          </w:p>
        </w:tc>
        <w:tc>
          <w:tcPr>
            <w:tcW w:w="1281" w:type="pct"/>
          </w:tcPr>
          <w:p w14:paraId="63972109" w14:textId="77777777" w:rsidR="00E90761" w:rsidRPr="00487627" w:rsidRDefault="00E90761" w:rsidP="005C0F00">
            <w:pPr>
              <w:pStyle w:val="Tablecolhead"/>
            </w:pPr>
            <w:r w:rsidRPr="00487627">
              <w:t>Contact</w:t>
            </w:r>
          </w:p>
        </w:tc>
      </w:tr>
      <w:tr w:rsidR="00E90761" w:rsidRPr="001B0D1A" w14:paraId="3A079D4E" w14:textId="77777777" w:rsidTr="005C0F00">
        <w:tc>
          <w:tcPr>
            <w:tcW w:w="2191" w:type="pct"/>
          </w:tcPr>
          <w:p w14:paraId="709A7F47" w14:textId="77777777" w:rsidR="00E90761" w:rsidRPr="001B0D1A" w:rsidRDefault="00E90761" w:rsidP="005C0F00">
            <w:pPr>
              <w:pStyle w:val="Tabletext"/>
              <w:rPr>
                <w:rFonts w:cs="Arial"/>
                <w:szCs w:val="21"/>
              </w:rPr>
            </w:pPr>
            <w:r w:rsidRPr="001B0D1A">
              <w:rPr>
                <w:rFonts w:cs="Arial"/>
                <w:szCs w:val="21"/>
              </w:rPr>
              <w:t>Southern Melbourne</w:t>
            </w:r>
          </w:p>
        </w:tc>
        <w:tc>
          <w:tcPr>
            <w:tcW w:w="1528" w:type="pct"/>
          </w:tcPr>
          <w:p w14:paraId="7211C379" w14:textId="77777777" w:rsidR="00E90761" w:rsidRPr="001B0D1A" w:rsidRDefault="00E90761" w:rsidP="005C0F00">
            <w:pPr>
              <w:pStyle w:val="Tabletext"/>
              <w:rPr>
                <w:rFonts w:cs="Arial"/>
                <w:szCs w:val="21"/>
              </w:rPr>
            </w:pPr>
            <w:r w:rsidRPr="001B0D1A">
              <w:rPr>
                <w:rFonts w:cs="Arial"/>
                <w:szCs w:val="21"/>
              </w:rPr>
              <w:t>Dandenong</w:t>
            </w:r>
          </w:p>
        </w:tc>
        <w:tc>
          <w:tcPr>
            <w:tcW w:w="1281" w:type="pct"/>
          </w:tcPr>
          <w:p w14:paraId="2E84DC63" w14:textId="77777777" w:rsidR="00E90761" w:rsidRPr="001B0D1A" w:rsidRDefault="00000000" w:rsidP="005C0F00">
            <w:pPr>
              <w:pStyle w:val="Tabletext"/>
              <w:rPr>
                <w:rFonts w:cs="Arial"/>
                <w:szCs w:val="21"/>
              </w:rPr>
            </w:pPr>
            <w:hyperlink r:id="rId29" w:history="1">
              <w:r w:rsidR="00E90761" w:rsidRPr="005948AF">
                <w:rPr>
                  <w:rStyle w:val="Hyperlink"/>
                  <w:rFonts w:eastAsia="MS Mincho" w:cs="Arial"/>
                  <w:szCs w:val="21"/>
                  <w:shd w:val="clear" w:color="auto" w:fill="FFFFFF"/>
                </w:rPr>
                <w:t>complex.clientsSM@dffh.vic.gov.au</w:t>
              </w:r>
            </w:hyperlink>
          </w:p>
        </w:tc>
      </w:tr>
      <w:tr w:rsidR="00E90761" w:rsidRPr="001B0D1A" w14:paraId="458B3742" w14:textId="77777777" w:rsidTr="005C0F00">
        <w:tc>
          <w:tcPr>
            <w:tcW w:w="2191" w:type="pct"/>
          </w:tcPr>
          <w:p w14:paraId="512A7CEC" w14:textId="77777777" w:rsidR="00E90761" w:rsidRPr="001B0D1A" w:rsidRDefault="00E90761" w:rsidP="005C0F00">
            <w:pPr>
              <w:pStyle w:val="Tabletext"/>
              <w:rPr>
                <w:rFonts w:cs="Arial"/>
                <w:szCs w:val="21"/>
              </w:rPr>
            </w:pPr>
            <w:r w:rsidRPr="001B0D1A">
              <w:rPr>
                <w:rFonts w:cs="Arial"/>
                <w:szCs w:val="21"/>
              </w:rPr>
              <w:t>Bayside Peninsula</w:t>
            </w:r>
          </w:p>
        </w:tc>
        <w:tc>
          <w:tcPr>
            <w:tcW w:w="1528" w:type="pct"/>
          </w:tcPr>
          <w:p w14:paraId="66073D6D" w14:textId="77777777" w:rsidR="00E90761" w:rsidRPr="001B0D1A" w:rsidRDefault="00E90761" w:rsidP="005C0F00">
            <w:pPr>
              <w:pStyle w:val="Tabletext"/>
              <w:rPr>
                <w:rFonts w:cs="Arial"/>
                <w:szCs w:val="21"/>
              </w:rPr>
            </w:pPr>
            <w:r w:rsidRPr="001B0D1A">
              <w:rPr>
                <w:rFonts w:cs="Arial"/>
                <w:szCs w:val="21"/>
              </w:rPr>
              <w:t>Dandenong</w:t>
            </w:r>
          </w:p>
        </w:tc>
        <w:tc>
          <w:tcPr>
            <w:tcW w:w="1281" w:type="pct"/>
          </w:tcPr>
          <w:p w14:paraId="3ECC7AAE" w14:textId="77777777" w:rsidR="00E90761" w:rsidRPr="001B0D1A" w:rsidRDefault="00000000" w:rsidP="005C0F00">
            <w:pPr>
              <w:pStyle w:val="Tabletext"/>
              <w:rPr>
                <w:rFonts w:cs="Arial"/>
                <w:szCs w:val="21"/>
              </w:rPr>
            </w:pPr>
            <w:hyperlink r:id="rId30" w:history="1">
              <w:r w:rsidR="00E90761" w:rsidRPr="005948AF">
                <w:rPr>
                  <w:rStyle w:val="Hyperlink"/>
                  <w:rFonts w:eastAsia="MS Mincho" w:cs="Arial"/>
                  <w:szCs w:val="21"/>
                  <w:shd w:val="clear" w:color="auto" w:fill="FFFFFF"/>
                </w:rPr>
                <w:t>Complex.ClientsBP@dffh.vic.gov.au</w:t>
              </w:r>
            </w:hyperlink>
          </w:p>
        </w:tc>
      </w:tr>
      <w:tr w:rsidR="00E90761" w:rsidRPr="001B0D1A" w14:paraId="5C2984EF" w14:textId="77777777" w:rsidTr="005C0F00">
        <w:tc>
          <w:tcPr>
            <w:tcW w:w="2191" w:type="pct"/>
          </w:tcPr>
          <w:p w14:paraId="08D3B4D9" w14:textId="77777777" w:rsidR="00E90761" w:rsidRPr="001B0D1A" w:rsidRDefault="00E90761" w:rsidP="005C0F00">
            <w:pPr>
              <w:pStyle w:val="Tabletext"/>
              <w:rPr>
                <w:rFonts w:cs="Arial"/>
                <w:szCs w:val="21"/>
              </w:rPr>
            </w:pPr>
            <w:r w:rsidRPr="001B0D1A">
              <w:rPr>
                <w:rFonts w:cs="Arial"/>
                <w:szCs w:val="21"/>
              </w:rPr>
              <w:t>Inner Gippsland</w:t>
            </w:r>
          </w:p>
        </w:tc>
        <w:tc>
          <w:tcPr>
            <w:tcW w:w="1528" w:type="pct"/>
          </w:tcPr>
          <w:p w14:paraId="3CCDA274" w14:textId="77777777" w:rsidR="00E90761" w:rsidRPr="001B0D1A" w:rsidRDefault="00E90761" w:rsidP="005C0F00">
            <w:pPr>
              <w:pStyle w:val="Tabletext"/>
              <w:rPr>
                <w:rFonts w:cs="Arial"/>
                <w:szCs w:val="21"/>
              </w:rPr>
            </w:pPr>
            <w:r w:rsidRPr="001B0D1A">
              <w:rPr>
                <w:rFonts w:cs="Arial"/>
                <w:szCs w:val="21"/>
              </w:rPr>
              <w:t>Morwell</w:t>
            </w:r>
          </w:p>
        </w:tc>
        <w:tc>
          <w:tcPr>
            <w:tcW w:w="1281" w:type="pct"/>
          </w:tcPr>
          <w:p w14:paraId="37DE09C4" w14:textId="77777777" w:rsidR="00E90761" w:rsidRPr="001B0D1A" w:rsidRDefault="00000000" w:rsidP="005C0F00">
            <w:pPr>
              <w:pStyle w:val="Tabletext"/>
              <w:rPr>
                <w:rFonts w:cs="Arial"/>
                <w:szCs w:val="21"/>
              </w:rPr>
            </w:pPr>
            <w:hyperlink r:id="rId31" w:history="1">
              <w:r w:rsidR="00E90761" w:rsidRPr="005948AF">
                <w:rPr>
                  <w:rStyle w:val="Hyperlink"/>
                  <w:rFonts w:eastAsia="MS Mincho" w:cs="Arial"/>
                  <w:szCs w:val="21"/>
                  <w:shd w:val="clear" w:color="auto" w:fill="FFFFFF"/>
                </w:rPr>
                <w:t>complex.clientsIG@dffh.vic.gov.au</w:t>
              </w:r>
            </w:hyperlink>
          </w:p>
        </w:tc>
      </w:tr>
      <w:tr w:rsidR="00E90761" w:rsidRPr="001B0D1A" w14:paraId="409808A0" w14:textId="77777777" w:rsidTr="005C0F00">
        <w:tc>
          <w:tcPr>
            <w:tcW w:w="2191" w:type="pct"/>
          </w:tcPr>
          <w:p w14:paraId="3FDDB1C5" w14:textId="77777777" w:rsidR="00E90761" w:rsidRPr="001B0D1A" w:rsidRDefault="00E90761" w:rsidP="005C0F00">
            <w:pPr>
              <w:pStyle w:val="Tabletext"/>
              <w:rPr>
                <w:rFonts w:cs="Arial"/>
                <w:szCs w:val="21"/>
              </w:rPr>
            </w:pPr>
            <w:r w:rsidRPr="001B0D1A">
              <w:rPr>
                <w:rFonts w:cs="Arial"/>
                <w:szCs w:val="21"/>
              </w:rPr>
              <w:t>Outer Gippsland</w:t>
            </w:r>
          </w:p>
        </w:tc>
        <w:tc>
          <w:tcPr>
            <w:tcW w:w="1528" w:type="pct"/>
          </w:tcPr>
          <w:p w14:paraId="36F9B074" w14:textId="77777777" w:rsidR="00E90761" w:rsidRPr="001B0D1A" w:rsidRDefault="00E90761" w:rsidP="005C0F00">
            <w:pPr>
              <w:pStyle w:val="Tabletext"/>
              <w:rPr>
                <w:rFonts w:cs="Arial"/>
                <w:szCs w:val="21"/>
              </w:rPr>
            </w:pPr>
            <w:r>
              <w:rPr>
                <w:rFonts w:cs="Arial"/>
                <w:szCs w:val="21"/>
              </w:rPr>
              <w:t>Bairnsdale</w:t>
            </w:r>
          </w:p>
        </w:tc>
        <w:tc>
          <w:tcPr>
            <w:tcW w:w="1281" w:type="pct"/>
          </w:tcPr>
          <w:p w14:paraId="23F31C79" w14:textId="0F89BF14" w:rsidR="00E90761" w:rsidRPr="001B0D1A" w:rsidRDefault="00000000" w:rsidP="005C0F00">
            <w:pPr>
              <w:pStyle w:val="Tabletext"/>
              <w:rPr>
                <w:rFonts w:cs="Arial"/>
                <w:szCs w:val="21"/>
              </w:rPr>
            </w:pPr>
            <w:hyperlink r:id="rId32" w:history="1">
              <w:r w:rsidR="0074418D" w:rsidRPr="001B1BF9">
                <w:rPr>
                  <w:rStyle w:val="Hyperlink"/>
                  <w:rFonts w:eastAsia="MS Mincho" w:cs="Arial"/>
                  <w:szCs w:val="21"/>
                  <w:shd w:val="clear" w:color="auto" w:fill="FFFFFF"/>
                </w:rPr>
                <w:t>complex.clients.oga@dffh.vic.gov.au</w:t>
              </w:r>
            </w:hyperlink>
            <w:r w:rsidR="0074418D">
              <w:rPr>
                <w:rFonts w:eastAsia="MS Mincho" w:cs="Arial"/>
                <w:szCs w:val="21"/>
                <w:shd w:val="clear" w:color="auto" w:fill="FFFFFF"/>
              </w:rPr>
              <w:t xml:space="preserve"> </w:t>
            </w:r>
          </w:p>
        </w:tc>
      </w:tr>
    </w:tbl>
    <w:p w14:paraId="238FC495" w14:textId="77777777" w:rsidR="00E90761" w:rsidRPr="00487627" w:rsidRDefault="00E90761" w:rsidP="00E90761">
      <w:pPr>
        <w:pStyle w:val="Heading3"/>
      </w:pPr>
      <w:r w:rsidRPr="00487627">
        <w:t xml:space="preserve">West </w:t>
      </w:r>
      <w:r>
        <w:t>D</w:t>
      </w:r>
      <w:r w:rsidRPr="00487627">
        <w:t>ivision</w:t>
      </w:r>
    </w:p>
    <w:tbl>
      <w:tblPr>
        <w:tblStyle w:val="TableGrid"/>
        <w:tblW w:w="5000" w:type="pct"/>
        <w:tblLook w:val="04A0" w:firstRow="1" w:lastRow="0" w:firstColumn="1" w:lastColumn="0" w:noHBand="0" w:noVBand="1"/>
      </w:tblPr>
      <w:tblGrid>
        <w:gridCol w:w="2877"/>
        <w:gridCol w:w="1646"/>
        <w:gridCol w:w="4765"/>
      </w:tblGrid>
      <w:tr w:rsidR="00E90761" w:rsidRPr="00487627" w14:paraId="19EDE3DD" w14:textId="77777777" w:rsidTr="005C0F00">
        <w:tc>
          <w:tcPr>
            <w:tcW w:w="1549" w:type="pct"/>
          </w:tcPr>
          <w:p w14:paraId="5D755587" w14:textId="77777777" w:rsidR="00E90761" w:rsidRPr="00487627" w:rsidRDefault="00E90761" w:rsidP="005C0F00">
            <w:pPr>
              <w:pStyle w:val="Tablecolhead"/>
            </w:pPr>
            <w:bookmarkStart w:id="46" w:name="_338fx5o" w:colFirst="0" w:colLast="0"/>
            <w:bookmarkEnd w:id="46"/>
            <w:r w:rsidRPr="00487627">
              <w:t>Area</w:t>
            </w:r>
          </w:p>
        </w:tc>
        <w:tc>
          <w:tcPr>
            <w:tcW w:w="886" w:type="pct"/>
          </w:tcPr>
          <w:p w14:paraId="795F0E3B" w14:textId="77777777" w:rsidR="00E90761" w:rsidRPr="00487627" w:rsidRDefault="00E90761" w:rsidP="005C0F00">
            <w:pPr>
              <w:pStyle w:val="Tablecolhead"/>
            </w:pPr>
            <w:r w:rsidRPr="00487627">
              <w:t>Office</w:t>
            </w:r>
          </w:p>
        </w:tc>
        <w:tc>
          <w:tcPr>
            <w:tcW w:w="2566" w:type="pct"/>
          </w:tcPr>
          <w:p w14:paraId="4EB1E6BE" w14:textId="77777777" w:rsidR="00E90761" w:rsidRPr="00487627" w:rsidRDefault="00E90761" w:rsidP="005C0F00">
            <w:pPr>
              <w:pStyle w:val="Tablecolhead"/>
            </w:pPr>
            <w:r w:rsidRPr="00487627">
              <w:t>Contact</w:t>
            </w:r>
          </w:p>
        </w:tc>
      </w:tr>
      <w:tr w:rsidR="00E90761" w:rsidRPr="001B0D1A" w14:paraId="4C4374E2" w14:textId="77777777" w:rsidTr="005C0F00">
        <w:tc>
          <w:tcPr>
            <w:tcW w:w="1549" w:type="pct"/>
            <w:vMerge w:val="restart"/>
          </w:tcPr>
          <w:p w14:paraId="564B4AC8" w14:textId="77777777" w:rsidR="00E90761" w:rsidRPr="001B0D1A" w:rsidRDefault="00E90761" w:rsidP="005C0F00">
            <w:pPr>
              <w:pStyle w:val="Tabletext"/>
              <w:rPr>
                <w:rFonts w:cs="Arial"/>
                <w:szCs w:val="21"/>
              </w:rPr>
            </w:pPr>
            <w:r w:rsidRPr="001B0D1A">
              <w:rPr>
                <w:rFonts w:cs="Arial"/>
                <w:szCs w:val="21"/>
              </w:rPr>
              <w:t>Western Melbourne &amp; Brimbank Melton</w:t>
            </w:r>
          </w:p>
        </w:tc>
        <w:tc>
          <w:tcPr>
            <w:tcW w:w="886" w:type="pct"/>
          </w:tcPr>
          <w:p w14:paraId="2180CF06" w14:textId="77777777" w:rsidR="00E90761" w:rsidRPr="001B0D1A" w:rsidRDefault="00E90761" w:rsidP="005C0F00">
            <w:pPr>
              <w:pStyle w:val="Tabletext"/>
              <w:rPr>
                <w:rFonts w:cs="Arial"/>
                <w:szCs w:val="21"/>
              </w:rPr>
            </w:pPr>
            <w:r w:rsidRPr="001B0D1A">
              <w:rPr>
                <w:rFonts w:cs="Arial"/>
                <w:szCs w:val="21"/>
              </w:rPr>
              <w:t>Footscray</w:t>
            </w:r>
          </w:p>
        </w:tc>
        <w:tc>
          <w:tcPr>
            <w:tcW w:w="2566" w:type="pct"/>
            <w:vMerge w:val="restart"/>
            <w:vAlign w:val="center"/>
          </w:tcPr>
          <w:p w14:paraId="6592D006" w14:textId="77777777" w:rsidR="00E90761" w:rsidRPr="001B0D1A" w:rsidRDefault="00000000" w:rsidP="005C0F00">
            <w:pPr>
              <w:pStyle w:val="Tabletext"/>
              <w:rPr>
                <w:rFonts w:cs="Arial"/>
                <w:szCs w:val="21"/>
              </w:rPr>
            </w:pPr>
            <w:hyperlink r:id="rId33" w:history="1">
              <w:r w:rsidR="00E90761" w:rsidRPr="005948AF">
                <w:rPr>
                  <w:rStyle w:val="Hyperlink"/>
                  <w:rFonts w:cs="Arial"/>
                  <w:szCs w:val="21"/>
                </w:rPr>
                <w:t>WMBM.ComplexNeeds@dffh.vic.gov.au</w:t>
              </w:r>
            </w:hyperlink>
            <w:r w:rsidR="00E90761">
              <w:rPr>
                <w:rFonts w:cs="Arial"/>
                <w:szCs w:val="21"/>
              </w:rPr>
              <w:t xml:space="preserve"> </w:t>
            </w:r>
          </w:p>
        </w:tc>
      </w:tr>
      <w:tr w:rsidR="00E90761" w:rsidRPr="001B0D1A" w14:paraId="30B88F54" w14:textId="77777777" w:rsidTr="005C0F00">
        <w:tc>
          <w:tcPr>
            <w:tcW w:w="1549" w:type="pct"/>
            <w:vMerge/>
          </w:tcPr>
          <w:p w14:paraId="52E7E1DC" w14:textId="77777777" w:rsidR="00E90761" w:rsidRPr="001B0D1A" w:rsidRDefault="00E90761" w:rsidP="005C0F00">
            <w:pPr>
              <w:pStyle w:val="Tabletext"/>
              <w:rPr>
                <w:rFonts w:cs="Arial"/>
                <w:szCs w:val="21"/>
              </w:rPr>
            </w:pPr>
          </w:p>
        </w:tc>
        <w:tc>
          <w:tcPr>
            <w:tcW w:w="886" w:type="pct"/>
          </w:tcPr>
          <w:p w14:paraId="24D09402" w14:textId="77777777" w:rsidR="00E90761" w:rsidRPr="001B0D1A" w:rsidRDefault="00E90761" w:rsidP="005C0F00">
            <w:pPr>
              <w:pStyle w:val="Tabletext"/>
              <w:rPr>
                <w:rFonts w:cs="Arial"/>
                <w:szCs w:val="21"/>
              </w:rPr>
            </w:pPr>
            <w:r w:rsidRPr="001B0D1A">
              <w:rPr>
                <w:rFonts w:cs="Arial"/>
                <w:szCs w:val="21"/>
              </w:rPr>
              <w:t>Sunshine</w:t>
            </w:r>
          </w:p>
        </w:tc>
        <w:tc>
          <w:tcPr>
            <w:tcW w:w="2566" w:type="pct"/>
            <w:vMerge/>
          </w:tcPr>
          <w:p w14:paraId="70CAD775" w14:textId="77777777" w:rsidR="00E90761" w:rsidRPr="001B0D1A" w:rsidRDefault="00E90761" w:rsidP="005C0F00">
            <w:pPr>
              <w:pStyle w:val="Tabletext"/>
              <w:rPr>
                <w:rFonts w:cs="Arial"/>
                <w:szCs w:val="21"/>
              </w:rPr>
            </w:pPr>
          </w:p>
        </w:tc>
      </w:tr>
      <w:tr w:rsidR="00E90761" w:rsidRPr="001B0D1A" w14:paraId="7277444D" w14:textId="77777777" w:rsidTr="005C0F00">
        <w:tc>
          <w:tcPr>
            <w:tcW w:w="1549" w:type="pct"/>
          </w:tcPr>
          <w:p w14:paraId="335F4BAE" w14:textId="77777777" w:rsidR="00E90761" w:rsidRPr="001B0D1A" w:rsidRDefault="00E90761" w:rsidP="005C0F00">
            <w:pPr>
              <w:pStyle w:val="Tabletext"/>
              <w:rPr>
                <w:rFonts w:cs="Arial"/>
                <w:szCs w:val="21"/>
              </w:rPr>
            </w:pPr>
            <w:r w:rsidRPr="001B0D1A">
              <w:rPr>
                <w:rFonts w:cs="Arial"/>
                <w:szCs w:val="21"/>
              </w:rPr>
              <w:t>Central Highlands</w:t>
            </w:r>
          </w:p>
        </w:tc>
        <w:tc>
          <w:tcPr>
            <w:tcW w:w="886" w:type="pct"/>
          </w:tcPr>
          <w:p w14:paraId="69E71498" w14:textId="77777777" w:rsidR="00E90761" w:rsidRPr="001B0D1A" w:rsidRDefault="00E90761" w:rsidP="005C0F00">
            <w:pPr>
              <w:pStyle w:val="Tabletext"/>
              <w:rPr>
                <w:rFonts w:cs="Arial"/>
                <w:szCs w:val="21"/>
              </w:rPr>
            </w:pPr>
            <w:r w:rsidRPr="001B0D1A">
              <w:rPr>
                <w:rFonts w:cs="Arial"/>
                <w:szCs w:val="21"/>
              </w:rPr>
              <w:t>Ballarat</w:t>
            </w:r>
          </w:p>
        </w:tc>
        <w:tc>
          <w:tcPr>
            <w:tcW w:w="2566" w:type="pct"/>
          </w:tcPr>
          <w:p w14:paraId="610E08DF" w14:textId="77777777" w:rsidR="00E90761" w:rsidRPr="001B0D1A" w:rsidRDefault="00000000" w:rsidP="005C0F00">
            <w:pPr>
              <w:pStyle w:val="Tabletext"/>
              <w:rPr>
                <w:rFonts w:cs="Arial"/>
                <w:szCs w:val="21"/>
              </w:rPr>
            </w:pPr>
            <w:hyperlink r:id="rId34" w:history="1">
              <w:r w:rsidR="00E90761" w:rsidRPr="005948AF">
                <w:rPr>
                  <w:rStyle w:val="Hyperlink"/>
                  <w:rFonts w:eastAsia="MS Mincho" w:cs="Arial"/>
                  <w:szCs w:val="21"/>
                  <w:shd w:val="clear" w:color="auto" w:fill="FFFFFF"/>
                </w:rPr>
                <w:t>CHA.ComplexClientsReferrals@dffh.vic.gov.au</w:t>
              </w:r>
            </w:hyperlink>
          </w:p>
        </w:tc>
      </w:tr>
      <w:tr w:rsidR="00E90761" w:rsidRPr="001B0D1A" w14:paraId="07D95F10" w14:textId="77777777" w:rsidTr="005C0F00">
        <w:tc>
          <w:tcPr>
            <w:tcW w:w="1549" w:type="pct"/>
          </w:tcPr>
          <w:p w14:paraId="64843063" w14:textId="77777777" w:rsidR="00E90761" w:rsidRPr="001B0D1A" w:rsidRDefault="00E90761" w:rsidP="005C0F00">
            <w:pPr>
              <w:pStyle w:val="Tabletext"/>
              <w:rPr>
                <w:rFonts w:cs="Arial"/>
                <w:szCs w:val="21"/>
              </w:rPr>
            </w:pPr>
            <w:r w:rsidRPr="001B0D1A">
              <w:rPr>
                <w:rFonts w:cs="Arial"/>
                <w:szCs w:val="21"/>
              </w:rPr>
              <w:t>Barwon</w:t>
            </w:r>
          </w:p>
        </w:tc>
        <w:tc>
          <w:tcPr>
            <w:tcW w:w="886" w:type="pct"/>
          </w:tcPr>
          <w:p w14:paraId="3E412DE4" w14:textId="77777777" w:rsidR="00E90761" w:rsidRPr="001B0D1A" w:rsidRDefault="00E90761" w:rsidP="005C0F00">
            <w:pPr>
              <w:pStyle w:val="Tabletext"/>
              <w:rPr>
                <w:rFonts w:cs="Arial"/>
                <w:szCs w:val="21"/>
              </w:rPr>
            </w:pPr>
            <w:r w:rsidRPr="001B0D1A">
              <w:rPr>
                <w:rFonts w:cs="Arial"/>
                <w:szCs w:val="21"/>
              </w:rPr>
              <w:t>Geelong</w:t>
            </w:r>
          </w:p>
        </w:tc>
        <w:tc>
          <w:tcPr>
            <w:tcW w:w="2566" w:type="pct"/>
          </w:tcPr>
          <w:p w14:paraId="658A5B31" w14:textId="77777777" w:rsidR="00E90761" w:rsidRPr="001B0D1A" w:rsidRDefault="00000000" w:rsidP="005C0F00">
            <w:pPr>
              <w:pStyle w:val="Tabletext"/>
              <w:rPr>
                <w:rFonts w:cs="Arial"/>
                <w:szCs w:val="21"/>
              </w:rPr>
            </w:pPr>
            <w:hyperlink r:id="rId35" w:history="1">
              <w:r w:rsidR="00E90761" w:rsidRPr="00FA760C">
                <w:rPr>
                  <w:rStyle w:val="Hyperlink"/>
                  <w:rFonts w:cs="Arial"/>
                  <w:szCs w:val="21"/>
                </w:rPr>
                <w:t>ComplexNeeds.Barwon@dffh.vic.gov.au</w:t>
              </w:r>
            </w:hyperlink>
            <w:r w:rsidR="00E90761">
              <w:rPr>
                <w:rFonts w:cs="Arial"/>
                <w:szCs w:val="21"/>
              </w:rPr>
              <w:t xml:space="preserve"> </w:t>
            </w:r>
          </w:p>
        </w:tc>
      </w:tr>
      <w:tr w:rsidR="00E90761" w:rsidRPr="001B0D1A" w14:paraId="3B49A067" w14:textId="77777777" w:rsidTr="005C0F00">
        <w:tc>
          <w:tcPr>
            <w:tcW w:w="1549" w:type="pct"/>
          </w:tcPr>
          <w:p w14:paraId="3920B0BF" w14:textId="77777777" w:rsidR="00E90761" w:rsidRPr="001B0D1A" w:rsidRDefault="00E90761" w:rsidP="005C0F00">
            <w:pPr>
              <w:pStyle w:val="Tabletext"/>
              <w:rPr>
                <w:rFonts w:cs="Arial"/>
              </w:rPr>
            </w:pPr>
            <w:r w:rsidRPr="638F93E6">
              <w:rPr>
                <w:rFonts w:cs="Arial"/>
              </w:rPr>
              <w:t xml:space="preserve">Wimmera </w:t>
            </w:r>
            <w:bookmarkStart w:id="47" w:name="_Int_EOBCJ4ir"/>
            <w:r w:rsidRPr="638F93E6">
              <w:rPr>
                <w:rFonts w:cs="Arial"/>
              </w:rPr>
              <w:t>South West</w:t>
            </w:r>
            <w:bookmarkEnd w:id="47"/>
          </w:p>
        </w:tc>
        <w:tc>
          <w:tcPr>
            <w:tcW w:w="886" w:type="pct"/>
          </w:tcPr>
          <w:p w14:paraId="36295140" w14:textId="77777777" w:rsidR="00E90761" w:rsidRPr="001B0D1A" w:rsidRDefault="00E90761" w:rsidP="005C0F00">
            <w:pPr>
              <w:pStyle w:val="Tabletext"/>
              <w:rPr>
                <w:rFonts w:cs="Arial"/>
                <w:szCs w:val="21"/>
              </w:rPr>
            </w:pPr>
            <w:r w:rsidRPr="001B0D1A">
              <w:rPr>
                <w:rFonts w:cs="Arial"/>
                <w:szCs w:val="21"/>
              </w:rPr>
              <w:t>Warrnambool</w:t>
            </w:r>
          </w:p>
        </w:tc>
        <w:tc>
          <w:tcPr>
            <w:tcW w:w="2566" w:type="pct"/>
          </w:tcPr>
          <w:p w14:paraId="6A1ED120" w14:textId="77777777" w:rsidR="00E90761" w:rsidRPr="001B0D1A" w:rsidRDefault="00000000" w:rsidP="005C0F00">
            <w:pPr>
              <w:pStyle w:val="Tabletext"/>
              <w:rPr>
                <w:rFonts w:cs="Arial"/>
                <w:szCs w:val="21"/>
              </w:rPr>
            </w:pPr>
            <w:hyperlink r:id="rId36" w:history="1">
              <w:r w:rsidR="00E90761" w:rsidRPr="005948AF">
                <w:rPr>
                  <w:rStyle w:val="Hyperlink"/>
                  <w:rFonts w:cs="Arial"/>
                  <w:szCs w:val="21"/>
                </w:rPr>
                <w:t>WSWA.ComplexNeeds@dffh.vic.gov.au</w:t>
              </w:r>
            </w:hyperlink>
            <w:r w:rsidR="00E90761">
              <w:rPr>
                <w:rFonts w:cs="Arial"/>
                <w:szCs w:val="21"/>
              </w:rPr>
              <w:t xml:space="preserve"> </w:t>
            </w:r>
          </w:p>
        </w:tc>
      </w:tr>
    </w:tbl>
    <w:p w14:paraId="674A7869" w14:textId="77777777" w:rsidR="00E90761" w:rsidRDefault="00E90761" w:rsidP="00E90761">
      <w:pPr>
        <w:spacing w:after="0" w:line="240" w:lineRule="auto"/>
        <w:rPr>
          <w:rFonts w:eastAsia="Times"/>
        </w:rPr>
      </w:pPr>
      <w:r>
        <w:br w:type="page"/>
      </w:r>
    </w:p>
    <w:p w14:paraId="2EFA4450" w14:textId="77777777" w:rsidR="00E90761" w:rsidRDefault="00E90761" w:rsidP="00E90761">
      <w:pPr>
        <w:pStyle w:val="Heading1"/>
      </w:pPr>
      <w:bookmarkStart w:id="48" w:name="_Toc83816741"/>
      <w:bookmarkStart w:id="49" w:name="_Toc144299837"/>
      <w:r>
        <w:lastRenderedPageBreak/>
        <w:t>Appendix 1: Potential referrer self-assessment</w:t>
      </w:r>
      <w:bookmarkEnd w:id="48"/>
      <w:bookmarkEnd w:id="49"/>
      <w:r>
        <w:t xml:space="preserve"> </w:t>
      </w:r>
    </w:p>
    <w:p w14:paraId="521B87AE" w14:textId="77777777" w:rsidR="00E90761" w:rsidRDefault="00E90761" w:rsidP="00E90761">
      <w:pPr>
        <w:pStyle w:val="Body"/>
      </w:pPr>
      <w:r>
        <w:t>This list of questions gives potential referrers an indication of:</w:t>
      </w:r>
    </w:p>
    <w:p w14:paraId="0530F728" w14:textId="77777777" w:rsidR="00E90761" w:rsidRDefault="00E90761" w:rsidP="00E90761">
      <w:pPr>
        <w:pStyle w:val="Bullet1"/>
      </w:pPr>
      <w:r>
        <w:t>what questions the Complex Needs Coordinator will ask during the initial consultation, and</w:t>
      </w:r>
    </w:p>
    <w:p w14:paraId="42865DF2" w14:textId="77777777" w:rsidR="00E90761" w:rsidRDefault="00E90761" w:rsidP="00E90761">
      <w:pPr>
        <w:pStyle w:val="Bullet1"/>
      </w:pPr>
      <w:r>
        <w:t>what will need to be answered on the Complex Needs referral form.</w:t>
      </w:r>
    </w:p>
    <w:p w14:paraId="37CEF165" w14:textId="77777777" w:rsidR="00E90761" w:rsidRDefault="00E90761" w:rsidP="00E90761">
      <w:pPr>
        <w:pStyle w:val="Heading3"/>
      </w:pPr>
      <w:r>
        <w:t>Eligibility criteria</w:t>
      </w:r>
    </w:p>
    <w:p w14:paraId="190F796C" w14:textId="77777777" w:rsidR="00E90761" w:rsidRDefault="00E90761" w:rsidP="00E90761">
      <w:pPr>
        <w:pStyle w:val="Bullet1"/>
      </w:pPr>
      <w:r>
        <w:t>Does the person appear to meet the eligibility criteria?</w:t>
      </w:r>
    </w:p>
    <w:p w14:paraId="01B1F3E3" w14:textId="77777777" w:rsidR="00E90761" w:rsidRDefault="00E90761" w:rsidP="00E90761">
      <w:pPr>
        <w:pStyle w:val="Heading3"/>
      </w:pPr>
      <w:r>
        <w:t>Service response</w:t>
      </w:r>
    </w:p>
    <w:p w14:paraId="22E6022A" w14:textId="77777777" w:rsidR="00E90761" w:rsidRDefault="00E90761" w:rsidP="00E90761">
      <w:pPr>
        <w:pStyle w:val="Bullet1"/>
      </w:pPr>
      <w:r>
        <w:t>Has there been, or is there, a current coordinated service response or case plan for the person? Can you describe what has worked and not worked for the person?</w:t>
      </w:r>
    </w:p>
    <w:p w14:paraId="6CEDCFA9" w14:textId="77777777" w:rsidR="00E90761" w:rsidRDefault="00E90761" w:rsidP="00E90761">
      <w:pPr>
        <w:pStyle w:val="Bullet1"/>
      </w:pPr>
      <w:r>
        <w:t>What are you expecting MACNI to achieve with and for the person?</w:t>
      </w:r>
    </w:p>
    <w:p w14:paraId="7A448565" w14:textId="77777777" w:rsidR="00E90761" w:rsidRDefault="00E90761" w:rsidP="00E90761">
      <w:pPr>
        <w:pStyle w:val="Bullet1"/>
      </w:pPr>
      <w:r>
        <w:t>Does the person have involvement with other services?</w:t>
      </w:r>
    </w:p>
    <w:p w14:paraId="31BE6F66" w14:textId="77777777" w:rsidR="00E90761" w:rsidRDefault="00E90761" w:rsidP="00E90761">
      <w:pPr>
        <w:pStyle w:val="Bullet1"/>
      </w:pPr>
      <w:r>
        <w:t>Have you made contact with these services?</w:t>
      </w:r>
    </w:p>
    <w:p w14:paraId="71C471B2" w14:textId="77777777" w:rsidR="00E90761" w:rsidRDefault="00E90761" w:rsidP="00E90761">
      <w:pPr>
        <w:pStyle w:val="Bullet1"/>
      </w:pPr>
      <w:r>
        <w:t>Has a case plan meeting been conducted with the existing service providers to establish the nature of the issues, or to identify alternative response options?</w:t>
      </w:r>
    </w:p>
    <w:p w14:paraId="184AAB1C" w14:textId="77777777" w:rsidR="00E90761" w:rsidRDefault="00E90761" w:rsidP="00E90761">
      <w:pPr>
        <w:pStyle w:val="Bullet1"/>
      </w:pPr>
      <w:r>
        <w:t>Does your program manager support this potential referral?</w:t>
      </w:r>
    </w:p>
    <w:p w14:paraId="039304F4" w14:textId="77777777" w:rsidR="00E90761" w:rsidRDefault="00E90761" w:rsidP="00E90761">
      <w:pPr>
        <w:pStyle w:val="Heading3"/>
      </w:pPr>
      <w:r>
        <w:t>Confidentiality and privacy</w:t>
      </w:r>
    </w:p>
    <w:p w14:paraId="3A31A576" w14:textId="77777777" w:rsidR="00E90761" w:rsidRDefault="00E90761" w:rsidP="00E90761">
      <w:pPr>
        <w:pStyle w:val="Bullet1"/>
      </w:pPr>
      <w:r>
        <w:t>Has the person been informed of the potential referral?</w:t>
      </w:r>
    </w:p>
    <w:p w14:paraId="1DA568C6" w14:textId="77777777" w:rsidR="00E90761" w:rsidRDefault="00E90761" w:rsidP="00E90761">
      <w:pPr>
        <w:pStyle w:val="Bullet1"/>
      </w:pPr>
      <w:r>
        <w:t>Does the person agree to the referral?</w:t>
      </w:r>
    </w:p>
    <w:p w14:paraId="6DB143A7" w14:textId="77777777" w:rsidR="00E90761" w:rsidRDefault="00E90761" w:rsidP="00E90761">
      <w:pPr>
        <w:pStyle w:val="Bullet1"/>
      </w:pPr>
      <w:r>
        <w:t>Does the person have a parent, carer or guardian?</w:t>
      </w:r>
    </w:p>
    <w:p w14:paraId="447D41B3" w14:textId="77777777" w:rsidR="00E90761" w:rsidRDefault="00E90761" w:rsidP="00E90761">
      <w:pPr>
        <w:pStyle w:val="Bullet1"/>
      </w:pPr>
      <w:r>
        <w:t>Have you discussed the potential referral with the parent, carer or guardian?</w:t>
      </w:r>
    </w:p>
    <w:p w14:paraId="144E3663" w14:textId="77777777" w:rsidR="00E90761" w:rsidRPr="002D71DF" w:rsidRDefault="00E90761" w:rsidP="00E90761">
      <w:pPr>
        <w:pStyle w:val="Bullet1"/>
      </w:pPr>
      <w:r>
        <w:t>Does the person know that the information about them will be shared with the area panel and among other involved service providers?</w:t>
      </w:r>
    </w:p>
    <w:p w14:paraId="56D509EB" w14:textId="17893CF3" w:rsidR="00FB1F6E" w:rsidRDefault="00FB1F6E">
      <w:pPr>
        <w:spacing w:after="0" w:line="240" w:lineRule="auto"/>
        <w:rPr>
          <w:rFonts w:eastAsia="Times"/>
        </w:rPr>
      </w:pPr>
    </w:p>
    <w:sectPr w:rsidR="00FB1F6E" w:rsidSect="00F15144">
      <w:headerReference w:type="even" r:id="rId37"/>
      <w:headerReference w:type="default" r:id="rId38"/>
      <w:footerReference w:type="even" r:id="rId39"/>
      <w:footerReference w:type="default" r:id="rId40"/>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CB3A1" w14:textId="77777777" w:rsidR="006A0F04" w:rsidRDefault="006A0F04">
      <w:r>
        <w:separator/>
      </w:r>
    </w:p>
    <w:p w14:paraId="6FE3EA66" w14:textId="77777777" w:rsidR="006A0F04" w:rsidRDefault="006A0F04"/>
  </w:endnote>
  <w:endnote w:type="continuationSeparator" w:id="0">
    <w:p w14:paraId="56560948" w14:textId="77777777" w:rsidR="006A0F04" w:rsidRDefault="006A0F04">
      <w:r>
        <w:continuationSeparator/>
      </w:r>
    </w:p>
    <w:p w14:paraId="3DAF0432" w14:textId="77777777" w:rsidR="006A0F04" w:rsidRDefault="006A0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9FB8A" w14:textId="77777777" w:rsidR="006A0F04" w:rsidRDefault="006A0F04" w:rsidP="00207717">
      <w:pPr>
        <w:spacing w:before="120"/>
      </w:pPr>
      <w:r>
        <w:separator/>
      </w:r>
    </w:p>
  </w:footnote>
  <w:footnote w:type="continuationSeparator" w:id="0">
    <w:p w14:paraId="77426050" w14:textId="77777777" w:rsidR="006A0F04" w:rsidRDefault="006A0F04">
      <w:r>
        <w:continuationSeparator/>
      </w:r>
    </w:p>
    <w:p w14:paraId="4875CC7B" w14:textId="77777777" w:rsidR="006A0F04" w:rsidRDefault="006A0F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F756" w14:textId="77777777" w:rsidR="00A800D2" w:rsidRDefault="00A80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E78C" w14:textId="77777777" w:rsidR="00A800D2" w:rsidRDefault="00A80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1E45A" w14:textId="77777777" w:rsidR="00A800D2" w:rsidRDefault="00A80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1F0DA020" w:rsidR="00562811" w:rsidRPr="001C7128" w:rsidRDefault="00E90761" w:rsidP="001C7128">
    <w:pPr>
      <w:pStyle w:val="Header"/>
    </w:pPr>
    <w:r>
      <w:t>Getting it together: A guide for individuals, carers and services on accessing MACNI</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2405092"/>
    <w:multiLevelType w:val="hybridMultilevel"/>
    <w:tmpl w:val="F05C78C0"/>
    <w:numStyleLink w:val="ZZBullets"/>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8A2C17"/>
    <w:multiLevelType w:val="multilevel"/>
    <w:tmpl w:val="65A864B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429498149">
    <w:abstractNumId w:val="10"/>
  </w:num>
  <w:num w:numId="2" w16cid:durableId="934287730">
    <w:abstractNumId w:val="18"/>
  </w:num>
  <w:num w:numId="3" w16cid:durableId="2037581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38997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2560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1938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9190603">
    <w:abstractNumId w:val="22"/>
  </w:num>
  <w:num w:numId="8" w16cid:durableId="910384546">
    <w:abstractNumId w:val="17"/>
  </w:num>
  <w:num w:numId="9" w16cid:durableId="78867857">
    <w:abstractNumId w:val="21"/>
  </w:num>
  <w:num w:numId="10" w16cid:durableId="20949371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38683057">
    <w:abstractNumId w:val="23"/>
  </w:num>
  <w:num w:numId="12" w16cid:durableId="18961641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85425215">
    <w:abstractNumId w:val="19"/>
  </w:num>
  <w:num w:numId="14" w16cid:durableId="120902549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66861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90018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2211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3720277">
    <w:abstractNumId w:val="26"/>
  </w:num>
  <w:num w:numId="19" w16cid:durableId="11007602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29859303">
    <w:abstractNumId w:val="14"/>
  </w:num>
  <w:num w:numId="21" w16cid:durableId="2119909865">
    <w:abstractNumId w:val="12"/>
  </w:num>
  <w:num w:numId="22" w16cid:durableId="2559477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0909810">
    <w:abstractNumId w:val="16"/>
  </w:num>
  <w:num w:numId="24" w16cid:durableId="607350024">
    <w:abstractNumId w:val="27"/>
  </w:num>
  <w:num w:numId="25" w16cid:durableId="1384334316">
    <w:abstractNumId w:val="24"/>
  </w:num>
  <w:num w:numId="26" w16cid:durableId="917594021">
    <w:abstractNumId w:val="20"/>
  </w:num>
  <w:num w:numId="27" w16cid:durableId="1712798418">
    <w:abstractNumId w:val="11"/>
  </w:num>
  <w:num w:numId="28" w16cid:durableId="757210426">
    <w:abstractNumId w:val="28"/>
  </w:num>
  <w:num w:numId="29" w16cid:durableId="310410855">
    <w:abstractNumId w:val="9"/>
  </w:num>
  <w:num w:numId="30" w16cid:durableId="1835223575">
    <w:abstractNumId w:val="7"/>
  </w:num>
  <w:num w:numId="31" w16cid:durableId="1691107681">
    <w:abstractNumId w:val="6"/>
  </w:num>
  <w:num w:numId="32" w16cid:durableId="1550532787">
    <w:abstractNumId w:val="5"/>
  </w:num>
  <w:num w:numId="33" w16cid:durableId="1789158559">
    <w:abstractNumId w:val="4"/>
  </w:num>
  <w:num w:numId="34" w16cid:durableId="1492332574">
    <w:abstractNumId w:val="8"/>
  </w:num>
  <w:num w:numId="35" w16cid:durableId="831683580">
    <w:abstractNumId w:val="3"/>
  </w:num>
  <w:num w:numId="36" w16cid:durableId="1882016372">
    <w:abstractNumId w:val="2"/>
  </w:num>
  <w:num w:numId="37" w16cid:durableId="1517692382">
    <w:abstractNumId w:val="1"/>
  </w:num>
  <w:num w:numId="38" w16cid:durableId="1930237607">
    <w:abstractNumId w:val="0"/>
  </w:num>
  <w:num w:numId="39" w16cid:durableId="19517406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2422633">
    <w:abstractNumId w:val="15"/>
    <w:lvlOverride w:ilvl="0">
      <w:lvl w:ilvl="0" w:tplc="87E2719C">
        <w:start w:val="1"/>
        <w:numFmt w:val="bullet"/>
        <w:lvlText w:val=""/>
        <w:lvlJc w:val="left"/>
        <w:pPr>
          <w:ind w:left="720" w:hanging="360"/>
        </w:pPr>
        <w:rPr>
          <w:rFonts w:ascii="Symbol" w:hAnsi="Symbol" w:hint="default"/>
          <w:color w:val="auto"/>
        </w:rPr>
      </w:lvl>
    </w:lvlOverride>
  </w:num>
  <w:num w:numId="41" w16cid:durableId="1928033185">
    <w:abstractNumId w:val="15"/>
  </w:num>
  <w:num w:numId="42" w16cid:durableId="1047951642">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3E1A"/>
    <w:rsid w:val="000A641A"/>
    <w:rsid w:val="000B3EDB"/>
    <w:rsid w:val="000B543D"/>
    <w:rsid w:val="000B55F9"/>
    <w:rsid w:val="000B5BF7"/>
    <w:rsid w:val="000B6BC8"/>
    <w:rsid w:val="000C0303"/>
    <w:rsid w:val="000C42EA"/>
    <w:rsid w:val="000C4546"/>
    <w:rsid w:val="000D02EC"/>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BCE"/>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142B"/>
    <w:rsid w:val="00192F9D"/>
    <w:rsid w:val="00196EB8"/>
    <w:rsid w:val="00196EFB"/>
    <w:rsid w:val="001979FF"/>
    <w:rsid w:val="00197B17"/>
    <w:rsid w:val="001A1950"/>
    <w:rsid w:val="001A1C54"/>
    <w:rsid w:val="001A3ACE"/>
    <w:rsid w:val="001A543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600BD"/>
    <w:rsid w:val="002620BC"/>
    <w:rsid w:val="00262802"/>
    <w:rsid w:val="00262C0C"/>
    <w:rsid w:val="00263A90"/>
    <w:rsid w:val="0026408B"/>
    <w:rsid w:val="00267C3E"/>
    <w:rsid w:val="002709BB"/>
    <w:rsid w:val="0027131C"/>
    <w:rsid w:val="00273BAC"/>
    <w:rsid w:val="002763B3"/>
    <w:rsid w:val="002802E3"/>
    <w:rsid w:val="0028213D"/>
    <w:rsid w:val="00282A7F"/>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2E5"/>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52A2"/>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0111"/>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2C6C"/>
    <w:rsid w:val="0044340A"/>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955"/>
    <w:rsid w:val="005C2923"/>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42F"/>
    <w:rsid w:val="005F21EB"/>
    <w:rsid w:val="005F64CF"/>
    <w:rsid w:val="006041AD"/>
    <w:rsid w:val="00605908"/>
    <w:rsid w:val="00607850"/>
    <w:rsid w:val="00607EF7"/>
    <w:rsid w:val="00610D7C"/>
    <w:rsid w:val="00613414"/>
    <w:rsid w:val="00620154"/>
    <w:rsid w:val="006205A2"/>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5F65"/>
    <w:rsid w:val="00646235"/>
    <w:rsid w:val="00646A68"/>
    <w:rsid w:val="006505BD"/>
    <w:rsid w:val="006508EA"/>
    <w:rsid w:val="0065092E"/>
    <w:rsid w:val="006526E4"/>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F27"/>
    <w:rsid w:val="006A0F04"/>
    <w:rsid w:val="006A18C2"/>
    <w:rsid w:val="006A2717"/>
    <w:rsid w:val="006A3383"/>
    <w:rsid w:val="006B077C"/>
    <w:rsid w:val="006B0C81"/>
    <w:rsid w:val="006B6803"/>
    <w:rsid w:val="006D0F16"/>
    <w:rsid w:val="006D2A3F"/>
    <w:rsid w:val="006D2FBC"/>
    <w:rsid w:val="006D3EF9"/>
    <w:rsid w:val="006D6E34"/>
    <w:rsid w:val="006E138B"/>
    <w:rsid w:val="006E186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18D"/>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A3A21"/>
    <w:rsid w:val="007B0914"/>
    <w:rsid w:val="007B1374"/>
    <w:rsid w:val="007B32E5"/>
    <w:rsid w:val="007B3DB9"/>
    <w:rsid w:val="007B5457"/>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31B6"/>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9CB"/>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1E11"/>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CF0"/>
    <w:rsid w:val="009853E1"/>
    <w:rsid w:val="00986E6B"/>
    <w:rsid w:val="00990032"/>
    <w:rsid w:val="00990A67"/>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0BD"/>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7263"/>
    <w:rsid w:val="00A7161C"/>
    <w:rsid w:val="00A71CE4"/>
    <w:rsid w:val="00A77AA3"/>
    <w:rsid w:val="00A800D2"/>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16198"/>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1BD"/>
    <w:rsid w:val="00B5273A"/>
    <w:rsid w:val="00B57329"/>
    <w:rsid w:val="00B60E61"/>
    <w:rsid w:val="00B612B6"/>
    <w:rsid w:val="00B62B50"/>
    <w:rsid w:val="00B635B7"/>
    <w:rsid w:val="00B63AE8"/>
    <w:rsid w:val="00B65950"/>
    <w:rsid w:val="00B66D83"/>
    <w:rsid w:val="00B672C0"/>
    <w:rsid w:val="00B676FD"/>
    <w:rsid w:val="00B678B6"/>
    <w:rsid w:val="00B75646"/>
    <w:rsid w:val="00B7629E"/>
    <w:rsid w:val="00B90729"/>
    <w:rsid w:val="00B907DA"/>
    <w:rsid w:val="00B94C5E"/>
    <w:rsid w:val="00B94DBE"/>
    <w:rsid w:val="00B950BC"/>
    <w:rsid w:val="00B9714C"/>
    <w:rsid w:val="00BA29AD"/>
    <w:rsid w:val="00BA33CF"/>
    <w:rsid w:val="00BA3F8D"/>
    <w:rsid w:val="00BB7A10"/>
    <w:rsid w:val="00BC60BE"/>
    <w:rsid w:val="00BC7468"/>
    <w:rsid w:val="00BC7D4F"/>
    <w:rsid w:val="00BC7ED7"/>
    <w:rsid w:val="00BD2020"/>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65A2"/>
    <w:rsid w:val="00D079AA"/>
    <w:rsid w:val="00D07F00"/>
    <w:rsid w:val="00D1130F"/>
    <w:rsid w:val="00D1571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9B1"/>
    <w:rsid w:val="00D83D06"/>
    <w:rsid w:val="00D864F2"/>
    <w:rsid w:val="00D943F8"/>
    <w:rsid w:val="00D95470"/>
    <w:rsid w:val="00D961F4"/>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1D90"/>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761"/>
    <w:rsid w:val="00E92AC3"/>
    <w:rsid w:val="00E93498"/>
    <w:rsid w:val="00EA2F6A"/>
    <w:rsid w:val="00EB00E0"/>
    <w:rsid w:val="00EB05D5"/>
    <w:rsid w:val="00EB4BC7"/>
    <w:rsid w:val="00EC059F"/>
    <w:rsid w:val="00EC1F24"/>
    <w:rsid w:val="00EC22F6"/>
    <w:rsid w:val="00EC3DB9"/>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295"/>
    <w:rsid w:val="00EF59A3"/>
    <w:rsid w:val="00EF6675"/>
    <w:rsid w:val="00F0063D"/>
    <w:rsid w:val="00F00F9C"/>
    <w:rsid w:val="00F01E5F"/>
    <w:rsid w:val="00F024F3"/>
    <w:rsid w:val="00F02ABA"/>
    <w:rsid w:val="00F0437A"/>
    <w:rsid w:val="00F101B8"/>
    <w:rsid w:val="00F11037"/>
    <w:rsid w:val="00F15144"/>
    <w:rsid w:val="00F16F1B"/>
    <w:rsid w:val="00F20615"/>
    <w:rsid w:val="00F250A9"/>
    <w:rsid w:val="00F267AF"/>
    <w:rsid w:val="00F30FF4"/>
    <w:rsid w:val="00F3122E"/>
    <w:rsid w:val="00F32368"/>
    <w:rsid w:val="00F331AD"/>
    <w:rsid w:val="00F35287"/>
    <w:rsid w:val="00F40A70"/>
    <w:rsid w:val="00F43A37"/>
    <w:rsid w:val="00F4641B"/>
    <w:rsid w:val="00F46953"/>
    <w:rsid w:val="00F46EB8"/>
    <w:rsid w:val="00F50CD1"/>
    <w:rsid w:val="00F511E4"/>
    <w:rsid w:val="00F52D09"/>
    <w:rsid w:val="00F52E08"/>
    <w:rsid w:val="00F53A66"/>
    <w:rsid w:val="00F5462D"/>
    <w:rsid w:val="00F55B21"/>
    <w:rsid w:val="00F55B59"/>
    <w:rsid w:val="00F56EF6"/>
    <w:rsid w:val="00F60082"/>
    <w:rsid w:val="00F61A9F"/>
    <w:rsid w:val="00F61B5F"/>
    <w:rsid w:val="00F64696"/>
    <w:rsid w:val="00F65AA9"/>
    <w:rsid w:val="00F6768F"/>
    <w:rsid w:val="00F72C2C"/>
    <w:rsid w:val="00F741F2"/>
    <w:rsid w:val="00F76CAB"/>
    <w:rsid w:val="00F772C6"/>
    <w:rsid w:val="00F81241"/>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link w:val="Bullet1Char"/>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normaltextrun">
    <w:name w:val="normaltextrun"/>
    <w:basedOn w:val="DefaultParagraphFont"/>
    <w:rsid w:val="00E90761"/>
  </w:style>
  <w:style w:type="character" w:customStyle="1" w:styleId="eop">
    <w:name w:val="eop"/>
    <w:basedOn w:val="DefaultParagraphFont"/>
    <w:rsid w:val="00E90761"/>
  </w:style>
  <w:style w:type="paragraph" w:customStyle="1" w:styleId="lastbullett">
    <w:name w:val="last bullett"/>
    <w:basedOn w:val="Bullet1"/>
    <w:link w:val="lastbullettChar"/>
    <w:uiPriority w:val="11"/>
    <w:qFormat/>
    <w:rsid w:val="007B5457"/>
    <w:pPr>
      <w:spacing w:after="120"/>
      <w:ind w:left="357" w:hanging="357"/>
    </w:pPr>
  </w:style>
  <w:style w:type="character" w:customStyle="1" w:styleId="Bullet1Char">
    <w:name w:val="Bullet 1 Char"/>
    <w:basedOn w:val="BodyChar"/>
    <w:link w:val="Bullet1"/>
    <w:rsid w:val="007B5457"/>
    <w:rPr>
      <w:rFonts w:ascii="Arial" w:eastAsia="Times" w:hAnsi="Arial"/>
      <w:sz w:val="21"/>
      <w:lang w:eastAsia="en-US"/>
    </w:rPr>
  </w:style>
  <w:style w:type="character" w:customStyle="1" w:styleId="lastbullettChar">
    <w:name w:val="last bullett Char"/>
    <w:basedOn w:val="Bullet1Char"/>
    <w:link w:val="lastbullett"/>
    <w:uiPriority w:val="11"/>
    <w:rsid w:val="007B5457"/>
    <w:rPr>
      <w:rFonts w:ascii="Arial" w:eastAsia="Times" w:hAnsi="Arial"/>
      <w:sz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entral.ComplexNeeds@dffh.vic.gov.au" TargetMode="External"/><Relationship Id="rId26" Type="http://schemas.openxmlformats.org/officeDocument/2006/relationships/hyperlink" Target="mailto:OEMA.ComplexNeeds@dffh.vic.gov.au" TargetMode="External"/><Relationship Id="rId39"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NEMAComplexClients@dffh.vic.gov.au" TargetMode="External"/><Relationship Id="rId34" Type="http://schemas.openxmlformats.org/officeDocument/2006/relationships/hyperlink" Target="mailto:CHA.ComplexClientsReferrals@dffh.vic.gov.au"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mailto:IEMAComplexNeeds@dffh.vic.gov.au" TargetMode="External"/><Relationship Id="rId33" Type="http://schemas.openxmlformats.org/officeDocument/2006/relationships/hyperlink" Target="mailto:WMBM.ComplexNeeds@dffh.vic.gov.au" TargetMode="External"/><Relationship Id="rId38"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entral.ComplexNeeds@dffh.vic.gov.au" TargetMode="External"/><Relationship Id="rId29" Type="http://schemas.openxmlformats.org/officeDocument/2006/relationships/hyperlink" Target="mailto:complex.clientsSM@dffh.vic.gov.au"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alleeComplexNeeds@dffh.vic.gov.au" TargetMode="External"/><Relationship Id="rId32" Type="http://schemas.openxmlformats.org/officeDocument/2006/relationships/hyperlink" Target="mailto:complex.clients.oga@dffh.vic.gov.au" TargetMode="External"/><Relationship Id="rId37" Type="http://schemas.openxmlformats.org/officeDocument/2006/relationships/header" Target="header4.xml"/><Relationship Id="rId40"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Loddon.ComplexNeeds@dffh.vic.gov.au" TargetMode="External"/><Relationship Id="rId28" Type="http://schemas.openxmlformats.org/officeDocument/2006/relationships/hyperlink" Target="mailto:OvensMurray.ComplexNeeds@dffh.vic.gov.au" TargetMode="External"/><Relationship Id="rId36" Type="http://schemas.openxmlformats.org/officeDocument/2006/relationships/hyperlink" Target="mailto:WSWA.ComplexNeeds@dffh.vic.gov.au" TargetMode="External"/><Relationship Id="rId10" Type="http://schemas.openxmlformats.org/officeDocument/2006/relationships/endnotes" Target="endnotes.xml"/><Relationship Id="rId19" Type="http://schemas.openxmlformats.org/officeDocument/2006/relationships/hyperlink" Target="file:///\\internal.vic.gov.au\DHHS\HomeDirs2\khla1407\Desktop\CYAN\Complex%20Needs%20Services" TargetMode="External"/><Relationship Id="rId31" Type="http://schemas.openxmlformats.org/officeDocument/2006/relationships/hyperlink" Target="mailto:complex.clientsIG@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HumeMoreland.ComplexNeeds@dffh.vic.gov.au" TargetMode="External"/><Relationship Id="rId27" Type="http://schemas.openxmlformats.org/officeDocument/2006/relationships/hyperlink" Target="mailto:Goulburn.ComplexNeeds@dffh.vic.gov.au" TargetMode="External"/><Relationship Id="rId30" Type="http://schemas.openxmlformats.org/officeDocument/2006/relationships/hyperlink" Target="mailto:Complex.ClientsBP@dffh.vic.gov.au" TargetMode="External"/><Relationship Id="rId35" Type="http://schemas.openxmlformats.org/officeDocument/2006/relationships/hyperlink" Target="mailto:ComplexNeeds.Barwon@dffh.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2b66fba0-a484-45f7-a583-8d60ea0a579a"/>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B2E13DB5-1C61-48A4-AF4D-17DBE6F5DAA1}"/>
</file>

<file path=docProps/app.xml><?xml version="1.0" encoding="utf-8"?>
<Properties xmlns="http://schemas.openxmlformats.org/officeDocument/2006/extended-properties" xmlns:vt="http://schemas.openxmlformats.org/officeDocument/2006/docPropsVTypes">
  <Template>Normal.dotm</Template>
  <TotalTime>43</TotalTime>
  <Pages>14</Pages>
  <Words>3560</Words>
  <Characters>20294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Victoria State Government, Department of Families, Fairness and Housing</Company>
  <LinksUpToDate>false</LinksUpToDate>
  <CharactersWithSpaces>23807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it together: A guide for individuals, carers, and services on accessing the Multiple and Complex Needs Initiative (MACNI).</dc:title>
  <cp:revision>34</cp:revision>
  <cp:lastPrinted>2023-08-30T22:47:00Z</cp:lastPrinted>
  <dcterms:created xsi:type="dcterms:W3CDTF">2023-08-16T06:07:00Z</dcterms:created>
  <dcterms:modified xsi:type="dcterms:W3CDTF">2023-09-13T00:56:00Z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ediaServiceImageTags">
    <vt:lpwstr/>
  </property>
  <property fmtid="{D5CDD505-2E9C-101B-9397-08002B2CF9AE}" pid="17" name="MSIP_Label_43e64453-338c-4f93-8a4d-0039a0a41f2a_Enabled">
    <vt:lpwstr>true</vt:lpwstr>
  </property>
  <property fmtid="{D5CDD505-2E9C-101B-9397-08002B2CF9AE}" pid="18" name="MSIP_Label_43e64453-338c-4f93-8a4d-0039a0a41f2a_SetDate">
    <vt:lpwstr>2023-09-13T00:56:10Z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1c2e9f79-bc39-4627-9986-a35cbdc230bf</vt:lpwstr>
  </property>
  <property fmtid="{D5CDD505-2E9C-101B-9397-08002B2CF9AE}" pid="23" name="MSIP_Label_43e64453-338c-4f93-8a4d-0039a0a41f2a_ContentBits">
    <vt:lpwstr>2</vt:lpwstr>
  </property>
</Properties>
</file>