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164F1" w14:textId="77777777" w:rsidR="0074696E" w:rsidRPr="004C6EEE" w:rsidRDefault="00457807"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52D33BE5" wp14:editId="0CAD96E3">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309A3776" w14:textId="77777777" w:rsidR="00A62D44" w:rsidRPr="004C6EEE" w:rsidRDefault="00A62D44" w:rsidP="00D1443D">
      <w:pPr>
        <w:pStyle w:val="Sectionbreakfirstpage"/>
        <w:rPr>
          <w:rFonts w:eastAsia="Times"/>
          <w:noProof/>
          <w:sz w:val="12"/>
        </w:rPr>
        <w:sectPr w:rsidR="00A62D44" w:rsidRPr="004C6EEE" w:rsidSect="00F922BE">
          <w:headerReference w:type="even" r:id="rId12"/>
          <w:headerReference w:type="default" r:id="rId13"/>
          <w:footerReference w:type="even" r:id="rId14"/>
          <w:footerReference w:type="default" r:id="rId15"/>
          <w:headerReference w:type="first" r:id="rId16"/>
          <w:footerReference w:type="first" r:id="rId17"/>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312"/>
      </w:tblGrid>
      <w:tr w:rsidR="00AD784C" w14:paraId="08CC57B1" w14:textId="77777777" w:rsidTr="00250EED">
        <w:trPr>
          <w:trHeight w:val="816"/>
        </w:trPr>
        <w:tc>
          <w:tcPr>
            <w:tcW w:w="8312" w:type="dxa"/>
            <w:shd w:val="clear" w:color="auto" w:fill="auto"/>
            <w:vAlign w:val="bottom"/>
          </w:tcPr>
          <w:p w14:paraId="274E7ADE" w14:textId="77777777" w:rsidR="00AD784C" w:rsidRPr="00DE4E5C" w:rsidRDefault="003361A7" w:rsidP="006D72EA">
            <w:pPr>
              <w:pStyle w:val="DHHSmainheading"/>
              <w:spacing w:line="270" w:lineRule="atLeast"/>
              <w:rPr>
                <w:sz w:val="44"/>
                <w:szCs w:val="44"/>
              </w:rPr>
            </w:pPr>
            <w:r w:rsidRPr="003361A7">
              <w:rPr>
                <w:rFonts w:cs="Arial"/>
                <w:sz w:val="44"/>
                <w:szCs w:val="44"/>
              </w:rPr>
              <w:t>Futures for young adults</w:t>
            </w:r>
            <w:r w:rsidR="00F922BE" w:rsidRPr="00DE4E5C">
              <w:rPr>
                <w:rFonts w:cs="Arial"/>
                <w:sz w:val="44"/>
                <w:szCs w:val="44"/>
              </w:rPr>
              <w:br/>
            </w:r>
            <w:r w:rsidRPr="003361A7">
              <w:rPr>
                <w:rFonts w:cs="Arial"/>
                <w:sz w:val="44"/>
                <w:szCs w:val="44"/>
              </w:rPr>
              <w:t>17201</w:t>
            </w:r>
          </w:p>
        </w:tc>
      </w:tr>
      <w:tr w:rsidR="00AD784C" w14:paraId="04A7F8B1" w14:textId="77777777" w:rsidTr="00250EED">
        <w:trPr>
          <w:trHeight w:hRule="exact" w:val="1460"/>
        </w:trPr>
        <w:tc>
          <w:tcPr>
            <w:tcW w:w="8312" w:type="dxa"/>
            <w:shd w:val="clear" w:color="auto" w:fill="auto"/>
            <w:tcMar>
              <w:top w:w="170" w:type="dxa"/>
              <w:bottom w:w="510" w:type="dxa"/>
            </w:tcMar>
          </w:tcPr>
          <w:p w14:paraId="224CC7E4" w14:textId="77777777" w:rsidR="009A5BE6" w:rsidRDefault="00F922BE" w:rsidP="005E76EA">
            <w:pPr>
              <w:pStyle w:val="DHHSmainsubheading"/>
              <w:rPr>
                <w:szCs w:val="28"/>
              </w:rPr>
            </w:pPr>
            <w:r>
              <w:rPr>
                <w:szCs w:val="28"/>
              </w:rPr>
              <w:t>Outcome objective</w:t>
            </w:r>
            <w:r w:rsidR="00DE4E5C">
              <w:rPr>
                <w:szCs w:val="28"/>
              </w:rPr>
              <w:t>:</w:t>
            </w:r>
            <w:r>
              <w:rPr>
                <w:szCs w:val="28"/>
              </w:rPr>
              <w:t xml:space="preserve"> </w:t>
            </w:r>
            <w:r w:rsidR="009A5BE6" w:rsidRPr="009A5BE6">
              <w:rPr>
                <w:szCs w:val="28"/>
              </w:rPr>
              <w:t xml:space="preserve">Victorians have </w:t>
            </w:r>
            <w:r w:rsidR="004A557A">
              <w:rPr>
                <w:szCs w:val="28"/>
              </w:rPr>
              <w:t xml:space="preserve">the </w:t>
            </w:r>
            <w:r w:rsidR="009A5BE6" w:rsidRPr="009A5BE6">
              <w:rPr>
                <w:szCs w:val="28"/>
              </w:rPr>
              <w:t>capabilities to participate</w:t>
            </w:r>
          </w:p>
          <w:p w14:paraId="769D3E35" w14:textId="77777777" w:rsidR="00DE4E5C" w:rsidRDefault="00F922BE" w:rsidP="005E76EA">
            <w:pPr>
              <w:pStyle w:val="DHHSmainsubheading"/>
              <w:rPr>
                <w:szCs w:val="28"/>
              </w:rPr>
            </w:pPr>
            <w:r>
              <w:rPr>
                <w:szCs w:val="28"/>
              </w:rPr>
              <w:t xml:space="preserve">Output group: </w:t>
            </w:r>
            <w:r w:rsidR="00CD424F" w:rsidRPr="00CD424F">
              <w:rPr>
                <w:szCs w:val="28"/>
              </w:rPr>
              <w:t>Disability services</w:t>
            </w:r>
          </w:p>
          <w:p w14:paraId="096862EE" w14:textId="77777777" w:rsidR="00F922BE" w:rsidRPr="00AD784C" w:rsidRDefault="00CD424F" w:rsidP="00D1443D">
            <w:pPr>
              <w:pStyle w:val="DHHSmainsubheading"/>
              <w:rPr>
                <w:szCs w:val="28"/>
              </w:rPr>
            </w:pPr>
            <w:r>
              <w:rPr>
                <w:szCs w:val="28"/>
              </w:rPr>
              <w:t xml:space="preserve">Output: </w:t>
            </w:r>
            <w:r w:rsidR="004A557A">
              <w:rPr>
                <w:szCs w:val="28"/>
              </w:rPr>
              <w:t>Disability</w:t>
            </w:r>
            <w:r>
              <w:rPr>
                <w:szCs w:val="28"/>
              </w:rPr>
              <w:t xml:space="preserve"> services</w:t>
            </w:r>
          </w:p>
        </w:tc>
      </w:tr>
    </w:tbl>
    <w:p w14:paraId="3AFC4291" w14:textId="77777777" w:rsidR="007173CA" w:rsidRDefault="007173CA" w:rsidP="006C7A1F">
      <w:pPr>
        <w:pStyle w:val="DHHSbody"/>
        <w:spacing w:beforeLines="40" w:before="96"/>
        <w:sectPr w:rsidR="007173CA" w:rsidSect="00F922BE">
          <w:headerReference w:type="default" r:id="rId18"/>
          <w:footerReference w:type="default" r:id="rId19"/>
          <w:type w:val="continuous"/>
          <w:pgSz w:w="11906" w:h="16838" w:code="9"/>
          <w:pgMar w:top="993" w:right="851" w:bottom="1134" w:left="851" w:header="567" w:footer="510" w:gutter="0"/>
          <w:cols w:space="340"/>
          <w:titlePg/>
          <w:docGrid w:linePitch="360"/>
        </w:sectPr>
      </w:pPr>
      <w:bookmarkStart w:id="1" w:name="_Toc440566508"/>
    </w:p>
    <w:bookmarkEnd w:id="1"/>
    <w:p w14:paraId="7A928B37" w14:textId="77777777" w:rsidR="00A62D44" w:rsidRDefault="00B70F76" w:rsidP="00870C9B">
      <w:pPr>
        <w:pStyle w:val="Heading1"/>
      </w:pPr>
      <w:r w:rsidRPr="00B70F76">
        <w:t>1.</w:t>
      </w:r>
      <w:r>
        <w:t xml:space="preserve"> </w:t>
      </w:r>
      <w:r w:rsidR="00DF6BAF">
        <w:t xml:space="preserve">Service Objective </w:t>
      </w:r>
    </w:p>
    <w:p w14:paraId="62F3B550" w14:textId="77777777" w:rsidR="00CD424F" w:rsidRDefault="00CD424F" w:rsidP="009A5BE6">
      <w:pPr>
        <w:pStyle w:val="DHHSbody"/>
        <w:rPr>
          <w:b/>
          <w:bCs/>
        </w:rPr>
      </w:pPr>
      <w:bookmarkStart w:id="2" w:name="_Toc256778633"/>
      <w:r w:rsidRPr="00CD424F">
        <w:t>Futures for young adults aims to assist school leavers to achieve economic and community participation during their transition from school to post-school options</w:t>
      </w:r>
      <w:r w:rsidR="007E695C">
        <w:t xml:space="preserve">. </w:t>
      </w:r>
    </w:p>
    <w:p w14:paraId="3A7FB37A" w14:textId="77777777" w:rsidR="00DF6BAF" w:rsidRDefault="00DE4E5C" w:rsidP="00870C9B">
      <w:pPr>
        <w:pStyle w:val="Heading1"/>
      </w:pPr>
      <w:r>
        <w:t>2</w:t>
      </w:r>
      <w:r w:rsidR="00B70F76" w:rsidRPr="00B70F76">
        <w:t xml:space="preserve">. </w:t>
      </w:r>
      <w:r w:rsidR="00DF6BAF">
        <w:t>Description of the service</w:t>
      </w:r>
    </w:p>
    <w:p w14:paraId="50151AFF" w14:textId="77777777" w:rsidR="004A557A" w:rsidRDefault="004A557A" w:rsidP="004A557A">
      <w:pPr>
        <w:pStyle w:val="DHHSbody"/>
      </w:pPr>
      <w:bookmarkStart w:id="3" w:name="_Hlk1637486"/>
      <w:r>
        <w:t>Funding for this activity is being withdrawn progressively as clients transition to the National Disability Insurance Scheme (NDIS).</w:t>
      </w:r>
    </w:p>
    <w:bookmarkEnd w:id="3"/>
    <w:p w14:paraId="54B99402" w14:textId="77777777" w:rsidR="00CD424F" w:rsidRPr="00CD424F" w:rsidRDefault="00CD424F" w:rsidP="009A5BE6">
      <w:pPr>
        <w:pStyle w:val="DHHSbody"/>
        <w:rPr>
          <w:b/>
          <w:bCs/>
        </w:rPr>
      </w:pPr>
      <w:r w:rsidRPr="00CD424F">
        <w:t>Futures for young adults provides portable and flexible funding to encourage and support individual choice.</w:t>
      </w:r>
    </w:p>
    <w:p w14:paraId="6E6FF5BA" w14:textId="77777777" w:rsidR="00CD424F" w:rsidRPr="00CD424F" w:rsidRDefault="00CD424F" w:rsidP="009A5BE6">
      <w:pPr>
        <w:pStyle w:val="DHHSbody"/>
        <w:rPr>
          <w:b/>
          <w:bCs/>
        </w:rPr>
      </w:pPr>
      <w:r w:rsidRPr="00CD424F">
        <w:t>Futures for young adults incorporates the transition to employment initiative, which provides intensive support to build school leavers’ work skills, capacity and experience in the pathway toward employment and further education.</w:t>
      </w:r>
    </w:p>
    <w:p w14:paraId="5832DB14" w14:textId="77777777" w:rsidR="00B70F76" w:rsidRPr="00B70F76" w:rsidRDefault="00DF6BAF" w:rsidP="00870C9B">
      <w:pPr>
        <w:pStyle w:val="Heading1"/>
      </w:pPr>
      <w:r>
        <w:t xml:space="preserve">3. </w:t>
      </w:r>
      <w:r w:rsidR="00B70F76" w:rsidRPr="00B70F76">
        <w:t>Client group</w:t>
      </w:r>
    </w:p>
    <w:p w14:paraId="320B6782" w14:textId="77777777" w:rsidR="007B61B4" w:rsidRPr="009A5BE6" w:rsidRDefault="00B70F76" w:rsidP="009A5BE6">
      <w:pPr>
        <w:pStyle w:val="DHHSbody"/>
        <w:rPr>
          <w:rStyle w:val="DHHSbodyChar"/>
        </w:rPr>
      </w:pPr>
      <w:r w:rsidRPr="009A5BE6">
        <w:t xml:space="preserve">The client group this </w:t>
      </w:r>
      <w:r w:rsidR="00EC4117" w:rsidRPr="009A5BE6">
        <w:t xml:space="preserve">activity </w:t>
      </w:r>
      <w:r w:rsidRPr="009A5BE6">
        <w:t xml:space="preserve">is targeted at </w:t>
      </w:r>
      <w:r w:rsidR="007B61B4" w:rsidRPr="009A5BE6">
        <w:rPr>
          <w:rStyle w:val="DHHSbodyChar"/>
        </w:rPr>
        <w:t>and transition to employment is young people who:</w:t>
      </w:r>
    </w:p>
    <w:p w14:paraId="7A8EA683" w14:textId="77777777" w:rsidR="007B61B4" w:rsidRPr="00870C9B" w:rsidRDefault="007B61B4" w:rsidP="00870C9B">
      <w:pPr>
        <w:pStyle w:val="DHHSbullet1"/>
      </w:pPr>
      <w:r w:rsidRPr="00870C9B">
        <w:t>have a disability as defined under Section 3 of the Disability Act 2006</w:t>
      </w:r>
    </w:p>
    <w:p w14:paraId="4D96E9F2" w14:textId="77777777" w:rsidR="007B61B4" w:rsidRPr="00870C9B" w:rsidRDefault="007B61B4" w:rsidP="00870C9B">
      <w:pPr>
        <w:pStyle w:val="DHHSbullet1"/>
      </w:pPr>
      <w:r w:rsidRPr="00870C9B">
        <w:t>are permanent residents of Victoria</w:t>
      </w:r>
    </w:p>
    <w:p w14:paraId="3199DA95" w14:textId="77777777" w:rsidR="007B61B4" w:rsidRPr="00870C9B" w:rsidRDefault="007B61B4" w:rsidP="00870C9B">
      <w:pPr>
        <w:pStyle w:val="DHHSbullet1"/>
      </w:pPr>
      <w:r w:rsidRPr="00870C9B">
        <w:t>are 18 years old before 31 December</w:t>
      </w:r>
    </w:p>
    <w:p w14:paraId="76634EA8" w14:textId="77777777" w:rsidR="007B61B4" w:rsidRPr="00870C9B" w:rsidRDefault="007B61B4" w:rsidP="00870C9B">
      <w:pPr>
        <w:pStyle w:val="DHHSbullet1"/>
      </w:pPr>
      <w:r w:rsidRPr="00870C9B">
        <w:t>are in receipt of support through the Department of Education and Training program for students with disabilities or equivalent in the catholic and independent sectors in their final year of school, and</w:t>
      </w:r>
    </w:p>
    <w:p w14:paraId="5ACD7CA3" w14:textId="77777777" w:rsidR="007B61B4" w:rsidRPr="00870C9B" w:rsidRDefault="007B61B4" w:rsidP="00870C9B">
      <w:pPr>
        <w:pStyle w:val="DHHSbullet1lastline"/>
      </w:pPr>
      <w:r w:rsidRPr="00870C9B">
        <w:t>require support in addition to that available through further education, employment and other community programs.</w:t>
      </w:r>
    </w:p>
    <w:p w14:paraId="183371ED" w14:textId="77777777" w:rsidR="00B70F76" w:rsidRPr="009A5BE6" w:rsidRDefault="007B61B4" w:rsidP="009A5BE6">
      <w:pPr>
        <w:pStyle w:val="DHHSbody"/>
      </w:pPr>
      <w:r w:rsidRPr="009A5BE6">
        <w:rPr>
          <w:rStyle w:val="DHHSbodyChar"/>
        </w:rPr>
        <w:t>Students seeking support from the futures for young adults program must complete an application form. These forms are distributed through schools and the department’s divisions and areas.</w:t>
      </w:r>
    </w:p>
    <w:p w14:paraId="08A65C7B" w14:textId="77777777" w:rsidR="002D1AA5" w:rsidRDefault="00DF6BAF" w:rsidP="00870C9B">
      <w:pPr>
        <w:pStyle w:val="Heading1"/>
      </w:pPr>
      <w:r>
        <w:t>4</w:t>
      </w:r>
      <w:r w:rsidR="00B70F76">
        <w:t xml:space="preserve">. Obligations specific to this </w:t>
      </w:r>
      <w:r w:rsidR="00EC4117">
        <w:t>activity</w:t>
      </w:r>
    </w:p>
    <w:p w14:paraId="713683D1" w14:textId="77777777"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536BDE6A" w14:textId="77777777" w:rsidR="000A7DC7" w:rsidRPr="001F3DE2" w:rsidRDefault="000A7DC7" w:rsidP="00870C9B">
      <w:pPr>
        <w:pStyle w:val="Heading2"/>
      </w:pPr>
      <w:r w:rsidRPr="001F3DE2">
        <w:t xml:space="preserve">4a.  Registration and Accreditation </w:t>
      </w:r>
    </w:p>
    <w:p w14:paraId="6C405B27" w14:textId="77777777" w:rsidR="000A7DC7" w:rsidRPr="00870C9B" w:rsidRDefault="000A7DC7" w:rsidP="00870C9B">
      <w:pPr>
        <w:pStyle w:val="DHHSbullet1"/>
      </w:pPr>
      <w:r w:rsidRPr="00870C9B">
        <w:t>Independent review and accreditation against the department’s Human Services Standards, unless exempted</w:t>
      </w:r>
      <w:r w:rsidR="009A1459" w:rsidRPr="00870C9B">
        <w:t>.</w:t>
      </w:r>
    </w:p>
    <w:p w14:paraId="1FFCC467" w14:textId="77777777" w:rsidR="000A7DC7" w:rsidRPr="00870C9B" w:rsidRDefault="000A7DC7" w:rsidP="00870C9B">
      <w:pPr>
        <w:pStyle w:val="DHHSbullet1"/>
      </w:pPr>
      <w:r w:rsidRPr="00870C9B">
        <w:t>Registration under the Disability Act 2006</w:t>
      </w:r>
      <w:r w:rsidR="009A1459" w:rsidRPr="00870C9B">
        <w:t>.</w:t>
      </w:r>
    </w:p>
    <w:p w14:paraId="3F075BB1" w14:textId="77777777" w:rsidR="000A7DC7" w:rsidRPr="001F3DE2" w:rsidRDefault="000A7DC7" w:rsidP="00870C9B">
      <w:pPr>
        <w:pStyle w:val="Heading2"/>
      </w:pPr>
      <w:r w:rsidRPr="008E27D4">
        <w:rPr>
          <w:rStyle w:val="DHHSbodyChar"/>
          <w:color w:val="7030A0"/>
        </w:rPr>
        <w:lastRenderedPageBreak/>
        <w:t xml:space="preserve"> </w:t>
      </w:r>
      <w:r w:rsidRPr="001F3DE2">
        <w:t xml:space="preserve">4b. Program requirements and other policy guidelines </w:t>
      </w:r>
    </w:p>
    <w:bookmarkStart w:id="4" w:name="_Toc421023841"/>
    <w:bookmarkStart w:id="5" w:name="_Toc475953722"/>
    <w:bookmarkStart w:id="6" w:name="_Toc477437702"/>
    <w:bookmarkStart w:id="7" w:name="_Toc529373787"/>
    <w:p w14:paraId="18555897" w14:textId="77777777" w:rsidR="004A557A" w:rsidRPr="004A557A" w:rsidRDefault="00AC5587" w:rsidP="009A5BE6">
      <w:pPr>
        <w:pStyle w:val="DHHSbullet1"/>
        <w:rPr>
          <w:b/>
          <w:bCs/>
        </w:rPr>
      </w:pPr>
      <w:r>
        <w:fldChar w:fldCharType="begin"/>
      </w:r>
      <w:r>
        <w:instrText xml:space="preserve"> HYPERLINK "https://services.dhhs.vic.gov.au/transition-support-young-people-disability-leaving-school" </w:instrText>
      </w:r>
      <w:r>
        <w:fldChar w:fldCharType="separate"/>
      </w:r>
      <w:r w:rsidR="007B61B4" w:rsidRPr="00AC5587">
        <w:rPr>
          <w:rStyle w:val="Hyperlink"/>
        </w:rPr>
        <w:t>2018 school leaders and the National Disability Insurance Scheme</w:t>
      </w:r>
      <w:r>
        <w:fldChar w:fldCharType="end"/>
      </w:r>
      <w:r w:rsidR="009A5BE6">
        <w:t xml:space="preserve"> </w:t>
      </w:r>
    </w:p>
    <w:p w14:paraId="1D3450AE" w14:textId="77777777" w:rsidR="007B61B4" w:rsidRPr="00AC5587" w:rsidRDefault="007B61B4" w:rsidP="00AC5587">
      <w:pPr>
        <w:pStyle w:val="DHHSbullet1"/>
        <w:numPr>
          <w:ilvl w:val="0"/>
          <w:numId w:val="0"/>
        </w:numPr>
        <w:ind w:left="284"/>
      </w:pPr>
      <w:r w:rsidRPr="00AC5587">
        <w:t>&lt;https://services.dhhs.vic.gov.au/transition-support-young-people-disability-leaving-school&gt;</w:t>
      </w:r>
    </w:p>
    <w:p w14:paraId="7B07E30C" w14:textId="77777777" w:rsidR="004A557A" w:rsidRPr="00AC5587" w:rsidRDefault="007A0304" w:rsidP="009A5BE6">
      <w:pPr>
        <w:pStyle w:val="DHHSbullet1"/>
        <w:rPr>
          <w:rStyle w:val="Hyperlink"/>
        </w:rPr>
      </w:pPr>
      <w:hyperlink r:id="rId20" w:history="1">
        <w:r w:rsidR="007B61B4" w:rsidRPr="00AC5587">
          <w:rPr>
            <w:rStyle w:val="Hyperlink"/>
          </w:rPr>
          <w:t>Individual Support Package Guidelines 2014</w:t>
        </w:r>
      </w:hyperlink>
      <w:r w:rsidR="009A5BE6" w:rsidRPr="00AC5587">
        <w:rPr>
          <w:rStyle w:val="Hyperlink"/>
        </w:rPr>
        <w:t xml:space="preserve"> </w:t>
      </w:r>
    </w:p>
    <w:p w14:paraId="789E3A44" w14:textId="77777777" w:rsidR="007B61B4" w:rsidRPr="00AC5587" w:rsidRDefault="007B61B4" w:rsidP="00AC5587">
      <w:pPr>
        <w:pStyle w:val="DHHSbullet1"/>
      </w:pPr>
      <w:r w:rsidRPr="00AC5587">
        <w:t>&lt;https://providers.dhhs.vic.gov.au/individual-support-package&gt;</w:t>
      </w:r>
    </w:p>
    <w:p w14:paraId="692E4D18" w14:textId="77777777" w:rsidR="004A557A" w:rsidRPr="00AC5587" w:rsidRDefault="007A0304" w:rsidP="009A5BE6">
      <w:pPr>
        <w:pStyle w:val="DHHSbullet1"/>
        <w:rPr>
          <w:rStyle w:val="Hyperlink"/>
        </w:rPr>
      </w:pPr>
      <w:hyperlink r:id="rId21" w:history="1">
        <w:r w:rsidR="007B61B4" w:rsidRPr="00AC5587">
          <w:rPr>
            <w:rStyle w:val="Hyperlink"/>
          </w:rPr>
          <w:t>Individual Support Package Acquittal Information Pack</w:t>
        </w:r>
      </w:hyperlink>
      <w:r w:rsidR="009A5BE6" w:rsidRPr="00AC5587">
        <w:rPr>
          <w:rStyle w:val="Hyperlink"/>
        </w:rPr>
        <w:t xml:space="preserve"> </w:t>
      </w:r>
    </w:p>
    <w:p w14:paraId="30507E71" w14:textId="77777777" w:rsidR="007B61B4" w:rsidRPr="002653EF" w:rsidRDefault="007B61B4" w:rsidP="002653EF">
      <w:pPr>
        <w:pStyle w:val="DHHSbullet1"/>
        <w:numPr>
          <w:ilvl w:val="0"/>
          <w:numId w:val="0"/>
        </w:numPr>
        <w:ind w:left="284"/>
      </w:pPr>
      <w:r w:rsidRPr="002653EF">
        <w:t>&lt;https://dhhs.vic.gov.au/individual-support-package-acquittal-information-pack&gt;</w:t>
      </w:r>
    </w:p>
    <w:p w14:paraId="1B0F7E09" w14:textId="77777777" w:rsidR="004A557A" w:rsidRPr="004A557A" w:rsidRDefault="007A0304" w:rsidP="009A5BE6">
      <w:pPr>
        <w:pStyle w:val="DHHSbullet1"/>
        <w:rPr>
          <w:b/>
          <w:bCs/>
        </w:rPr>
      </w:pPr>
      <w:hyperlink r:id="rId22" w:history="1">
        <w:r w:rsidR="007B61B4" w:rsidRPr="002653EF">
          <w:rPr>
            <w:rStyle w:val="Hyperlink"/>
          </w:rPr>
          <w:t>Senior Practitioner – Authorised Program Officer practice advice</w:t>
        </w:r>
      </w:hyperlink>
    </w:p>
    <w:p w14:paraId="3C62CF99" w14:textId="77777777" w:rsidR="007B61B4" w:rsidRPr="002653EF" w:rsidRDefault="007B61B4" w:rsidP="002653EF">
      <w:pPr>
        <w:pStyle w:val="DHHSbullet1"/>
        <w:numPr>
          <w:ilvl w:val="0"/>
          <w:numId w:val="0"/>
        </w:numPr>
        <w:ind w:left="284"/>
      </w:pPr>
      <w:r w:rsidRPr="002653EF">
        <w:t>&lt;https://dhhs.vic.gov.au/publications/authorised-program-officer-practice-advice&gt;</w:t>
      </w:r>
    </w:p>
    <w:p w14:paraId="35C3007E" w14:textId="77777777" w:rsidR="004A557A" w:rsidRPr="002653EF" w:rsidRDefault="007A0304" w:rsidP="009A5BE6">
      <w:pPr>
        <w:pStyle w:val="DHHSbullet1"/>
        <w:rPr>
          <w:rStyle w:val="Hyperlink"/>
        </w:rPr>
      </w:pPr>
      <w:hyperlink r:id="rId23" w:history="1">
        <w:r w:rsidR="007B61B4" w:rsidRPr="002653EF">
          <w:rPr>
            <w:rStyle w:val="Hyperlink"/>
          </w:rPr>
          <w:t>Senior Practitioner – independent person toolkit</w:t>
        </w:r>
      </w:hyperlink>
      <w:r w:rsidR="009A5BE6" w:rsidRPr="002653EF">
        <w:rPr>
          <w:rStyle w:val="Hyperlink"/>
        </w:rPr>
        <w:t xml:space="preserve"> </w:t>
      </w:r>
    </w:p>
    <w:p w14:paraId="14F6A86F" w14:textId="77777777" w:rsidR="007B61B4" w:rsidRPr="002653EF" w:rsidRDefault="007B61B4" w:rsidP="002653EF">
      <w:pPr>
        <w:pStyle w:val="DHHSbullet1"/>
        <w:numPr>
          <w:ilvl w:val="0"/>
          <w:numId w:val="0"/>
        </w:numPr>
        <w:ind w:left="284"/>
      </w:pPr>
      <w:r w:rsidRPr="002653EF">
        <w:t>&lt;https://dhhs.vic.gov.au/senior-practitioner-disability-independent-person-toolkit&gt;</w:t>
      </w:r>
    </w:p>
    <w:p w14:paraId="55A868D0" w14:textId="77777777" w:rsidR="002653EF" w:rsidRPr="002F6763" w:rsidRDefault="007A0304" w:rsidP="002653EF">
      <w:pPr>
        <w:pStyle w:val="DHHSbullet1"/>
        <w:rPr>
          <w:b/>
          <w:bCs/>
        </w:rPr>
      </w:pPr>
      <w:hyperlink r:id="rId24" w:history="1">
        <w:r w:rsidR="002653EF" w:rsidRPr="002F6763">
          <w:rPr>
            <w:rStyle w:val="Hyperlink"/>
          </w:rPr>
          <w:t>Senior Practitioner – Behaviour support planning toolkit</w:t>
        </w:r>
      </w:hyperlink>
    </w:p>
    <w:p w14:paraId="38C9E022" w14:textId="77777777" w:rsidR="002653EF" w:rsidRPr="00D54024" w:rsidRDefault="002653EF" w:rsidP="002653EF">
      <w:pPr>
        <w:pStyle w:val="DHHSbullet1"/>
        <w:numPr>
          <w:ilvl w:val="0"/>
          <w:numId w:val="0"/>
        </w:numPr>
        <w:ind w:left="284"/>
        <w:rPr>
          <w:b/>
          <w:bCs/>
        </w:rPr>
      </w:pPr>
      <w:r>
        <w:t>&lt;</w:t>
      </w:r>
      <w:r w:rsidRPr="002F6763">
        <w:t>https://providers.dhhs.vic.gov.au/behaviour-support-planning-toolkit-section-4-useful-assessment-tools-and-forms-word</w:t>
      </w:r>
      <w:r>
        <w:t>&gt;</w:t>
      </w:r>
    </w:p>
    <w:p w14:paraId="33A859C2" w14:textId="77777777" w:rsidR="002653EF" w:rsidRPr="00D54024" w:rsidRDefault="007A0304" w:rsidP="002653EF">
      <w:pPr>
        <w:pStyle w:val="DHHSbullet1"/>
        <w:rPr>
          <w:b/>
          <w:bCs/>
        </w:rPr>
      </w:pPr>
      <w:hyperlink r:id="rId25" w:history="1">
        <w:r w:rsidR="002653EF" w:rsidRPr="002F6763">
          <w:rPr>
            <w:rStyle w:val="Hyperlink"/>
          </w:rPr>
          <w:t>Undue financial hardship guidelines – Disability Services</w:t>
        </w:r>
      </w:hyperlink>
      <w:r w:rsidR="002653EF">
        <w:t xml:space="preserve"> </w:t>
      </w:r>
    </w:p>
    <w:p w14:paraId="5C884669" w14:textId="77777777" w:rsidR="002653EF" w:rsidRPr="002F6763" w:rsidRDefault="002653EF" w:rsidP="002653EF">
      <w:pPr>
        <w:pStyle w:val="DHHSbullet1"/>
        <w:numPr>
          <w:ilvl w:val="0"/>
          <w:numId w:val="0"/>
        </w:numPr>
        <w:ind w:left="284"/>
      </w:pPr>
      <w:r w:rsidRPr="002F6763">
        <w:rPr>
          <w:rStyle w:val="Hyperlink"/>
          <w:color w:val="auto"/>
          <w:u w:val="none"/>
        </w:rPr>
        <w:t>&lt;https://providers.dhhs.vic.gov.au/financial-hardship&gt;</w:t>
      </w:r>
    </w:p>
    <w:p w14:paraId="7302094D" w14:textId="77777777" w:rsidR="00575BC9" w:rsidRPr="00575BC9" w:rsidRDefault="00DF6BAF" w:rsidP="00870C9B">
      <w:pPr>
        <w:pStyle w:val="Heading1"/>
      </w:pPr>
      <w:r>
        <w:t>5</w:t>
      </w:r>
      <w:r w:rsidR="00575BC9">
        <w:t xml:space="preserve">. </w:t>
      </w:r>
      <w:bookmarkEnd w:id="4"/>
      <w:bookmarkEnd w:id="5"/>
      <w:bookmarkEnd w:id="6"/>
      <w:bookmarkEnd w:id="7"/>
      <w:r w:rsidR="0017293C">
        <w:t>Performance</w:t>
      </w:r>
    </w:p>
    <w:p w14:paraId="302BC30A" w14:textId="77777777" w:rsidR="00575BC9" w:rsidRPr="001F1A17" w:rsidRDefault="00E05E8D" w:rsidP="00870C9B">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19E6180C" w14:textId="77777777" w:rsidR="00575BC9" w:rsidRPr="00870C9B" w:rsidRDefault="00E05E8D" w:rsidP="00870C9B">
      <w:pPr>
        <w:pStyle w:val="Heading2"/>
      </w:pPr>
      <w:r w:rsidRPr="00870C9B">
        <w:t>Key performance measure</w:t>
      </w:r>
      <w:r w:rsidR="00575BC9" w:rsidRPr="00870C9B">
        <w:t xml:space="preserve">: </w:t>
      </w:r>
      <w:r w:rsidR="007B61B4" w:rsidRPr="00870C9B">
        <w:rPr>
          <w:rFonts w:eastAsia="Times"/>
        </w:rPr>
        <w:t>Number of new clients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8690F" w:rsidRPr="00C237A0" w14:paraId="1A1793DD" w14:textId="77777777" w:rsidTr="00870C9B">
        <w:trPr>
          <w:cantSplit/>
          <w:trHeight w:hRule="exact" w:val="680"/>
        </w:trPr>
        <w:tc>
          <w:tcPr>
            <w:tcW w:w="2835" w:type="dxa"/>
          </w:tcPr>
          <w:p w14:paraId="2B354DCA" w14:textId="77777777" w:rsidR="00B8690F" w:rsidRPr="0017293C" w:rsidRDefault="00B8690F" w:rsidP="0017293C">
            <w:pPr>
              <w:pStyle w:val="DHHStablecolhead"/>
            </w:pPr>
            <w:r w:rsidRPr="00575BC9">
              <w:t>Aim/objective</w:t>
            </w:r>
          </w:p>
        </w:tc>
        <w:tc>
          <w:tcPr>
            <w:tcW w:w="7379" w:type="dxa"/>
          </w:tcPr>
          <w:p w14:paraId="36F61886" w14:textId="77777777" w:rsidR="00B8690F" w:rsidRPr="002F7C4B" w:rsidRDefault="007B61B4" w:rsidP="009A5BE6">
            <w:pPr>
              <w:pStyle w:val="DHHSbody"/>
            </w:pPr>
            <w:r w:rsidRPr="007B61B4">
              <w:t>The aim of the performance measure is to monitor the number of new clients with a futures for young adults package</w:t>
            </w:r>
          </w:p>
        </w:tc>
      </w:tr>
      <w:tr w:rsidR="00B8690F" w:rsidRPr="00C237A0" w14:paraId="192061B6" w14:textId="77777777" w:rsidTr="00870C9B">
        <w:trPr>
          <w:cantSplit/>
          <w:trHeight w:hRule="exact" w:val="340"/>
        </w:trPr>
        <w:tc>
          <w:tcPr>
            <w:tcW w:w="2835" w:type="dxa"/>
          </w:tcPr>
          <w:p w14:paraId="15904E31" w14:textId="77777777" w:rsidR="00B8690F" w:rsidRPr="0017293C" w:rsidRDefault="00B8690F" w:rsidP="0017293C">
            <w:pPr>
              <w:pStyle w:val="DHHStablecolhead"/>
            </w:pPr>
            <w:r w:rsidRPr="00575BC9">
              <w:t>Target</w:t>
            </w:r>
          </w:p>
        </w:tc>
        <w:tc>
          <w:tcPr>
            <w:tcW w:w="7379" w:type="dxa"/>
          </w:tcPr>
          <w:p w14:paraId="5C147D86" w14:textId="77777777" w:rsidR="00B8690F" w:rsidRPr="002F7C4B" w:rsidRDefault="00B8690F" w:rsidP="009A5BE6">
            <w:pPr>
              <w:pStyle w:val="DHHSbody"/>
            </w:pPr>
            <w:r>
              <w:t>The performance measure target is provided in the Service Agreement.</w:t>
            </w:r>
          </w:p>
        </w:tc>
      </w:tr>
      <w:tr w:rsidR="00B8690F" w:rsidRPr="00C237A0" w14:paraId="375874C6" w14:textId="77777777" w:rsidTr="00870C9B">
        <w:trPr>
          <w:cantSplit/>
          <w:trHeight w:hRule="exact" w:val="340"/>
        </w:trPr>
        <w:tc>
          <w:tcPr>
            <w:tcW w:w="2835" w:type="dxa"/>
          </w:tcPr>
          <w:p w14:paraId="0A514967" w14:textId="77777777" w:rsidR="00B8690F" w:rsidRPr="0017293C" w:rsidRDefault="00B8690F" w:rsidP="0017293C">
            <w:pPr>
              <w:pStyle w:val="DHHStablecolhead"/>
            </w:pPr>
            <w:r w:rsidRPr="00575BC9">
              <w:t>Type of count</w:t>
            </w:r>
          </w:p>
        </w:tc>
        <w:tc>
          <w:tcPr>
            <w:tcW w:w="7379" w:type="dxa"/>
          </w:tcPr>
          <w:p w14:paraId="6B79B66D" w14:textId="73851902" w:rsidR="00B8690F" w:rsidRPr="00C237A0" w:rsidRDefault="00B8690F" w:rsidP="009A5BE6">
            <w:pPr>
              <w:pStyle w:val="DHHSbody"/>
            </w:pPr>
            <w:r>
              <w:t xml:space="preserve">Cumulative          </w:t>
            </w:r>
          </w:p>
        </w:tc>
      </w:tr>
      <w:tr w:rsidR="00B8690F" w:rsidRPr="00C237A0" w14:paraId="546D43DB" w14:textId="77777777" w:rsidTr="00870C9B">
        <w:trPr>
          <w:cantSplit/>
          <w:trHeight w:hRule="exact" w:val="1443"/>
        </w:trPr>
        <w:tc>
          <w:tcPr>
            <w:tcW w:w="2835" w:type="dxa"/>
          </w:tcPr>
          <w:p w14:paraId="5784AF76" w14:textId="77777777" w:rsidR="00B8690F" w:rsidRPr="0017293C" w:rsidRDefault="00B8690F" w:rsidP="0017293C">
            <w:pPr>
              <w:pStyle w:val="DHHStablecolhead"/>
            </w:pPr>
            <w:r w:rsidRPr="00575BC9">
              <w:t>Counting rule</w:t>
            </w:r>
          </w:p>
        </w:tc>
        <w:tc>
          <w:tcPr>
            <w:tcW w:w="7379" w:type="dxa"/>
          </w:tcPr>
          <w:p w14:paraId="184C326A" w14:textId="77777777" w:rsidR="007B61B4" w:rsidRPr="007B61B4" w:rsidRDefault="007B61B4" w:rsidP="009A5BE6">
            <w:pPr>
              <w:pStyle w:val="DHHSbody"/>
            </w:pPr>
            <w:r w:rsidRPr="007B61B4">
              <w:t>Count the number of new clients accessing funded support through futures for young adults (incorporating transition to employment) each month.</w:t>
            </w:r>
          </w:p>
          <w:p w14:paraId="3E36B93E" w14:textId="77777777" w:rsidR="00B8690F" w:rsidRPr="00C237A0" w:rsidRDefault="007B61B4" w:rsidP="009A5BE6">
            <w:pPr>
              <w:pStyle w:val="DHHSbody"/>
            </w:pPr>
            <w:r w:rsidRPr="007B61B4">
              <w:t>Count all clients in July of each financial year as being ‘new’ and then only count new clients in subsequent months.</w:t>
            </w:r>
          </w:p>
        </w:tc>
      </w:tr>
      <w:tr w:rsidR="00B8690F" w:rsidRPr="00C237A0" w14:paraId="3B39B860" w14:textId="77777777" w:rsidTr="00870C9B">
        <w:trPr>
          <w:cantSplit/>
          <w:trHeight w:hRule="exact" w:val="340"/>
        </w:trPr>
        <w:tc>
          <w:tcPr>
            <w:tcW w:w="2835" w:type="dxa"/>
          </w:tcPr>
          <w:p w14:paraId="7ED11B92" w14:textId="77777777" w:rsidR="00B8690F" w:rsidRPr="0017293C" w:rsidRDefault="00B8690F" w:rsidP="0017293C">
            <w:pPr>
              <w:pStyle w:val="DHHStablecolhead"/>
            </w:pPr>
            <w:r w:rsidRPr="00575BC9">
              <w:t>Data source(s) collection</w:t>
            </w:r>
          </w:p>
        </w:tc>
        <w:tc>
          <w:tcPr>
            <w:tcW w:w="7379" w:type="dxa"/>
          </w:tcPr>
          <w:p w14:paraId="371BA946" w14:textId="77777777" w:rsidR="00B8690F" w:rsidRPr="002F7C4B" w:rsidRDefault="007B61B4" w:rsidP="009A5BE6">
            <w:pPr>
              <w:pStyle w:val="DHHSbody"/>
            </w:pPr>
            <w:r w:rsidRPr="007B61B4">
              <w:t>Service delivery tracking</w:t>
            </w:r>
          </w:p>
        </w:tc>
      </w:tr>
      <w:tr w:rsidR="00B8690F" w:rsidRPr="00C237A0" w14:paraId="56C28667" w14:textId="77777777" w:rsidTr="00870C9B">
        <w:trPr>
          <w:cantSplit/>
          <w:trHeight w:hRule="exact" w:val="635"/>
        </w:trPr>
        <w:tc>
          <w:tcPr>
            <w:tcW w:w="2835" w:type="dxa"/>
          </w:tcPr>
          <w:p w14:paraId="3062FB77" w14:textId="77777777" w:rsidR="00B8690F" w:rsidRPr="0017293C" w:rsidRDefault="00B8690F" w:rsidP="0017293C">
            <w:pPr>
              <w:pStyle w:val="DHHStablecolhead"/>
            </w:pPr>
            <w:r w:rsidRPr="00575BC9">
              <w:t>Definition of terms</w:t>
            </w:r>
          </w:p>
        </w:tc>
        <w:tc>
          <w:tcPr>
            <w:tcW w:w="7379" w:type="dxa"/>
          </w:tcPr>
          <w:p w14:paraId="6055CDBC" w14:textId="77777777" w:rsidR="00B8690F" w:rsidRPr="002F7C4B" w:rsidRDefault="007B61B4" w:rsidP="009A5BE6">
            <w:pPr>
              <w:pStyle w:val="DHHSbody"/>
            </w:pPr>
            <w:r w:rsidRPr="007B61B4">
              <w:t>A client is a person who receives direct support funded through a futures for young adults package.</w:t>
            </w:r>
          </w:p>
        </w:tc>
      </w:tr>
    </w:tbl>
    <w:p w14:paraId="7FAB06D7" w14:textId="77777777" w:rsidR="00575BC9" w:rsidRPr="00575BC9" w:rsidRDefault="00DF6BAF" w:rsidP="00870C9B">
      <w:pPr>
        <w:pStyle w:val="Heading1"/>
      </w:pPr>
      <w:r>
        <w:t>6</w:t>
      </w:r>
      <w:r w:rsidR="00575BC9">
        <w:t>. Data collection</w:t>
      </w:r>
    </w:p>
    <w:p w14:paraId="5F3255BF" w14:textId="77777777" w:rsidR="00575BC9" w:rsidRDefault="00A11FC5" w:rsidP="00575BC9">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14:paraId="27D57C6E" w14:textId="77777777" w:rsidTr="00870C9B">
        <w:trPr>
          <w:trHeight w:hRule="exact" w:val="340"/>
          <w:tblHeader/>
        </w:trPr>
        <w:tc>
          <w:tcPr>
            <w:tcW w:w="2580" w:type="dxa"/>
            <w:vAlign w:val="center"/>
          </w:tcPr>
          <w:p w14:paraId="2910731B" w14:textId="77777777" w:rsidR="00575BC9" w:rsidRPr="00575BC9" w:rsidRDefault="00575BC9" w:rsidP="0017293C">
            <w:pPr>
              <w:pStyle w:val="DHHStablecolhead"/>
              <w:spacing w:before="0" w:after="0"/>
            </w:pPr>
            <w:r w:rsidRPr="00575BC9">
              <w:t>Data collection name</w:t>
            </w:r>
          </w:p>
        </w:tc>
        <w:tc>
          <w:tcPr>
            <w:tcW w:w="2580" w:type="dxa"/>
            <w:vAlign w:val="center"/>
          </w:tcPr>
          <w:p w14:paraId="771C89CE" w14:textId="77777777" w:rsidR="00575BC9" w:rsidRPr="00575BC9" w:rsidRDefault="00575BC9" w:rsidP="0017293C">
            <w:pPr>
              <w:pStyle w:val="DHHStablecolhead"/>
              <w:spacing w:before="0" w:after="0"/>
            </w:pPr>
            <w:r w:rsidRPr="00575BC9">
              <w:t xml:space="preserve">Data system </w:t>
            </w:r>
          </w:p>
        </w:tc>
        <w:tc>
          <w:tcPr>
            <w:tcW w:w="2580" w:type="dxa"/>
            <w:vAlign w:val="center"/>
          </w:tcPr>
          <w:p w14:paraId="1CDF8A1E" w14:textId="77777777" w:rsidR="00575BC9" w:rsidRPr="00575BC9" w:rsidRDefault="00575BC9" w:rsidP="0017293C">
            <w:pPr>
              <w:pStyle w:val="DHHStablecolhead"/>
              <w:spacing w:before="0" w:after="0"/>
            </w:pPr>
            <w:r w:rsidRPr="00575BC9">
              <w:t xml:space="preserve">Data set </w:t>
            </w:r>
          </w:p>
        </w:tc>
        <w:tc>
          <w:tcPr>
            <w:tcW w:w="2508" w:type="dxa"/>
            <w:vAlign w:val="center"/>
          </w:tcPr>
          <w:p w14:paraId="46C25220" w14:textId="77777777" w:rsidR="00575BC9" w:rsidRPr="00575BC9" w:rsidRDefault="00575BC9" w:rsidP="0017293C">
            <w:pPr>
              <w:pStyle w:val="DHHStablecolhead"/>
              <w:spacing w:before="0" w:after="0"/>
            </w:pPr>
            <w:r w:rsidRPr="00575BC9">
              <w:t>Reporting cycle</w:t>
            </w:r>
          </w:p>
        </w:tc>
      </w:tr>
      <w:tr w:rsidR="007B61B4" w:rsidRPr="00C237A0" w14:paraId="62CCC0FC" w14:textId="77777777" w:rsidTr="00870C9B">
        <w:trPr>
          <w:trHeight w:val="283"/>
        </w:trPr>
        <w:tc>
          <w:tcPr>
            <w:tcW w:w="2580" w:type="dxa"/>
          </w:tcPr>
          <w:p w14:paraId="44134387" w14:textId="77777777" w:rsidR="007B61B4" w:rsidRPr="002D2E38" w:rsidDel="00326E44" w:rsidRDefault="007B61B4" w:rsidP="00CA6064">
            <w:pPr>
              <w:pStyle w:val="DHHStabletext"/>
            </w:pPr>
            <w:r w:rsidRPr="002D2E38">
              <w:t>Service delivery tracking (SDT)</w:t>
            </w:r>
          </w:p>
        </w:tc>
        <w:tc>
          <w:tcPr>
            <w:tcW w:w="2580" w:type="dxa"/>
          </w:tcPr>
          <w:p w14:paraId="32127B65" w14:textId="77777777" w:rsidR="007B61B4" w:rsidRPr="002D2E38" w:rsidRDefault="007B61B4" w:rsidP="00CA6064">
            <w:pPr>
              <w:pStyle w:val="DHHStabletext"/>
            </w:pPr>
            <w:r w:rsidRPr="002D2E38">
              <w:t>FAC/SAMS2</w:t>
            </w:r>
          </w:p>
        </w:tc>
        <w:tc>
          <w:tcPr>
            <w:tcW w:w="2580" w:type="dxa"/>
          </w:tcPr>
          <w:p w14:paraId="0A149402" w14:textId="77777777" w:rsidR="007B61B4" w:rsidRPr="002D2E38" w:rsidRDefault="007B61B4" w:rsidP="00CA6064">
            <w:pPr>
              <w:pStyle w:val="DHHStabletext"/>
            </w:pPr>
            <w:r w:rsidRPr="002D2E38">
              <w:t>SAMS2/Service delivery tracking data set</w:t>
            </w:r>
          </w:p>
        </w:tc>
        <w:tc>
          <w:tcPr>
            <w:tcW w:w="2508" w:type="dxa"/>
          </w:tcPr>
          <w:p w14:paraId="527EBAB0" w14:textId="77777777" w:rsidR="007B61B4" w:rsidRPr="002D2E38" w:rsidRDefault="007B61B4" w:rsidP="00CA6064">
            <w:pPr>
              <w:pStyle w:val="DHHStabletext"/>
            </w:pPr>
            <w:r w:rsidRPr="002D2E38">
              <w:t>Monthly</w:t>
            </w:r>
          </w:p>
        </w:tc>
      </w:tr>
      <w:tr w:rsidR="00EC2297" w:rsidRPr="00C237A0" w14:paraId="09571DB6" w14:textId="77777777" w:rsidTr="00870C9B">
        <w:trPr>
          <w:trHeight w:val="283"/>
        </w:trPr>
        <w:tc>
          <w:tcPr>
            <w:tcW w:w="2580" w:type="dxa"/>
          </w:tcPr>
          <w:p w14:paraId="64147596" w14:textId="77777777" w:rsidR="00EC2297" w:rsidRPr="00182349" w:rsidDel="00326E44" w:rsidRDefault="00EC2297" w:rsidP="00EC2297">
            <w:pPr>
              <w:pStyle w:val="DHHStabletext"/>
            </w:pPr>
            <w:r w:rsidRPr="00182349">
              <w:t xml:space="preserve">Annual </w:t>
            </w:r>
            <w:r w:rsidR="00247487">
              <w:t>Futures for Young Adults</w:t>
            </w:r>
            <w:r w:rsidRPr="00182349">
              <w:t xml:space="preserve"> package funding and EFT </w:t>
            </w:r>
            <w:r>
              <w:t>a</w:t>
            </w:r>
            <w:r w:rsidRPr="00182349">
              <w:t>cquittal</w:t>
            </w:r>
          </w:p>
        </w:tc>
        <w:tc>
          <w:tcPr>
            <w:tcW w:w="2580" w:type="dxa"/>
          </w:tcPr>
          <w:p w14:paraId="7FEFE6DC" w14:textId="77777777" w:rsidR="00EC2297" w:rsidRPr="00182349" w:rsidRDefault="00EC2297" w:rsidP="00EC2297">
            <w:pPr>
              <w:pStyle w:val="DHHStabletext"/>
            </w:pPr>
            <w:r w:rsidRPr="00182349">
              <w:t>RIS/SAMS2/FAC</w:t>
            </w:r>
          </w:p>
        </w:tc>
        <w:tc>
          <w:tcPr>
            <w:tcW w:w="2580" w:type="dxa"/>
          </w:tcPr>
          <w:p w14:paraId="3178914A" w14:textId="77777777" w:rsidR="00EC2297" w:rsidRPr="00182349" w:rsidRDefault="00247487" w:rsidP="00EC2297">
            <w:pPr>
              <w:pStyle w:val="DHHStabletext"/>
            </w:pPr>
            <w:r>
              <w:t>Futures for Young Adults</w:t>
            </w:r>
            <w:r w:rsidR="00EC2297" w:rsidRPr="00182349">
              <w:t xml:space="preserve"> package acquittal</w:t>
            </w:r>
          </w:p>
        </w:tc>
        <w:tc>
          <w:tcPr>
            <w:tcW w:w="2508" w:type="dxa"/>
          </w:tcPr>
          <w:p w14:paraId="796A9806" w14:textId="77777777" w:rsidR="00EC2297" w:rsidRPr="00182349" w:rsidRDefault="00EC2297" w:rsidP="00EC2297">
            <w:pPr>
              <w:pStyle w:val="DHHStabletext"/>
            </w:pPr>
            <w:r w:rsidRPr="00182349">
              <w:t>Annual</w:t>
            </w:r>
          </w:p>
        </w:tc>
      </w:tr>
      <w:bookmarkEnd w:id="2"/>
    </w:tbl>
    <w:p w14:paraId="6E1B8896" w14:textId="77777777" w:rsidR="006C7A1F" w:rsidRDefault="006C7A1F" w:rsidP="00AA3CA8">
      <w:pPr>
        <w:rPr>
          <w:sz w:val="4"/>
          <w:szCs w:val="4"/>
        </w:rPr>
      </w:pPr>
    </w:p>
    <w:p w14:paraId="3153C88C" w14:textId="77777777" w:rsidR="009D7FE0" w:rsidRDefault="009D7FE0" w:rsidP="00AA3CA8">
      <w:pPr>
        <w:rPr>
          <w:sz w:val="4"/>
          <w:szCs w:val="4"/>
        </w:rPr>
      </w:pPr>
    </w:p>
    <w:p w14:paraId="7641659E" w14:textId="77777777" w:rsidR="006C7A1F" w:rsidRPr="006C7A1F" w:rsidRDefault="006C7A1F" w:rsidP="00AA3CA8">
      <w:pPr>
        <w:rPr>
          <w:sz w:val="4"/>
          <w:szCs w:val="4"/>
        </w:rPr>
      </w:pPr>
    </w:p>
    <w:tbl>
      <w:tblPr>
        <w:tblW w:w="4895" w:type="pct"/>
        <w:tblInd w:w="113" w:type="dxa"/>
        <w:tblCellMar>
          <w:top w:w="113" w:type="dxa"/>
          <w:bottom w:w="57" w:type="dxa"/>
        </w:tblCellMar>
        <w:tblLook w:val="00A0" w:firstRow="1" w:lastRow="0" w:firstColumn="1" w:lastColumn="0" w:noHBand="0" w:noVBand="0"/>
      </w:tblPr>
      <w:tblGrid>
        <w:gridCol w:w="9980"/>
      </w:tblGrid>
      <w:tr w:rsidR="009D7FE0" w:rsidRPr="002802E3" w14:paraId="1FE0D7F8" w14:textId="77777777" w:rsidTr="001D362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5E45888" w14:textId="77777777" w:rsidR="00250EED" w:rsidRDefault="00250EED" w:rsidP="00250EED">
            <w:pPr>
              <w:pStyle w:val="DHHSaccessibilitypara"/>
            </w:pPr>
            <w:r>
              <w:t xml:space="preserve">To receive this publication in an accessible format </w:t>
            </w:r>
            <w:hyperlink r:id="rId26" w:history="1">
              <w:r>
                <w:rPr>
                  <w:rStyle w:val="Hyperlink"/>
                </w:rPr>
                <w:t>email Service Agreement Policy</w:t>
              </w:r>
            </w:hyperlink>
            <w:r>
              <w:t xml:space="preserve"> &lt;</w:t>
            </w:r>
            <w:hyperlink r:id="rId27" w:history="1">
              <w:r>
                <w:rPr>
                  <w:rStyle w:val="Hyperlink"/>
                </w:rPr>
                <w:t>sapolicy@dhhs.vic.gov.au</w:t>
              </w:r>
            </w:hyperlink>
            <w:r>
              <w:t>&gt;</w:t>
            </w:r>
          </w:p>
          <w:p w14:paraId="6425363E" w14:textId="61C65D88" w:rsidR="00250EED" w:rsidRDefault="00250EED" w:rsidP="00250EED">
            <w:pPr>
              <w:pStyle w:val="DHHSbody"/>
              <w:rPr>
                <w:sz w:val="16"/>
                <w:szCs w:val="16"/>
              </w:rPr>
            </w:pPr>
            <w:r>
              <w:rPr>
                <w:sz w:val="16"/>
                <w:szCs w:val="16"/>
              </w:rPr>
              <w:t>Authorised and published by the Victorian Government, 1 Treasury Place, Melbourne. © State of Victoria, Department of Health and Human Services, July 2019</w:t>
            </w:r>
            <w:r w:rsidR="00BC339C">
              <w:rPr>
                <w:sz w:val="16"/>
                <w:szCs w:val="16"/>
              </w:rPr>
              <w:t xml:space="preserve"> Updated October 2020.</w:t>
            </w:r>
            <w:r>
              <w:rPr>
                <w:sz w:val="16"/>
                <w:szCs w:val="16"/>
              </w:rPr>
              <w:t>. Where the term ‘Aboriginal’ is used it refers to both Aboriginal and Torres Strait Islander people. Indigenous is retained when it is part of the title of a report, program or quotation. ISSN 2207-8347 (online/PDF/Word)</w:t>
            </w:r>
          </w:p>
          <w:p w14:paraId="029EC464" w14:textId="77777777" w:rsidR="009D7FE0" w:rsidRPr="008328D4" w:rsidRDefault="00250EED" w:rsidP="00250EED">
            <w:pPr>
              <w:pStyle w:val="DHHSbody"/>
              <w:rPr>
                <w:color w:val="FF0000"/>
                <w:szCs w:val="19"/>
              </w:rPr>
            </w:pPr>
            <w:r>
              <w:t xml:space="preserve">Available on the department’s </w:t>
            </w:r>
            <w:hyperlink r:id="rId28" w:history="1">
              <w:r>
                <w:rPr>
                  <w:rStyle w:val="Hyperlink"/>
                </w:rPr>
                <w:t>Health and human services activity search</w:t>
              </w:r>
            </w:hyperlink>
            <w:r>
              <w:t xml:space="preserve"> &lt;</w:t>
            </w:r>
            <w:hyperlink r:id="rId29" w:history="1">
              <w:r>
                <w:rPr>
                  <w:rStyle w:val="Hyperlink"/>
                  <w:lang w:eastAsia="en-AU"/>
                </w:rPr>
                <w:t>http://providers.dhhs.vic.gov.au/health-human-services-activity-search</w:t>
              </w:r>
            </w:hyperlink>
            <w:r>
              <w:rPr>
                <w:color w:val="000000"/>
                <w:lang w:eastAsia="en-AU"/>
              </w:rPr>
              <w:t>&gt;</w:t>
            </w:r>
          </w:p>
        </w:tc>
      </w:tr>
    </w:tbl>
    <w:p w14:paraId="0FC9FBF2" w14:textId="77777777" w:rsidR="000918C3" w:rsidRPr="006C7A1F" w:rsidRDefault="000918C3" w:rsidP="006C7A1F">
      <w:pPr>
        <w:rPr>
          <w:sz w:val="2"/>
          <w:szCs w:val="2"/>
          <w:lang w:eastAsia="en-US"/>
        </w:rPr>
      </w:pPr>
    </w:p>
    <w:sectPr w:rsidR="000918C3" w:rsidRPr="006C7A1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E08D" w14:textId="77777777" w:rsidR="00E002B7" w:rsidRDefault="00E002B7">
      <w:r>
        <w:separator/>
      </w:r>
    </w:p>
  </w:endnote>
  <w:endnote w:type="continuationSeparator" w:id="0">
    <w:p w14:paraId="65A2AB11" w14:textId="77777777" w:rsidR="00E002B7" w:rsidRDefault="00E0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1671" w14:textId="77777777" w:rsidR="007A0304" w:rsidRDefault="007A0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990B" w14:textId="77777777"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5F4A5434" wp14:editId="418D428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D250" w14:textId="77777777" w:rsidR="007A0304" w:rsidRDefault="007A03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F1CE" w14:textId="17E161F9" w:rsidR="009D70A4" w:rsidRPr="00A11421" w:rsidRDefault="00BC339C" w:rsidP="0051568D">
    <w:pPr>
      <w:pStyle w:val="DHHSfooter"/>
    </w:pPr>
    <w:r>
      <w:t>Disability Services 17201</w:t>
    </w:r>
    <w:r w:rsidR="009D7FE0">
      <w:t xml:space="preserve"> Futures for Young Adults </w:t>
    </w:r>
    <w:r w:rsidR="009D70A4" w:rsidRPr="00A11421">
      <w:tab/>
    </w:r>
    <w:r w:rsidR="009D70A4" w:rsidRPr="00A11421">
      <w:fldChar w:fldCharType="begin"/>
    </w:r>
    <w:r w:rsidR="009D70A4" w:rsidRPr="00A11421">
      <w:instrText xml:space="preserve"> PAGE </w:instrText>
    </w:r>
    <w:r w:rsidR="009D70A4" w:rsidRPr="00A11421">
      <w:fldChar w:fldCharType="separate"/>
    </w:r>
    <w:r w:rsidR="00E60701">
      <w:rPr>
        <w:noProof/>
      </w:rPr>
      <w:t>3</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10898" w14:textId="77777777" w:rsidR="00E002B7" w:rsidRDefault="00E002B7" w:rsidP="002862F1">
      <w:pPr>
        <w:spacing w:before="120"/>
      </w:pPr>
      <w:r>
        <w:separator/>
      </w:r>
    </w:p>
  </w:footnote>
  <w:footnote w:type="continuationSeparator" w:id="0">
    <w:p w14:paraId="0A68D546" w14:textId="77777777" w:rsidR="00E002B7" w:rsidRDefault="00E0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1AF09" w14:textId="77777777" w:rsidR="007A0304" w:rsidRDefault="007A0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F2D2" w14:textId="77777777" w:rsidR="007A0304" w:rsidRDefault="007A0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47C9" w14:textId="77777777" w:rsidR="007A0304" w:rsidRDefault="007A03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AA0F"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 w:numId="16">
    <w:abstractNumId w:val="8"/>
  </w:num>
  <w:num w:numId="17">
    <w:abstractNumId w:val="8"/>
  </w:num>
  <w:num w:numId="18">
    <w:abstractNumId w:val="8"/>
  </w:num>
  <w:num w:numId="19">
    <w:abstractNumId w:val="8"/>
  </w:num>
  <w:num w:numId="20">
    <w:abstractNumId w:val="8"/>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861F3"/>
    <w:rsid w:val="0009038C"/>
    <w:rsid w:val="0009113B"/>
    <w:rsid w:val="000918C3"/>
    <w:rsid w:val="00094DA3"/>
    <w:rsid w:val="00096CD1"/>
    <w:rsid w:val="000A012C"/>
    <w:rsid w:val="000A0EB9"/>
    <w:rsid w:val="000A186C"/>
    <w:rsid w:val="000A7DC7"/>
    <w:rsid w:val="000B23FD"/>
    <w:rsid w:val="000B543D"/>
    <w:rsid w:val="000B5BF7"/>
    <w:rsid w:val="000B6BC8"/>
    <w:rsid w:val="000C42EA"/>
    <w:rsid w:val="000C4546"/>
    <w:rsid w:val="000D1242"/>
    <w:rsid w:val="000D3756"/>
    <w:rsid w:val="000D4BAA"/>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1843"/>
    <w:rsid w:val="002432E1"/>
    <w:rsid w:val="00246207"/>
    <w:rsid w:val="00246C5E"/>
    <w:rsid w:val="00247487"/>
    <w:rsid w:val="00250EED"/>
    <w:rsid w:val="00251343"/>
    <w:rsid w:val="00254F58"/>
    <w:rsid w:val="002620BC"/>
    <w:rsid w:val="00262802"/>
    <w:rsid w:val="00263A90"/>
    <w:rsid w:val="0026408B"/>
    <w:rsid w:val="002653EF"/>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0B62"/>
    <w:rsid w:val="00327870"/>
    <w:rsid w:val="0033259D"/>
    <w:rsid w:val="003361A7"/>
    <w:rsid w:val="00337C54"/>
    <w:rsid w:val="003406C6"/>
    <w:rsid w:val="003418CC"/>
    <w:rsid w:val="003459BD"/>
    <w:rsid w:val="00350D38"/>
    <w:rsid w:val="003512C8"/>
    <w:rsid w:val="00351B36"/>
    <w:rsid w:val="00357B4E"/>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A160D"/>
    <w:rsid w:val="004A3E81"/>
    <w:rsid w:val="004A557A"/>
    <w:rsid w:val="004A5C62"/>
    <w:rsid w:val="004A707D"/>
    <w:rsid w:val="004C6EEE"/>
    <w:rsid w:val="004C702B"/>
    <w:rsid w:val="004D016B"/>
    <w:rsid w:val="004D1B22"/>
    <w:rsid w:val="004D36F2"/>
    <w:rsid w:val="004E138F"/>
    <w:rsid w:val="004E3AD4"/>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7574"/>
    <w:rsid w:val="0068454C"/>
    <w:rsid w:val="00691B62"/>
    <w:rsid w:val="00693D14"/>
    <w:rsid w:val="00697090"/>
    <w:rsid w:val="006A18C2"/>
    <w:rsid w:val="006A744F"/>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0304"/>
    <w:rsid w:val="007B0914"/>
    <w:rsid w:val="007B1374"/>
    <w:rsid w:val="007B292B"/>
    <w:rsid w:val="007B589F"/>
    <w:rsid w:val="007B6186"/>
    <w:rsid w:val="007B61B4"/>
    <w:rsid w:val="007B73BC"/>
    <w:rsid w:val="007C0F0C"/>
    <w:rsid w:val="007C20B9"/>
    <w:rsid w:val="007C7301"/>
    <w:rsid w:val="007C7859"/>
    <w:rsid w:val="007D2932"/>
    <w:rsid w:val="007D2BDE"/>
    <w:rsid w:val="007D2FB6"/>
    <w:rsid w:val="007E0DE2"/>
    <w:rsid w:val="007E3B98"/>
    <w:rsid w:val="007E695C"/>
    <w:rsid w:val="007F31B6"/>
    <w:rsid w:val="007F546C"/>
    <w:rsid w:val="007F625F"/>
    <w:rsid w:val="007F665E"/>
    <w:rsid w:val="00800412"/>
    <w:rsid w:val="0080587B"/>
    <w:rsid w:val="00806468"/>
    <w:rsid w:val="008155F0"/>
    <w:rsid w:val="00816735"/>
    <w:rsid w:val="00820141"/>
    <w:rsid w:val="00820E0C"/>
    <w:rsid w:val="008237E6"/>
    <w:rsid w:val="008338A2"/>
    <w:rsid w:val="008370FF"/>
    <w:rsid w:val="00841AA9"/>
    <w:rsid w:val="00853EE4"/>
    <w:rsid w:val="00855535"/>
    <w:rsid w:val="0086255E"/>
    <w:rsid w:val="008633F0"/>
    <w:rsid w:val="00867D9D"/>
    <w:rsid w:val="00870C9B"/>
    <w:rsid w:val="00871222"/>
    <w:rsid w:val="00872E0A"/>
    <w:rsid w:val="00875285"/>
    <w:rsid w:val="0087683C"/>
    <w:rsid w:val="00884B62"/>
    <w:rsid w:val="0088529C"/>
    <w:rsid w:val="00887903"/>
    <w:rsid w:val="0089270A"/>
    <w:rsid w:val="00893AF6"/>
    <w:rsid w:val="00894BC4"/>
    <w:rsid w:val="00895643"/>
    <w:rsid w:val="008A5B32"/>
    <w:rsid w:val="008B2EE4"/>
    <w:rsid w:val="008B462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1459"/>
    <w:rsid w:val="009A279E"/>
    <w:rsid w:val="009A5BE6"/>
    <w:rsid w:val="009B0A6F"/>
    <w:rsid w:val="009B0A94"/>
    <w:rsid w:val="009B59E9"/>
    <w:rsid w:val="009B70AA"/>
    <w:rsid w:val="009C7A7E"/>
    <w:rsid w:val="009D02E8"/>
    <w:rsid w:val="009D51D0"/>
    <w:rsid w:val="009D70A4"/>
    <w:rsid w:val="009D7FE0"/>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5587"/>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339C"/>
    <w:rsid w:val="00BC7468"/>
    <w:rsid w:val="00BC7D4F"/>
    <w:rsid w:val="00BC7ED7"/>
    <w:rsid w:val="00BD2850"/>
    <w:rsid w:val="00BE28D2"/>
    <w:rsid w:val="00BE4A64"/>
    <w:rsid w:val="00BF7F58"/>
    <w:rsid w:val="00C01381"/>
    <w:rsid w:val="00C079B8"/>
    <w:rsid w:val="00C123EA"/>
    <w:rsid w:val="00C12A49"/>
    <w:rsid w:val="00C133EE"/>
    <w:rsid w:val="00C2573F"/>
    <w:rsid w:val="00C27201"/>
    <w:rsid w:val="00C27DE9"/>
    <w:rsid w:val="00C33388"/>
    <w:rsid w:val="00C35484"/>
    <w:rsid w:val="00C4173A"/>
    <w:rsid w:val="00C432E5"/>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424F"/>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68C7"/>
    <w:rsid w:val="00DF6BAF"/>
    <w:rsid w:val="00DF731A"/>
    <w:rsid w:val="00E002B7"/>
    <w:rsid w:val="00E05E8D"/>
    <w:rsid w:val="00E170DC"/>
    <w:rsid w:val="00E26818"/>
    <w:rsid w:val="00E27FFC"/>
    <w:rsid w:val="00E30B15"/>
    <w:rsid w:val="00E327EB"/>
    <w:rsid w:val="00E40181"/>
    <w:rsid w:val="00E53D0C"/>
    <w:rsid w:val="00E56A01"/>
    <w:rsid w:val="00E60701"/>
    <w:rsid w:val="00E629A1"/>
    <w:rsid w:val="00E71591"/>
    <w:rsid w:val="00E82C55"/>
    <w:rsid w:val="00E92AC3"/>
    <w:rsid w:val="00EB00E0"/>
    <w:rsid w:val="00EB442C"/>
    <w:rsid w:val="00EC059F"/>
    <w:rsid w:val="00EC1F24"/>
    <w:rsid w:val="00EC2297"/>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DEE116"/>
  <w15:docId w15:val="{C1D68AC4-6CBF-4E1B-B6F0-4D9518A4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uiPriority w:val="1"/>
    <w:qFormat/>
    <w:rsid w:val="00870C9B"/>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uiPriority w:val="1"/>
    <w:qFormat/>
    <w:rsid w:val="00870C9B"/>
    <w:pPr>
      <w:keepNext/>
      <w:keepLines/>
      <w:spacing w:before="240" w:after="90" w:line="320" w:lineRule="atLeast"/>
      <w:outlineLvl w:val="1"/>
    </w:pPr>
    <w:rPr>
      <w:rFonts w:ascii="Arial" w:hAnsi="Arial"/>
      <w:b/>
      <w:color w:val="201547"/>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70C9B"/>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870C9B"/>
    <w:rPr>
      <w:rFonts w:ascii="Arial" w:hAnsi="Arial"/>
      <w:b/>
      <w:color w:val="201547"/>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4A5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6391107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apolicy@dhhs.vic.gov.au" TargetMode="External"/><Relationship Id="rId3" Type="http://schemas.openxmlformats.org/officeDocument/2006/relationships/customXml" Target="../customXml/item3.xml"/><Relationship Id="rId21" Type="http://schemas.openxmlformats.org/officeDocument/2006/relationships/hyperlink" Target="https://dhhs.vic.gov.au/individual-support-package-acquittal-information-pac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viders.dhhs.vic.gov.au/financial-hardshi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viders.dhhs.vic.gov.au/individual-support-package" TargetMode="External"/><Relationship Id="rId29" Type="http://schemas.openxmlformats.org/officeDocument/2006/relationships/hyperlink" Target="http://providers.dhhs.vic.gov.au/health-human-services-activity-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hhs.vic.gov.au/behaviour-support-planning-toolkit-section-4-useful-assessment-tools-and-forms-wor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hhs.vic.gov.au/senior-practitioner-disability-independent-person-toolkit" TargetMode="External"/><Relationship Id="rId28" Type="http://schemas.openxmlformats.org/officeDocument/2006/relationships/hyperlink" Target="http://providers.dhhs.vic.gov.au/health-human-services-activity-search"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hhs.vic.gov.au/publications/authorised-program-officer-practice-advice" TargetMode="External"/><Relationship Id="rId27" Type="http://schemas.openxmlformats.org/officeDocument/2006/relationships/hyperlink" Target="mailto:sapolicy@dhhs.vic.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3EA4-A37B-4849-B71E-A556405AE0E1}"/>
</file>

<file path=customXml/itemProps2.xml><?xml version="1.0" encoding="utf-8"?>
<ds:datastoreItem xmlns:ds="http://schemas.openxmlformats.org/officeDocument/2006/customXml" ds:itemID="{442CFD78-1782-4BF9-8E21-B70651146787}">
  <ds:schemaRefs>
    <ds:schemaRef ds:uri="http://schemas.microsoft.com/sharepoint/v3/contenttype/forms"/>
  </ds:schemaRefs>
</ds:datastoreItem>
</file>

<file path=customXml/itemProps3.xml><?xml version="1.0" encoding="utf-8"?>
<ds:datastoreItem xmlns:ds="http://schemas.openxmlformats.org/officeDocument/2006/customXml" ds:itemID="{C4B088B6-C2B2-4B7A-A692-4A80EA616B4A}">
  <ds:schemaRefs>
    <ds:schemaRef ds:uri="http://schemas.microsoft.com/office/2006/metadata/properties"/>
    <ds:schemaRef ds:uri="http://schemas.microsoft.com/office/infopath/2007/PartnerControls"/>
    <ds:schemaRef ds:uri="a0a1cdb3-76af-40bd-93b0-f7d150250ba2"/>
  </ds:schemaRefs>
</ds:datastoreItem>
</file>

<file path=customXml/itemProps4.xml><?xml version="1.0" encoding="utf-8"?>
<ds:datastoreItem xmlns:ds="http://schemas.openxmlformats.org/officeDocument/2006/customXml" ds:itemID="{76D1C3BC-8D57-421C-9AE7-74C851BF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Activity description human services future for yound adults 17201</vt:lpstr>
    </vt:vector>
  </TitlesOfParts>
  <Company>Department of Health and Human Services</Company>
  <LinksUpToDate>false</LinksUpToDate>
  <CharactersWithSpaces>5854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future for yound adults 17201</dc:title>
  <dc:subject>service agreement activity descriptions</dc:subject>
  <dc:creator>Service agreement policy unit</dc:creator>
  <cp:keywords>service agreement; activity description; human services; disability services; future for young adults; 17201</cp:keywords>
  <cp:lastModifiedBy>Alice York (DHHS)</cp:lastModifiedBy>
  <cp:revision>2</cp:revision>
  <cp:lastPrinted>2019-01-08T23:20:00Z</cp:lastPrinted>
  <dcterms:created xsi:type="dcterms:W3CDTF">2020-12-31T03:14:00Z</dcterms:created>
  <dcterms:modified xsi:type="dcterms:W3CDTF">2020-12-31T03:14:00Z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etDate">
    <vt:lpwstr>2020-12-31T03:14:37Z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750606b8-d250-4f30-a598-e2102c11d3d6</vt:lpwstr>
  </property>
  <property fmtid="{D5CDD505-2E9C-101B-9397-08002B2CF9AE}" pid="10" name="MSIP_Label_efdf5488-3066-4b6c-8fea-9472b8a1f34c_ContentBits">
    <vt:lpwstr>0</vt:lpwstr>
  </property>
</Properties>
</file>