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F1796" w14:textId="77777777" w:rsidR="00002990" w:rsidRPr="003072C6" w:rsidRDefault="00606C23" w:rsidP="00A55989">
      <w:pPr>
        <w:pStyle w:val="DHHSbodynospace"/>
      </w:pPr>
      <w:r>
        <w:rPr>
          <w:noProof/>
        </w:rPr>
        <w:drawing>
          <wp:anchor distT="0" distB="0" distL="114300" distR="114300" simplePos="0" relativeHeight="251657728" behindDoc="1" locked="1" layoutInCell="0" allowOverlap="1" wp14:anchorId="07571E4B" wp14:editId="3431E15D">
            <wp:simplePos x="0" y="0"/>
            <wp:positionH relativeFrom="page">
              <wp:posOffset>0</wp:posOffset>
            </wp:positionH>
            <wp:positionV relativeFrom="page">
              <wp:posOffset>0</wp:posOffset>
            </wp:positionV>
            <wp:extent cx="7563600" cy="10698480"/>
            <wp:effectExtent l="0" t="0" r="0" b="7620"/>
            <wp:wrapNone/>
            <wp:docPr id="2"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8"/>
                    <a:stretch>
                      <a:fillRect/>
                    </a:stretch>
                  </pic:blipFill>
                  <pic:spPr bwMode="auto">
                    <a:xfrm>
                      <a:off x="0" y="0"/>
                      <a:ext cx="7563600" cy="106984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600" w:firstRow="0" w:lastRow="0" w:firstColumn="0" w:lastColumn="0" w:noHBand="1" w:noVBand="1"/>
      </w:tblPr>
      <w:tblGrid>
        <w:gridCol w:w="7938"/>
      </w:tblGrid>
      <w:tr w:rsidR="001817CD" w:rsidRPr="003072C6" w14:paraId="28583785" w14:textId="77777777" w:rsidTr="000055C9">
        <w:trPr>
          <w:trHeight w:val="3988"/>
        </w:trPr>
        <w:tc>
          <w:tcPr>
            <w:tcW w:w="7938" w:type="dxa"/>
            <w:shd w:val="clear" w:color="auto" w:fill="auto"/>
          </w:tcPr>
          <w:p w14:paraId="4178CC2E" w14:textId="77777777" w:rsidR="002E6FFA" w:rsidRPr="002E6FFA" w:rsidRDefault="002E6FFA" w:rsidP="002E6FFA">
            <w:pPr>
              <w:rPr>
                <w:rFonts w:ascii="Arial" w:hAnsi="Arial"/>
                <w:bCs/>
                <w:color w:val="53565A"/>
                <w:sz w:val="50"/>
                <w:szCs w:val="50"/>
              </w:rPr>
            </w:pPr>
            <w:r w:rsidRPr="002E6FFA">
              <w:rPr>
                <w:rFonts w:ascii="Arial" w:hAnsi="Arial"/>
                <w:bCs/>
                <w:color w:val="53565A"/>
                <w:sz w:val="50"/>
                <w:szCs w:val="50"/>
              </w:rPr>
              <w:t>Framework to reduce criminalisation of young people in residential care</w:t>
            </w:r>
          </w:p>
          <w:p w14:paraId="523DCFC2" w14:textId="77777777" w:rsidR="00444D82" w:rsidRPr="003072C6" w:rsidRDefault="00444D82" w:rsidP="00E91933">
            <w:pPr>
              <w:pStyle w:val="DHHSreportsubtitlecover"/>
            </w:pPr>
          </w:p>
        </w:tc>
      </w:tr>
      <w:tr w:rsidR="001817CD" w:rsidRPr="003072C6" w14:paraId="276A8B28" w14:textId="77777777" w:rsidTr="000055C9">
        <w:trPr>
          <w:trHeight w:val="4664"/>
        </w:trPr>
        <w:tc>
          <w:tcPr>
            <w:tcW w:w="10252" w:type="dxa"/>
            <w:shd w:val="clear" w:color="auto" w:fill="auto"/>
          </w:tcPr>
          <w:p w14:paraId="5B56AE53" w14:textId="77777777" w:rsidR="00502B8F" w:rsidRPr="003072C6" w:rsidRDefault="00502B8F" w:rsidP="00502B8F">
            <w:pPr>
              <w:pStyle w:val="Coverinstructions"/>
            </w:pPr>
          </w:p>
        </w:tc>
      </w:tr>
    </w:tbl>
    <w:p w14:paraId="3D6951AD" w14:textId="77777777" w:rsidR="0069374A" w:rsidRPr="00256E7C" w:rsidRDefault="0069374A" w:rsidP="00256E7C">
      <w:pPr>
        <w:pStyle w:val="DHHSbody"/>
      </w:pPr>
    </w:p>
    <w:p w14:paraId="0C6F3304" w14:textId="77777777" w:rsidR="00C51B1C" w:rsidRPr="00256E7C" w:rsidRDefault="00C51B1C" w:rsidP="00256E7C">
      <w:pPr>
        <w:pStyle w:val="DHHSbody"/>
        <w:sectPr w:rsidR="00C51B1C" w:rsidRPr="00256E7C" w:rsidSect="00A55989">
          <w:headerReference w:type="even" r:id="rId9"/>
          <w:headerReference w:type="default" r:id="rId10"/>
          <w:footerReference w:type="even" r:id="rId11"/>
          <w:footerReference w:type="default" r:id="rId12"/>
          <w:headerReference w:type="first" r:id="rId13"/>
          <w:footerReference w:type="first" r:id="rId14"/>
          <w:type w:val="oddPage"/>
          <w:pgSz w:w="11906" w:h="16838"/>
          <w:pgMar w:top="3969" w:right="1304" w:bottom="1134" w:left="1304" w:header="454" w:footer="567" w:gutter="0"/>
          <w:cols w:space="720"/>
          <w:docGrid w:linePitch="360"/>
        </w:sectPr>
      </w:pPr>
    </w:p>
    <w:p w14:paraId="372BBDAE" w14:textId="77777777" w:rsidR="000F7CF3" w:rsidRDefault="000F7CF3" w:rsidP="000F7CF3">
      <w:pPr>
        <w:pStyle w:val="DHHSbodynospace"/>
      </w:pPr>
    </w:p>
    <w:tbl>
      <w:tblPr>
        <w:tblW w:w="0" w:type="auto"/>
        <w:tblInd w:w="1701" w:type="dxa"/>
        <w:tblCellMar>
          <w:left w:w="0" w:type="dxa"/>
          <w:right w:w="0" w:type="dxa"/>
        </w:tblCellMar>
        <w:tblLook w:val="04A0" w:firstRow="1" w:lastRow="0" w:firstColumn="1" w:lastColumn="0" w:noHBand="0" w:noVBand="1"/>
      </w:tblPr>
      <w:tblGrid>
        <w:gridCol w:w="7597"/>
      </w:tblGrid>
      <w:tr w:rsidR="000F7CF3" w14:paraId="010165D4" w14:textId="77777777" w:rsidTr="000F7CF3">
        <w:trPr>
          <w:trHeight w:val="7402"/>
        </w:trPr>
        <w:tc>
          <w:tcPr>
            <w:tcW w:w="9298" w:type="dxa"/>
            <w:vAlign w:val="center"/>
            <w:hideMark/>
          </w:tcPr>
          <w:p w14:paraId="0E1C7E6E" w14:textId="2622961E" w:rsidR="00CC46FE" w:rsidRPr="002E6FFA" w:rsidRDefault="00CC46FE" w:rsidP="00CC46FE">
            <w:pPr>
              <w:rPr>
                <w:rFonts w:ascii="Arial" w:hAnsi="Arial"/>
                <w:bCs/>
                <w:color w:val="53565A"/>
                <w:sz w:val="50"/>
                <w:szCs w:val="50"/>
              </w:rPr>
            </w:pPr>
            <w:r w:rsidRPr="002E6FFA">
              <w:rPr>
                <w:rFonts w:ascii="Arial" w:hAnsi="Arial"/>
                <w:bCs/>
                <w:color w:val="53565A"/>
                <w:sz w:val="50"/>
                <w:szCs w:val="50"/>
              </w:rPr>
              <w:t>Framework to reduce criminalisation of young people in residential care</w:t>
            </w:r>
          </w:p>
          <w:p w14:paraId="5CA35504" w14:textId="6AAEC8FE" w:rsidR="000F7CF3" w:rsidRDefault="000F7CF3">
            <w:pPr>
              <w:pStyle w:val="DHHSreportsubtitle"/>
            </w:pPr>
          </w:p>
        </w:tc>
      </w:tr>
      <w:tr w:rsidR="000F7CF3" w14:paraId="426CE52D" w14:textId="77777777" w:rsidTr="000F7CF3">
        <w:tc>
          <w:tcPr>
            <w:tcW w:w="9298" w:type="dxa"/>
            <w:vAlign w:val="center"/>
          </w:tcPr>
          <w:p w14:paraId="2DAC34A8" w14:textId="77777777" w:rsidR="000F7CF3" w:rsidRDefault="000F7CF3">
            <w:pPr>
              <w:pStyle w:val="DHHSbody"/>
            </w:pPr>
          </w:p>
        </w:tc>
      </w:tr>
    </w:tbl>
    <w:p w14:paraId="66A0D403" w14:textId="77777777" w:rsidR="000F7CF3" w:rsidRDefault="000F7CF3" w:rsidP="000F7CF3">
      <w:pPr>
        <w:pStyle w:val="DHHSbodynospace"/>
      </w:pPr>
    </w:p>
    <w:p w14:paraId="42F26562" w14:textId="77777777" w:rsidR="000F7CF3" w:rsidRDefault="000F7CF3" w:rsidP="000F7CF3">
      <w:pPr>
        <w:pStyle w:val="DHHSbodynospace"/>
      </w:pPr>
      <w:r>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0F7CF3" w14:paraId="7A39DB99" w14:textId="77777777" w:rsidTr="000F7CF3">
        <w:trPr>
          <w:trHeight w:val="4313"/>
        </w:trPr>
        <w:tc>
          <w:tcPr>
            <w:tcW w:w="9401" w:type="dxa"/>
            <w:hideMark/>
          </w:tcPr>
          <w:p w14:paraId="3E91CB87" w14:textId="5B8045D1" w:rsidR="000F7CF3" w:rsidRDefault="000F7CF3">
            <w:pPr>
              <w:pStyle w:val="DHHSbody"/>
              <w:rPr>
                <w:i/>
                <w:color w:val="008950"/>
                <w:sz w:val="26"/>
                <w:szCs w:val="26"/>
              </w:rPr>
            </w:pPr>
          </w:p>
        </w:tc>
      </w:tr>
      <w:tr w:rsidR="000F7CF3" w14:paraId="477EC349" w14:textId="77777777" w:rsidTr="000F7CF3">
        <w:trPr>
          <w:trHeight w:val="6336"/>
        </w:trPr>
        <w:tc>
          <w:tcPr>
            <w:tcW w:w="9401" w:type="dxa"/>
            <w:vAlign w:val="bottom"/>
            <w:hideMark/>
          </w:tcPr>
          <w:p w14:paraId="18AA6975" w14:textId="7E845741" w:rsidR="000F7CF3" w:rsidRPr="00CC46FE" w:rsidRDefault="000F7CF3">
            <w:pPr>
              <w:spacing w:after="200" w:line="300" w:lineRule="atLeast"/>
              <w:rPr>
                <w:rFonts w:ascii="Arial" w:eastAsia="Times" w:hAnsi="Arial"/>
                <w:sz w:val="24"/>
                <w:szCs w:val="19"/>
              </w:rPr>
            </w:pPr>
            <w:r>
              <w:rPr>
                <w:rFonts w:ascii="Arial" w:eastAsia="Times" w:hAnsi="Arial"/>
                <w:sz w:val="24"/>
                <w:szCs w:val="19"/>
              </w:rPr>
              <w:t xml:space="preserve">To receive this publication in an accessible format phone </w:t>
            </w:r>
            <w:r w:rsidR="00CC46FE">
              <w:rPr>
                <w:rFonts w:ascii="Arial" w:eastAsia="Times" w:hAnsi="Arial"/>
                <w:sz w:val="24"/>
                <w:szCs w:val="19"/>
              </w:rPr>
              <w:t xml:space="preserve">(03) </w:t>
            </w:r>
            <w:r w:rsidR="00CC46FE" w:rsidRPr="00CC46FE">
              <w:rPr>
                <w:rFonts w:ascii="Arial" w:eastAsia="Times" w:hAnsi="Arial"/>
                <w:sz w:val="24"/>
                <w:szCs w:val="19"/>
              </w:rPr>
              <w:t xml:space="preserve">9096 </w:t>
            </w:r>
            <w:r w:rsidR="0095401F">
              <w:rPr>
                <w:rFonts w:ascii="Arial" w:eastAsia="Times" w:hAnsi="Arial"/>
                <w:sz w:val="24"/>
                <w:szCs w:val="19"/>
              </w:rPr>
              <w:t>0000</w:t>
            </w:r>
            <w:r w:rsidRPr="00CC46FE">
              <w:rPr>
                <w:rFonts w:ascii="Arial" w:eastAsia="Times" w:hAnsi="Arial"/>
                <w:sz w:val="24"/>
                <w:szCs w:val="19"/>
              </w:rPr>
              <w:t xml:space="preserve">, using the National Relay Service 13 36 77 if required, or email </w:t>
            </w:r>
            <w:r w:rsidR="0095401F">
              <w:rPr>
                <w:rFonts w:ascii="Arial" w:eastAsia="Times" w:hAnsi="Arial"/>
                <w:sz w:val="24"/>
                <w:szCs w:val="19"/>
              </w:rPr>
              <w:t>careservices@dhhs.vic.gov.au</w:t>
            </w:r>
          </w:p>
          <w:p w14:paraId="5C9C5E22" w14:textId="77777777" w:rsidR="000F7CF3" w:rsidRPr="00CC46FE" w:rsidRDefault="000F7CF3">
            <w:pPr>
              <w:spacing w:after="120" w:line="270" w:lineRule="atLeast"/>
              <w:rPr>
                <w:rFonts w:ascii="Arial" w:eastAsia="Times" w:hAnsi="Arial"/>
              </w:rPr>
            </w:pPr>
            <w:r w:rsidRPr="00CC46FE">
              <w:rPr>
                <w:rFonts w:ascii="Arial" w:eastAsia="Times" w:hAnsi="Arial"/>
              </w:rPr>
              <w:t>Authorised and published by the Victorian Government, 1 Treasury Place, Melbourne.</w:t>
            </w:r>
          </w:p>
          <w:p w14:paraId="75D413C4" w14:textId="717941E8" w:rsidR="000F7CF3" w:rsidRPr="00CC46FE" w:rsidRDefault="000F7CF3">
            <w:pPr>
              <w:spacing w:after="120" w:line="270" w:lineRule="atLeast"/>
              <w:rPr>
                <w:rFonts w:ascii="Arial" w:eastAsia="Times" w:hAnsi="Arial"/>
              </w:rPr>
            </w:pPr>
            <w:r w:rsidRPr="00CC46FE">
              <w:rPr>
                <w:rFonts w:ascii="Arial" w:eastAsia="Times" w:hAnsi="Arial"/>
              </w:rPr>
              <w:t>© State of Victoria, Department of Health and Human Services</w:t>
            </w:r>
            <w:r w:rsidR="00CC46FE">
              <w:rPr>
                <w:rFonts w:ascii="Arial" w:eastAsia="Times" w:hAnsi="Arial"/>
              </w:rPr>
              <w:t>, February 2020.</w:t>
            </w:r>
          </w:p>
          <w:p w14:paraId="068C50E0" w14:textId="77777777" w:rsidR="000F7CF3" w:rsidRPr="00CC46FE" w:rsidRDefault="000F7CF3">
            <w:pPr>
              <w:spacing w:after="120" w:line="270" w:lineRule="atLeast"/>
              <w:rPr>
                <w:rFonts w:ascii="Arial" w:eastAsia="Times" w:hAnsi="Arial"/>
              </w:rPr>
            </w:pPr>
            <w:r w:rsidRPr="00CC46FE">
              <w:rPr>
                <w:rFonts w:ascii="Arial" w:eastAsia="Times" w:hAnsi="Arial"/>
              </w:rPr>
              <w:t>Where the term ‘Aboriginal’ is used it refers to both Aboriginal and Torres Strait Islander people. Indigenous is retained when it is part of the title of a report, program or quotation.</w:t>
            </w:r>
          </w:p>
          <w:p w14:paraId="0C3066F9" w14:textId="77777777" w:rsidR="0095401F" w:rsidRPr="0095401F" w:rsidRDefault="0095401F" w:rsidP="0095401F">
            <w:pPr>
              <w:spacing w:after="120" w:line="270" w:lineRule="atLeast"/>
              <w:rPr>
                <w:rFonts w:ascii="Arial" w:eastAsia="Times" w:hAnsi="Arial"/>
              </w:rPr>
            </w:pPr>
            <w:r w:rsidRPr="0095401F">
              <w:rPr>
                <w:rFonts w:ascii="Arial" w:eastAsia="Times" w:hAnsi="Arial"/>
              </w:rPr>
              <w:t xml:space="preserve">ISBN 978-1-76069-144-8 (Print) </w:t>
            </w:r>
          </w:p>
          <w:p w14:paraId="1744DDE2" w14:textId="77777777" w:rsidR="0095401F" w:rsidRDefault="0095401F" w:rsidP="0095401F">
            <w:pPr>
              <w:spacing w:after="120" w:line="270" w:lineRule="atLeast"/>
              <w:rPr>
                <w:rFonts w:ascii="Arial" w:eastAsia="Times" w:hAnsi="Arial"/>
              </w:rPr>
            </w:pPr>
            <w:r w:rsidRPr="0095401F">
              <w:rPr>
                <w:rFonts w:ascii="Arial" w:eastAsia="Times" w:hAnsi="Arial"/>
              </w:rPr>
              <w:t>ISBN 978-1-76069-145-5 (pdf/online/MS word)</w:t>
            </w:r>
          </w:p>
          <w:p w14:paraId="6A833B17" w14:textId="52A6BEBD" w:rsidR="000F7CF3" w:rsidRPr="00CC46FE" w:rsidRDefault="0095401F" w:rsidP="0095401F">
            <w:pPr>
              <w:spacing w:after="120" w:line="270" w:lineRule="atLeast"/>
              <w:rPr>
                <w:rFonts w:ascii="Arial" w:eastAsia="Times" w:hAnsi="Arial"/>
                <w:szCs w:val="19"/>
              </w:rPr>
            </w:pPr>
            <w:r w:rsidRPr="0095401F">
              <w:rPr>
                <w:rFonts w:ascii="Arial" w:eastAsia="Times" w:hAnsi="Arial"/>
                <w:szCs w:val="19"/>
              </w:rPr>
              <w:t>Available at https://providers.dhhs.vic.gov.au/program-requirements-out-home-care-services</w:t>
            </w:r>
          </w:p>
        </w:tc>
      </w:tr>
      <w:tr w:rsidR="000F7CF3" w14:paraId="328C1D53" w14:textId="77777777" w:rsidTr="000F7CF3">
        <w:tc>
          <w:tcPr>
            <w:tcW w:w="9401" w:type="dxa"/>
            <w:vAlign w:val="bottom"/>
          </w:tcPr>
          <w:p w14:paraId="6516B0DE" w14:textId="77777777" w:rsidR="000F7CF3" w:rsidRDefault="000F7CF3">
            <w:pPr>
              <w:pStyle w:val="DHHSbody"/>
            </w:pPr>
          </w:p>
        </w:tc>
      </w:tr>
    </w:tbl>
    <w:p w14:paraId="444DC97A" w14:textId="77777777" w:rsidR="000F7CF3" w:rsidRDefault="000F7CF3" w:rsidP="000F7CF3">
      <w:pPr>
        <w:pStyle w:val="DHHSbody"/>
      </w:pPr>
    </w:p>
    <w:p w14:paraId="2104D9C7" w14:textId="487A3B51" w:rsidR="00AC0C3B" w:rsidRPr="00711B0C" w:rsidRDefault="00AC0C3B" w:rsidP="00711B0C">
      <w:pPr>
        <w:pStyle w:val="DHHSTOCheadingreport"/>
      </w:pPr>
      <w:r w:rsidRPr="00711B0C">
        <w:lastRenderedPageBreak/>
        <w:t>Contents</w:t>
      </w:r>
    </w:p>
    <w:p w14:paraId="1608ADB3" w14:textId="0B1F0DE9" w:rsidR="00B93B5B" w:rsidRDefault="00C8344E">
      <w:pPr>
        <w:pStyle w:val="TOC1"/>
        <w:rPr>
          <w:rFonts w:asciiTheme="minorHAnsi" w:eastAsiaTheme="minorEastAsia" w:hAnsiTheme="minorHAnsi" w:cstheme="minorBidi"/>
          <w:b w:val="0"/>
          <w:sz w:val="22"/>
          <w:szCs w:val="22"/>
          <w:lang w:eastAsia="en-AU"/>
        </w:rPr>
      </w:pPr>
      <w:r>
        <w:rPr>
          <w:b w:val="0"/>
          <w:noProof w:val="0"/>
        </w:rPr>
        <w:fldChar w:fldCharType="begin"/>
      </w:r>
      <w:r>
        <w:rPr>
          <w:b w:val="0"/>
          <w:noProof w:val="0"/>
        </w:rPr>
        <w:instrText xml:space="preserve"> TOC \o "1-1" \h \z \u </w:instrText>
      </w:r>
      <w:r>
        <w:rPr>
          <w:b w:val="0"/>
          <w:noProof w:val="0"/>
        </w:rPr>
        <w:fldChar w:fldCharType="separate"/>
      </w:r>
      <w:hyperlink w:anchor="_Toc31442872" w:history="1">
        <w:r w:rsidR="00B93B5B" w:rsidRPr="00846EF2">
          <w:rPr>
            <w:rStyle w:val="Hyperlink"/>
          </w:rPr>
          <w:t>Position statement</w:t>
        </w:r>
        <w:r w:rsidR="00B93B5B">
          <w:rPr>
            <w:webHidden/>
          </w:rPr>
          <w:tab/>
        </w:r>
        <w:r w:rsidR="00B93B5B">
          <w:rPr>
            <w:webHidden/>
          </w:rPr>
          <w:fldChar w:fldCharType="begin"/>
        </w:r>
        <w:r w:rsidR="00B93B5B">
          <w:rPr>
            <w:webHidden/>
          </w:rPr>
          <w:instrText xml:space="preserve"> PAGEREF _Toc31442872 \h </w:instrText>
        </w:r>
        <w:r w:rsidR="00B93B5B">
          <w:rPr>
            <w:webHidden/>
          </w:rPr>
        </w:r>
        <w:r w:rsidR="00B93B5B">
          <w:rPr>
            <w:webHidden/>
          </w:rPr>
          <w:fldChar w:fldCharType="separate"/>
        </w:r>
        <w:r w:rsidR="00381B67">
          <w:rPr>
            <w:webHidden/>
          </w:rPr>
          <w:t>1</w:t>
        </w:r>
        <w:r w:rsidR="00B93B5B">
          <w:rPr>
            <w:webHidden/>
          </w:rPr>
          <w:fldChar w:fldCharType="end"/>
        </w:r>
      </w:hyperlink>
    </w:p>
    <w:p w14:paraId="65FC7BD3" w14:textId="6C264623" w:rsidR="00B93B5B" w:rsidRDefault="00AB29BA">
      <w:pPr>
        <w:pStyle w:val="TOC1"/>
        <w:rPr>
          <w:rFonts w:asciiTheme="minorHAnsi" w:eastAsiaTheme="minorEastAsia" w:hAnsiTheme="minorHAnsi" w:cstheme="minorBidi"/>
          <w:b w:val="0"/>
          <w:sz w:val="22"/>
          <w:szCs w:val="22"/>
          <w:lang w:eastAsia="en-AU"/>
        </w:rPr>
      </w:pPr>
      <w:hyperlink w:anchor="_Toc31442873" w:history="1">
        <w:r w:rsidR="00B93B5B" w:rsidRPr="00846EF2">
          <w:rPr>
            <w:rStyle w:val="Hyperlink"/>
          </w:rPr>
          <w:t>Signatories</w:t>
        </w:r>
        <w:r w:rsidR="00B93B5B">
          <w:rPr>
            <w:webHidden/>
          </w:rPr>
          <w:tab/>
        </w:r>
        <w:r w:rsidR="00B93B5B">
          <w:rPr>
            <w:webHidden/>
          </w:rPr>
          <w:fldChar w:fldCharType="begin"/>
        </w:r>
        <w:r w:rsidR="00B93B5B">
          <w:rPr>
            <w:webHidden/>
          </w:rPr>
          <w:instrText xml:space="preserve"> PAGEREF _Toc31442873 \h </w:instrText>
        </w:r>
        <w:r w:rsidR="00B93B5B">
          <w:rPr>
            <w:webHidden/>
          </w:rPr>
        </w:r>
        <w:r w:rsidR="00B93B5B">
          <w:rPr>
            <w:webHidden/>
          </w:rPr>
          <w:fldChar w:fldCharType="separate"/>
        </w:r>
        <w:r w:rsidR="00381B67">
          <w:rPr>
            <w:webHidden/>
          </w:rPr>
          <w:t>2</w:t>
        </w:r>
        <w:r w:rsidR="00B93B5B">
          <w:rPr>
            <w:webHidden/>
          </w:rPr>
          <w:fldChar w:fldCharType="end"/>
        </w:r>
      </w:hyperlink>
    </w:p>
    <w:p w14:paraId="222738A7" w14:textId="0783D5F4" w:rsidR="00B93B5B" w:rsidRDefault="00AB29BA">
      <w:pPr>
        <w:pStyle w:val="TOC1"/>
        <w:rPr>
          <w:rFonts w:asciiTheme="minorHAnsi" w:eastAsiaTheme="minorEastAsia" w:hAnsiTheme="minorHAnsi" w:cstheme="minorBidi"/>
          <w:b w:val="0"/>
          <w:sz w:val="22"/>
          <w:szCs w:val="22"/>
          <w:lang w:eastAsia="en-AU"/>
        </w:rPr>
      </w:pPr>
      <w:hyperlink w:anchor="_Toc31442874" w:history="1">
        <w:r w:rsidR="00B93B5B" w:rsidRPr="00846EF2">
          <w:rPr>
            <w:rStyle w:val="Hyperlink"/>
          </w:rPr>
          <w:t>Acknowledgements</w:t>
        </w:r>
        <w:r w:rsidR="00B93B5B">
          <w:rPr>
            <w:webHidden/>
          </w:rPr>
          <w:tab/>
        </w:r>
        <w:r w:rsidR="00B93B5B">
          <w:rPr>
            <w:webHidden/>
          </w:rPr>
          <w:fldChar w:fldCharType="begin"/>
        </w:r>
        <w:r w:rsidR="00B93B5B">
          <w:rPr>
            <w:webHidden/>
          </w:rPr>
          <w:instrText xml:space="preserve"> PAGEREF _Toc31442874 \h </w:instrText>
        </w:r>
        <w:r w:rsidR="00B93B5B">
          <w:rPr>
            <w:webHidden/>
          </w:rPr>
        </w:r>
        <w:r w:rsidR="00B93B5B">
          <w:rPr>
            <w:webHidden/>
          </w:rPr>
          <w:fldChar w:fldCharType="separate"/>
        </w:r>
        <w:r w:rsidR="00381B67">
          <w:rPr>
            <w:webHidden/>
          </w:rPr>
          <w:t>3</w:t>
        </w:r>
        <w:r w:rsidR="00B93B5B">
          <w:rPr>
            <w:webHidden/>
          </w:rPr>
          <w:fldChar w:fldCharType="end"/>
        </w:r>
      </w:hyperlink>
    </w:p>
    <w:p w14:paraId="55B520D4" w14:textId="70F4EB87" w:rsidR="00B93B5B" w:rsidRDefault="00AB29BA">
      <w:pPr>
        <w:pStyle w:val="TOC1"/>
        <w:rPr>
          <w:rFonts w:asciiTheme="minorHAnsi" w:eastAsiaTheme="minorEastAsia" w:hAnsiTheme="minorHAnsi" w:cstheme="minorBidi"/>
          <w:b w:val="0"/>
          <w:sz w:val="22"/>
          <w:szCs w:val="22"/>
          <w:lang w:eastAsia="en-AU"/>
        </w:rPr>
      </w:pPr>
      <w:hyperlink w:anchor="_Toc31442875" w:history="1">
        <w:r w:rsidR="00B93B5B" w:rsidRPr="00846EF2">
          <w:rPr>
            <w:rStyle w:val="Hyperlink"/>
          </w:rPr>
          <w:t>Explanatory notes</w:t>
        </w:r>
        <w:r w:rsidR="00B93B5B">
          <w:rPr>
            <w:webHidden/>
          </w:rPr>
          <w:tab/>
        </w:r>
        <w:r w:rsidR="00B93B5B">
          <w:rPr>
            <w:webHidden/>
          </w:rPr>
          <w:fldChar w:fldCharType="begin"/>
        </w:r>
        <w:r w:rsidR="00B93B5B">
          <w:rPr>
            <w:webHidden/>
          </w:rPr>
          <w:instrText xml:space="preserve"> PAGEREF _Toc31442875 \h </w:instrText>
        </w:r>
        <w:r w:rsidR="00B93B5B">
          <w:rPr>
            <w:webHidden/>
          </w:rPr>
        </w:r>
        <w:r w:rsidR="00B93B5B">
          <w:rPr>
            <w:webHidden/>
          </w:rPr>
          <w:fldChar w:fldCharType="separate"/>
        </w:r>
        <w:r w:rsidR="00381B67">
          <w:rPr>
            <w:webHidden/>
          </w:rPr>
          <w:t>3</w:t>
        </w:r>
        <w:r w:rsidR="00B93B5B">
          <w:rPr>
            <w:webHidden/>
          </w:rPr>
          <w:fldChar w:fldCharType="end"/>
        </w:r>
      </w:hyperlink>
    </w:p>
    <w:p w14:paraId="20B94DC5" w14:textId="3774C593" w:rsidR="00B93B5B" w:rsidRDefault="00AB29BA">
      <w:pPr>
        <w:pStyle w:val="TOC1"/>
        <w:rPr>
          <w:rFonts w:asciiTheme="minorHAnsi" w:eastAsiaTheme="minorEastAsia" w:hAnsiTheme="minorHAnsi" w:cstheme="minorBidi"/>
          <w:b w:val="0"/>
          <w:sz w:val="22"/>
          <w:szCs w:val="22"/>
          <w:lang w:eastAsia="en-AU"/>
        </w:rPr>
      </w:pPr>
      <w:hyperlink w:anchor="_Toc31442876" w:history="1">
        <w:r w:rsidR="00B93B5B" w:rsidRPr="00846EF2">
          <w:rPr>
            <w:rStyle w:val="Hyperlink"/>
          </w:rPr>
          <w:t>The case for change</w:t>
        </w:r>
        <w:r w:rsidR="00B93B5B">
          <w:rPr>
            <w:webHidden/>
          </w:rPr>
          <w:tab/>
        </w:r>
        <w:r w:rsidR="00B93B5B">
          <w:rPr>
            <w:webHidden/>
          </w:rPr>
          <w:fldChar w:fldCharType="begin"/>
        </w:r>
        <w:r w:rsidR="00B93B5B">
          <w:rPr>
            <w:webHidden/>
          </w:rPr>
          <w:instrText xml:space="preserve"> PAGEREF _Toc31442876 \h </w:instrText>
        </w:r>
        <w:r w:rsidR="00B93B5B">
          <w:rPr>
            <w:webHidden/>
          </w:rPr>
        </w:r>
        <w:r w:rsidR="00B93B5B">
          <w:rPr>
            <w:webHidden/>
          </w:rPr>
          <w:fldChar w:fldCharType="separate"/>
        </w:r>
        <w:r w:rsidR="00381B67">
          <w:rPr>
            <w:webHidden/>
          </w:rPr>
          <w:t>4</w:t>
        </w:r>
        <w:r w:rsidR="00B93B5B">
          <w:rPr>
            <w:webHidden/>
          </w:rPr>
          <w:fldChar w:fldCharType="end"/>
        </w:r>
      </w:hyperlink>
    </w:p>
    <w:p w14:paraId="7FE92F7E" w14:textId="5D9299DA" w:rsidR="00B93B5B" w:rsidRDefault="00AB29BA">
      <w:pPr>
        <w:pStyle w:val="TOC1"/>
        <w:rPr>
          <w:rFonts w:asciiTheme="minorHAnsi" w:eastAsiaTheme="minorEastAsia" w:hAnsiTheme="minorHAnsi" w:cstheme="minorBidi"/>
          <w:b w:val="0"/>
          <w:sz w:val="22"/>
          <w:szCs w:val="22"/>
          <w:lang w:eastAsia="en-AU"/>
        </w:rPr>
      </w:pPr>
      <w:hyperlink w:anchor="_Toc31442877" w:history="1">
        <w:r w:rsidR="00B93B5B" w:rsidRPr="00846EF2">
          <w:rPr>
            <w:rStyle w:val="Hyperlink"/>
          </w:rPr>
          <w:t>The framework</w:t>
        </w:r>
        <w:r w:rsidR="00B93B5B">
          <w:rPr>
            <w:webHidden/>
          </w:rPr>
          <w:tab/>
        </w:r>
        <w:r w:rsidR="00B93B5B">
          <w:rPr>
            <w:webHidden/>
          </w:rPr>
          <w:fldChar w:fldCharType="begin"/>
        </w:r>
        <w:r w:rsidR="00B93B5B">
          <w:rPr>
            <w:webHidden/>
          </w:rPr>
          <w:instrText xml:space="preserve"> PAGEREF _Toc31442877 \h </w:instrText>
        </w:r>
        <w:r w:rsidR="00B93B5B">
          <w:rPr>
            <w:webHidden/>
          </w:rPr>
        </w:r>
        <w:r w:rsidR="00B93B5B">
          <w:rPr>
            <w:webHidden/>
          </w:rPr>
          <w:fldChar w:fldCharType="separate"/>
        </w:r>
        <w:r w:rsidR="00381B67">
          <w:rPr>
            <w:webHidden/>
          </w:rPr>
          <w:t>6</w:t>
        </w:r>
        <w:r w:rsidR="00B93B5B">
          <w:rPr>
            <w:webHidden/>
          </w:rPr>
          <w:fldChar w:fldCharType="end"/>
        </w:r>
      </w:hyperlink>
    </w:p>
    <w:p w14:paraId="2FCFE611" w14:textId="183647FE" w:rsidR="00B93B5B" w:rsidRDefault="00AB29BA">
      <w:pPr>
        <w:pStyle w:val="TOC1"/>
        <w:rPr>
          <w:rFonts w:asciiTheme="minorHAnsi" w:eastAsiaTheme="minorEastAsia" w:hAnsiTheme="minorHAnsi" w:cstheme="minorBidi"/>
          <w:b w:val="0"/>
          <w:sz w:val="22"/>
          <w:szCs w:val="22"/>
          <w:lang w:eastAsia="en-AU"/>
        </w:rPr>
      </w:pPr>
      <w:hyperlink w:anchor="_Toc31442878" w:history="1">
        <w:r w:rsidR="00B93B5B" w:rsidRPr="00846EF2">
          <w:rPr>
            <w:rStyle w:val="Hyperlink"/>
          </w:rPr>
          <w:t>Guiding principles to reduce criminalisation of young people in residential care</w:t>
        </w:r>
        <w:r w:rsidR="00B93B5B">
          <w:rPr>
            <w:webHidden/>
          </w:rPr>
          <w:tab/>
        </w:r>
        <w:r w:rsidR="00B93B5B">
          <w:rPr>
            <w:webHidden/>
          </w:rPr>
          <w:fldChar w:fldCharType="begin"/>
        </w:r>
        <w:r w:rsidR="00B93B5B">
          <w:rPr>
            <w:webHidden/>
          </w:rPr>
          <w:instrText xml:space="preserve"> PAGEREF _Toc31442878 \h </w:instrText>
        </w:r>
        <w:r w:rsidR="00B93B5B">
          <w:rPr>
            <w:webHidden/>
          </w:rPr>
        </w:r>
        <w:r w:rsidR="00B93B5B">
          <w:rPr>
            <w:webHidden/>
          </w:rPr>
          <w:fldChar w:fldCharType="separate"/>
        </w:r>
        <w:r w:rsidR="00381B67">
          <w:rPr>
            <w:webHidden/>
          </w:rPr>
          <w:t>7</w:t>
        </w:r>
        <w:r w:rsidR="00B93B5B">
          <w:rPr>
            <w:webHidden/>
          </w:rPr>
          <w:fldChar w:fldCharType="end"/>
        </w:r>
      </w:hyperlink>
    </w:p>
    <w:p w14:paraId="55B9E63A" w14:textId="16F386A0" w:rsidR="00B93B5B" w:rsidRDefault="00AB29BA">
      <w:pPr>
        <w:pStyle w:val="TOC1"/>
        <w:rPr>
          <w:rFonts w:asciiTheme="minorHAnsi" w:eastAsiaTheme="minorEastAsia" w:hAnsiTheme="minorHAnsi" w:cstheme="minorBidi"/>
          <w:b w:val="0"/>
          <w:sz w:val="22"/>
          <w:szCs w:val="22"/>
          <w:lang w:eastAsia="en-AU"/>
        </w:rPr>
      </w:pPr>
      <w:hyperlink w:anchor="_Toc31442879" w:history="1">
        <w:r w:rsidR="00B93B5B" w:rsidRPr="00846EF2">
          <w:rPr>
            <w:rStyle w:val="Hyperlink"/>
            <w:rFonts w:eastAsia="MS Gothic"/>
          </w:rPr>
          <w:t>A decision-making guide for when to call police in residential care</w:t>
        </w:r>
        <w:r w:rsidR="00B93B5B">
          <w:rPr>
            <w:webHidden/>
          </w:rPr>
          <w:tab/>
        </w:r>
        <w:r w:rsidR="00B93B5B">
          <w:rPr>
            <w:webHidden/>
          </w:rPr>
          <w:fldChar w:fldCharType="begin"/>
        </w:r>
        <w:r w:rsidR="00B93B5B">
          <w:rPr>
            <w:webHidden/>
          </w:rPr>
          <w:instrText xml:space="preserve"> PAGEREF _Toc31442879 \h </w:instrText>
        </w:r>
        <w:r w:rsidR="00B93B5B">
          <w:rPr>
            <w:webHidden/>
          </w:rPr>
        </w:r>
        <w:r w:rsidR="00B93B5B">
          <w:rPr>
            <w:webHidden/>
          </w:rPr>
          <w:fldChar w:fldCharType="separate"/>
        </w:r>
        <w:r w:rsidR="00381B67">
          <w:rPr>
            <w:webHidden/>
          </w:rPr>
          <w:t>14</w:t>
        </w:r>
        <w:r w:rsidR="00B93B5B">
          <w:rPr>
            <w:webHidden/>
          </w:rPr>
          <w:fldChar w:fldCharType="end"/>
        </w:r>
      </w:hyperlink>
    </w:p>
    <w:p w14:paraId="57C226EB" w14:textId="36ADC1EC" w:rsidR="00B93B5B" w:rsidRDefault="00AB29BA">
      <w:pPr>
        <w:pStyle w:val="TOC1"/>
        <w:rPr>
          <w:rFonts w:asciiTheme="minorHAnsi" w:eastAsiaTheme="minorEastAsia" w:hAnsiTheme="minorHAnsi" w:cstheme="minorBidi"/>
          <w:b w:val="0"/>
          <w:sz w:val="22"/>
          <w:szCs w:val="22"/>
          <w:lang w:eastAsia="en-AU"/>
        </w:rPr>
      </w:pPr>
      <w:hyperlink w:anchor="_Toc31442880" w:history="1">
        <w:r w:rsidR="00B93B5B" w:rsidRPr="00846EF2">
          <w:rPr>
            <w:rStyle w:val="Hyperlink"/>
          </w:rPr>
          <w:t>Victoria Police responses to non-crisis incidents in residential care homes</w:t>
        </w:r>
        <w:r w:rsidR="00B93B5B">
          <w:rPr>
            <w:webHidden/>
          </w:rPr>
          <w:tab/>
        </w:r>
        <w:r w:rsidR="00B93B5B">
          <w:rPr>
            <w:webHidden/>
          </w:rPr>
          <w:fldChar w:fldCharType="begin"/>
        </w:r>
        <w:r w:rsidR="00B93B5B">
          <w:rPr>
            <w:webHidden/>
          </w:rPr>
          <w:instrText xml:space="preserve"> PAGEREF _Toc31442880 \h </w:instrText>
        </w:r>
        <w:r w:rsidR="00B93B5B">
          <w:rPr>
            <w:webHidden/>
          </w:rPr>
        </w:r>
        <w:r w:rsidR="00B93B5B">
          <w:rPr>
            <w:webHidden/>
          </w:rPr>
          <w:fldChar w:fldCharType="separate"/>
        </w:r>
        <w:r w:rsidR="00381B67">
          <w:rPr>
            <w:webHidden/>
          </w:rPr>
          <w:t>20</w:t>
        </w:r>
        <w:r w:rsidR="00B93B5B">
          <w:rPr>
            <w:webHidden/>
          </w:rPr>
          <w:fldChar w:fldCharType="end"/>
        </w:r>
      </w:hyperlink>
    </w:p>
    <w:p w14:paraId="4E5BFC22" w14:textId="58082517" w:rsidR="00B93B5B" w:rsidRDefault="00AB29BA">
      <w:pPr>
        <w:pStyle w:val="TOC1"/>
        <w:rPr>
          <w:rFonts w:asciiTheme="minorHAnsi" w:eastAsiaTheme="minorEastAsia" w:hAnsiTheme="minorHAnsi" w:cstheme="minorBidi"/>
          <w:b w:val="0"/>
          <w:sz w:val="22"/>
          <w:szCs w:val="22"/>
          <w:lang w:eastAsia="en-AU"/>
        </w:rPr>
      </w:pPr>
      <w:hyperlink w:anchor="_Toc31442881" w:history="1">
        <w:r w:rsidR="00B93B5B" w:rsidRPr="00846EF2">
          <w:rPr>
            <w:rStyle w:val="Hyperlink"/>
          </w:rPr>
          <w:t>Roles and responsibilities</w:t>
        </w:r>
        <w:r w:rsidR="00B93B5B">
          <w:rPr>
            <w:webHidden/>
          </w:rPr>
          <w:tab/>
        </w:r>
        <w:r w:rsidR="00B93B5B">
          <w:rPr>
            <w:webHidden/>
          </w:rPr>
          <w:fldChar w:fldCharType="begin"/>
        </w:r>
        <w:r w:rsidR="00B93B5B">
          <w:rPr>
            <w:webHidden/>
          </w:rPr>
          <w:instrText xml:space="preserve"> PAGEREF _Toc31442881 \h </w:instrText>
        </w:r>
        <w:r w:rsidR="00B93B5B">
          <w:rPr>
            <w:webHidden/>
          </w:rPr>
        </w:r>
        <w:r w:rsidR="00B93B5B">
          <w:rPr>
            <w:webHidden/>
          </w:rPr>
          <w:fldChar w:fldCharType="separate"/>
        </w:r>
        <w:r w:rsidR="00381B67">
          <w:rPr>
            <w:webHidden/>
          </w:rPr>
          <w:t>21</w:t>
        </w:r>
        <w:r w:rsidR="00B93B5B">
          <w:rPr>
            <w:webHidden/>
          </w:rPr>
          <w:fldChar w:fldCharType="end"/>
        </w:r>
      </w:hyperlink>
    </w:p>
    <w:p w14:paraId="39E47A5F" w14:textId="1BB84DE7" w:rsidR="00B93B5B" w:rsidRDefault="00AB29BA">
      <w:pPr>
        <w:pStyle w:val="TOC1"/>
        <w:rPr>
          <w:rFonts w:asciiTheme="minorHAnsi" w:eastAsiaTheme="minorEastAsia" w:hAnsiTheme="minorHAnsi" w:cstheme="minorBidi"/>
          <w:b w:val="0"/>
          <w:sz w:val="22"/>
          <w:szCs w:val="22"/>
          <w:lang w:eastAsia="en-AU"/>
        </w:rPr>
      </w:pPr>
      <w:hyperlink w:anchor="_Toc31442882" w:history="1">
        <w:r w:rsidR="00B93B5B" w:rsidRPr="00846EF2">
          <w:rPr>
            <w:rStyle w:val="Hyperlink"/>
          </w:rPr>
          <w:t>Supporting implementation of the framework</w:t>
        </w:r>
        <w:r w:rsidR="00B93B5B">
          <w:rPr>
            <w:webHidden/>
          </w:rPr>
          <w:tab/>
        </w:r>
        <w:r w:rsidR="00B93B5B">
          <w:rPr>
            <w:webHidden/>
          </w:rPr>
          <w:fldChar w:fldCharType="begin"/>
        </w:r>
        <w:r w:rsidR="00B93B5B">
          <w:rPr>
            <w:webHidden/>
          </w:rPr>
          <w:instrText xml:space="preserve"> PAGEREF _Toc31442882 \h </w:instrText>
        </w:r>
        <w:r w:rsidR="00B93B5B">
          <w:rPr>
            <w:webHidden/>
          </w:rPr>
        </w:r>
        <w:r w:rsidR="00B93B5B">
          <w:rPr>
            <w:webHidden/>
          </w:rPr>
          <w:fldChar w:fldCharType="separate"/>
        </w:r>
        <w:r w:rsidR="00381B67">
          <w:rPr>
            <w:webHidden/>
          </w:rPr>
          <w:t>24</w:t>
        </w:r>
        <w:r w:rsidR="00B93B5B">
          <w:rPr>
            <w:webHidden/>
          </w:rPr>
          <w:fldChar w:fldCharType="end"/>
        </w:r>
      </w:hyperlink>
    </w:p>
    <w:p w14:paraId="0D375612" w14:textId="4ABD00E5" w:rsidR="00B93B5B" w:rsidRDefault="00AB29BA">
      <w:pPr>
        <w:pStyle w:val="TOC1"/>
        <w:rPr>
          <w:rFonts w:asciiTheme="minorHAnsi" w:eastAsiaTheme="minorEastAsia" w:hAnsiTheme="minorHAnsi" w:cstheme="minorBidi"/>
          <w:b w:val="0"/>
          <w:sz w:val="22"/>
          <w:szCs w:val="22"/>
          <w:lang w:eastAsia="en-AU"/>
        </w:rPr>
      </w:pPr>
      <w:hyperlink w:anchor="_Toc31442883" w:history="1">
        <w:r w:rsidR="00B93B5B" w:rsidRPr="00846EF2">
          <w:rPr>
            <w:rStyle w:val="Hyperlink"/>
          </w:rPr>
          <w:t>Review of the framework and action plan</w:t>
        </w:r>
        <w:r w:rsidR="00B93B5B">
          <w:rPr>
            <w:webHidden/>
          </w:rPr>
          <w:tab/>
        </w:r>
        <w:r w:rsidR="00B93B5B">
          <w:rPr>
            <w:webHidden/>
          </w:rPr>
          <w:fldChar w:fldCharType="begin"/>
        </w:r>
        <w:r w:rsidR="00B93B5B">
          <w:rPr>
            <w:webHidden/>
          </w:rPr>
          <w:instrText xml:space="preserve"> PAGEREF _Toc31442883 \h </w:instrText>
        </w:r>
        <w:r w:rsidR="00B93B5B">
          <w:rPr>
            <w:webHidden/>
          </w:rPr>
        </w:r>
        <w:r w:rsidR="00B93B5B">
          <w:rPr>
            <w:webHidden/>
          </w:rPr>
          <w:fldChar w:fldCharType="separate"/>
        </w:r>
        <w:r w:rsidR="00381B67">
          <w:rPr>
            <w:webHidden/>
          </w:rPr>
          <w:t>27</w:t>
        </w:r>
        <w:r w:rsidR="00B93B5B">
          <w:rPr>
            <w:webHidden/>
          </w:rPr>
          <w:fldChar w:fldCharType="end"/>
        </w:r>
      </w:hyperlink>
    </w:p>
    <w:p w14:paraId="1EEDB5ED" w14:textId="33DD993C" w:rsidR="00B93B5B" w:rsidRDefault="00AB29BA">
      <w:pPr>
        <w:pStyle w:val="TOC1"/>
        <w:rPr>
          <w:rFonts w:asciiTheme="minorHAnsi" w:eastAsiaTheme="minorEastAsia" w:hAnsiTheme="minorHAnsi" w:cstheme="minorBidi"/>
          <w:b w:val="0"/>
          <w:sz w:val="22"/>
          <w:szCs w:val="22"/>
          <w:lang w:eastAsia="en-AU"/>
        </w:rPr>
      </w:pPr>
      <w:hyperlink w:anchor="_Toc31442884" w:history="1">
        <w:r w:rsidR="00B93B5B" w:rsidRPr="00846EF2">
          <w:rPr>
            <w:rStyle w:val="Hyperlink"/>
          </w:rPr>
          <w:t>Appendix: Transcript of the flowchart for residential</w:t>
        </w:r>
        <w:r w:rsidR="00B93B5B" w:rsidRPr="00846EF2">
          <w:rPr>
            <w:rStyle w:val="Hyperlink"/>
            <w:lang w:val="en-GB"/>
          </w:rPr>
          <w:t xml:space="preserve"> care </w:t>
        </w:r>
        <w:r w:rsidR="00B93B5B" w:rsidRPr="00846EF2">
          <w:rPr>
            <w:rStyle w:val="Hyperlink"/>
            <w:lang w:val="en-GB" w:eastAsia="en-GB"/>
          </w:rPr>
          <w:t>workers – When do I contact</w:t>
        </w:r>
        <w:r w:rsidR="00B93B5B" w:rsidRPr="00846EF2">
          <w:rPr>
            <w:rStyle w:val="Hyperlink"/>
            <w:lang w:val="en-GB"/>
          </w:rPr>
          <w:t xml:space="preserve"> police</w:t>
        </w:r>
        <w:r w:rsidR="00B93B5B" w:rsidRPr="00846EF2">
          <w:rPr>
            <w:rStyle w:val="Hyperlink"/>
            <w:lang w:val="en-GB" w:eastAsia="en-GB"/>
          </w:rPr>
          <w:t>?</w:t>
        </w:r>
        <w:r w:rsidR="00B93B5B">
          <w:rPr>
            <w:webHidden/>
          </w:rPr>
          <w:tab/>
        </w:r>
        <w:r w:rsidR="00B93B5B">
          <w:rPr>
            <w:webHidden/>
          </w:rPr>
          <w:fldChar w:fldCharType="begin"/>
        </w:r>
        <w:r w:rsidR="00B93B5B">
          <w:rPr>
            <w:webHidden/>
          </w:rPr>
          <w:instrText xml:space="preserve"> PAGEREF _Toc31442884 \h </w:instrText>
        </w:r>
        <w:r w:rsidR="00B93B5B">
          <w:rPr>
            <w:webHidden/>
          </w:rPr>
        </w:r>
        <w:r w:rsidR="00B93B5B">
          <w:rPr>
            <w:webHidden/>
          </w:rPr>
          <w:fldChar w:fldCharType="separate"/>
        </w:r>
        <w:r w:rsidR="00381B67">
          <w:rPr>
            <w:webHidden/>
          </w:rPr>
          <w:t>28</w:t>
        </w:r>
        <w:r w:rsidR="00B93B5B">
          <w:rPr>
            <w:webHidden/>
          </w:rPr>
          <w:fldChar w:fldCharType="end"/>
        </w:r>
      </w:hyperlink>
    </w:p>
    <w:p w14:paraId="1514DA76" w14:textId="20690038" w:rsidR="003E2E12" w:rsidRPr="003072C6" w:rsidRDefault="00C8344E" w:rsidP="00213772">
      <w:pPr>
        <w:pStyle w:val="TOC2"/>
        <w:rPr>
          <w:noProof w:val="0"/>
        </w:rPr>
      </w:pPr>
      <w:r>
        <w:rPr>
          <w:b/>
          <w:noProof w:val="0"/>
        </w:rPr>
        <w:fldChar w:fldCharType="end"/>
      </w:r>
    </w:p>
    <w:p w14:paraId="2950E389" w14:textId="77777777" w:rsidR="00B93B5B" w:rsidRDefault="00B93B5B" w:rsidP="00256E7C">
      <w:pPr>
        <w:pStyle w:val="DHHSbody"/>
        <w:sectPr w:rsidR="00B93B5B" w:rsidSect="00B93B5B">
          <w:headerReference w:type="even" r:id="rId15"/>
          <w:headerReference w:type="default" r:id="rId16"/>
          <w:footerReference w:type="even" r:id="rId17"/>
          <w:footerReference w:type="default" r:id="rId18"/>
          <w:footerReference w:type="first" r:id="rId19"/>
          <w:pgSz w:w="11906" w:h="16838"/>
          <w:pgMar w:top="1701" w:right="1304" w:bottom="1134" w:left="1304" w:header="454" w:footer="510" w:gutter="0"/>
          <w:pgNumType w:fmt="lowerRoman"/>
          <w:cols w:space="720"/>
          <w:docGrid w:linePitch="360"/>
        </w:sectPr>
      </w:pPr>
    </w:p>
    <w:p w14:paraId="44793B41" w14:textId="77777777" w:rsidR="00E30414" w:rsidRPr="00AB50C1" w:rsidRDefault="002E6FFA" w:rsidP="00711B0C">
      <w:pPr>
        <w:pStyle w:val="Heading1"/>
        <w:spacing w:before="0"/>
      </w:pPr>
      <w:bookmarkStart w:id="0" w:name="_Toc31442872"/>
      <w:r>
        <w:lastRenderedPageBreak/>
        <w:t>Position statemen</w:t>
      </w:r>
      <w:r w:rsidR="00C8344E">
        <w:t>t</w:t>
      </w:r>
      <w:bookmarkEnd w:id="0"/>
    </w:p>
    <w:p w14:paraId="79E30B9F" w14:textId="77777777" w:rsidR="002E6FFA" w:rsidRPr="002E6FFA" w:rsidRDefault="002E6FFA" w:rsidP="002E6FFA">
      <w:pPr>
        <w:pStyle w:val="DHHSbody"/>
      </w:pPr>
      <w:bookmarkStart w:id="1" w:name="_Hlk30582687"/>
      <w:r w:rsidRPr="002E6FFA">
        <w:t>The safety and wellbeing of young people and staff is paramount in providing residential care in Victoria. Attention needs to be directed at ensuring young people placed in residential care receive the necessary support to enable them to achieve the same outcomes as their peers in the broader community.</w:t>
      </w:r>
    </w:p>
    <w:p w14:paraId="1641B8E4" w14:textId="7AEE0A17" w:rsidR="002E6FFA" w:rsidRPr="002E6FFA" w:rsidRDefault="002E6FFA" w:rsidP="002E6FFA">
      <w:pPr>
        <w:pStyle w:val="DHHSbody"/>
      </w:pPr>
      <w:r w:rsidRPr="002E6FFA">
        <w:t xml:space="preserve">A significant proportion of young people in residential care have experienced extensive abuse and neglect. The impact of this trauma may lead to behaviours of concern that present as challenging, complex or offending behaviour. </w:t>
      </w:r>
    </w:p>
    <w:p w14:paraId="725ECC7B" w14:textId="18CB49A6" w:rsidR="002E6FFA" w:rsidRPr="002E6FFA" w:rsidRDefault="002E6FFA" w:rsidP="002E6FFA">
      <w:pPr>
        <w:pStyle w:val="DHHSbody"/>
      </w:pPr>
      <w:r w:rsidRPr="002E6FFA">
        <w:t>Children and young people in care services experience a higher incidence of mental health, disability, emotional and behavioural difficulties than other children and are at greater risk of contact with services such as police and the youth justice system. Furthermore, young people in residential care are more likely to present with risk-taking behaviours such as self-harm, aggressive or sexualised behaviours, substance abuse and other activities that place them, or others, at high risk as a manifestation of the trauma they have experienced.</w:t>
      </w:r>
    </w:p>
    <w:p w14:paraId="39D779BA" w14:textId="49D51D0D" w:rsidR="002E6FFA" w:rsidRPr="002E6FFA" w:rsidRDefault="002E6FFA" w:rsidP="002E6FFA">
      <w:pPr>
        <w:pStyle w:val="DHHSbody"/>
      </w:pPr>
      <w:r w:rsidRPr="002E6FFA">
        <w:t xml:space="preserve">For Aboriginal young people there is the added impact of discrimination, intergenerational trauma and disconnection from culture that concurrently adds to the complexity of supporting them in residential care. </w:t>
      </w:r>
    </w:p>
    <w:p w14:paraId="1A65B5E8" w14:textId="14563DAD" w:rsidR="002E6FFA" w:rsidRPr="002E6FFA" w:rsidRDefault="002E6FFA" w:rsidP="002E6FFA">
      <w:pPr>
        <w:pStyle w:val="DHHSbody"/>
      </w:pPr>
      <w:r w:rsidRPr="002E6FFA">
        <w:t>Recent reports and inquiries have highlighted the criminalisation and over-representation of young people from a care services background in the criminal justice system.</w:t>
      </w:r>
      <w:r w:rsidR="00C81C90">
        <w:t xml:space="preserve"> </w:t>
      </w:r>
      <w:r w:rsidRPr="002E6FFA">
        <w:t>This presents an opportunity to develop a proactive policy approach to disrupt this trajectory.</w:t>
      </w:r>
    </w:p>
    <w:p w14:paraId="4B0036E2" w14:textId="2EBCB17C" w:rsidR="002E6FFA" w:rsidRPr="002E6FFA" w:rsidRDefault="002E6FFA" w:rsidP="002E6FFA">
      <w:pPr>
        <w:pStyle w:val="DHHSbody"/>
      </w:pPr>
      <w:r w:rsidRPr="002E6FFA">
        <w:t>Th</w:t>
      </w:r>
      <w:r w:rsidR="000156D1">
        <w:t xml:space="preserve">is document, </w:t>
      </w:r>
      <w:r w:rsidRPr="000156D1">
        <w:rPr>
          <w:i/>
          <w:iCs/>
        </w:rPr>
        <w:t>Framework to reduce criminalisation of young people in residential care</w:t>
      </w:r>
      <w:r w:rsidRPr="002E6FFA">
        <w:t xml:space="preserve"> (the framework)</w:t>
      </w:r>
      <w:r w:rsidR="000156D1">
        <w:t>,</w:t>
      </w:r>
      <w:r w:rsidRPr="002E6FFA">
        <w:t xml:space="preserve"> aims to reduce the unnecessary and inappropriate contact of young people in residential care with the criminal justice system. The framework establishes a commitment across government departments, Victoria Police and residential care service providers by:</w:t>
      </w:r>
    </w:p>
    <w:p w14:paraId="62465F61" w14:textId="77777777" w:rsidR="002E6FFA" w:rsidRPr="002E6FFA" w:rsidRDefault="002E6FFA" w:rsidP="002E6FFA">
      <w:pPr>
        <w:pStyle w:val="DHHSbullet1"/>
      </w:pPr>
      <w:r w:rsidRPr="002E6FFA">
        <w:t>establishing guiding principles that reinforce trauma-informed responses, connection to culture and a positive behaviour approach to inform local practices and procedures to support young people in residential care</w:t>
      </w:r>
    </w:p>
    <w:p w14:paraId="40C5FFEE" w14:textId="77777777" w:rsidR="002E6FFA" w:rsidRPr="002E6FFA" w:rsidRDefault="002E6FFA" w:rsidP="002E6FFA">
      <w:pPr>
        <w:pStyle w:val="DHHSbullet1"/>
      </w:pPr>
      <w:r w:rsidRPr="002E6FFA">
        <w:t>providing a decision-making guide for residential care workers to consider whether police involvement is required</w:t>
      </w:r>
    </w:p>
    <w:p w14:paraId="06F81253" w14:textId="77777777" w:rsidR="002E6FFA" w:rsidRPr="002E6FFA" w:rsidRDefault="002E6FFA" w:rsidP="002E6FFA">
      <w:pPr>
        <w:pStyle w:val="DHHSbullet1"/>
      </w:pPr>
      <w:r w:rsidRPr="002E6FFA">
        <w:t>articulating key roles and responsibilities, ensuring a more coordinated, consistent and collaborative response across Victoria</w:t>
      </w:r>
    </w:p>
    <w:p w14:paraId="75E3AADA" w14:textId="77777777" w:rsidR="002E6FFA" w:rsidRPr="002E6FFA" w:rsidRDefault="002E6FFA" w:rsidP="002E6FFA">
      <w:pPr>
        <w:pStyle w:val="DHHSbullet1"/>
      </w:pPr>
      <w:r w:rsidRPr="002E6FFA">
        <w:t>supporting an agreed approach for responding to non-crisis events in residential care homes</w:t>
      </w:r>
    </w:p>
    <w:p w14:paraId="3A1E6FF2" w14:textId="77777777" w:rsidR="002E6FFA" w:rsidRPr="002E6FFA" w:rsidRDefault="002E6FFA" w:rsidP="002E6FFA">
      <w:pPr>
        <w:pStyle w:val="DHHSbullet1"/>
      </w:pPr>
      <w:r w:rsidRPr="002E6FFA">
        <w:t>emphasising the importance of flexibility and proportionality when residential care workers, support workers or local police respond to a young person’s behaviour.</w:t>
      </w:r>
    </w:p>
    <w:p w14:paraId="3CB96F68" w14:textId="77777777" w:rsidR="002E6FFA" w:rsidRPr="00F72BDE" w:rsidRDefault="002E6FFA" w:rsidP="00E97405">
      <w:pPr>
        <w:pStyle w:val="DHHSbodyafterbullets"/>
      </w:pPr>
      <w:r w:rsidRPr="00F72BDE">
        <w:t xml:space="preserve">This document must be read in conjunction with relevant organisational policies, procedures and guidelines. </w:t>
      </w:r>
    </w:p>
    <w:bookmarkEnd w:id="1"/>
    <w:p w14:paraId="0FB81F61" w14:textId="77777777" w:rsidR="002E6FFA" w:rsidRDefault="002E6FFA" w:rsidP="00B93B5B">
      <w:pPr>
        <w:pStyle w:val="DHHSbody"/>
        <w:rPr>
          <w:color w:val="53565A"/>
          <w:sz w:val="28"/>
          <w:szCs w:val="28"/>
        </w:rPr>
      </w:pPr>
      <w:r>
        <w:br w:type="page"/>
      </w:r>
    </w:p>
    <w:p w14:paraId="259893B9" w14:textId="77777777" w:rsidR="002E6FFA" w:rsidRDefault="002E6FFA" w:rsidP="002E6FFA">
      <w:pPr>
        <w:pStyle w:val="Heading1"/>
      </w:pPr>
      <w:bookmarkStart w:id="2" w:name="_Toc31442873"/>
      <w:r>
        <w:lastRenderedPageBreak/>
        <w:t>Signatories</w:t>
      </w:r>
      <w:bookmarkEnd w:id="2"/>
    </w:p>
    <w:p w14:paraId="6967DE9F" w14:textId="77777777" w:rsidR="002E6FFA" w:rsidRPr="00F72BDE" w:rsidRDefault="002E6FFA" w:rsidP="002E6FFA">
      <w:pPr>
        <w:pStyle w:val="DHHSbody"/>
      </w:pPr>
      <w:r w:rsidRPr="00F72BDE">
        <w:t>Th</w:t>
      </w:r>
      <w:r>
        <w:t>is</w:t>
      </w:r>
      <w:r w:rsidRPr="00F72BDE">
        <w:t xml:space="preserve"> </w:t>
      </w:r>
      <w:r>
        <w:t>f</w:t>
      </w:r>
      <w:r w:rsidRPr="00F72BDE">
        <w:t>ramework ha</w:t>
      </w:r>
      <w:r>
        <w:t>s</w:t>
      </w:r>
      <w:r w:rsidRPr="00F72BDE">
        <w:t xml:space="preserve"> been endorsed by the following signatories:</w:t>
      </w:r>
    </w:p>
    <w:tbl>
      <w:tblPr>
        <w:tblStyle w:val="TableGrid"/>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7"/>
        <w:gridCol w:w="2830"/>
      </w:tblGrid>
      <w:tr w:rsidR="002E6FFA" w:rsidRPr="00F72BDE" w14:paraId="29055CC1" w14:textId="77777777" w:rsidTr="002E6FFA">
        <w:trPr>
          <w:trHeight w:val="2268"/>
        </w:trPr>
        <w:tc>
          <w:tcPr>
            <w:tcW w:w="3507" w:type="pct"/>
            <w:vAlign w:val="bottom"/>
          </w:tcPr>
          <w:p w14:paraId="50D45F5D" w14:textId="77777777" w:rsidR="002E6FFA" w:rsidRPr="00F72BDE" w:rsidRDefault="002E6FFA" w:rsidP="00B508A6">
            <w:pPr>
              <w:pStyle w:val="DHHStabletext"/>
            </w:pPr>
            <w:r w:rsidRPr="00F72BDE">
              <w:t>Argiri Alisandratos</w:t>
            </w:r>
          </w:p>
          <w:p w14:paraId="7E5B584F" w14:textId="77777777" w:rsidR="002E6FFA" w:rsidRPr="00F72BDE" w:rsidRDefault="002E6FFA" w:rsidP="00B508A6">
            <w:pPr>
              <w:pStyle w:val="DHHStabletext"/>
            </w:pPr>
            <w:r w:rsidRPr="00F72BDE">
              <w:t>Deputy Secretary</w:t>
            </w:r>
          </w:p>
          <w:p w14:paraId="1157D3A0" w14:textId="77777777" w:rsidR="002E6FFA" w:rsidRPr="00F72BDE" w:rsidRDefault="002E6FFA" w:rsidP="00B508A6">
            <w:pPr>
              <w:pStyle w:val="DHHStabletext"/>
            </w:pPr>
            <w:r w:rsidRPr="00F72BDE">
              <w:t>Children and Families Division</w:t>
            </w:r>
          </w:p>
          <w:p w14:paraId="715E5D97" w14:textId="77777777" w:rsidR="002E6FFA" w:rsidRPr="00F72BDE" w:rsidRDefault="002E6FFA" w:rsidP="00B508A6">
            <w:pPr>
              <w:pStyle w:val="DHHStabletext"/>
              <w:rPr>
                <w:b/>
              </w:rPr>
            </w:pPr>
            <w:r w:rsidRPr="00F72BDE">
              <w:rPr>
                <w:b/>
              </w:rPr>
              <w:t>Department of Health and Human Services</w:t>
            </w:r>
          </w:p>
        </w:tc>
        <w:tc>
          <w:tcPr>
            <w:tcW w:w="1493" w:type="pct"/>
            <w:vAlign w:val="bottom"/>
          </w:tcPr>
          <w:p w14:paraId="4C395A19" w14:textId="6B55773C" w:rsidR="002E6FFA" w:rsidRPr="00F72BDE" w:rsidRDefault="002E6FFA" w:rsidP="00B508A6">
            <w:pPr>
              <w:pStyle w:val="DHHStabletext"/>
            </w:pPr>
            <w:r w:rsidRPr="00F72BDE">
              <w:t>Signed</w:t>
            </w:r>
            <w:r w:rsidR="00D20628">
              <w:t>:</w:t>
            </w:r>
          </w:p>
          <w:p w14:paraId="3DD68AAF" w14:textId="77777777" w:rsidR="002E6FFA" w:rsidRPr="00F72BDE" w:rsidRDefault="002E6FFA" w:rsidP="00B508A6">
            <w:pPr>
              <w:pStyle w:val="DHHStabletext"/>
            </w:pPr>
          </w:p>
          <w:p w14:paraId="6A931E7C" w14:textId="77777777" w:rsidR="002E6FFA" w:rsidRPr="00F72BDE" w:rsidRDefault="002E6FFA" w:rsidP="00B508A6">
            <w:pPr>
              <w:pStyle w:val="DHHStabletext"/>
            </w:pPr>
            <w:r w:rsidRPr="00F72BDE">
              <w:t>Date:</w:t>
            </w:r>
          </w:p>
        </w:tc>
      </w:tr>
      <w:tr w:rsidR="002E6FFA" w:rsidRPr="00F72BDE" w14:paraId="38ADB06A" w14:textId="77777777" w:rsidTr="002E6FFA">
        <w:trPr>
          <w:trHeight w:val="2268"/>
        </w:trPr>
        <w:tc>
          <w:tcPr>
            <w:tcW w:w="3507" w:type="pct"/>
            <w:vAlign w:val="bottom"/>
          </w:tcPr>
          <w:p w14:paraId="4DC42C8F" w14:textId="77777777" w:rsidR="002E6FFA" w:rsidRPr="00F72BDE" w:rsidRDefault="002E6FFA" w:rsidP="00B508A6">
            <w:pPr>
              <w:pStyle w:val="DHHStabletext"/>
            </w:pPr>
            <w:r w:rsidRPr="00F72BDE">
              <w:t>Brigid Sunderland</w:t>
            </w:r>
          </w:p>
          <w:p w14:paraId="79EE389F" w14:textId="77777777" w:rsidR="002E6FFA" w:rsidRPr="00F72BDE" w:rsidRDefault="002E6FFA" w:rsidP="00B508A6">
            <w:pPr>
              <w:pStyle w:val="DHHStabletext"/>
            </w:pPr>
            <w:r w:rsidRPr="00F72BDE">
              <w:t xml:space="preserve">Deputy Secretary </w:t>
            </w:r>
          </w:p>
          <w:p w14:paraId="42FF2153" w14:textId="77777777" w:rsidR="002E6FFA" w:rsidRPr="00F72BDE" w:rsidRDefault="002E6FFA" w:rsidP="00B508A6">
            <w:pPr>
              <w:pStyle w:val="DHHStabletext"/>
            </w:pPr>
            <w:r w:rsidRPr="00F72BDE">
              <w:t xml:space="preserve">Youth Justice </w:t>
            </w:r>
          </w:p>
          <w:p w14:paraId="50AE46D7" w14:textId="77777777" w:rsidR="002E6FFA" w:rsidRPr="00F72BDE" w:rsidRDefault="002E6FFA" w:rsidP="00B508A6">
            <w:pPr>
              <w:pStyle w:val="DHHStabletext"/>
              <w:rPr>
                <w:b/>
              </w:rPr>
            </w:pPr>
            <w:r w:rsidRPr="00F72BDE">
              <w:rPr>
                <w:b/>
              </w:rPr>
              <w:t>Department of Justice and Community Safety</w:t>
            </w:r>
          </w:p>
        </w:tc>
        <w:tc>
          <w:tcPr>
            <w:tcW w:w="1493" w:type="pct"/>
            <w:vAlign w:val="bottom"/>
          </w:tcPr>
          <w:p w14:paraId="48E09034" w14:textId="77777777" w:rsidR="002E6FFA" w:rsidRPr="00F72BDE" w:rsidRDefault="002E6FFA" w:rsidP="00B508A6">
            <w:pPr>
              <w:pStyle w:val="DHHStabletext"/>
            </w:pPr>
            <w:r w:rsidRPr="00F72BDE">
              <w:t>Signed:</w:t>
            </w:r>
          </w:p>
          <w:p w14:paraId="75CC6E27" w14:textId="77777777" w:rsidR="002E6FFA" w:rsidRPr="00F72BDE" w:rsidRDefault="002E6FFA" w:rsidP="00B508A6">
            <w:pPr>
              <w:pStyle w:val="DHHStabletext"/>
            </w:pPr>
          </w:p>
          <w:p w14:paraId="3EAAC754" w14:textId="77777777" w:rsidR="002E6FFA" w:rsidRPr="00F72BDE" w:rsidRDefault="002E6FFA" w:rsidP="00B508A6">
            <w:pPr>
              <w:pStyle w:val="DHHStabletext"/>
            </w:pPr>
            <w:r w:rsidRPr="00F72BDE">
              <w:t>Date:</w:t>
            </w:r>
          </w:p>
        </w:tc>
      </w:tr>
      <w:tr w:rsidR="002E6FFA" w:rsidRPr="00F72BDE" w14:paraId="6EC7C5F3" w14:textId="77777777" w:rsidTr="002E6FFA">
        <w:trPr>
          <w:trHeight w:val="2268"/>
        </w:trPr>
        <w:tc>
          <w:tcPr>
            <w:tcW w:w="3507" w:type="pct"/>
            <w:vAlign w:val="bottom"/>
          </w:tcPr>
          <w:p w14:paraId="7A55B69C" w14:textId="77777777" w:rsidR="002E6FFA" w:rsidRPr="00F72BDE" w:rsidRDefault="002E6FFA" w:rsidP="00B508A6">
            <w:pPr>
              <w:pStyle w:val="DHHStabletext"/>
            </w:pPr>
            <w:r w:rsidRPr="00F72BDE">
              <w:t>Rick Nugent</w:t>
            </w:r>
          </w:p>
          <w:p w14:paraId="454B7249" w14:textId="77777777" w:rsidR="002E6FFA" w:rsidRPr="00F72BDE" w:rsidRDefault="002E6FFA" w:rsidP="00B508A6">
            <w:pPr>
              <w:pStyle w:val="DHHStabletext"/>
            </w:pPr>
            <w:r w:rsidRPr="00F72BDE">
              <w:t>Deputy Commissioner</w:t>
            </w:r>
          </w:p>
          <w:p w14:paraId="7A6C3ED8" w14:textId="77777777" w:rsidR="002E6FFA" w:rsidRPr="00F72BDE" w:rsidRDefault="002E6FFA" w:rsidP="00B508A6">
            <w:pPr>
              <w:pStyle w:val="DHHStabletext"/>
            </w:pPr>
            <w:r w:rsidRPr="00F72BDE">
              <w:t>Capability</w:t>
            </w:r>
          </w:p>
          <w:p w14:paraId="25B3ECFD" w14:textId="77777777" w:rsidR="002E6FFA" w:rsidRPr="00F72BDE" w:rsidRDefault="002E6FFA" w:rsidP="00B508A6">
            <w:pPr>
              <w:pStyle w:val="DHHStabletext"/>
              <w:rPr>
                <w:b/>
              </w:rPr>
            </w:pPr>
            <w:r w:rsidRPr="00F72BDE">
              <w:rPr>
                <w:b/>
              </w:rPr>
              <w:t>Victoria Police</w:t>
            </w:r>
          </w:p>
        </w:tc>
        <w:tc>
          <w:tcPr>
            <w:tcW w:w="1493" w:type="pct"/>
            <w:vAlign w:val="bottom"/>
          </w:tcPr>
          <w:p w14:paraId="02977DF4" w14:textId="77777777" w:rsidR="002E6FFA" w:rsidRPr="00F72BDE" w:rsidRDefault="002E6FFA" w:rsidP="00B508A6">
            <w:pPr>
              <w:pStyle w:val="DHHStabletext"/>
            </w:pPr>
            <w:r w:rsidRPr="00F72BDE">
              <w:t xml:space="preserve">Signed: </w:t>
            </w:r>
          </w:p>
          <w:p w14:paraId="71BEAD3F" w14:textId="77777777" w:rsidR="002E6FFA" w:rsidRPr="00F72BDE" w:rsidRDefault="002E6FFA" w:rsidP="00B508A6">
            <w:pPr>
              <w:pStyle w:val="DHHStabletext"/>
            </w:pPr>
          </w:p>
          <w:p w14:paraId="3B094C7A" w14:textId="77777777" w:rsidR="002E6FFA" w:rsidRPr="00F72BDE" w:rsidRDefault="002E6FFA" w:rsidP="00B508A6">
            <w:pPr>
              <w:pStyle w:val="DHHStabletext"/>
            </w:pPr>
            <w:r w:rsidRPr="00F72BDE">
              <w:t>Date:</w:t>
            </w:r>
          </w:p>
        </w:tc>
      </w:tr>
      <w:tr w:rsidR="002E6FFA" w:rsidRPr="00F72BDE" w14:paraId="076486F4" w14:textId="77777777" w:rsidTr="002E6FFA">
        <w:trPr>
          <w:trHeight w:val="2268"/>
        </w:trPr>
        <w:tc>
          <w:tcPr>
            <w:tcW w:w="3507" w:type="pct"/>
            <w:vAlign w:val="bottom"/>
          </w:tcPr>
          <w:p w14:paraId="0101EF1F" w14:textId="77777777" w:rsidR="002E6FFA" w:rsidRPr="00F72BDE" w:rsidRDefault="002E6FFA" w:rsidP="00B508A6">
            <w:pPr>
              <w:pStyle w:val="DHHStabletext"/>
            </w:pPr>
            <w:r w:rsidRPr="00F72BDE">
              <w:t xml:space="preserve">Deb Tsorbaris </w:t>
            </w:r>
          </w:p>
          <w:p w14:paraId="423F24D8" w14:textId="77777777" w:rsidR="002E6FFA" w:rsidRPr="00F72BDE" w:rsidRDefault="002E6FFA" w:rsidP="00B508A6">
            <w:pPr>
              <w:pStyle w:val="DHHStabletext"/>
            </w:pPr>
            <w:r w:rsidRPr="00F72BDE">
              <w:t>Chief Executive Officer</w:t>
            </w:r>
          </w:p>
          <w:p w14:paraId="0B754F3C" w14:textId="77777777" w:rsidR="002E6FFA" w:rsidRPr="00F72BDE" w:rsidRDefault="002E6FFA" w:rsidP="00B508A6">
            <w:pPr>
              <w:pStyle w:val="DHHStabletext"/>
              <w:rPr>
                <w:b/>
              </w:rPr>
            </w:pPr>
            <w:r w:rsidRPr="00F72BDE">
              <w:rPr>
                <w:b/>
              </w:rPr>
              <w:t>Centre for Excellence in Child and Family Welfare</w:t>
            </w:r>
            <w:r>
              <w:rPr>
                <w:b/>
              </w:rPr>
              <w:t xml:space="preserve"> </w:t>
            </w:r>
          </w:p>
        </w:tc>
        <w:tc>
          <w:tcPr>
            <w:tcW w:w="1493" w:type="pct"/>
            <w:vAlign w:val="bottom"/>
          </w:tcPr>
          <w:p w14:paraId="2E6D6ACB" w14:textId="77777777" w:rsidR="002E6FFA" w:rsidRPr="00F72BDE" w:rsidRDefault="002E6FFA" w:rsidP="00B508A6">
            <w:pPr>
              <w:pStyle w:val="DHHStabletext"/>
            </w:pPr>
            <w:r w:rsidRPr="00F72BDE">
              <w:t xml:space="preserve">Signed: </w:t>
            </w:r>
          </w:p>
          <w:p w14:paraId="34E7F253" w14:textId="77777777" w:rsidR="002E6FFA" w:rsidRPr="00F72BDE" w:rsidRDefault="002E6FFA" w:rsidP="00B508A6">
            <w:pPr>
              <w:pStyle w:val="DHHStabletext"/>
            </w:pPr>
          </w:p>
          <w:p w14:paraId="4148229C" w14:textId="77777777" w:rsidR="002E6FFA" w:rsidRPr="00F72BDE" w:rsidRDefault="002E6FFA" w:rsidP="00B508A6">
            <w:pPr>
              <w:pStyle w:val="DHHStabletext"/>
            </w:pPr>
            <w:r w:rsidRPr="00F72BDE">
              <w:t>Date:</w:t>
            </w:r>
          </w:p>
        </w:tc>
      </w:tr>
      <w:tr w:rsidR="002E6FFA" w:rsidRPr="00F72BDE" w14:paraId="36773968" w14:textId="77777777" w:rsidTr="002E6FFA">
        <w:trPr>
          <w:trHeight w:val="2268"/>
        </w:trPr>
        <w:tc>
          <w:tcPr>
            <w:tcW w:w="3507" w:type="pct"/>
            <w:vAlign w:val="bottom"/>
          </w:tcPr>
          <w:p w14:paraId="3699EEAC" w14:textId="77777777" w:rsidR="002E6FFA" w:rsidRPr="00F72BDE" w:rsidRDefault="002E6FFA" w:rsidP="00B508A6">
            <w:pPr>
              <w:pStyle w:val="DHHStabletext"/>
            </w:pPr>
            <w:r w:rsidRPr="00F72BDE">
              <w:t xml:space="preserve">Muriel </w:t>
            </w:r>
            <w:proofErr w:type="spellStart"/>
            <w:r w:rsidRPr="00F72BDE">
              <w:t>Bamblett</w:t>
            </w:r>
            <w:proofErr w:type="spellEnd"/>
          </w:p>
          <w:p w14:paraId="4A660085" w14:textId="77777777" w:rsidR="002E6FFA" w:rsidRPr="00F72BDE" w:rsidRDefault="002E6FFA" w:rsidP="00B508A6">
            <w:pPr>
              <w:pStyle w:val="DHHStabletext"/>
            </w:pPr>
            <w:r w:rsidRPr="00F72BDE">
              <w:t>Chief Executive Officer</w:t>
            </w:r>
          </w:p>
          <w:p w14:paraId="462EC575" w14:textId="77777777" w:rsidR="002E6FFA" w:rsidRPr="00F72BDE" w:rsidRDefault="002E6FFA" w:rsidP="00B508A6">
            <w:pPr>
              <w:pStyle w:val="DHHStabletext"/>
              <w:rPr>
                <w:b/>
              </w:rPr>
            </w:pPr>
            <w:r w:rsidRPr="00F72BDE">
              <w:rPr>
                <w:b/>
              </w:rPr>
              <w:t>Victorian Aboriginal Child Care Agency</w:t>
            </w:r>
          </w:p>
        </w:tc>
        <w:tc>
          <w:tcPr>
            <w:tcW w:w="1493" w:type="pct"/>
            <w:vAlign w:val="bottom"/>
          </w:tcPr>
          <w:p w14:paraId="0B59FCDD" w14:textId="77777777" w:rsidR="002E6FFA" w:rsidRPr="00F72BDE" w:rsidRDefault="002E6FFA" w:rsidP="00B508A6">
            <w:pPr>
              <w:pStyle w:val="DHHStabletext"/>
            </w:pPr>
            <w:r w:rsidRPr="00F72BDE">
              <w:t xml:space="preserve">Signed: </w:t>
            </w:r>
          </w:p>
          <w:p w14:paraId="16465838" w14:textId="77777777" w:rsidR="002E6FFA" w:rsidRPr="00F72BDE" w:rsidRDefault="002E6FFA" w:rsidP="00B508A6">
            <w:pPr>
              <w:pStyle w:val="DHHStabletext"/>
            </w:pPr>
          </w:p>
          <w:p w14:paraId="296F8612" w14:textId="77777777" w:rsidR="002E6FFA" w:rsidRPr="00F72BDE" w:rsidRDefault="002E6FFA" w:rsidP="00B508A6">
            <w:pPr>
              <w:pStyle w:val="DHHStabletext"/>
            </w:pPr>
            <w:r w:rsidRPr="00F72BDE">
              <w:t>Date:</w:t>
            </w:r>
          </w:p>
        </w:tc>
      </w:tr>
    </w:tbl>
    <w:p w14:paraId="16E20E98" w14:textId="77777777" w:rsidR="002E6FFA" w:rsidRPr="002E6FFA" w:rsidRDefault="002E6FFA" w:rsidP="002E6FFA">
      <w:pPr>
        <w:pStyle w:val="DHHSbody"/>
      </w:pPr>
    </w:p>
    <w:p w14:paraId="79569F74" w14:textId="77777777" w:rsidR="002E6FFA" w:rsidRPr="00F72BDE" w:rsidRDefault="002E6FFA" w:rsidP="002E6FFA">
      <w:pPr>
        <w:pStyle w:val="Heading1"/>
      </w:pPr>
      <w:bookmarkStart w:id="3" w:name="_Toc31442874"/>
      <w:r w:rsidRPr="002E6FFA">
        <w:lastRenderedPageBreak/>
        <w:t>Acknowledgements</w:t>
      </w:r>
      <w:bookmarkEnd w:id="3"/>
    </w:p>
    <w:p w14:paraId="0B3014DD" w14:textId="77777777" w:rsidR="002E6FFA" w:rsidRPr="002E6FFA" w:rsidRDefault="002E6FFA" w:rsidP="002E6FFA">
      <w:pPr>
        <w:pStyle w:val="DHHSbody"/>
      </w:pPr>
      <w:r w:rsidRPr="002E6FFA">
        <w:t>The signatories acknowledge the support of the following agencies in developing this framework:</w:t>
      </w:r>
    </w:p>
    <w:p w14:paraId="4E9D0F2B" w14:textId="77777777" w:rsidR="002E6FFA" w:rsidRPr="00F72BDE" w:rsidRDefault="002E6FFA" w:rsidP="002E6FFA">
      <w:pPr>
        <w:pStyle w:val="DHHSbullet1"/>
      </w:pPr>
      <w:r w:rsidRPr="00F72BDE">
        <w:t xml:space="preserve">CREATE </w:t>
      </w:r>
      <w:r>
        <w:t>F</w:t>
      </w:r>
      <w:r w:rsidRPr="00F72BDE">
        <w:t>oundation, including CREATE Youth Consultants</w:t>
      </w:r>
    </w:p>
    <w:p w14:paraId="7A5BB6E4" w14:textId="77777777" w:rsidR="002E6FFA" w:rsidRPr="00F72BDE" w:rsidRDefault="002E6FFA" w:rsidP="002E6FFA">
      <w:pPr>
        <w:pStyle w:val="DHHSbullet1"/>
      </w:pPr>
      <w:r w:rsidRPr="00F72BDE">
        <w:t>Berry Street Victoria</w:t>
      </w:r>
    </w:p>
    <w:p w14:paraId="2B84339A" w14:textId="2BE7D17F" w:rsidR="002E6FFA" w:rsidRPr="00F72BDE" w:rsidRDefault="002E6FFA" w:rsidP="002E6FFA">
      <w:pPr>
        <w:pStyle w:val="DHHSbullet1"/>
      </w:pPr>
      <w:r w:rsidRPr="00F72BDE">
        <w:t>Mac</w:t>
      </w:r>
      <w:r w:rsidR="000156D1">
        <w:t>K</w:t>
      </w:r>
      <w:r w:rsidRPr="00F72BDE">
        <w:t>illop Family Services</w:t>
      </w:r>
    </w:p>
    <w:p w14:paraId="09BC6EA5" w14:textId="77777777" w:rsidR="002E6FFA" w:rsidRPr="00F72BDE" w:rsidRDefault="002E6FFA" w:rsidP="002E6FFA">
      <w:pPr>
        <w:pStyle w:val="DHHSbullet1"/>
      </w:pPr>
      <w:r w:rsidRPr="00F72BDE">
        <w:t>Commission for Children and Young People</w:t>
      </w:r>
    </w:p>
    <w:p w14:paraId="1CED5F4C" w14:textId="77777777" w:rsidR="002E6FFA" w:rsidRPr="00F72BDE" w:rsidRDefault="002E6FFA" w:rsidP="002E6FFA">
      <w:pPr>
        <w:pStyle w:val="DHHSbullet1"/>
      </w:pPr>
      <w:r w:rsidRPr="00F72BDE">
        <w:t>Victoria Legal Aid</w:t>
      </w:r>
    </w:p>
    <w:p w14:paraId="596DB8A8" w14:textId="77777777" w:rsidR="002E6FFA" w:rsidRPr="00F72BDE" w:rsidRDefault="002E6FFA" w:rsidP="002E6FFA">
      <w:pPr>
        <w:pStyle w:val="DHHSbullet1"/>
      </w:pPr>
      <w:r w:rsidRPr="00F72BDE">
        <w:t>Victorian Aboriginal Legal Services</w:t>
      </w:r>
    </w:p>
    <w:p w14:paraId="6151DAE6" w14:textId="77777777" w:rsidR="002E6FFA" w:rsidRPr="00F72BDE" w:rsidRDefault="002E6FFA" w:rsidP="002E6FFA">
      <w:pPr>
        <w:pStyle w:val="DHHSbullet1"/>
      </w:pPr>
      <w:r w:rsidRPr="00F72BDE">
        <w:t>Victorian Aboriginal Children and Young People’s Alliance</w:t>
      </w:r>
      <w:r>
        <w:t>.</w:t>
      </w:r>
    </w:p>
    <w:p w14:paraId="1C47898A" w14:textId="77777777" w:rsidR="002E6FFA" w:rsidRPr="00F72BDE" w:rsidRDefault="002E6FFA" w:rsidP="002E6FFA">
      <w:pPr>
        <w:pStyle w:val="Heading1"/>
      </w:pPr>
      <w:bookmarkStart w:id="4" w:name="_Toc31442875"/>
      <w:r w:rsidRPr="002E6FFA">
        <w:t>Explanatory</w:t>
      </w:r>
      <w:r w:rsidRPr="00F72BDE">
        <w:t xml:space="preserve"> notes</w:t>
      </w:r>
      <w:bookmarkEnd w:id="4"/>
    </w:p>
    <w:p w14:paraId="7F7440C1" w14:textId="77777777" w:rsidR="002E6FFA" w:rsidRPr="00257EEA" w:rsidRDefault="002E6FFA" w:rsidP="00257EEA">
      <w:pPr>
        <w:pStyle w:val="Heading2"/>
        <w:rPr>
          <w:rStyle w:val="Strong"/>
          <w:b/>
          <w:bCs w:val="0"/>
        </w:rPr>
      </w:pPr>
      <w:r w:rsidRPr="00257EEA">
        <w:rPr>
          <w:rStyle w:val="Strong"/>
          <w:b/>
          <w:bCs w:val="0"/>
        </w:rPr>
        <w:t>Behaviours of concern</w:t>
      </w:r>
    </w:p>
    <w:p w14:paraId="29E53336" w14:textId="77777777" w:rsidR="002E6FFA" w:rsidRPr="002E6FFA" w:rsidRDefault="002E6FFA" w:rsidP="002E6FFA">
      <w:pPr>
        <w:pStyle w:val="DHHSbody"/>
      </w:pPr>
      <w:r w:rsidRPr="002E6FFA">
        <w:t xml:space="preserve">For the purposes of the framework, complex, challenging or offending behaviours will be referred to as ‘behaviours of concern’. </w:t>
      </w:r>
    </w:p>
    <w:p w14:paraId="58EA6546" w14:textId="77777777" w:rsidR="002E6FFA" w:rsidRPr="002E6FFA" w:rsidRDefault="002E6FFA" w:rsidP="002E6FFA">
      <w:pPr>
        <w:pStyle w:val="DHHSbody"/>
      </w:pPr>
      <w:r w:rsidRPr="002E6FFA">
        <w:t>A behaviour of concern is behaviour of such an intensity, frequency or duration as to threaten the quality of life and/or the physical safety of the individual or others and is likely to lead to responses that are restrictive, aversive or result in exclusion.</w:t>
      </w:r>
      <w:r w:rsidRPr="00E97405">
        <w:rPr>
          <w:rStyle w:val="FootnoteReference"/>
        </w:rPr>
        <w:footnoteReference w:id="1"/>
      </w:r>
    </w:p>
    <w:p w14:paraId="333C1349" w14:textId="3D88C97C" w:rsidR="002E6FFA" w:rsidRPr="002E6FFA" w:rsidRDefault="002E6FFA" w:rsidP="002E6FFA">
      <w:pPr>
        <w:pStyle w:val="DHHSbody"/>
      </w:pPr>
      <w:r w:rsidRPr="002E6FFA">
        <w:t>These behaviours often arise from adverse or traumatic childhood experiences. It is important that these behaviours do not come to define young people in residential care. To counteract this, it is vital that a positive approach to address behaviours of concern is trauma-informed, proactive and promotes skill development, positive connections with carers and significant others and healing for the child or young person in care.</w:t>
      </w:r>
    </w:p>
    <w:p w14:paraId="22BC9DBB" w14:textId="77777777" w:rsidR="002E6FFA" w:rsidRPr="00257EEA" w:rsidRDefault="002E6FFA" w:rsidP="00257EEA">
      <w:pPr>
        <w:pStyle w:val="Heading2"/>
        <w:rPr>
          <w:rStyle w:val="Strong"/>
          <w:b/>
          <w:bCs w:val="0"/>
        </w:rPr>
      </w:pPr>
      <w:r w:rsidRPr="00257EEA">
        <w:rPr>
          <w:rStyle w:val="Strong"/>
          <w:b/>
          <w:bCs w:val="0"/>
        </w:rPr>
        <w:t>Young people</w:t>
      </w:r>
    </w:p>
    <w:p w14:paraId="38FBC9FA" w14:textId="77777777" w:rsidR="002E6FFA" w:rsidRPr="002E6FFA" w:rsidRDefault="002E6FFA" w:rsidP="002E6FFA">
      <w:pPr>
        <w:pStyle w:val="DHHSbody"/>
      </w:pPr>
      <w:r w:rsidRPr="002E6FFA">
        <w:t xml:space="preserve">For the purposes of the framework, children and young people in residential care will be referred to as ‘young people’. </w:t>
      </w:r>
    </w:p>
    <w:p w14:paraId="2E805AC1" w14:textId="77777777" w:rsidR="002E6FFA" w:rsidRPr="002E6FFA" w:rsidRDefault="002E6FFA" w:rsidP="002E6FFA">
      <w:pPr>
        <w:pStyle w:val="DHHSbody"/>
      </w:pPr>
      <w:r w:rsidRPr="002E6FFA">
        <w:t xml:space="preserve">Residential care provides temporary, short-term and long-term care and support to children and young people who have been removed from their family and are unable to be cared for in a home-based care setting. </w:t>
      </w:r>
    </w:p>
    <w:p w14:paraId="0D267D47" w14:textId="77777777" w:rsidR="002E6FFA" w:rsidRPr="00257EEA" w:rsidRDefault="002E6FFA" w:rsidP="00257EEA">
      <w:pPr>
        <w:pStyle w:val="Heading2"/>
        <w:rPr>
          <w:rStyle w:val="Strong"/>
          <w:b/>
          <w:bCs w:val="0"/>
        </w:rPr>
      </w:pPr>
      <w:r w:rsidRPr="00257EEA">
        <w:rPr>
          <w:rStyle w:val="Strong"/>
          <w:b/>
          <w:bCs w:val="0"/>
        </w:rPr>
        <w:t>Aboriginal young people</w:t>
      </w:r>
    </w:p>
    <w:p w14:paraId="18A0B422" w14:textId="77777777" w:rsidR="002E6FFA" w:rsidRPr="002E6FFA" w:rsidRDefault="002E6FFA" w:rsidP="002E6FFA">
      <w:pPr>
        <w:pStyle w:val="DHHSbody"/>
      </w:pPr>
      <w:r w:rsidRPr="002E6FFA">
        <w:t>For the purposes of the framework, Aboriginal and Torres Strait children and young people in residential care will be referred to as ‘Aboriginal young people’.</w:t>
      </w:r>
    </w:p>
    <w:p w14:paraId="682B3DB0" w14:textId="77777777" w:rsidR="002E6FFA" w:rsidRPr="00257EEA" w:rsidRDefault="002E6FFA" w:rsidP="00257EEA">
      <w:pPr>
        <w:pStyle w:val="Heading2"/>
        <w:rPr>
          <w:rStyle w:val="Strong"/>
          <w:b/>
          <w:bCs w:val="0"/>
        </w:rPr>
      </w:pPr>
      <w:r w:rsidRPr="00257EEA">
        <w:rPr>
          <w:rStyle w:val="Strong"/>
          <w:b/>
          <w:bCs w:val="0"/>
        </w:rPr>
        <w:t>Criminalisation</w:t>
      </w:r>
    </w:p>
    <w:p w14:paraId="5DEA71C3" w14:textId="77777777" w:rsidR="002E6FFA" w:rsidRDefault="002E6FFA" w:rsidP="002E6FFA">
      <w:pPr>
        <w:pStyle w:val="DHHSbody"/>
      </w:pPr>
      <w:r w:rsidRPr="00F72BDE">
        <w:t>Criminalisation is the process by which behaviours and individuals are transformed into crime and criminals</w:t>
      </w:r>
      <w:r>
        <w:t>.</w:t>
      </w:r>
    </w:p>
    <w:p w14:paraId="061B241A" w14:textId="77777777" w:rsidR="002E6FFA" w:rsidRDefault="002E6FFA" w:rsidP="00B93B5B">
      <w:pPr>
        <w:pStyle w:val="DHHSbody"/>
        <w:rPr>
          <w:color w:val="53565A"/>
          <w:sz w:val="28"/>
          <w:szCs w:val="28"/>
        </w:rPr>
      </w:pPr>
      <w:r>
        <w:br w:type="page"/>
      </w:r>
    </w:p>
    <w:p w14:paraId="5A44C040" w14:textId="77777777" w:rsidR="002E6FFA" w:rsidRPr="00F72BDE" w:rsidRDefault="002E6FFA" w:rsidP="002E6FFA">
      <w:pPr>
        <w:pStyle w:val="Heading1"/>
      </w:pPr>
      <w:bookmarkStart w:id="5" w:name="_Toc31442876"/>
      <w:r w:rsidRPr="00F72BDE">
        <w:lastRenderedPageBreak/>
        <w:t>The case for change</w:t>
      </w:r>
      <w:bookmarkEnd w:id="5"/>
    </w:p>
    <w:p w14:paraId="1A904A0B" w14:textId="43A67888" w:rsidR="002E6FFA" w:rsidRPr="002E6FFA" w:rsidRDefault="002E6FFA" w:rsidP="002E6FFA">
      <w:pPr>
        <w:pStyle w:val="DHHSbody"/>
      </w:pPr>
      <w:bookmarkStart w:id="6" w:name="_Toc14867882"/>
      <w:bookmarkStart w:id="7" w:name="_Toc15311678"/>
      <w:bookmarkStart w:id="8" w:name="_Toc15311882"/>
      <w:r w:rsidRPr="002E6FFA">
        <w:t xml:space="preserve">For a variety of reasons, young people in residential care are at increased risk of being criminalised and </w:t>
      </w:r>
      <w:proofErr w:type="gramStart"/>
      <w:r w:rsidRPr="002E6FFA">
        <w:t>coming into contact with</w:t>
      </w:r>
      <w:proofErr w:type="gramEnd"/>
      <w:r w:rsidRPr="002E6FFA">
        <w:t xml:space="preserve"> police and the criminal justice system. The following reports outline the link between childhood maltreatment/trauma, subsequent manifestation of behaviours, and the criminalisation and over-representation of young people within the criminal justice system.</w:t>
      </w:r>
    </w:p>
    <w:p w14:paraId="2C7545F7" w14:textId="278B439B" w:rsidR="002E6FFA" w:rsidRPr="00257EEA" w:rsidRDefault="002E6FFA" w:rsidP="00257EEA">
      <w:pPr>
        <w:pStyle w:val="Heading2"/>
        <w:rPr>
          <w:rStyle w:val="IntenseReference"/>
          <w:b/>
          <w:bCs w:val="0"/>
          <w:smallCaps w:val="0"/>
          <w:color w:val="53565A"/>
          <w:spacing w:val="0"/>
        </w:rPr>
      </w:pPr>
      <w:r w:rsidRPr="00257EEA">
        <w:rPr>
          <w:rStyle w:val="IntenseReference"/>
          <w:b/>
          <w:bCs w:val="0"/>
          <w:smallCaps w:val="0"/>
          <w:color w:val="53565A"/>
          <w:spacing w:val="0"/>
        </w:rPr>
        <w:t>Care not custody</w:t>
      </w:r>
      <w:r w:rsidR="002B4CF8" w:rsidRPr="00257EEA">
        <w:rPr>
          <w:rStyle w:val="IntenseReference"/>
          <w:b/>
          <w:bCs w:val="0"/>
          <w:smallCaps w:val="0"/>
          <w:color w:val="53565A"/>
          <w:spacing w:val="0"/>
        </w:rPr>
        <w:t>:</w:t>
      </w:r>
      <w:r w:rsidRPr="00257EEA">
        <w:rPr>
          <w:rStyle w:val="IntenseReference"/>
          <w:b/>
          <w:bCs w:val="0"/>
          <w:smallCaps w:val="0"/>
          <w:color w:val="53565A"/>
          <w:spacing w:val="0"/>
        </w:rPr>
        <w:t xml:space="preserve"> </w:t>
      </w:r>
      <w:r w:rsidR="00D20628" w:rsidRPr="00257EEA">
        <w:rPr>
          <w:rStyle w:val="IntenseReference"/>
          <w:b/>
          <w:bCs w:val="0"/>
          <w:smallCaps w:val="0"/>
          <w:color w:val="53565A"/>
          <w:spacing w:val="0"/>
        </w:rPr>
        <w:t>a</w:t>
      </w:r>
      <w:r w:rsidRPr="00257EEA">
        <w:rPr>
          <w:rStyle w:val="IntenseReference"/>
          <w:b/>
          <w:bCs w:val="0"/>
          <w:smallCaps w:val="0"/>
          <w:color w:val="53565A"/>
          <w:spacing w:val="0"/>
        </w:rPr>
        <w:t xml:space="preserve"> new approach to keep kids in residential care out of the criminal justice system (Victoria Legal Aid)</w:t>
      </w:r>
    </w:p>
    <w:p w14:paraId="2A09D086" w14:textId="262D8464" w:rsidR="002E6FFA" w:rsidRPr="002E6FFA" w:rsidRDefault="002E6FFA" w:rsidP="002E6FFA">
      <w:pPr>
        <w:pStyle w:val="DHHSbody"/>
      </w:pPr>
      <w:r w:rsidRPr="002E6FFA">
        <w:t xml:space="preserve">Victoria Legal Aid’s </w:t>
      </w:r>
      <w:r w:rsidRPr="002E6FFA">
        <w:rPr>
          <w:i/>
        </w:rPr>
        <w:t>Care not custody</w:t>
      </w:r>
      <w:r w:rsidR="002B4CF8">
        <w:rPr>
          <w:i/>
        </w:rPr>
        <w:t>:</w:t>
      </w:r>
      <w:r w:rsidRPr="002E6FFA">
        <w:t xml:space="preserve"> </w:t>
      </w:r>
      <w:r w:rsidR="00D20628" w:rsidRPr="00E97405">
        <w:rPr>
          <w:i/>
          <w:iCs/>
        </w:rPr>
        <w:t>a</w:t>
      </w:r>
      <w:r w:rsidRPr="00E97405">
        <w:rPr>
          <w:i/>
          <w:iCs/>
        </w:rPr>
        <w:t xml:space="preserve"> new approach to keep kids in residential care out of the criminal justice system</w:t>
      </w:r>
      <w:r w:rsidRPr="002E6FFA">
        <w:t xml:space="preserve"> report highlights the need for targeted action, recommending an interagency approach to reduce criminalisation of young people living in care. </w:t>
      </w:r>
    </w:p>
    <w:p w14:paraId="55917C92" w14:textId="5383C7AD" w:rsidR="002E6FFA" w:rsidRPr="002E6FFA" w:rsidRDefault="002E6FFA" w:rsidP="002E6FFA">
      <w:pPr>
        <w:pStyle w:val="DHHSbody"/>
      </w:pPr>
      <w:r w:rsidRPr="002E6FFA">
        <w:t xml:space="preserve">The </w:t>
      </w:r>
      <w:r w:rsidRPr="002E6FFA">
        <w:rPr>
          <w:i/>
        </w:rPr>
        <w:t>Care not custody</w:t>
      </w:r>
      <w:r w:rsidRPr="002E6FFA">
        <w:t xml:space="preserve"> report identified that with the current reform agenda across residential care, there is an opportunity for a whole-of-government, proactive policy response to address this problem. Such a response would provide a shared understanding of how best to respond to behaviours of concern and distinguish behaviours that are disruptive or confrontational and can be reasonably dealt with by residential care staff from those that present a risk to either staff or young people and require a Victoria Police intervention. To be effective</w:t>
      </w:r>
      <w:r w:rsidR="000B3BA0">
        <w:t>,</w:t>
      </w:r>
      <w:r w:rsidRPr="002E6FFA">
        <w:t xml:space="preserve"> the overarching policy and practice approach must recognise the nexus between adverse childhood experiences and challenging behaviour among adolescents and young adults. </w:t>
      </w:r>
    </w:p>
    <w:p w14:paraId="4964C95A" w14:textId="019014FD" w:rsidR="002E6FFA" w:rsidRPr="002E6FFA" w:rsidRDefault="002E6FFA" w:rsidP="00257EEA">
      <w:pPr>
        <w:pStyle w:val="Heading2"/>
        <w:rPr>
          <w:rStyle w:val="IntenseReference"/>
          <w:b/>
          <w:bCs w:val="0"/>
          <w:smallCaps w:val="0"/>
          <w:color w:val="53565A"/>
          <w:spacing w:val="0"/>
        </w:rPr>
      </w:pPr>
      <w:r w:rsidRPr="002E6FFA">
        <w:rPr>
          <w:rStyle w:val="IntenseReference"/>
          <w:b/>
          <w:bCs w:val="0"/>
          <w:smallCaps w:val="0"/>
          <w:color w:val="53565A"/>
          <w:spacing w:val="0"/>
        </w:rPr>
        <w:t xml:space="preserve">Youth justice report: Consultation with young people in out-of-home care about their </w:t>
      </w:r>
      <w:r w:rsidRPr="00257EEA">
        <w:rPr>
          <w:rStyle w:val="IntenseReference"/>
          <w:b/>
          <w:bCs w:val="0"/>
          <w:smallCaps w:val="0"/>
          <w:color w:val="53565A"/>
          <w:spacing w:val="0"/>
        </w:rPr>
        <w:t>experiences</w:t>
      </w:r>
      <w:r w:rsidRPr="002E6FFA">
        <w:rPr>
          <w:rStyle w:val="IntenseReference"/>
          <w:b/>
          <w:bCs w:val="0"/>
          <w:smallCaps w:val="0"/>
          <w:color w:val="53565A"/>
          <w:spacing w:val="0"/>
        </w:rPr>
        <w:t xml:space="preserve"> with police, courts and detention (CREATE Foundation)</w:t>
      </w:r>
    </w:p>
    <w:p w14:paraId="3A8D5325" w14:textId="77777777" w:rsidR="002E6FFA" w:rsidRPr="002E6FFA" w:rsidRDefault="002E6FFA" w:rsidP="002E6FFA">
      <w:pPr>
        <w:pStyle w:val="DHHSbody"/>
      </w:pPr>
      <w:r w:rsidRPr="002E6FFA">
        <w:t xml:space="preserve">As reported in the CREATE Foundation’s </w:t>
      </w:r>
      <w:r w:rsidRPr="002E6FFA">
        <w:rPr>
          <w:i/>
        </w:rPr>
        <w:t>Youth justice report</w:t>
      </w:r>
      <w:r w:rsidRPr="002E6FFA">
        <w:t>, young people placed in care services are 19 times more likely to have contact with the criminal justice system. It was reported that young people had contact with police and courts for many reasons, including as victims of crime, for offending behaviour and being reported as a missing person.</w:t>
      </w:r>
    </w:p>
    <w:p w14:paraId="5ABB76ED" w14:textId="0F81D8EC" w:rsidR="002E6FFA" w:rsidRPr="002E6FFA" w:rsidRDefault="002E6FFA" w:rsidP="002E6FFA">
      <w:pPr>
        <w:pStyle w:val="DHHSbody"/>
      </w:pPr>
      <w:r w:rsidRPr="002E6FFA">
        <w:t xml:space="preserve">The </w:t>
      </w:r>
      <w:r w:rsidRPr="002E6FFA">
        <w:rPr>
          <w:i/>
        </w:rPr>
        <w:t>Youth justice report</w:t>
      </w:r>
      <w:r w:rsidRPr="002E6FFA">
        <w:t xml:space="preserve"> advocated for services to increase their understanding of how experiences of trauma can influence behaviour and the importance of a trauma-informed (rather than punitive) response to behaviour. </w:t>
      </w:r>
    </w:p>
    <w:p w14:paraId="64CE3CAF" w14:textId="50FCE876" w:rsidR="002E6FFA" w:rsidRPr="002E6FFA" w:rsidRDefault="002E6FFA" w:rsidP="00257EEA">
      <w:pPr>
        <w:pStyle w:val="Heading2"/>
      </w:pPr>
      <w:r w:rsidRPr="002E6FFA">
        <w:t xml:space="preserve">Youth Justice </w:t>
      </w:r>
      <w:r w:rsidR="00CD6381">
        <w:t>r</w:t>
      </w:r>
      <w:r w:rsidRPr="002E6FFA">
        <w:t xml:space="preserve">eview </w:t>
      </w:r>
      <w:r w:rsidRPr="00257EEA">
        <w:t>and</w:t>
      </w:r>
      <w:r w:rsidRPr="002E6FFA">
        <w:t xml:space="preserve"> </w:t>
      </w:r>
      <w:r w:rsidR="00CD6381">
        <w:t>s</w:t>
      </w:r>
      <w:r w:rsidRPr="002E6FFA">
        <w:t>trategy: Meeting needs and reducing offending (Department of Justice and Community Safety)</w:t>
      </w:r>
    </w:p>
    <w:p w14:paraId="56FAF691" w14:textId="63259314" w:rsidR="002E6FFA" w:rsidRPr="00F72BDE" w:rsidRDefault="002E6FFA" w:rsidP="002E6FFA">
      <w:pPr>
        <w:pStyle w:val="DHHSbody"/>
      </w:pPr>
      <w:r w:rsidRPr="00F72BDE">
        <w:t xml:space="preserve">In August 2017 the Department of Justice and Community Safety released the </w:t>
      </w:r>
      <w:r w:rsidRPr="00F72BDE">
        <w:rPr>
          <w:i/>
        </w:rPr>
        <w:t xml:space="preserve">Youth Justice </w:t>
      </w:r>
      <w:r w:rsidR="00CD6381">
        <w:rPr>
          <w:i/>
        </w:rPr>
        <w:t>r</w:t>
      </w:r>
      <w:r w:rsidRPr="00F72BDE">
        <w:rPr>
          <w:i/>
        </w:rPr>
        <w:t xml:space="preserve">eview and </w:t>
      </w:r>
      <w:r w:rsidR="00CD6381">
        <w:rPr>
          <w:i/>
        </w:rPr>
        <w:t>s</w:t>
      </w:r>
      <w:r w:rsidRPr="00F72BDE">
        <w:rPr>
          <w:i/>
        </w:rPr>
        <w:t>trategy: Meeting needs and reducing offending</w:t>
      </w:r>
      <w:r w:rsidRPr="00F72BDE">
        <w:t xml:space="preserve"> report</w:t>
      </w:r>
      <w:r>
        <w:t>,</w:t>
      </w:r>
      <w:r w:rsidRPr="00F72BDE">
        <w:t xml:space="preserve"> which provides an independent review of youth justice services and programs to inform an evidence-based response to youth offending and youth crime. </w:t>
      </w:r>
    </w:p>
    <w:p w14:paraId="74D1EF37" w14:textId="2C903FED" w:rsidR="002E6FFA" w:rsidRPr="00F72BDE" w:rsidRDefault="002E6FFA" w:rsidP="002E6FFA">
      <w:pPr>
        <w:pStyle w:val="DHHSbody"/>
      </w:pPr>
      <w:r w:rsidRPr="00F72BDE">
        <w:t>Recommendation 7.5 of the report recommended action to address the specific challenges presented by young people in care services who are offending, including decriminalising behaviour</w:t>
      </w:r>
      <w:r>
        <w:t>s</w:t>
      </w:r>
      <w:r w:rsidRPr="00F72BDE">
        <w:t xml:space="preserve"> of </w:t>
      </w:r>
      <w:r>
        <w:t xml:space="preserve">concern </w:t>
      </w:r>
      <w:r w:rsidR="004D720B">
        <w:t>among</w:t>
      </w:r>
      <w:r>
        <w:t xml:space="preserve"> young people</w:t>
      </w:r>
      <w:r w:rsidRPr="00F72BDE">
        <w:t xml:space="preserve"> in care</w:t>
      </w:r>
      <w:r>
        <w:t xml:space="preserve"> services</w:t>
      </w:r>
      <w:r w:rsidRPr="00F72BDE">
        <w:t>, and design</w:t>
      </w:r>
      <w:r>
        <w:t>ing</w:t>
      </w:r>
      <w:r w:rsidRPr="00F72BDE">
        <w:t xml:space="preserve"> an early intervention approach with stakeholders including police, the Commission for Children and Young People and service providers.</w:t>
      </w:r>
    </w:p>
    <w:p w14:paraId="34D30951" w14:textId="34F13972" w:rsidR="002E6FFA" w:rsidRPr="002E6FFA" w:rsidRDefault="002E6FFA" w:rsidP="002E6FFA">
      <w:pPr>
        <w:pStyle w:val="Heading2"/>
      </w:pPr>
      <w:r w:rsidRPr="002E6FFA">
        <w:t>‘Crossover kids’: Vulnerable children in the youth justice system (Sentencing Advisory Council – Victoria)</w:t>
      </w:r>
    </w:p>
    <w:p w14:paraId="1F19377A" w14:textId="253595CB" w:rsidR="002E6FFA" w:rsidRPr="00F72BDE" w:rsidRDefault="002E6FFA" w:rsidP="002E6FFA">
      <w:pPr>
        <w:pStyle w:val="DHHSbody"/>
      </w:pPr>
      <w:r w:rsidRPr="00F72BDE">
        <w:t>As described in the Sentencing Advisory Council</w:t>
      </w:r>
      <w:r>
        <w:t>’s</w:t>
      </w:r>
      <w:r w:rsidRPr="00F72BDE">
        <w:t xml:space="preserve"> report ‘</w:t>
      </w:r>
      <w:r w:rsidRPr="00F72BDE">
        <w:rPr>
          <w:i/>
        </w:rPr>
        <w:t xml:space="preserve">Crossover </w:t>
      </w:r>
      <w:r>
        <w:rPr>
          <w:i/>
        </w:rPr>
        <w:t>k</w:t>
      </w:r>
      <w:r w:rsidRPr="00F72BDE">
        <w:rPr>
          <w:i/>
        </w:rPr>
        <w:t xml:space="preserve">ids’: </w:t>
      </w:r>
      <w:r w:rsidR="004D720B">
        <w:rPr>
          <w:i/>
        </w:rPr>
        <w:t>V</w:t>
      </w:r>
      <w:r w:rsidRPr="00F72BDE">
        <w:rPr>
          <w:i/>
        </w:rPr>
        <w:t xml:space="preserve">ulnerable </w:t>
      </w:r>
      <w:r>
        <w:rPr>
          <w:i/>
        </w:rPr>
        <w:t>c</w:t>
      </w:r>
      <w:r w:rsidRPr="00F72BDE">
        <w:rPr>
          <w:i/>
        </w:rPr>
        <w:t xml:space="preserve">hildren in the </w:t>
      </w:r>
      <w:r>
        <w:rPr>
          <w:i/>
        </w:rPr>
        <w:t>y</w:t>
      </w:r>
      <w:r w:rsidRPr="00F72BDE">
        <w:rPr>
          <w:i/>
        </w:rPr>
        <w:t xml:space="preserve">outh </w:t>
      </w:r>
      <w:r>
        <w:rPr>
          <w:i/>
        </w:rPr>
        <w:t>j</w:t>
      </w:r>
      <w:r w:rsidRPr="00F72BDE">
        <w:rPr>
          <w:i/>
        </w:rPr>
        <w:t xml:space="preserve">ustice </w:t>
      </w:r>
      <w:r>
        <w:rPr>
          <w:i/>
        </w:rPr>
        <w:t>s</w:t>
      </w:r>
      <w:r w:rsidRPr="00F72BDE">
        <w:rPr>
          <w:i/>
        </w:rPr>
        <w:t>ystem</w:t>
      </w:r>
      <w:r w:rsidRPr="00F72BDE">
        <w:t xml:space="preserve">, young people known to child protection </w:t>
      </w:r>
      <w:r w:rsidR="004D720B">
        <w:t xml:space="preserve">services </w:t>
      </w:r>
      <w:r w:rsidRPr="00F72BDE">
        <w:t xml:space="preserve">are over-represented in the youth </w:t>
      </w:r>
      <w:r w:rsidRPr="00F72BDE">
        <w:lastRenderedPageBreak/>
        <w:t xml:space="preserve">justice system. The report highlighted that on any given day young people who are known to child protection are likely to be sentenced in the Criminal Division of the Children’s Court due to their behaviour linked to their past experience of trauma, abuse, harm, neglect, parental death or incapacitation or the risk of harm. </w:t>
      </w:r>
    </w:p>
    <w:p w14:paraId="25720F00" w14:textId="77777777" w:rsidR="002E6FFA" w:rsidRPr="002E6FFA" w:rsidRDefault="002E6FFA" w:rsidP="002E6FFA">
      <w:pPr>
        <w:pStyle w:val="Heading2"/>
      </w:pPr>
      <w:proofErr w:type="spellStart"/>
      <w:r w:rsidRPr="002E6FFA">
        <w:t>Ngaga-dji</w:t>
      </w:r>
      <w:proofErr w:type="spellEnd"/>
      <w:r w:rsidRPr="002E6FFA">
        <w:t xml:space="preserve"> (hear me): Young voices creating a change for justice (</w:t>
      </w:r>
      <w:proofErr w:type="spellStart"/>
      <w:r w:rsidRPr="002E6FFA">
        <w:t>Koorie</w:t>
      </w:r>
      <w:proofErr w:type="spellEnd"/>
      <w:r w:rsidRPr="002E6FFA">
        <w:t xml:space="preserve"> Youth Council)</w:t>
      </w:r>
    </w:p>
    <w:p w14:paraId="23B63803" w14:textId="5793308C" w:rsidR="002E6FFA" w:rsidRPr="00F72BDE" w:rsidRDefault="002E6FFA" w:rsidP="002E6FFA">
      <w:pPr>
        <w:pStyle w:val="DHHSbody"/>
      </w:pPr>
      <w:proofErr w:type="spellStart"/>
      <w:r w:rsidRPr="0068023E">
        <w:rPr>
          <w:i/>
          <w:iCs/>
        </w:rPr>
        <w:t>Ngaga-dji</w:t>
      </w:r>
      <w:proofErr w:type="spellEnd"/>
      <w:r w:rsidRPr="0068023E">
        <w:rPr>
          <w:i/>
          <w:iCs/>
        </w:rPr>
        <w:t xml:space="preserve"> (hear me): Young voices creating a change for justice</w:t>
      </w:r>
      <w:r w:rsidRPr="00F72BDE">
        <w:t xml:space="preserve"> captures the voices and experiences of Aboriginal </w:t>
      </w:r>
      <w:r>
        <w:t>young people</w:t>
      </w:r>
      <w:r w:rsidRPr="00F72BDE">
        <w:t xml:space="preserve"> in Victoria’s youth justice system. It is a call to action to motivate change to support Aboriginal young people who have been involved with the criminal justice system. </w:t>
      </w:r>
      <w:proofErr w:type="spellStart"/>
      <w:r w:rsidRPr="00F72BDE">
        <w:t>Ngaga-dji</w:t>
      </w:r>
      <w:proofErr w:type="spellEnd"/>
      <w:r w:rsidRPr="00F72BDE">
        <w:t xml:space="preserve"> recommends four solutions to support Aboriginal young people</w:t>
      </w:r>
      <w:r>
        <w:t>,</w:t>
      </w:r>
      <w:r w:rsidRPr="00F72BDE">
        <w:t xml:space="preserve"> </w:t>
      </w:r>
      <w:r>
        <w:t>o</w:t>
      </w:r>
      <w:r w:rsidRPr="00F72BDE">
        <w:t xml:space="preserve">ne of which is </w:t>
      </w:r>
      <w:r w:rsidRPr="0027438F">
        <w:t>‘</w:t>
      </w:r>
      <w:r w:rsidRPr="0068023E">
        <w:t xml:space="preserve">community-designed and led youth support </w:t>
      </w:r>
      <w:proofErr w:type="gramStart"/>
      <w:r w:rsidRPr="0068023E">
        <w:t>systems</w:t>
      </w:r>
      <w:r>
        <w:t>’</w:t>
      </w:r>
      <w:proofErr w:type="gramEnd"/>
      <w:r>
        <w:t>.</w:t>
      </w:r>
      <w:r w:rsidRPr="00F72BDE">
        <w:t xml:space="preserve"> </w:t>
      </w:r>
      <w:r>
        <w:t>This</w:t>
      </w:r>
      <w:r w:rsidRPr="00F72BDE">
        <w:t xml:space="preserve"> describes the need to reduce the criminalisation of Aboriginal young people and develop community-based systems that support </w:t>
      </w:r>
      <w:r>
        <w:t>young people</w:t>
      </w:r>
      <w:r w:rsidRPr="00F72BDE">
        <w:t xml:space="preserve"> </w:t>
      </w:r>
      <w:r>
        <w:t>by</w:t>
      </w:r>
      <w:r w:rsidRPr="00F72BDE">
        <w:t xml:space="preserve"> diverting them from the </w:t>
      </w:r>
      <w:r>
        <w:t xml:space="preserve">youth </w:t>
      </w:r>
      <w:r w:rsidRPr="00F72BDE">
        <w:t xml:space="preserve">justice system and into culturally safe programs, services and conferencing, if required. </w:t>
      </w:r>
    </w:p>
    <w:bookmarkEnd w:id="6"/>
    <w:bookmarkEnd w:id="7"/>
    <w:bookmarkEnd w:id="8"/>
    <w:p w14:paraId="208F89BB" w14:textId="77777777" w:rsidR="002E6FFA" w:rsidRDefault="002E6FFA" w:rsidP="00B93B5B">
      <w:pPr>
        <w:pStyle w:val="DHHSbody"/>
      </w:pPr>
      <w:r>
        <w:br w:type="page"/>
      </w:r>
    </w:p>
    <w:p w14:paraId="3DA39F14" w14:textId="77777777" w:rsidR="002E6FFA" w:rsidRPr="002E6FFA" w:rsidRDefault="002E6FFA" w:rsidP="002E6FFA">
      <w:pPr>
        <w:pStyle w:val="Heading1"/>
      </w:pPr>
      <w:bookmarkStart w:id="9" w:name="_Toc31442877"/>
      <w:r w:rsidRPr="002E6FFA">
        <w:lastRenderedPageBreak/>
        <w:t>The framework</w:t>
      </w:r>
      <w:bookmarkEnd w:id="9"/>
    </w:p>
    <w:p w14:paraId="491A9B6E" w14:textId="77777777" w:rsidR="002E6FFA" w:rsidRPr="00F72BDE" w:rsidRDefault="002E6FFA" w:rsidP="002E6FFA">
      <w:pPr>
        <w:pStyle w:val="DHHSbody"/>
        <w:spacing w:before="120"/>
      </w:pPr>
      <w:bookmarkStart w:id="10" w:name="_Toc15311680"/>
      <w:bookmarkStart w:id="11" w:name="_Toc15311884"/>
      <w:r w:rsidRPr="00F72BDE">
        <w:t>Th</w:t>
      </w:r>
      <w:r>
        <w:t>is</w:t>
      </w:r>
      <w:r w:rsidRPr="00F72BDE">
        <w:t xml:space="preserve"> </w:t>
      </w:r>
      <w:r>
        <w:t>f</w:t>
      </w:r>
      <w:r w:rsidRPr="00F72BDE">
        <w:t xml:space="preserve">ramework provides a shared commitment between the Department of Health and Human Services, </w:t>
      </w:r>
      <w:r>
        <w:t xml:space="preserve">the </w:t>
      </w:r>
      <w:r w:rsidRPr="00F72BDE">
        <w:t>Department of Justice and Community Safety, Victoria Police, residential care service providers and frontline staff to reduce the unnecessary and inappropriate contact of young people in residential care arising from behaviours manifesting from childhood traumatic experiences and resultant involvement with the criminal justice system.</w:t>
      </w:r>
      <w:r>
        <w:t xml:space="preserve"> </w:t>
      </w:r>
    </w:p>
    <w:p w14:paraId="1CC9AAA6" w14:textId="77777777" w:rsidR="002E6FFA" w:rsidRPr="00F72BDE" w:rsidRDefault="002E6FFA" w:rsidP="002E6FFA">
      <w:pPr>
        <w:pStyle w:val="DHHSbody"/>
      </w:pPr>
      <w:r w:rsidRPr="00F72BDE">
        <w:t xml:space="preserve">The </w:t>
      </w:r>
      <w:r>
        <w:t>f</w:t>
      </w:r>
      <w:r w:rsidRPr="00F72BDE">
        <w:t>ramework comprises:</w:t>
      </w:r>
    </w:p>
    <w:p w14:paraId="7FA4540E" w14:textId="77777777" w:rsidR="002E6FFA" w:rsidRPr="00F72BDE" w:rsidRDefault="002E6FFA" w:rsidP="002E6FFA">
      <w:pPr>
        <w:pStyle w:val="DHHSbullet1"/>
        <w:numPr>
          <w:ilvl w:val="0"/>
          <w:numId w:val="39"/>
        </w:numPr>
      </w:pPr>
      <w:r w:rsidRPr="00F72BDE">
        <w:t>guiding principles that reinforce trauma</w:t>
      </w:r>
      <w:r>
        <w:t>-</w:t>
      </w:r>
      <w:r w:rsidRPr="00F72BDE">
        <w:t>informed responses, connection to culture and a positive behaviour approach to inform local practices and procedures to support young people in residential care</w:t>
      </w:r>
    </w:p>
    <w:p w14:paraId="5E398E4D" w14:textId="77777777" w:rsidR="002E6FFA" w:rsidRPr="00F72BDE" w:rsidRDefault="002E6FFA" w:rsidP="002E6FFA">
      <w:pPr>
        <w:pStyle w:val="DHHSbullet1"/>
        <w:numPr>
          <w:ilvl w:val="0"/>
          <w:numId w:val="39"/>
        </w:numPr>
      </w:pPr>
      <w:r w:rsidRPr="00F72BDE">
        <w:t>a decision-making guide for residential care workers to determine whether police involvement is required</w:t>
      </w:r>
    </w:p>
    <w:p w14:paraId="61150B7E" w14:textId="77777777" w:rsidR="002E6FFA" w:rsidRPr="00F72BDE" w:rsidRDefault="002E6FFA" w:rsidP="002E6FFA">
      <w:pPr>
        <w:pStyle w:val="DHHSbullet1"/>
        <w:numPr>
          <w:ilvl w:val="0"/>
          <w:numId w:val="39"/>
        </w:numPr>
      </w:pPr>
      <w:r w:rsidRPr="00F72BDE">
        <w:t>an agreed approach for police when responding to non-crisis events in</w:t>
      </w:r>
      <w:r>
        <w:t xml:space="preserve"> </w:t>
      </w:r>
      <w:r w:rsidRPr="00F72BDE">
        <w:t>residential care home</w:t>
      </w:r>
      <w:r>
        <w:t>s</w:t>
      </w:r>
    </w:p>
    <w:p w14:paraId="7F66D3B6" w14:textId="77777777" w:rsidR="002E6FFA" w:rsidRPr="00F72BDE" w:rsidRDefault="002E6FFA" w:rsidP="002E6FFA">
      <w:pPr>
        <w:pStyle w:val="DHHSbullet1"/>
        <w:numPr>
          <w:ilvl w:val="0"/>
          <w:numId w:val="39"/>
        </w:numPr>
        <w:spacing w:after="120"/>
      </w:pPr>
      <w:r w:rsidRPr="00F72BDE">
        <w:t>agreed roles and responsibilities across the Department of Health and Human Services, Department of Justice and Community Safety, Victoria Police</w:t>
      </w:r>
      <w:r>
        <w:t xml:space="preserve"> and</w:t>
      </w:r>
      <w:r w:rsidRPr="00F72BDE">
        <w:t xml:space="preserve"> residential care service providers to ensure a more coordinated, consistent and collaborative response to young people in residential care.</w:t>
      </w:r>
      <w:r>
        <w:t xml:space="preserve"> </w:t>
      </w:r>
    </w:p>
    <w:p w14:paraId="26D4DF62" w14:textId="77777777" w:rsidR="002E6FFA" w:rsidRPr="00F72BDE" w:rsidRDefault="002E6FFA" w:rsidP="00E97405">
      <w:pPr>
        <w:pStyle w:val="DHHSbodyafterbullets"/>
      </w:pPr>
      <w:r w:rsidRPr="00F72BDE">
        <w:t xml:space="preserve">While the fundamental purpose of the </w:t>
      </w:r>
      <w:r>
        <w:t>f</w:t>
      </w:r>
      <w:r w:rsidRPr="00F72BDE">
        <w:t xml:space="preserve">ramework is to reduce unnecessary and inappropriate police contact with young people in residential care, it is recognised that police involvement may be necessary, and required, where the safety of the young person, another resident, staff or any other person is at risk. </w:t>
      </w:r>
    </w:p>
    <w:p w14:paraId="4F8A8C97" w14:textId="44BA503D" w:rsidR="002E6FFA" w:rsidRPr="00F72BDE" w:rsidRDefault="002E6FFA" w:rsidP="002E6FFA">
      <w:pPr>
        <w:pStyle w:val="DHHSbody"/>
      </w:pPr>
      <w:r w:rsidRPr="00F72BDE">
        <w:t xml:space="preserve">The intent of the framework is not to preclude professionals from exercising their mandatory obligations including mandatory reporting and requirements to report crimes, particularly those against </w:t>
      </w:r>
      <w:r w:rsidR="00D20628">
        <w:t>young people</w:t>
      </w:r>
      <w:r w:rsidR="004D720B">
        <w:t>,</w:t>
      </w:r>
      <w:r w:rsidR="00D20628" w:rsidRPr="00F72BDE">
        <w:t xml:space="preserve"> </w:t>
      </w:r>
      <w:r w:rsidRPr="00F72BDE">
        <w:t xml:space="preserve">to police. There are also community and public expectations for police involvement </w:t>
      </w:r>
      <w:r>
        <w:t>that</w:t>
      </w:r>
      <w:r w:rsidRPr="00F72BDE">
        <w:t xml:space="preserve"> must be maintained, such as in circumstances to ensure community safety.</w:t>
      </w:r>
    </w:p>
    <w:p w14:paraId="11405C78" w14:textId="77777777" w:rsidR="002E6FFA" w:rsidRDefault="002E6FFA" w:rsidP="00B93B5B">
      <w:pPr>
        <w:pStyle w:val="DHHSbody"/>
        <w:rPr>
          <w:color w:val="53565A"/>
          <w:sz w:val="44"/>
          <w:szCs w:val="44"/>
        </w:rPr>
      </w:pPr>
      <w:r>
        <w:br w:type="page"/>
      </w:r>
    </w:p>
    <w:p w14:paraId="6D281260" w14:textId="77777777" w:rsidR="002E6FFA" w:rsidRPr="00F72BDE" w:rsidRDefault="002E6FFA" w:rsidP="002E6FFA">
      <w:pPr>
        <w:pStyle w:val="Heading1"/>
      </w:pPr>
      <w:bookmarkStart w:id="12" w:name="_Toc31442878"/>
      <w:r w:rsidRPr="00F72BDE">
        <w:lastRenderedPageBreak/>
        <w:t xml:space="preserve">Guiding </w:t>
      </w:r>
      <w:r>
        <w:t>p</w:t>
      </w:r>
      <w:r w:rsidRPr="00F72BDE">
        <w:t>rinciples to reduce criminalisation of young people in residential care</w:t>
      </w:r>
      <w:bookmarkEnd w:id="12"/>
    </w:p>
    <w:p w14:paraId="3555E237" w14:textId="77777777" w:rsidR="002E6FFA" w:rsidRPr="00F72BDE" w:rsidRDefault="002E6FFA" w:rsidP="002E6FFA">
      <w:pPr>
        <w:pStyle w:val="Heading2"/>
      </w:pPr>
      <w:r w:rsidRPr="00F72BDE">
        <w:t xml:space="preserve">Guiding </w:t>
      </w:r>
      <w:r>
        <w:t>p</w:t>
      </w:r>
      <w:r w:rsidRPr="00F72BDE">
        <w:t>rinciple 1: The safety and wellbeing of all young people and staff must be prioritised</w:t>
      </w:r>
      <w:r>
        <w:t>.</w:t>
      </w:r>
    </w:p>
    <w:p w14:paraId="3AD41CD7" w14:textId="3AA504C9" w:rsidR="002E6FFA" w:rsidRPr="00F72BDE" w:rsidRDefault="002E6FFA" w:rsidP="002E6FFA">
      <w:pPr>
        <w:pStyle w:val="DHHSbody"/>
      </w:pPr>
      <w:bookmarkStart w:id="13" w:name="_Toc15311681"/>
      <w:bookmarkStart w:id="14" w:name="_Toc15311885"/>
      <w:bookmarkEnd w:id="10"/>
      <w:bookmarkEnd w:id="11"/>
      <w:r w:rsidRPr="00F72BDE">
        <w:t xml:space="preserve">Young people have a right to feel safe, secure and connected to their community, their family and their culture. This applies to all young people in residential care from all backgrounds. Providing safe environments for vulnerable </w:t>
      </w:r>
      <w:r w:rsidR="00D20628">
        <w:t>young people</w:t>
      </w:r>
      <w:r w:rsidR="00D20628" w:rsidRPr="00F72BDE">
        <w:t xml:space="preserve"> </w:t>
      </w:r>
      <w:r w:rsidRPr="00F72BDE">
        <w:t>has positive, lifelong impacts and cannot be underestimated.</w:t>
      </w:r>
      <w:r w:rsidRPr="00F72BDE">
        <w:rPr>
          <w:rStyle w:val="CommentReference"/>
          <w:rFonts w:ascii="Cambria" w:eastAsia="Times New Roman" w:hAnsi="Cambria"/>
        </w:rPr>
        <w:t xml:space="preserve"> </w:t>
      </w:r>
    </w:p>
    <w:p w14:paraId="76633B2B" w14:textId="67B55794" w:rsidR="002E6FFA" w:rsidRPr="00F72BDE" w:rsidRDefault="002E6FFA" w:rsidP="002E6FFA">
      <w:pPr>
        <w:pStyle w:val="DHHSbody"/>
      </w:pPr>
      <w:r w:rsidRPr="00F72BDE">
        <w:t xml:space="preserve">The Child Safe Standards, which are in place for all residential care homes, are underpinned by the understanding that all </w:t>
      </w:r>
      <w:r w:rsidR="00D20628">
        <w:t>young people</w:t>
      </w:r>
      <w:r w:rsidR="00D20628" w:rsidRPr="00F72BDE">
        <w:t xml:space="preserve"> </w:t>
      </w:r>
      <w:r w:rsidRPr="00F72BDE">
        <w:t>are vulnerable. However, three cohorts are particularly vulnerable:</w:t>
      </w:r>
    </w:p>
    <w:p w14:paraId="57E1E35F" w14:textId="77777777" w:rsidR="002E6FFA" w:rsidRPr="00F72BDE" w:rsidRDefault="002E6FFA" w:rsidP="002E6FFA">
      <w:pPr>
        <w:pStyle w:val="DHHSbullet1"/>
      </w:pPr>
      <w:r w:rsidRPr="00F72BDE">
        <w:t>Aboriginal young people</w:t>
      </w:r>
    </w:p>
    <w:p w14:paraId="0FDC8C01" w14:textId="62ABF8A8" w:rsidR="002E6FFA" w:rsidRPr="00F72BDE" w:rsidRDefault="002E6FFA" w:rsidP="002E6FFA">
      <w:pPr>
        <w:pStyle w:val="DHHSbullet1"/>
      </w:pPr>
      <w:r>
        <w:t>young people</w:t>
      </w:r>
      <w:r w:rsidRPr="00F72BDE">
        <w:t xml:space="preserve"> from culturally diverse backgrounds</w:t>
      </w:r>
    </w:p>
    <w:p w14:paraId="1AF3C9B3" w14:textId="194FC584" w:rsidR="002E6FFA" w:rsidRPr="00F72BDE" w:rsidRDefault="002E6FFA" w:rsidP="002E6FFA">
      <w:pPr>
        <w:pStyle w:val="DHHSbullet1"/>
      </w:pPr>
      <w:r>
        <w:t>young people</w:t>
      </w:r>
      <w:r w:rsidRPr="00F72BDE">
        <w:t xml:space="preserve"> with disabilities.</w:t>
      </w:r>
    </w:p>
    <w:p w14:paraId="158D8882" w14:textId="24591353" w:rsidR="002E6FFA" w:rsidRPr="00F72BDE" w:rsidRDefault="002E6FFA" w:rsidP="00E97405">
      <w:pPr>
        <w:pStyle w:val="DHHSbodyafterbullets"/>
      </w:pPr>
      <w:r w:rsidRPr="00F72BDE">
        <w:t>The Child Safe Standards also encourage considering the needs of same</w:t>
      </w:r>
      <w:r>
        <w:t>-</w:t>
      </w:r>
      <w:r w:rsidRPr="00F72BDE">
        <w:t>sex</w:t>
      </w:r>
      <w:r>
        <w:t>-</w:t>
      </w:r>
      <w:r w:rsidRPr="00F72BDE">
        <w:t>attracted and intersex young people and recognis</w:t>
      </w:r>
      <w:r>
        <w:t>ing</w:t>
      </w:r>
      <w:r w:rsidRPr="00F72BDE">
        <w:t xml:space="preserve"> gender diversity in providing a safe environment. </w:t>
      </w:r>
    </w:p>
    <w:p w14:paraId="71BAAAB5" w14:textId="77777777" w:rsidR="002E6FFA" w:rsidRPr="00F72BDE" w:rsidRDefault="002E6FFA" w:rsidP="002E6FFA">
      <w:pPr>
        <w:pStyle w:val="DHHSbody"/>
      </w:pPr>
      <w:r w:rsidRPr="00F72BDE">
        <w:t>These cohorts of young people may be particularly vulnerable to being victimised and may face challenges in reporting an incident of abuse.</w:t>
      </w:r>
    </w:p>
    <w:p w14:paraId="2133C689" w14:textId="08471DBD" w:rsidR="002E6FFA" w:rsidRPr="00F72BDE" w:rsidRDefault="002E6FFA" w:rsidP="002E6FFA">
      <w:pPr>
        <w:pStyle w:val="DHHSbody"/>
      </w:pPr>
      <w:r w:rsidRPr="00F72BDE">
        <w:t>For more information, refer to the Commission for Children and Young People</w:t>
      </w:r>
      <w:r w:rsidR="00CF1117">
        <w:t>’s</w:t>
      </w:r>
      <w:r w:rsidRPr="00F72BDE">
        <w:t xml:space="preserve"> </w:t>
      </w:r>
      <w:hyperlink r:id="rId20" w:history="1">
        <w:r w:rsidRPr="00F27EA5">
          <w:rPr>
            <w:rStyle w:val="Hyperlink"/>
          </w:rPr>
          <w:t>Child Safe Standards</w:t>
        </w:r>
      </w:hyperlink>
      <w:r w:rsidRPr="00F72BDE">
        <w:t xml:space="preserve"> </w:t>
      </w:r>
      <w:r>
        <w:t>&lt;</w:t>
      </w:r>
      <w:r w:rsidRPr="0068023E">
        <w:t>https://ccyp.vic.gov.au/child-safety/being-a-child-safe-organisation/the-child-safe-standards/</w:t>
      </w:r>
      <w:r>
        <w:t>&gt;.</w:t>
      </w:r>
    </w:p>
    <w:p w14:paraId="5A543515" w14:textId="17951C74" w:rsidR="002E6FFA" w:rsidRPr="00F72BDE" w:rsidRDefault="002E6FFA" w:rsidP="002E6FFA">
      <w:pPr>
        <w:pStyle w:val="DHHSbody"/>
      </w:pPr>
      <w:r w:rsidRPr="00F72BDE">
        <w:t>Residential care workers also have the right to feel safe and free from harm in their workplace</w:t>
      </w:r>
      <w:bookmarkStart w:id="15" w:name="_Toc14253500"/>
      <w:bookmarkStart w:id="16" w:name="_Toc14275589"/>
      <w:bookmarkStart w:id="17" w:name="_Toc14276308"/>
      <w:bookmarkStart w:id="18" w:name="_Toc14357096"/>
      <w:bookmarkStart w:id="19" w:name="_Toc14357149"/>
      <w:bookmarkStart w:id="20" w:name="_Toc14357289"/>
      <w:bookmarkStart w:id="21" w:name="_Toc14364129"/>
      <w:bookmarkStart w:id="22" w:name="_Toc14793023"/>
      <w:bookmarkStart w:id="23" w:name="_Toc14867889"/>
      <w:bookmarkEnd w:id="13"/>
      <w:bookmarkEnd w:id="14"/>
      <w:r w:rsidRPr="00F72BDE">
        <w:t xml:space="preserve">. Residential care service providers must develop and implement safe systems of work that will </w:t>
      </w:r>
      <w:r w:rsidR="00CF1117">
        <w:t>help</w:t>
      </w:r>
      <w:r w:rsidRPr="00F72BDE">
        <w:t xml:space="preserve"> mitigat</w:t>
      </w:r>
      <w:r w:rsidR="00CF1117">
        <w:t>e</w:t>
      </w:r>
      <w:r w:rsidRPr="00F72BDE">
        <w:t xml:space="preserve"> and reduc</w:t>
      </w:r>
      <w:r w:rsidR="00CF1117">
        <w:t>e</w:t>
      </w:r>
      <w:r w:rsidRPr="00F72BDE">
        <w:t xml:space="preserve"> adverse events and promote a safe working environment for all residential care workers.</w:t>
      </w:r>
      <w:bookmarkEnd w:id="15"/>
      <w:bookmarkEnd w:id="16"/>
      <w:bookmarkEnd w:id="17"/>
      <w:bookmarkEnd w:id="18"/>
      <w:bookmarkEnd w:id="19"/>
      <w:bookmarkEnd w:id="20"/>
      <w:bookmarkEnd w:id="21"/>
      <w:bookmarkEnd w:id="22"/>
      <w:bookmarkEnd w:id="23"/>
    </w:p>
    <w:p w14:paraId="6B85531F" w14:textId="0EBAE119" w:rsidR="002E6FFA" w:rsidRPr="00F72BDE" w:rsidRDefault="002E6FFA" w:rsidP="002E6FFA">
      <w:pPr>
        <w:pStyle w:val="Heading2"/>
      </w:pPr>
      <w:bookmarkStart w:id="24" w:name="_Toc15311682"/>
      <w:bookmarkStart w:id="25" w:name="_Toc15311886"/>
      <w:r w:rsidRPr="00F72BDE">
        <w:t xml:space="preserve">Guiding </w:t>
      </w:r>
      <w:r>
        <w:t>p</w:t>
      </w:r>
      <w:r w:rsidRPr="00F72BDE">
        <w:t xml:space="preserve">rinciple 2: Understanding the underlying causes of a young person’s behaviour is critical to promote healing from trauma, and </w:t>
      </w:r>
      <w:r w:rsidR="00CF1117">
        <w:t xml:space="preserve">to </w:t>
      </w:r>
      <w:r w:rsidRPr="00F72BDE">
        <w:t>effect positive behaviour change.</w:t>
      </w:r>
      <w:bookmarkEnd w:id="24"/>
      <w:bookmarkEnd w:id="25"/>
    </w:p>
    <w:p w14:paraId="74D2CD10" w14:textId="6B39AD32" w:rsidR="002E6FFA" w:rsidRPr="00F72BDE" w:rsidRDefault="002E6FFA" w:rsidP="002E6FFA">
      <w:pPr>
        <w:pStyle w:val="DHHSbody"/>
      </w:pPr>
      <w:bookmarkStart w:id="26" w:name="_Toc14253495"/>
      <w:bookmarkStart w:id="27" w:name="_Toc14275584"/>
      <w:bookmarkStart w:id="28" w:name="_Toc14276303"/>
      <w:bookmarkStart w:id="29" w:name="_Toc14357092"/>
      <w:bookmarkStart w:id="30" w:name="_Toc14357145"/>
      <w:bookmarkStart w:id="31" w:name="_Toc14357285"/>
      <w:bookmarkStart w:id="32" w:name="_Toc14364125"/>
      <w:bookmarkStart w:id="33" w:name="_Toc14793019"/>
      <w:bookmarkStart w:id="34" w:name="_Toc14867885"/>
      <w:r w:rsidRPr="00F72BDE">
        <w:t xml:space="preserve">Trauma refers to experiencing incidents that are overwhelmingly threatening or frightening to </w:t>
      </w:r>
      <w:r w:rsidR="00CF1117">
        <w:t>a</w:t>
      </w:r>
      <w:r w:rsidR="00CF1117" w:rsidRPr="00F72BDE">
        <w:t xml:space="preserve"> </w:t>
      </w:r>
      <w:r w:rsidRPr="00F72BDE">
        <w:t>young person. Everyday situations can trigger memories of trauma and a young person’s ‘fight, flight or freeze’ responses.</w:t>
      </w:r>
      <w:r>
        <w:t xml:space="preserve"> </w:t>
      </w:r>
      <w:r w:rsidRPr="00F72BDE">
        <w:t xml:space="preserve">This results in a response where the brain enters a highly sensitive state and can respond to everyday stressors in an exaggerated </w:t>
      </w:r>
      <w:r w:rsidR="00CF1117">
        <w:t>way</w:t>
      </w:r>
      <w:r>
        <w:t>.</w:t>
      </w:r>
      <w:r w:rsidRPr="00F72BDE">
        <w:rPr>
          <w:rStyle w:val="FootnoteReference"/>
        </w:rPr>
        <w:footnoteReference w:id="2"/>
      </w:r>
      <w:r w:rsidRPr="00F72BDE">
        <w:t xml:space="preserve"> A young person in this state may cope with stress through displaying indifference, running away, substance abuse, defiance of rules or aggression as a self-protective response or manifesting a behaviour of concern. </w:t>
      </w:r>
    </w:p>
    <w:p w14:paraId="5611C1F1" w14:textId="1EB6495B" w:rsidR="002E6FFA" w:rsidRPr="00F72BDE" w:rsidRDefault="002E6FFA" w:rsidP="002E6FFA">
      <w:pPr>
        <w:pStyle w:val="DHHSbody"/>
      </w:pPr>
      <w:r w:rsidRPr="00F72BDE">
        <w:t>Trauma</w:t>
      </w:r>
      <w:r>
        <w:t>-</w:t>
      </w:r>
      <w:r w:rsidRPr="00F72BDE">
        <w:t>informed approaches are underpinned by key principles such as safety, trust, choice, collaboration and empowerment. As such, understanding trauma</w:t>
      </w:r>
      <w:r>
        <w:t>-</w:t>
      </w:r>
      <w:r w:rsidRPr="00F72BDE">
        <w:t xml:space="preserve">informed approaches is a key step in developing a response to </w:t>
      </w:r>
      <w:r>
        <w:t>reduce</w:t>
      </w:r>
      <w:r w:rsidRPr="00F72BDE">
        <w:t xml:space="preserve"> criminalisation of young people in residential care. </w:t>
      </w:r>
    </w:p>
    <w:p w14:paraId="024A2062" w14:textId="5228FB01" w:rsidR="002E6FFA" w:rsidRPr="00F72BDE" w:rsidRDefault="002E6FFA" w:rsidP="002E6FFA">
      <w:pPr>
        <w:pStyle w:val="DHHSbody"/>
      </w:pPr>
      <w:r w:rsidRPr="00F72BDE">
        <w:t>A trauma</w:t>
      </w:r>
      <w:r>
        <w:t>-</w:t>
      </w:r>
      <w:r w:rsidRPr="00F72BDE">
        <w:t xml:space="preserve">informed positive behaviour support approach can be used </w:t>
      </w:r>
      <w:r>
        <w:t>when</w:t>
      </w:r>
      <w:r w:rsidRPr="00F72BDE">
        <w:t xml:space="preserve"> responding to behaviours of concern. Positive behaviour support </w:t>
      </w:r>
      <w:proofErr w:type="gramStart"/>
      <w:r w:rsidRPr="00F72BDE">
        <w:t>is based on an assumption</w:t>
      </w:r>
      <w:proofErr w:type="gramEnd"/>
      <w:r w:rsidRPr="00F72BDE">
        <w:t xml:space="preserve"> that all behaviour happens for a reason. Each behaviour serves a purpose (or function) for the young person and communicates a message. This approach focuses on</w:t>
      </w:r>
      <w:r>
        <w:t>,</w:t>
      </w:r>
      <w:r w:rsidRPr="00F72BDE">
        <w:t xml:space="preserve"> first</w:t>
      </w:r>
      <w:r>
        <w:t>,</w:t>
      </w:r>
      <w:r w:rsidRPr="00F72BDE">
        <w:t xml:space="preserve"> understanding the behaviour of the young person in the context of trauma, attachment and child development theories, and then providing supports in key areas including:</w:t>
      </w:r>
    </w:p>
    <w:p w14:paraId="70C8FD4E" w14:textId="77777777" w:rsidR="002E6FFA" w:rsidRPr="00F72BDE" w:rsidRDefault="002E6FFA" w:rsidP="002E6FFA">
      <w:pPr>
        <w:pStyle w:val="DHHSbullet1"/>
      </w:pPr>
      <w:r>
        <w:lastRenderedPageBreak/>
        <w:t>d</w:t>
      </w:r>
      <w:r w:rsidRPr="00F72BDE">
        <w:t>eveloping an environment that supports the young person</w:t>
      </w:r>
    </w:p>
    <w:p w14:paraId="69AA91E5" w14:textId="77777777" w:rsidR="002E6FFA" w:rsidRPr="00F72BDE" w:rsidRDefault="002E6FFA" w:rsidP="002E6FFA">
      <w:pPr>
        <w:pStyle w:val="DHHSbullet1"/>
      </w:pPr>
      <w:r>
        <w:t>t</w:t>
      </w:r>
      <w:r w:rsidRPr="00F72BDE">
        <w:t xml:space="preserve">eaching new skills to reduce the need for behaviours of concern </w:t>
      </w:r>
      <w:r>
        <w:t>–</w:t>
      </w:r>
      <w:r w:rsidRPr="00F72BDE">
        <w:t xml:space="preserve"> teaching the young person more adaptive behaviours in a safe and appropriate way</w:t>
      </w:r>
    </w:p>
    <w:p w14:paraId="4FABF900" w14:textId="77777777" w:rsidR="002E6FFA" w:rsidRPr="00F72BDE" w:rsidRDefault="002E6FFA" w:rsidP="002E6FFA">
      <w:pPr>
        <w:pStyle w:val="DHHSbullet1"/>
      </w:pPr>
      <w:r>
        <w:t>p</w:t>
      </w:r>
      <w:r w:rsidRPr="00F72BDE">
        <w:t>romoting recovery from the impact of trauma</w:t>
      </w:r>
    </w:p>
    <w:p w14:paraId="137C43AE" w14:textId="77777777" w:rsidR="002E6FFA" w:rsidRPr="00F72BDE" w:rsidRDefault="002E6FFA" w:rsidP="002E6FFA">
      <w:pPr>
        <w:pStyle w:val="DHHSbullet1"/>
      </w:pPr>
      <w:r>
        <w:t>p</w:t>
      </w:r>
      <w:r w:rsidRPr="00F72BDE">
        <w:t>roviding positive responses to minimise the impact for the young person and others when a behaviour of concern occurs.</w:t>
      </w:r>
    </w:p>
    <w:p w14:paraId="213D130D" w14:textId="1184FF87" w:rsidR="002E6FFA" w:rsidRPr="00F72BDE" w:rsidRDefault="002E6FFA" w:rsidP="00E97405">
      <w:pPr>
        <w:pStyle w:val="DHHSbodyafterbullets"/>
      </w:pPr>
      <w:r w:rsidRPr="00F72BDE">
        <w:t>A positive behaviour approach acknowledges the positive aspects of the young person and looks for exceptions to problem-centric descriptions. A positive behaviour approach looks for what young people do despite problems, how they have tried to overcome their problems, what they do well, their aspirations and hopes</w:t>
      </w:r>
      <w:r>
        <w:t>,</w:t>
      </w:r>
      <w:r w:rsidRPr="00F72BDE">
        <w:t xml:space="preserve"> and alleviates any further stigmatisation. For </w:t>
      </w:r>
      <w:r>
        <w:t>more information about</w:t>
      </w:r>
      <w:r w:rsidRPr="00F72BDE">
        <w:t xml:space="preserve"> behaviour support planning, refer to </w:t>
      </w:r>
      <w:r>
        <w:t>the ‘</w:t>
      </w:r>
      <w:r w:rsidRPr="00362A00">
        <w:t>A decision</w:t>
      </w:r>
      <w:r w:rsidR="00CF1117">
        <w:t>-</w:t>
      </w:r>
      <w:r w:rsidRPr="00362A00">
        <w:t>making guide for when to call police</w:t>
      </w:r>
      <w:r w:rsidR="00CF1117">
        <w:t xml:space="preserve"> in residential care</w:t>
      </w:r>
      <w:r>
        <w:t xml:space="preserve">’ </w:t>
      </w:r>
      <w:r w:rsidR="00362A00">
        <w:t xml:space="preserve">section of the </w:t>
      </w:r>
      <w:r>
        <w:t>framework.</w:t>
      </w:r>
    </w:p>
    <w:p w14:paraId="3F108CF9" w14:textId="77777777" w:rsidR="002E6FFA" w:rsidRPr="00F72BDE" w:rsidRDefault="002E6FFA" w:rsidP="002E6FFA">
      <w:pPr>
        <w:pStyle w:val="DHHSbody"/>
      </w:pPr>
      <w:r w:rsidRPr="00F72BDE">
        <w:t xml:space="preserve">It is also important to acknowledge the positive </w:t>
      </w:r>
      <w:proofErr w:type="gramStart"/>
      <w:r w:rsidRPr="00F72BDE">
        <w:t>short and longer term</w:t>
      </w:r>
      <w:proofErr w:type="gramEnd"/>
      <w:r w:rsidRPr="00F72BDE">
        <w:t xml:space="preserve"> </w:t>
      </w:r>
      <w:r>
        <w:t>benefits</w:t>
      </w:r>
      <w:r w:rsidRPr="00F72BDE">
        <w:t xml:space="preserve"> of young people in residential care being engaged in education. </w:t>
      </w:r>
    </w:p>
    <w:p w14:paraId="78FD0F96" w14:textId="77777777" w:rsidR="002E6FFA" w:rsidRPr="00F72BDE" w:rsidRDefault="002E6FFA" w:rsidP="002E6FFA">
      <w:pPr>
        <w:pStyle w:val="Heading2"/>
      </w:pPr>
      <w:bookmarkStart w:id="35" w:name="_Toc15311683"/>
      <w:bookmarkStart w:id="36" w:name="_Toc15311887"/>
      <w:bookmarkEnd w:id="26"/>
      <w:bookmarkEnd w:id="27"/>
      <w:bookmarkEnd w:id="28"/>
      <w:bookmarkEnd w:id="29"/>
      <w:bookmarkEnd w:id="30"/>
      <w:bookmarkEnd w:id="31"/>
      <w:bookmarkEnd w:id="32"/>
      <w:bookmarkEnd w:id="33"/>
      <w:bookmarkEnd w:id="34"/>
      <w:r w:rsidRPr="00F72BDE">
        <w:t xml:space="preserve">Guiding </w:t>
      </w:r>
      <w:r>
        <w:t>p</w:t>
      </w:r>
      <w:r w:rsidRPr="00F72BDE">
        <w:t>rinciple 3: Workforce training, support and resources must recogni</w:t>
      </w:r>
      <w:r>
        <w:t>s</w:t>
      </w:r>
      <w:r w:rsidRPr="00F72BDE">
        <w:t>e the impact of trauma on a young person’s behaviour and provide a proactive approach to managing risk and responding to incidents.</w:t>
      </w:r>
      <w:bookmarkEnd w:id="35"/>
      <w:bookmarkEnd w:id="36"/>
    </w:p>
    <w:p w14:paraId="1F4BD33F" w14:textId="77777777" w:rsidR="002E6FFA" w:rsidRPr="002E6FFA" w:rsidRDefault="002E6FFA" w:rsidP="002E6FFA">
      <w:pPr>
        <w:pStyle w:val="DHHSbody"/>
      </w:pPr>
      <w:r w:rsidRPr="002E6FFA">
        <w:t xml:space="preserve">There is a need to implement effective practices that reduce the need for police involvement in response to behaviours of concern in residential care. This requires not only training and support for residential care workers but also for the frontline workers (for example, police officers) supporting the young person. </w:t>
      </w:r>
    </w:p>
    <w:p w14:paraId="3AF3E523" w14:textId="77777777" w:rsidR="002E6FFA" w:rsidRPr="002E6FFA" w:rsidRDefault="002E6FFA" w:rsidP="002E6FFA">
      <w:pPr>
        <w:pStyle w:val="DHHSbody"/>
      </w:pPr>
      <w:r w:rsidRPr="002E6FFA">
        <w:t xml:space="preserve">In line with the </w:t>
      </w:r>
      <w:r w:rsidRPr="002E6FFA">
        <w:rPr>
          <w:i/>
        </w:rPr>
        <w:t>Minimum qualification requirements for residential care workers in Victoria</w:t>
      </w:r>
      <w:r w:rsidRPr="002E6FFA">
        <w:t xml:space="preserve">, all residential care workers must complete three mandatory units of competency covering: managing behaviour, trauma-informed care and providing care in a residential care home. This is an integral component of supporting a consistent approach in managing behaviour for young people in residential care. </w:t>
      </w:r>
    </w:p>
    <w:p w14:paraId="39AA53F8" w14:textId="79A9563D" w:rsidR="002E6FFA" w:rsidRPr="002E6FFA" w:rsidRDefault="002E6FFA" w:rsidP="002E6FFA">
      <w:pPr>
        <w:pStyle w:val="DHHSbody"/>
      </w:pPr>
      <w:r w:rsidRPr="002E6FFA">
        <w:t>Victoria Police will pursue opportunities to build the capacity of its workforce with training relevant to trauma and vulnerable young people</w:t>
      </w:r>
      <w:r w:rsidR="009528B9">
        <w:t xml:space="preserve">. </w:t>
      </w:r>
      <w:r w:rsidR="009B1EDF">
        <w:t>Police</w:t>
      </w:r>
      <w:r w:rsidR="009528B9">
        <w:t xml:space="preserve"> will also </w:t>
      </w:r>
      <w:r w:rsidRPr="002E6FFA">
        <w:t xml:space="preserve">work with residential care providers to consider implementing joint-agency training to support the delivery of improved responses to young people’s behaviours of concern and greater consistency in approaches to engaging with young people in residential care. </w:t>
      </w:r>
    </w:p>
    <w:p w14:paraId="56642C48" w14:textId="77777777" w:rsidR="002E6FFA" w:rsidRPr="002E6FFA" w:rsidRDefault="002E6FFA" w:rsidP="002E6FFA">
      <w:pPr>
        <w:pStyle w:val="DHHSbody"/>
      </w:pPr>
      <w:r w:rsidRPr="002E6FFA">
        <w:t xml:space="preserve">Workforce training, support and resources must focus on the impact of trauma on behaviour and the protective factor of connection to culture and community for Aboriginal young people. </w:t>
      </w:r>
    </w:p>
    <w:p w14:paraId="5C03A22B" w14:textId="77777777" w:rsidR="002E6FFA" w:rsidRPr="00F72BDE" w:rsidRDefault="002E6FFA" w:rsidP="002E6FFA">
      <w:pPr>
        <w:pStyle w:val="Heading2"/>
      </w:pPr>
      <w:bookmarkStart w:id="37" w:name="_Toc15311684"/>
      <w:bookmarkStart w:id="38" w:name="_Toc15311888"/>
      <w:r w:rsidRPr="00F72BDE">
        <w:t xml:space="preserve">Guiding principle 4: </w:t>
      </w:r>
      <w:bookmarkEnd w:id="37"/>
      <w:bookmarkEnd w:id="38"/>
      <w:r w:rsidRPr="00F72BDE">
        <w:t>For Aboriginal young people, strengthening connection to culture and community is a key consideration in provi</w:t>
      </w:r>
      <w:r>
        <w:t>ding</w:t>
      </w:r>
      <w:r w:rsidRPr="00F72BDE">
        <w:t xml:space="preserve"> services, in addition to providing a healing and sensitive trauma</w:t>
      </w:r>
      <w:r>
        <w:t>-</w:t>
      </w:r>
      <w:r w:rsidRPr="00F72BDE">
        <w:t>informed approach to care.</w:t>
      </w:r>
    </w:p>
    <w:p w14:paraId="12712790" w14:textId="022893B4" w:rsidR="002E6FFA" w:rsidRPr="002E6FFA" w:rsidRDefault="002E6FFA" w:rsidP="002E6FFA">
      <w:pPr>
        <w:pStyle w:val="DHHSbody"/>
      </w:pPr>
      <w:r w:rsidRPr="002E6FFA">
        <w:t>Aboriginal cultures are sophisticated and holistic</w:t>
      </w:r>
      <w:r w:rsidR="009B1EDF">
        <w:t>,</w:t>
      </w:r>
      <w:r w:rsidRPr="002E6FFA">
        <w:t xml:space="preserve"> linking spirituality with politics, education, economics, land care and the law. Aboriginal culture must be respected, and the perspectives and strengths of Aboriginal young people must be valued, heard and influential. </w:t>
      </w:r>
    </w:p>
    <w:p w14:paraId="1A076DEC" w14:textId="69B712D1" w:rsidR="002E6FFA" w:rsidRPr="002E6FFA" w:rsidRDefault="002E6FFA" w:rsidP="002E6FFA">
      <w:pPr>
        <w:pStyle w:val="DHHSbody"/>
      </w:pPr>
      <w:r w:rsidRPr="002E6FFA">
        <w:t>Historically</w:t>
      </w:r>
      <w:r w:rsidR="009B1EDF">
        <w:t>,</w:t>
      </w:r>
      <w:r w:rsidRPr="002E6FFA">
        <w:t xml:space="preserve"> legislation, policy and practice have created great distrust between Aboriginal people and the government. Acknowledgement of these fears and distrust and good listening skills will enable better outcomes with Aboriginal </w:t>
      </w:r>
      <w:r w:rsidR="00D20628">
        <w:t>young people</w:t>
      </w:r>
      <w:r w:rsidR="00D20628" w:rsidRPr="00F72BDE">
        <w:t xml:space="preserve"> </w:t>
      </w:r>
      <w:r w:rsidRPr="002E6FFA">
        <w:t xml:space="preserve">and families. </w:t>
      </w:r>
    </w:p>
    <w:p w14:paraId="2A10A976" w14:textId="2F59BF22" w:rsidR="002E6FFA" w:rsidRPr="002E6FFA" w:rsidRDefault="002E6FFA" w:rsidP="002E6FFA">
      <w:pPr>
        <w:pStyle w:val="DHHSbody"/>
      </w:pPr>
      <w:r w:rsidRPr="002E6FFA">
        <w:t xml:space="preserve">Addressing disadvantage and promoting healing will take time and requires culturally appropriate responses and services. It also demands an understanding of how this trauma is lived out in the daily </w:t>
      </w:r>
      <w:r w:rsidRPr="002E6FFA">
        <w:lastRenderedPageBreak/>
        <w:t>lives of Aboriginal young people who are involved in the child protection and criminal justice service systems.</w:t>
      </w:r>
    </w:p>
    <w:p w14:paraId="5C41EC95" w14:textId="210658B7" w:rsidR="002E6FFA" w:rsidRPr="002E6FFA" w:rsidRDefault="002E6FFA" w:rsidP="002E6FFA">
      <w:pPr>
        <w:pStyle w:val="DHHSbody"/>
      </w:pPr>
      <w:r w:rsidRPr="002E6FFA">
        <w:t xml:space="preserve">A greater understanding of and commitment to practice approaches that take account of Aboriginal culture, family relationships and parenting arrangements will better meet the best interests of Aboriginal young people. </w:t>
      </w:r>
    </w:p>
    <w:p w14:paraId="681DEC5D" w14:textId="0B862466" w:rsidR="002E6FFA" w:rsidRPr="002E6FFA" w:rsidRDefault="002E6FFA" w:rsidP="002E6FFA">
      <w:pPr>
        <w:pStyle w:val="DHHSbody"/>
      </w:pPr>
      <w:r w:rsidRPr="002E6FFA">
        <w:t xml:space="preserve">Responses to support Aboriginal young people in residential care must consider a strong emphasis on prevention and early intervention and have a </w:t>
      </w:r>
      <w:proofErr w:type="gramStart"/>
      <w:r w:rsidRPr="002E6FFA">
        <w:t>particular focus</w:t>
      </w:r>
      <w:proofErr w:type="gramEnd"/>
      <w:r w:rsidRPr="002E6FFA">
        <w:t xml:space="preserve"> on building partnerships between local agencies and service providers that plan, deliver and monitor evidence-based strategies to improve outcomes for Aboriginal young people. </w:t>
      </w:r>
    </w:p>
    <w:p w14:paraId="5F019CA0" w14:textId="77777777" w:rsidR="002E6FFA" w:rsidRPr="002E6FFA" w:rsidRDefault="002E6FFA" w:rsidP="002E6FFA">
      <w:pPr>
        <w:pStyle w:val="DHHSbody"/>
      </w:pPr>
      <w:r w:rsidRPr="002E6FFA">
        <w:t>Aboriginal communities, government and the community services sector must collaborate to develop, celebrate and share what works well to keep Aboriginal young people safe and strong. Specific consideration must be given to self-determination and Aboriginal decision-making principles.</w:t>
      </w:r>
    </w:p>
    <w:p w14:paraId="5BE29518" w14:textId="6688667B" w:rsidR="002E6FFA" w:rsidRDefault="002E6FFA" w:rsidP="002E6FFA">
      <w:pPr>
        <w:pStyle w:val="DHHSbody"/>
      </w:pPr>
      <w:r w:rsidRPr="002E6FFA">
        <w:t xml:space="preserve">Services delivered to Aboriginal young people by Aboriginal organisations benefit from the inherent cultural safety and knowledge of community support networks. Aboriginal young people who are supported by Aboriginal community-controlled organisations have a greater connection to culture and community, which can lead to better health and wellbeing outcomes. </w:t>
      </w:r>
    </w:p>
    <w:p w14:paraId="19D07732" w14:textId="4F867549" w:rsidR="001E35AD" w:rsidRPr="002E6FFA" w:rsidRDefault="001E35AD" w:rsidP="002E6FFA">
      <w:pPr>
        <w:pStyle w:val="DHHSbody"/>
      </w:pPr>
      <w:r w:rsidRPr="001E35AD">
        <w:t>In Victoria the importance of self-determination, and young people being supported by Aboriginal Community Controlled Organisations, are enshrined in s18 of the Children, Youth and Families Act 2005, which enables an Aboriginal organisation to undertake child protection functions and powers for children that would normally be undertaken by the Department of Health and Human Services</w:t>
      </w:r>
      <w:r>
        <w:t>.</w:t>
      </w:r>
      <w:r w:rsidRPr="001E35AD">
        <w:t xml:space="preserve"> This is realised through the Aboriginal Children in Aboriginal Care program.</w:t>
      </w:r>
    </w:p>
    <w:p w14:paraId="1E7E93EF" w14:textId="77777777" w:rsidR="002E6FFA" w:rsidRPr="002E6FFA" w:rsidRDefault="002E6FFA" w:rsidP="002E6FFA">
      <w:pPr>
        <w:pStyle w:val="DHHSbody"/>
      </w:pPr>
      <w:r w:rsidRPr="002E6FFA">
        <w:t>Additionally, in line with the United Nations Declaration of the Rights of Indigenous Peoples, Aboriginal young people are free and equal to all other peoples and individuals and have the right to be free from any kind of discrimination in the exercise of their rights, particularly discrimination based on their indigenous origin or identity.</w:t>
      </w:r>
    </w:p>
    <w:p w14:paraId="78FE05F9" w14:textId="77777777" w:rsidR="002E6FFA" w:rsidRPr="00F72BDE" w:rsidRDefault="002E6FFA" w:rsidP="002E6FFA">
      <w:pPr>
        <w:pStyle w:val="Heading2"/>
      </w:pPr>
      <w:bookmarkStart w:id="39" w:name="_Toc15311685"/>
      <w:bookmarkStart w:id="40" w:name="_Toc15311889"/>
      <w:r w:rsidRPr="00F72BDE">
        <w:t xml:space="preserve">Guiding </w:t>
      </w:r>
      <w:r>
        <w:t>p</w:t>
      </w:r>
      <w:r w:rsidRPr="00F72BDE">
        <w:t>rinciple 5: A joint-agency commitment is necessary to divert young people in residential care from unnecessary contact with the criminal justice system.</w:t>
      </w:r>
      <w:bookmarkEnd w:id="39"/>
      <w:bookmarkEnd w:id="40"/>
    </w:p>
    <w:p w14:paraId="44380C9B" w14:textId="77777777" w:rsidR="002E6FFA" w:rsidRPr="002E6FFA" w:rsidRDefault="002E6FFA" w:rsidP="002E6FFA">
      <w:pPr>
        <w:pStyle w:val="DHHSbody"/>
      </w:pPr>
      <w:bookmarkStart w:id="41" w:name="_Toc14253501"/>
      <w:bookmarkStart w:id="42" w:name="_Toc14275590"/>
      <w:bookmarkStart w:id="43" w:name="_Toc14276309"/>
      <w:bookmarkStart w:id="44" w:name="_Toc14357097"/>
      <w:bookmarkStart w:id="45" w:name="_Toc14357150"/>
      <w:bookmarkStart w:id="46" w:name="_Toc14357290"/>
      <w:bookmarkStart w:id="47" w:name="_Toc14364130"/>
      <w:bookmarkStart w:id="48" w:name="_Toc14793024"/>
      <w:bookmarkStart w:id="49" w:name="_Toc14867890"/>
      <w:r w:rsidRPr="002E6FFA">
        <w:t>A proactive response to reducing criminalisation of young people in residential care must recognise the importance of community and local involvement. An opportunity exists to improve local responses, policies, processes and connections to reduce the unnecessary and inappropriate contact of young people in residential care with the criminal justice system.</w:t>
      </w:r>
    </w:p>
    <w:p w14:paraId="3548668F" w14:textId="77777777" w:rsidR="002E6FFA" w:rsidRPr="002E6FFA" w:rsidRDefault="002E6FFA" w:rsidP="002E6FFA">
      <w:pPr>
        <w:pStyle w:val="DHHSbody"/>
      </w:pPr>
      <w:r w:rsidRPr="002E6FFA">
        <w:t>Effective strategies to support young people in residential care at risk of contact with the criminal justice system should include:</w:t>
      </w:r>
    </w:p>
    <w:p w14:paraId="35934408" w14:textId="71ED714A" w:rsidR="002E6FFA" w:rsidRPr="00F72BDE" w:rsidRDefault="002E6FFA" w:rsidP="002E6FFA">
      <w:pPr>
        <w:pStyle w:val="DHHSbullet1"/>
      </w:pPr>
      <w:r>
        <w:t>e</w:t>
      </w:r>
      <w:r w:rsidRPr="00F72BDE">
        <w:t xml:space="preserve">stablishing a positive relationship between residential care staff, local police and young people in residential care that promotes the voice of the young person and their lived experience </w:t>
      </w:r>
      <w:r>
        <w:t>(s</w:t>
      </w:r>
      <w:r w:rsidRPr="00F72BDE">
        <w:t xml:space="preserve">uch relationships will foster an improved understanding of the young person’s current circumstances and how professionals might best prevent and disrupt adverse events that </w:t>
      </w:r>
      <w:r>
        <w:t>affect</w:t>
      </w:r>
      <w:r w:rsidRPr="00F72BDE">
        <w:t xml:space="preserve"> young people and build trusting relationships that enhance safety</w:t>
      </w:r>
      <w:r>
        <w:t>;</w:t>
      </w:r>
      <w:r w:rsidRPr="00F72BDE">
        <w:t xml:space="preserve"> </w:t>
      </w:r>
      <w:r>
        <w:t>t</w:t>
      </w:r>
      <w:r w:rsidRPr="00F72BDE">
        <w:t>his may include establish</w:t>
      </w:r>
      <w:r>
        <w:t>ing</w:t>
      </w:r>
      <w:r w:rsidRPr="00F72BDE">
        <w:t xml:space="preserve"> liaison officers between local police and the residential care home</w:t>
      </w:r>
      <w:r>
        <w:t>, and</w:t>
      </w:r>
      <w:r w:rsidRPr="00F72BDE">
        <w:t xml:space="preserve"> </w:t>
      </w:r>
      <w:r w:rsidR="0013166F">
        <w:t>y</w:t>
      </w:r>
      <w:r w:rsidRPr="00F72BDE">
        <w:t xml:space="preserve">outh </w:t>
      </w:r>
      <w:r w:rsidR="0013166F">
        <w:t>r</w:t>
      </w:r>
      <w:r w:rsidRPr="00F72BDE">
        <w:t xml:space="preserve">esource </w:t>
      </w:r>
      <w:r w:rsidR="0013166F">
        <w:t>o</w:t>
      </w:r>
      <w:r w:rsidRPr="00F72BDE">
        <w:t>fficers may be used as a point of expertise to assist this response</w:t>
      </w:r>
      <w:r>
        <w:t>)</w:t>
      </w:r>
    </w:p>
    <w:p w14:paraId="6DA5B6B4" w14:textId="77777777" w:rsidR="002E6FFA" w:rsidRPr="00F72BDE" w:rsidRDefault="002E6FFA" w:rsidP="002E6FFA">
      <w:pPr>
        <w:pStyle w:val="DHHSbullet1"/>
      </w:pPr>
      <w:r>
        <w:t>e</w:t>
      </w:r>
      <w:r w:rsidRPr="00F72BDE">
        <w:t>ngag</w:t>
      </w:r>
      <w:r>
        <w:t>ing</w:t>
      </w:r>
      <w:r w:rsidRPr="00F72BDE">
        <w:t xml:space="preserve"> with education programs</w:t>
      </w:r>
      <w:r>
        <w:t xml:space="preserve"> </w:t>
      </w:r>
      <w:r w:rsidRPr="00F72BDE">
        <w:t>and community</w:t>
      </w:r>
      <w:r>
        <w:t>-</w:t>
      </w:r>
      <w:r w:rsidRPr="00F72BDE">
        <w:t>based social inclusion activities</w:t>
      </w:r>
    </w:p>
    <w:p w14:paraId="095F0264" w14:textId="3D2008D0" w:rsidR="002E6FFA" w:rsidRPr="00F72BDE" w:rsidRDefault="002E6FFA" w:rsidP="002E6FFA">
      <w:pPr>
        <w:pStyle w:val="DHHSbullet1"/>
      </w:pPr>
      <w:r>
        <w:t>i</w:t>
      </w:r>
      <w:r w:rsidRPr="00F72BDE">
        <w:t xml:space="preserve">mplementing a training or agreed practice approach for residential care workers and local police </w:t>
      </w:r>
      <w:r>
        <w:t>that</w:t>
      </w:r>
      <w:r w:rsidRPr="00F72BDE">
        <w:t xml:space="preserve"> fosters local responses, prioritises restorative approaches and </w:t>
      </w:r>
      <w:r>
        <w:t xml:space="preserve">promotes </w:t>
      </w:r>
      <w:r w:rsidRPr="00F72BDE">
        <w:t>consistent responses to behaviours of concern</w:t>
      </w:r>
    </w:p>
    <w:p w14:paraId="1CEB787E" w14:textId="10FEE0D1" w:rsidR="002E6FFA" w:rsidRPr="00F72BDE" w:rsidRDefault="002E6FFA" w:rsidP="002E6FFA">
      <w:pPr>
        <w:pStyle w:val="DHHSbullet1"/>
      </w:pPr>
      <w:r>
        <w:lastRenderedPageBreak/>
        <w:t>e</w:t>
      </w:r>
      <w:r w:rsidRPr="00F72BDE">
        <w:t>mbedding an expectation that residential care workers and local police pursue evidence</w:t>
      </w:r>
      <w:r>
        <w:t>-</w:t>
      </w:r>
      <w:r w:rsidRPr="00F72BDE">
        <w:t>based processes and strategies to respond to behaviours of concern of young people in residential care</w:t>
      </w:r>
    </w:p>
    <w:p w14:paraId="107A3C2A" w14:textId="27E5801E" w:rsidR="002E6FFA" w:rsidRPr="00F72BDE" w:rsidRDefault="002E6FFA" w:rsidP="002E6FFA">
      <w:pPr>
        <w:pStyle w:val="DHHSbullet1"/>
      </w:pPr>
      <w:r>
        <w:t>s</w:t>
      </w:r>
      <w:r w:rsidRPr="00F72BDE">
        <w:t>haring best practice and information to support relationships and positive progress where circumstances change for a young person</w:t>
      </w:r>
      <w:r>
        <w:t xml:space="preserve"> – f</w:t>
      </w:r>
      <w:r w:rsidRPr="00F72BDE">
        <w:t>or example, changes in residential care staff</w:t>
      </w:r>
      <w:r>
        <w:t xml:space="preserve"> or</w:t>
      </w:r>
      <w:r w:rsidRPr="00F72BDE">
        <w:t xml:space="preserve"> local police officers</w:t>
      </w:r>
      <w:r>
        <w:t>,</w:t>
      </w:r>
      <w:r w:rsidRPr="00F72BDE">
        <w:t xml:space="preserve"> or </w:t>
      </w:r>
      <w:r>
        <w:t xml:space="preserve">when </w:t>
      </w:r>
      <w:r w:rsidRPr="00F72BDE">
        <w:t xml:space="preserve">young people move to a different placement. </w:t>
      </w:r>
    </w:p>
    <w:bookmarkEnd w:id="41"/>
    <w:bookmarkEnd w:id="42"/>
    <w:bookmarkEnd w:id="43"/>
    <w:bookmarkEnd w:id="44"/>
    <w:bookmarkEnd w:id="45"/>
    <w:bookmarkEnd w:id="46"/>
    <w:bookmarkEnd w:id="47"/>
    <w:bookmarkEnd w:id="48"/>
    <w:bookmarkEnd w:id="49"/>
    <w:p w14:paraId="3C62C830" w14:textId="07AABF96" w:rsidR="00B508A6" w:rsidRPr="00B508A6" w:rsidRDefault="00B508A6" w:rsidP="00E97405">
      <w:pPr>
        <w:pStyle w:val="Heading3"/>
        <w:rPr>
          <w:rStyle w:val="Strong"/>
          <w:rFonts w:ascii="Cambria" w:hAnsi="Cambria"/>
        </w:rPr>
      </w:pPr>
      <w:r w:rsidRPr="00E97405">
        <w:t xml:space="preserve">Practice </w:t>
      </w:r>
      <w:r w:rsidR="00B742B9">
        <w:t xml:space="preserve">advice </w:t>
      </w:r>
      <w:r w:rsidR="00257EEA">
        <w:t>–</w:t>
      </w:r>
      <w:r w:rsidRPr="00E97405">
        <w:t xml:space="preserve"> </w:t>
      </w:r>
      <w:r w:rsidR="00B742B9">
        <w:t>i</w:t>
      </w:r>
      <w:r w:rsidRPr="00E97405">
        <w:t>nformation</w:t>
      </w:r>
      <w:r w:rsidRPr="00B508A6">
        <w:rPr>
          <w:rStyle w:val="Strong"/>
        </w:rPr>
        <w:t xml:space="preserve"> </w:t>
      </w:r>
      <w:r w:rsidRPr="004763EA">
        <w:rPr>
          <w:rStyle w:val="Strong"/>
          <w:b/>
          <w:bCs/>
        </w:rPr>
        <w:t>sharing</w:t>
      </w:r>
      <w:r w:rsidRPr="00B508A6">
        <w:rPr>
          <w:rStyle w:val="Strong"/>
        </w:rPr>
        <w:t xml:space="preserve"> </w:t>
      </w:r>
    </w:p>
    <w:p w14:paraId="34A6A45E" w14:textId="40CB3ACC" w:rsidR="002E6FFA" w:rsidRPr="002E6FFA" w:rsidRDefault="002E6FFA" w:rsidP="002E6FFA">
      <w:pPr>
        <w:pStyle w:val="DHHSbody"/>
      </w:pPr>
      <w:r w:rsidRPr="002E6FFA">
        <w:t xml:space="preserve">Information sharing is critical for enabling a multi-agency commitment and for providing effective support to young people in residential care. The Child Information Sharing (CIS) scheme allows authorised organisations and professionals who work with young people to share information with each other to promote wellbeing and safety. While many organisations already work together to do this, the CIS scheme makes it easier for organisations and professionals to support young people as early as possible and </w:t>
      </w:r>
      <w:r w:rsidR="0013166F">
        <w:t xml:space="preserve">to </w:t>
      </w:r>
      <w:r w:rsidRPr="002E6FFA">
        <w:t xml:space="preserve">prevent harm occurring. In addition to residential care service providers and Victoria Police, the CIS scheme includes mental health practitioners, alcohol and other drug practitioners and family services. It is expected that education and general health services will be included in 2020. </w:t>
      </w:r>
    </w:p>
    <w:p w14:paraId="77FC7633" w14:textId="33177736" w:rsidR="002E6FFA" w:rsidRPr="002E6FFA" w:rsidRDefault="002E6FFA" w:rsidP="002E6FFA">
      <w:pPr>
        <w:pStyle w:val="DHHSbody"/>
      </w:pPr>
      <w:r w:rsidRPr="002E6FFA">
        <w:t>The CIS scheme enables broader, child-centred and comprehensive responses to support the wellbeing and safety of young people in residential care. For example, residential care workers</w:t>
      </w:r>
      <w:r w:rsidR="0013166F">
        <w:t>,</w:t>
      </w:r>
      <w:r w:rsidRPr="002E6FFA">
        <w:t xml:space="preserve"> case managers and Victoria Police can share information to develop an integrated and collaborative approach to better understand the needs of young people in residential care. This may include proactively sharing information about emerging risks, successful support strategies, wellbeing issues that may be affecting a young person’s behaviour or appropriate </w:t>
      </w:r>
      <w:proofErr w:type="gramStart"/>
      <w:r w:rsidRPr="002E6FFA">
        <w:t>longer term</w:t>
      </w:r>
      <w:proofErr w:type="gramEnd"/>
      <w:r w:rsidRPr="002E6FFA">
        <w:t xml:space="preserve"> approaches to support young people in residential care. </w:t>
      </w:r>
    </w:p>
    <w:p w14:paraId="2B4F6A61" w14:textId="77777777" w:rsidR="002E6FFA" w:rsidRPr="002E6FFA" w:rsidRDefault="002E6FFA" w:rsidP="002E6FFA">
      <w:pPr>
        <w:pStyle w:val="DHHSbody"/>
      </w:pPr>
      <w:r w:rsidRPr="002E6FFA">
        <w:t>Given the increased vulnerability of this cohort, consideration needs to be given to the purpose and intent of information shared (a young person’s health and wellbeing or community safety) so it does not inadvertently lead to further criminalisation of the young person or their peers.</w:t>
      </w:r>
    </w:p>
    <w:p w14:paraId="20B0DBCA" w14:textId="77777777" w:rsidR="002E6FFA" w:rsidRPr="00F72BDE" w:rsidRDefault="002E6FFA" w:rsidP="002E6FFA">
      <w:pPr>
        <w:pStyle w:val="Heading2"/>
      </w:pPr>
      <w:bookmarkStart w:id="50" w:name="_Toc15311687"/>
      <w:bookmarkStart w:id="51" w:name="_Toc15311891"/>
      <w:r w:rsidRPr="00F72BDE">
        <w:t xml:space="preserve">Guiding </w:t>
      </w:r>
      <w:r>
        <w:t>p</w:t>
      </w:r>
      <w:r w:rsidRPr="00F72BDE">
        <w:t>rinciple 6:</w:t>
      </w:r>
      <w:bookmarkEnd w:id="50"/>
      <w:bookmarkEnd w:id="51"/>
      <w:r>
        <w:t xml:space="preserve"> </w:t>
      </w:r>
      <w:r w:rsidRPr="00F72BDE">
        <w:t xml:space="preserve">Young people in residential care must be empowered to be heard and raise their concerns, including reporting an incident or abuse. </w:t>
      </w:r>
    </w:p>
    <w:p w14:paraId="3BEC91F9" w14:textId="77777777" w:rsidR="002E6FFA" w:rsidRPr="00F72BDE" w:rsidRDefault="002E6FFA" w:rsidP="002E6FFA">
      <w:pPr>
        <w:pStyle w:val="DHHSbody"/>
      </w:pPr>
      <w:r w:rsidRPr="00F72BDE">
        <w:t xml:space="preserve">Young people in residential care must be listened to and their voices and opinions valued and used to inform responses and interventions. Young people in residential care are particularly vulnerable to being victimised and may face challenges reporting abuse. </w:t>
      </w:r>
    </w:p>
    <w:p w14:paraId="7DA8E322" w14:textId="77777777" w:rsidR="002E6FFA" w:rsidRPr="00F72BDE" w:rsidRDefault="002E6FFA" w:rsidP="00E97405">
      <w:pPr>
        <w:pStyle w:val="Heading3"/>
      </w:pPr>
      <w:r w:rsidRPr="00F72BDE">
        <w:t>Voices of children or young people</w:t>
      </w:r>
    </w:p>
    <w:p w14:paraId="531E7BD9" w14:textId="03E1538E" w:rsidR="002E6FFA" w:rsidRPr="00F72BDE" w:rsidRDefault="002E6FFA" w:rsidP="002E6FFA">
      <w:pPr>
        <w:pStyle w:val="DHHSbody"/>
      </w:pPr>
      <w:r>
        <w:t>T</w:t>
      </w:r>
      <w:r w:rsidRPr="00F72BDE">
        <w:t>he CREATE Foundation</w:t>
      </w:r>
      <w:r>
        <w:t>’s</w:t>
      </w:r>
      <w:r w:rsidRPr="00F72BDE">
        <w:t xml:space="preserve"> </w:t>
      </w:r>
      <w:r w:rsidRPr="00F72BDE">
        <w:rPr>
          <w:i/>
        </w:rPr>
        <w:t xml:space="preserve">Youth </w:t>
      </w:r>
      <w:r>
        <w:rPr>
          <w:i/>
        </w:rPr>
        <w:t>j</w:t>
      </w:r>
      <w:r w:rsidRPr="00F72BDE">
        <w:rPr>
          <w:i/>
        </w:rPr>
        <w:t xml:space="preserve">ustice </w:t>
      </w:r>
      <w:r>
        <w:rPr>
          <w:i/>
        </w:rPr>
        <w:t>r</w:t>
      </w:r>
      <w:r w:rsidRPr="00F72BDE">
        <w:rPr>
          <w:i/>
        </w:rPr>
        <w:t>eport</w:t>
      </w:r>
      <w:r w:rsidRPr="00683DFC">
        <w:rPr>
          <w:vertAlign w:val="superscript"/>
        </w:rPr>
        <w:t>(</w:t>
      </w:r>
      <w:r w:rsidR="00417501">
        <w:rPr>
          <w:vertAlign w:val="superscript"/>
        </w:rPr>
        <w:t>1</w:t>
      </w:r>
      <w:r w:rsidRPr="00683DFC">
        <w:rPr>
          <w:vertAlign w:val="superscript"/>
        </w:rPr>
        <w:t>)</w:t>
      </w:r>
      <w:r w:rsidRPr="00F72BDE">
        <w:t xml:space="preserve"> and the Commission for Children and Young People</w:t>
      </w:r>
      <w:r>
        <w:t>’s</w:t>
      </w:r>
      <w:r w:rsidRPr="00F72BDE">
        <w:t xml:space="preserve"> </w:t>
      </w:r>
      <w:r w:rsidRPr="00F72BDE">
        <w:rPr>
          <w:i/>
        </w:rPr>
        <w:t xml:space="preserve">Residential </w:t>
      </w:r>
      <w:r>
        <w:rPr>
          <w:i/>
        </w:rPr>
        <w:t>c</w:t>
      </w:r>
      <w:r w:rsidRPr="00F72BDE">
        <w:rPr>
          <w:i/>
        </w:rPr>
        <w:t xml:space="preserve">are </w:t>
      </w:r>
      <w:r>
        <w:rPr>
          <w:i/>
        </w:rPr>
        <w:t>m</w:t>
      </w:r>
      <w:r w:rsidRPr="00F72BDE">
        <w:rPr>
          <w:i/>
        </w:rPr>
        <w:t xml:space="preserve">atters: </w:t>
      </w:r>
      <w:r w:rsidR="0013166F">
        <w:rPr>
          <w:i/>
        </w:rPr>
        <w:t>a</w:t>
      </w:r>
      <w:r w:rsidRPr="00F72BDE">
        <w:rPr>
          <w:i/>
        </w:rPr>
        <w:t xml:space="preserve"> resource for residential care workers, supervisors and managers caring for young people</w:t>
      </w:r>
      <w:r>
        <w:rPr>
          <w:vertAlign w:val="superscript"/>
        </w:rPr>
        <w:t>(</w:t>
      </w:r>
      <w:r w:rsidR="00417501">
        <w:rPr>
          <w:vertAlign w:val="superscript"/>
        </w:rPr>
        <w:t>2</w:t>
      </w:r>
      <w:r>
        <w:rPr>
          <w:vertAlign w:val="superscript"/>
        </w:rPr>
        <w:t>)</w:t>
      </w:r>
      <w:r w:rsidRPr="00F72BDE">
        <w:t xml:space="preserve"> capture young people’s views about residential care workers, police and the broader children and families system. </w:t>
      </w:r>
    </w:p>
    <w:p w14:paraId="53820E45" w14:textId="764F2548" w:rsidR="002E6FFA" w:rsidRPr="00F72BDE" w:rsidRDefault="002E6FFA" w:rsidP="002E6FFA">
      <w:pPr>
        <w:pStyle w:val="DHHSbody"/>
      </w:pPr>
      <w:r w:rsidRPr="00F72BDE">
        <w:t>The views and opinions of young people reflect their varied experiences and the need for a collaborative, child-centr</w:t>
      </w:r>
      <w:r w:rsidR="0013166F">
        <w:t>ed</w:t>
      </w:r>
      <w:r w:rsidRPr="00F72BDE">
        <w:t xml:space="preserve">, strengths-based response to reduce criminalisation of young people in residential care. </w:t>
      </w:r>
    </w:p>
    <w:p w14:paraId="3F6A501F" w14:textId="62EE2484" w:rsidR="002E6FFA" w:rsidRPr="00683DFC" w:rsidRDefault="002E6FFA" w:rsidP="004763EA">
      <w:pPr>
        <w:pStyle w:val="Quote"/>
        <w:rPr>
          <w:vertAlign w:val="superscript"/>
        </w:rPr>
      </w:pPr>
      <w:r>
        <w:t>‘</w:t>
      </w:r>
      <w:r w:rsidRPr="00F72BDE">
        <w:t>There are a lot of things frustrating about being in care like feeling restricted and being told what to do all the time</w:t>
      </w:r>
      <w:r>
        <w:t>,</w:t>
      </w:r>
      <w:r w:rsidRPr="00F72BDE">
        <w:t xml:space="preserve"> but I always feel like I can get help when I need and know that there are people that care about me</w:t>
      </w:r>
      <w:r>
        <w:t>.’</w:t>
      </w:r>
      <w:r w:rsidR="00417501">
        <w:rPr>
          <w:vertAlign w:val="superscript"/>
        </w:rPr>
        <w:t>2</w:t>
      </w:r>
    </w:p>
    <w:p w14:paraId="6C90940B" w14:textId="2AA779D2" w:rsidR="002E6FFA" w:rsidRPr="00683DFC" w:rsidRDefault="002E6FFA" w:rsidP="00E10950">
      <w:pPr>
        <w:pStyle w:val="Quote"/>
        <w:rPr>
          <w:vertAlign w:val="superscript"/>
        </w:rPr>
      </w:pPr>
      <w:r>
        <w:t>‘</w:t>
      </w:r>
      <w:r w:rsidRPr="00F72BDE">
        <w:t xml:space="preserve">I don’t think they get trauma or behaviours expressed by children and young people in care so there isn’t a lot of understanding towards them. It’s a lot about punishment rather than rehabilitation. It’s more </w:t>
      </w:r>
      <w:r>
        <w:t>“</w:t>
      </w:r>
      <w:r w:rsidRPr="00F72BDE">
        <w:t>you did the wrong thing</w:t>
      </w:r>
      <w:r>
        <w:t>”</w:t>
      </w:r>
      <w:r w:rsidRPr="00F72BDE">
        <w:t xml:space="preserve"> regardless of the reasons behind it</w:t>
      </w:r>
      <w:r>
        <w:t>.’</w:t>
      </w:r>
      <w:r w:rsidR="00417501">
        <w:rPr>
          <w:vertAlign w:val="superscript"/>
        </w:rPr>
        <w:t>1</w:t>
      </w:r>
    </w:p>
    <w:p w14:paraId="018C6196" w14:textId="74CC09F2" w:rsidR="002E6FFA" w:rsidRPr="00683DFC" w:rsidRDefault="002E6FFA">
      <w:pPr>
        <w:pStyle w:val="Quote"/>
        <w:rPr>
          <w:vertAlign w:val="superscript"/>
        </w:rPr>
      </w:pPr>
      <w:r>
        <w:lastRenderedPageBreak/>
        <w:t>‘</w:t>
      </w:r>
      <w:r w:rsidRPr="00F72BDE">
        <w:t>The police were always very supportive, they didn’t treat me like a criminal, they saw that there was something deeper there. Not about the robbery but rather risk taking. They spoke to me about the risks about continuing this behavio</w:t>
      </w:r>
      <w:r w:rsidR="0013166F">
        <w:t>u</w:t>
      </w:r>
      <w:r w:rsidRPr="00F72BDE">
        <w:t>r could lead to prison</w:t>
      </w:r>
      <w:r>
        <w:t>.’</w:t>
      </w:r>
      <w:r w:rsidR="00417501">
        <w:rPr>
          <w:vertAlign w:val="superscript"/>
        </w:rPr>
        <w:t>1</w:t>
      </w:r>
    </w:p>
    <w:p w14:paraId="01886713" w14:textId="57ED2C68" w:rsidR="002E6FFA" w:rsidRPr="00683DFC" w:rsidRDefault="002E6FFA">
      <w:pPr>
        <w:pStyle w:val="Quote"/>
        <w:rPr>
          <w:vertAlign w:val="superscript"/>
        </w:rPr>
      </w:pPr>
      <w:r>
        <w:t>‘</w:t>
      </w:r>
      <w:r w:rsidRPr="00F72BDE">
        <w:t xml:space="preserve">Police showed up and told me I had </w:t>
      </w:r>
      <w:proofErr w:type="gramStart"/>
      <w:r w:rsidRPr="00F72BDE">
        <w:t>absconded</w:t>
      </w:r>
      <w:proofErr w:type="gramEnd"/>
      <w:r w:rsidRPr="00F72BDE">
        <w:t xml:space="preserve"> and I should be ashamed of myself</w:t>
      </w:r>
      <w:r w:rsidR="00486774">
        <w:t xml:space="preserve"> </w:t>
      </w:r>
      <w:r w:rsidRPr="00F72BDE">
        <w:t>… said that I was lucky that they were not going to put handcuffs on me because normally that is what they have to do for people like me</w:t>
      </w:r>
      <w:r>
        <w:t>.</w:t>
      </w:r>
      <w:r w:rsidRPr="00F72BDE">
        <w:t xml:space="preserve"> I was made to feel quite small and inferior, I felt like a criminal</w:t>
      </w:r>
      <w:r>
        <w:t>.’</w:t>
      </w:r>
      <w:r w:rsidR="00417501">
        <w:rPr>
          <w:vertAlign w:val="superscript"/>
        </w:rPr>
        <w:t>1</w:t>
      </w:r>
    </w:p>
    <w:p w14:paraId="68E7047D" w14:textId="24169F64" w:rsidR="002E6FFA" w:rsidRPr="00683DFC" w:rsidRDefault="002E6FFA">
      <w:pPr>
        <w:pStyle w:val="Quote"/>
        <w:rPr>
          <w:vertAlign w:val="superscript"/>
        </w:rPr>
      </w:pPr>
      <w:r>
        <w:t>‘</w:t>
      </w:r>
      <w:r w:rsidRPr="00F72BDE">
        <w:t>The unit I live in have great staff and kids and although it hurts very much that I am not able to live at home with my family, at least I live in a unit that cares for me so much and guides me in the right direction</w:t>
      </w:r>
      <w:r>
        <w:t>.’</w:t>
      </w:r>
      <w:r w:rsidR="00417501">
        <w:rPr>
          <w:vertAlign w:val="superscript"/>
        </w:rPr>
        <w:t>1</w:t>
      </w:r>
    </w:p>
    <w:p w14:paraId="01A42AC8" w14:textId="3EF1C59D" w:rsidR="002E6FFA" w:rsidRPr="00683DFC" w:rsidRDefault="002E6FFA">
      <w:pPr>
        <w:pStyle w:val="Quote"/>
        <w:rPr>
          <w:i w:val="0"/>
          <w:vertAlign w:val="superscript"/>
        </w:rPr>
      </w:pPr>
      <w:r>
        <w:t>‘</w:t>
      </w:r>
      <w:r w:rsidRPr="00F72BDE">
        <w:t xml:space="preserve">A worker in a residential care unit escalated my behaviours by not letting me smoke on the balcony and made me go down the end of the driveway to smoke in the cold, and I got very angry and </w:t>
      </w:r>
      <w:r w:rsidRPr="00E97405">
        <w:t>upset</w:t>
      </w:r>
      <w:r w:rsidRPr="00F72BDE">
        <w:t xml:space="preserve"> and trashed my room. The worker called the police</w:t>
      </w:r>
      <w:r>
        <w:t>.’</w:t>
      </w:r>
      <w:r w:rsidR="00417501">
        <w:rPr>
          <w:i w:val="0"/>
          <w:vertAlign w:val="superscript"/>
        </w:rPr>
        <w:t>1</w:t>
      </w:r>
    </w:p>
    <w:p w14:paraId="1209ED16" w14:textId="43378C8E" w:rsidR="002E6FFA" w:rsidRPr="00683DFC" w:rsidRDefault="002E6FFA" w:rsidP="002E6FFA">
      <w:pPr>
        <w:pStyle w:val="Quote"/>
        <w:rPr>
          <w:vertAlign w:val="superscript"/>
        </w:rPr>
      </w:pPr>
      <w:r>
        <w:t>‘</w:t>
      </w:r>
      <w:r w:rsidRPr="00F72BDE">
        <w:t xml:space="preserve">[The </w:t>
      </w:r>
      <w:r>
        <w:t>d</w:t>
      </w:r>
      <w:r w:rsidRPr="00F72BDE">
        <w:t>epartment] should have explained to the judge that I had PTSD</w:t>
      </w:r>
      <w:r>
        <w:t xml:space="preserve"> </w:t>
      </w:r>
      <w:r w:rsidRPr="00F72BDE">
        <w:t>…</w:t>
      </w:r>
      <w:r>
        <w:t xml:space="preserve"> </w:t>
      </w:r>
      <w:r w:rsidRPr="00F72BDE">
        <w:t>I wasn’t given a fair opportunity</w:t>
      </w:r>
      <w:r>
        <w:t xml:space="preserve"> </w:t>
      </w:r>
      <w:r w:rsidRPr="00F72BDE">
        <w:t>…</w:t>
      </w:r>
      <w:r>
        <w:t xml:space="preserve"> </w:t>
      </w:r>
      <w:r w:rsidRPr="00F72BDE">
        <w:t xml:space="preserve">I was </w:t>
      </w:r>
      <w:proofErr w:type="spellStart"/>
      <w:r w:rsidRPr="00F72BDE">
        <w:t>chucked</w:t>
      </w:r>
      <w:proofErr w:type="spellEnd"/>
      <w:r w:rsidRPr="00F72BDE">
        <w:t xml:space="preserve"> in with the defen</w:t>
      </w:r>
      <w:r>
        <w:t>c</w:t>
      </w:r>
      <w:r w:rsidRPr="00F72BDE">
        <w:t>e lawyer. Of course, a 15-year-old is going to lose their temper when you keep asking them the same questions again and again and accuse them of lying</w:t>
      </w:r>
      <w:r>
        <w:t>.’</w:t>
      </w:r>
      <w:r w:rsidR="00417501">
        <w:rPr>
          <w:vertAlign w:val="superscript"/>
        </w:rPr>
        <w:t>1</w:t>
      </w:r>
    </w:p>
    <w:p w14:paraId="21D921D6" w14:textId="44E36A73" w:rsidR="002E6FFA" w:rsidRDefault="002E6FFA" w:rsidP="002E6FFA">
      <w:pPr>
        <w:pStyle w:val="Quote"/>
        <w:rPr>
          <w:vertAlign w:val="superscript"/>
        </w:rPr>
      </w:pPr>
      <w:r>
        <w:t>‘</w:t>
      </w:r>
      <w:r w:rsidRPr="00F72BDE">
        <w:t>[They] found my Aboriginal connection. Came and shared time with me. Came to my school meetings</w:t>
      </w:r>
      <w:r>
        <w:t xml:space="preserve"> </w:t>
      </w:r>
      <w:r w:rsidRPr="00F72BDE">
        <w:t>... Asked me what I cared about.</w:t>
      </w:r>
      <w:r>
        <w:t>’</w:t>
      </w:r>
      <w:r w:rsidR="00417501">
        <w:rPr>
          <w:vertAlign w:val="superscript"/>
        </w:rPr>
        <w:t>2</w:t>
      </w:r>
    </w:p>
    <w:p w14:paraId="21F3E09A" w14:textId="77777777" w:rsidR="002E6FFA" w:rsidRPr="002E6FFA" w:rsidRDefault="002E6FFA" w:rsidP="002E6FFA">
      <w:pPr>
        <w:pStyle w:val="DHHSbody"/>
      </w:pPr>
      <w:r w:rsidRPr="002E6FFA">
        <w:t>Listening is the first step in developing trust and a good relationship; how people respond to situations and information is equally as important to create a productive and positive relationship.</w:t>
      </w:r>
    </w:p>
    <w:p w14:paraId="23FC4B93" w14:textId="77777777" w:rsidR="002E6FFA" w:rsidRPr="002E6FFA" w:rsidRDefault="002E6FFA" w:rsidP="002E6FFA">
      <w:pPr>
        <w:pStyle w:val="DHHSbody"/>
      </w:pPr>
      <w:r w:rsidRPr="002E6FFA">
        <w:t xml:space="preserve">Empowering young people must always guide those involved in the young person’s care. Empowerment focuses on supporting young people to have their say and acknowledging their individual strengths. Empowerment and participation are not a one-off event but an approach that needs to be a part of a collaborative partnership. </w:t>
      </w:r>
    </w:p>
    <w:p w14:paraId="20EC1D82" w14:textId="77777777" w:rsidR="002E6FFA" w:rsidRPr="002E6FFA" w:rsidRDefault="002E6FFA" w:rsidP="002E6FFA">
      <w:pPr>
        <w:pStyle w:val="DHHSbody"/>
      </w:pPr>
      <w:r w:rsidRPr="002E6FFA">
        <w:t>Empowering young people and facilitating their participation enhances their agency, safety and engagement with their care team. Enabling young people’s participation includes:</w:t>
      </w:r>
    </w:p>
    <w:p w14:paraId="1D34D0EB" w14:textId="77777777" w:rsidR="002E6FFA" w:rsidRPr="00F72BDE" w:rsidRDefault="002E6FFA" w:rsidP="002E6FFA">
      <w:pPr>
        <w:pStyle w:val="DHHSbullet1"/>
      </w:pPr>
      <w:r>
        <w:t>s</w:t>
      </w:r>
      <w:r w:rsidRPr="00F72BDE">
        <w:t>upporting young people to understand their rights</w:t>
      </w:r>
    </w:p>
    <w:p w14:paraId="0E3F8A8C" w14:textId="77777777" w:rsidR="002E6FFA" w:rsidRPr="00F72BDE" w:rsidRDefault="002E6FFA" w:rsidP="002E6FFA">
      <w:pPr>
        <w:pStyle w:val="DHHSbullet1"/>
      </w:pPr>
      <w:r>
        <w:t>p</w:t>
      </w:r>
      <w:r w:rsidRPr="00F72BDE">
        <w:t>romoting and encouraging young people’s participation in decision</w:t>
      </w:r>
      <w:r>
        <w:t xml:space="preserve"> </w:t>
      </w:r>
      <w:r w:rsidRPr="00F72BDE">
        <w:t>making</w:t>
      </w:r>
    </w:p>
    <w:p w14:paraId="36B2DD69" w14:textId="77777777" w:rsidR="002E6FFA" w:rsidRPr="00F72BDE" w:rsidRDefault="002E6FFA" w:rsidP="002E6FFA">
      <w:pPr>
        <w:pStyle w:val="DHHSbullet1"/>
      </w:pPr>
      <w:r>
        <w:t>v</w:t>
      </w:r>
      <w:r w:rsidRPr="00F72BDE">
        <w:t>aluing and respecting young people’s opinions and strengths</w:t>
      </w:r>
    </w:p>
    <w:p w14:paraId="06E4DE5A" w14:textId="77777777" w:rsidR="002E6FFA" w:rsidRPr="00F72BDE" w:rsidRDefault="002E6FFA" w:rsidP="002E6FFA">
      <w:pPr>
        <w:pStyle w:val="DHHSbullet1"/>
      </w:pPr>
      <w:r>
        <w:t>s</w:t>
      </w:r>
      <w:r w:rsidRPr="00F72BDE">
        <w:t>eeking young people’s views about what makes them feel safe and unsafe</w:t>
      </w:r>
    </w:p>
    <w:p w14:paraId="1532CC5C" w14:textId="77777777" w:rsidR="002E6FFA" w:rsidRPr="00F72BDE" w:rsidRDefault="002E6FFA" w:rsidP="002E6FFA">
      <w:pPr>
        <w:pStyle w:val="DHHSbullet1"/>
      </w:pPr>
      <w:r>
        <w:t>e</w:t>
      </w:r>
      <w:r w:rsidRPr="00F72BDE">
        <w:t>stablishing an environment of trust and inclusion that enables young people to ask questions and speak up if they are worried or feeling unsafe.</w:t>
      </w:r>
    </w:p>
    <w:p w14:paraId="58D69899" w14:textId="63779D89" w:rsidR="002E6FFA" w:rsidRPr="002E6FFA" w:rsidRDefault="002E6FFA" w:rsidP="00E97405">
      <w:pPr>
        <w:pStyle w:val="DHHSbodyafterbullets"/>
      </w:pPr>
      <w:r w:rsidRPr="002E6FFA">
        <w:t xml:space="preserve">Young people are more likely to speak up </w:t>
      </w:r>
      <w:r w:rsidR="00FF5A20">
        <w:t>regarding</w:t>
      </w:r>
      <w:r w:rsidR="00FF5A20" w:rsidRPr="002E6FFA">
        <w:t xml:space="preserve"> </w:t>
      </w:r>
      <w:r w:rsidRPr="002E6FFA">
        <w:t>their concerns about feeling unsafe, or</w:t>
      </w:r>
      <w:r w:rsidR="00FF5A20">
        <w:t xml:space="preserve"> to</w:t>
      </w:r>
      <w:r w:rsidRPr="002E6FFA">
        <w:t xml:space="preserve"> make a complaint, if they feel their views are valued and welcomed. Acknowledgement of strengths and participation is also important for young people because it gives them an opportunity to have a say about issues and decisions that affect them. This does not mean that conflict can be entirely avoided, but a strong relationship will support de-escalation and resolution when there is conflict. </w:t>
      </w:r>
    </w:p>
    <w:p w14:paraId="3BA901BF" w14:textId="77777777" w:rsidR="002E6FFA" w:rsidRPr="00F72BDE" w:rsidRDefault="002E6FFA" w:rsidP="002E6FFA">
      <w:pPr>
        <w:pStyle w:val="Heading2"/>
      </w:pPr>
      <w:bookmarkStart w:id="52" w:name="_Toc15311688"/>
      <w:bookmarkStart w:id="53" w:name="_Toc15311892"/>
      <w:bookmarkStart w:id="54" w:name="_Toc14357115"/>
      <w:bookmarkStart w:id="55" w:name="_Toc14357168"/>
      <w:bookmarkStart w:id="56" w:name="_Toc14357308"/>
      <w:bookmarkStart w:id="57" w:name="_Toc14364148"/>
      <w:bookmarkStart w:id="58" w:name="_Toc14793049"/>
      <w:bookmarkStart w:id="59" w:name="_Toc14867915"/>
      <w:r w:rsidRPr="00F72BDE">
        <w:lastRenderedPageBreak/>
        <w:t xml:space="preserve">Guiding </w:t>
      </w:r>
      <w:r>
        <w:t>p</w:t>
      </w:r>
      <w:r w:rsidRPr="00F72BDE">
        <w:t xml:space="preserve">rinciple 7: A young person in residential care has the same rights and liberties as young people in the community. Human rights must be upheld, and resources must be provided to </w:t>
      </w:r>
      <w:r>
        <w:t xml:space="preserve">help </w:t>
      </w:r>
      <w:r w:rsidRPr="00F72BDE">
        <w:t xml:space="preserve">seek support or legal advice. </w:t>
      </w:r>
    </w:p>
    <w:bookmarkEnd w:id="52"/>
    <w:p w14:paraId="5DB4BFE5" w14:textId="77777777" w:rsidR="002E6FFA" w:rsidRPr="00F72BDE" w:rsidRDefault="002E6FFA" w:rsidP="002E6FFA">
      <w:pPr>
        <w:pStyle w:val="DHHSbody"/>
      </w:pPr>
      <w:r w:rsidRPr="00F72BDE">
        <w:t xml:space="preserve">The </w:t>
      </w:r>
      <w:r w:rsidRPr="0068023E">
        <w:rPr>
          <w:i/>
          <w:iCs/>
        </w:rPr>
        <w:t>Charter of Human Rights and Responsibilities</w:t>
      </w:r>
      <w:r w:rsidRPr="00F72BDE">
        <w:t xml:space="preserve"> requires the Victorian Government, public servants, local councils, Victoria Police and other public authorities to act compatibly with human rights, and to consider human rights when developing policies, making laws, delivering services and making decisions.</w:t>
      </w:r>
    </w:p>
    <w:p w14:paraId="7A32A747" w14:textId="19BD61B5" w:rsidR="002E6FFA" w:rsidRPr="00F72BDE" w:rsidRDefault="002E6FFA" w:rsidP="002E6FFA">
      <w:pPr>
        <w:pStyle w:val="DHHSbody"/>
      </w:pPr>
      <w:r>
        <w:t>Y</w:t>
      </w:r>
      <w:r w:rsidRPr="00F72BDE">
        <w:t xml:space="preserve">oung people have the same general human rights as adults, but they also have specific rights that recognise their needs and vulnerability. The UN </w:t>
      </w:r>
      <w:r w:rsidRPr="0068023E">
        <w:rPr>
          <w:i/>
          <w:iCs/>
        </w:rPr>
        <w:t>Convention on the Rights of the Child</w:t>
      </w:r>
      <w:r w:rsidRPr="00F72BDE">
        <w:t xml:space="preserve"> has four guiding principles</w:t>
      </w:r>
      <w:r>
        <w:t>, which</w:t>
      </w:r>
      <w:r w:rsidR="00D20628">
        <w:t xml:space="preserve"> </w:t>
      </w:r>
      <w:r w:rsidRPr="00F72BDE">
        <w:t>are core requirements for any and all rights to be realised. The principles are:</w:t>
      </w:r>
    </w:p>
    <w:p w14:paraId="04484F00" w14:textId="77777777" w:rsidR="002E6FFA" w:rsidRPr="00F72BDE" w:rsidRDefault="002E6FFA" w:rsidP="002E6FFA">
      <w:pPr>
        <w:pStyle w:val="DHHSbullet1"/>
      </w:pPr>
      <w:r w:rsidRPr="00F72BDE">
        <w:rPr>
          <w:i/>
        </w:rPr>
        <w:t>Non-discrimination:</w:t>
      </w:r>
      <w:r w:rsidRPr="00F72BDE">
        <w:t xml:space="preserve"> </w:t>
      </w:r>
      <w:r>
        <w:t>Children must not be discriminated against, n</w:t>
      </w:r>
      <w:r w:rsidRPr="00F72BDE">
        <w:t xml:space="preserve">o matter their religion, race, capabilities; whatever they think or say; or what their culture and gender identify is. </w:t>
      </w:r>
    </w:p>
    <w:p w14:paraId="650B5E62" w14:textId="77777777" w:rsidR="002E6FFA" w:rsidRPr="00F72BDE" w:rsidRDefault="002E6FFA" w:rsidP="002E6FFA">
      <w:pPr>
        <w:pStyle w:val="DHHSbullet1"/>
      </w:pPr>
      <w:r w:rsidRPr="00F72BDE">
        <w:rPr>
          <w:i/>
        </w:rPr>
        <w:t>The best interests of the child:</w:t>
      </w:r>
      <w:r w:rsidRPr="00F72BDE">
        <w:t xml:space="preserve"> </w:t>
      </w:r>
      <w:r>
        <w:t>A</w:t>
      </w:r>
      <w:r w:rsidRPr="00F72BDE">
        <w:t>ny decision that is made, or any action that is taken, that may affect children or young people must prioritise the best interests of the child</w:t>
      </w:r>
      <w:r>
        <w:t>.</w:t>
      </w:r>
    </w:p>
    <w:p w14:paraId="0030B5F7" w14:textId="77777777" w:rsidR="002E6FFA" w:rsidRPr="00F72BDE" w:rsidRDefault="002E6FFA" w:rsidP="002E6FFA">
      <w:pPr>
        <w:pStyle w:val="DHHSbullet1"/>
      </w:pPr>
      <w:r w:rsidRPr="00F72BDE">
        <w:rPr>
          <w:i/>
        </w:rPr>
        <w:t>Ensuring the child’s survival and development:</w:t>
      </w:r>
      <w:r w:rsidRPr="00F72BDE">
        <w:t xml:space="preserve"> Every young person has the inherent right to life, and it is the responsibility of decision-makers to ensure they are provided every opportunity to develop and reach their potential</w:t>
      </w:r>
      <w:r>
        <w:t>.</w:t>
      </w:r>
    </w:p>
    <w:p w14:paraId="67C16878" w14:textId="77777777" w:rsidR="002E6FFA" w:rsidRPr="00F72BDE" w:rsidRDefault="002E6FFA" w:rsidP="002E6FFA">
      <w:pPr>
        <w:pStyle w:val="DHHSbullet1"/>
      </w:pPr>
      <w:r w:rsidRPr="00F72BDE">
        <w:rPr>
          <w:i/>
        </w:rPr>
        <w:t>Participation:</w:t>
      </w:r>
      <w:r w:rsidRPr="00F72BDE">
        <w:t xml:space="preserve"> </w:t>
      </w:r>
      <w:r>
        <w:t>Y</w:t>
      </w:r>
      <w:r w:rsidRPr="00F72BDE">
        <w:t xml:space="preserve">oung people are experts in their own lives and experiences and should be consulted on decisions that affect them. Every young person has the right to express their opinion and can provide advice into how their rights can best be protected and fulfilled. </w:t>
      </w:r>
    </w:p>
    <w:p w14:paraId="01D1B617" w14:textId="115A1EEB" w:rsidR="002E6FFA" w:rsidRPr="00F72BDE" w:rsidRDefault="002E6FFA" w:rsidP="00401069">
      <w:pPr>
        <w:pStyle w:val="DHHSbodyafterbullets"/>
      </w:pPr>
      <w:r w:rsidRPr="00F72BDE">
        <w:t xml:space="preserve">Moreover, young people in care services should expect they will be kept safe and well by all the people who provide them with care. The </w:t>
      </w:r>
      <w:r w:rsidRPr="0068023E">
        <w:rPr>
          <w:i/>
          <w:iCs/>
        </w:rPr>
        <w:t>Charter for children in out-of-home care</w:t>
      </w:r>
      <w:r w:rsidRPr="00F72BDE">
        <w:t xml:space="preserve"> has been especially prepared for </w:t>
      </w:r>
      <w:r w:rsidR="007E371F">
        <w:t>young people</w:t>
      </w:r>
      <w:r w:rsidR="007E371F" w:rsidRPr="00F72BDE">
        <w:t xml:space="preserve"> </w:t>
      </w:r>
      <w:r w:rsidRPr="00F72BDE">
        <w:t>who can</w:t>
      </w:r>
      <w:r>
        <w:t>’</w:t>
      </w:r>
      <w:r w:rsidRPr="00F72BDE">
        <w:t xml:space="preserve">t live with their parents and are in care services and must be considered for guiding the </w:t>
      </w:r>
      <w:r>
        <w:t>f</w:t>
      </w:r>
      <w:r w:rsidRPr="00F72BDE">
        <w:t xml:space="preserve">ramework. </w:t>
      </w:r>
    </w:p>
    <w:p w14:paraId="654340D5" w14:textId="77777777" w:rsidR="002E6FFA" w:rsidRPr="00F72BDE" w:rsidRDefault="002E6FFA" w:rsidP="002E6FFA">
      <w:pPr>
        <w:pStyle w:val="DHHSbody"/>
      </w:pPr>
      <w:r w:rsidRPr="00F72BDE">
        <w:t xml:space="preserve">Despite joint-agency best efforts, there will be instances where police must attend a residential care home. Subsequently, there may be occasions </w:t>
      </w:r>
      <w:r>
        <w:t xml:space="preserve">when </w:t>
      </w:r>
      <w:r w:rsidRPr="00F72BDE">
        <w:t xml:space="preserve">young people in residential care will be charged with an offence and will require legal support and advice. </w:t>
      </w:r>
    </w:p>
    <w:p w14:paraId="601B1939" w14:textId="2474ECC5" w:rsidR="002E6FFA" w:rsidRPr="00F72BDE" w:rsidRDefault="002E6FFA" w:rsidP="002E6FFA">
      <w:pPr>
        <w:pStyle w:val="DHHSbody"/>
      </w:pPr>
      <w:r w:rsidRPr="00F72BDE">
        <w:t xml:space="preserve">Young people in residential care must be provided with resources and avenues to seek legal advice and any other supports required. It is important to ensure that Aboriginal young people </w:t>
      </w:r>
      <w:proofErr w:type="gramStart"/>
      <w:r w:rsidRPr="00F72BDE">
        <w:t>are able to</w:t>
      </w:r>
      <w:proofErr w:type="gramEnd"/>
      <w:r w:rsidRPr="00F72BDE">
        <w:t xml:space="preserve"> access culturally safe legal services where required. A victim of harm has </w:t>
      </w:r>
      <w:r>
        <w:t>the</w:t>
      </w:r>
      <w:r w:rsidRPr="00F72BDE">
        <w:t xml:space="preserve"> right to involve police following any incident without fear of reprisal, stigma or re-traumatisation. </w:t>
      </w:r>
    </w:p>
    <w:p w14:paraId="0AA39B7E" w14:textId="77777777" w:rsidR="002E6FFA" w:rsidRPr="00F72BDE" w:rsidRDefault="002E6FFA" w:rsidP="002E6FFA">
      <w:pPr>
        <w:pStyle w:val="Heading2"/>
      </w:pPr>
      <w:r w:rsidRPr="00F72BDE">
        <w:t xml:space="preserve">Guiding </w:t>
      </w:r>
      <w:r>
        <w:t>p</w:t>
      </w:r>
      <w:r w:rsidRPr="00F72BDE">
        <w:t xml:space="preserve">rinciple 8: </w:t>
      </w:r>
      <w:bookmarkEnd w:id="53"/>
      <w:r w:rsidRPr="00F72BDE">
        <w:t>Criminal charges will not be pursued if there’s a viable alternative. Discretion will be exercised when police intervention is required.</w:t>
      </w:r>
      <w:r>
        <w:t xml:space="preserve"> </w:t>
      </w:r>
    </w:p>
    <w:p w14:paraId="4190E6F2" w14:textId="77777777" w:rsidR="002E6FFA" w:rsidRPr="00F72BDE" w:rsidRDefault="002E6FFA" w:rsidP="002E6FFA">
      <w:pPr>
        <w:pStyle w:val="DHHSbody"/>
      </w:pPr>
      <w:r w:rsidRPr="00F72BDE">
        <w:t>The most effective interventions for young people displaying behaviours of concern are therapeutic</w:t>
      </w:r>
      <w:r>
        <w:t>;</w:t>
      </w:r>
      <w:r w:rsidRPr="00F72BDE">
        <w:t xml:space="preserve"> this includes when responding to incidents.</w:t>
      </w:r>
      <w:r>
        <w:t xml:space="preserve"> </w:t>
      </w:r>
      <w:r w:rsidRPr="00F72BDE">
        <w:t xml:space="preserve">An intervention, including police involvement, must never be used to punish, degrade, intimidate or coerce, nor should it be used to exert personal power or control. </w:t>
      </w:r>
    </w:p>
    <w:p w14:paraId="6EF8B843" w14:textId="77777777" w:rsidR="002E6FFA" w:rsidRPr="00F72BDE" w:rsidRDefault="002E6FFA" w:rsidP="002E6FFA">
      <w:pPr>
        <w:pStyle w:val="DHHSbody"/>
      </w:pPr>
      <w:r w:rsidRPr="00F72BDE">
        <w:t>Diversion and alternative approaches must underpin any response when police are called to attend to a residential care home. Cautioning or diversionary options must consider the specific needs of young people in residential care, including:</w:t>
      </w:r>
    </w:p>
    <w:p w14:paraId="56C1E730" w14:textId="77777777" w:rsidR="002E6FFA" w:rsidRPr="00F72BDE" w:rsidRDefault="002E6FFA" w:rsidP="002E6FFA">
      <w:pPr>
        <w:pStyle w:val="DHHSbullet1"/>
      </w:pPr>
      <w:r>
        <w:t>t</w:t>
      </w:r>
      <w:r w:rsidRPr="00F72BDE">
        <w:t>he likelihood the young person will experience and demonstrate difficulty engaging with authority figures</w:t>
      </w:r>
    </w:p>
    <w:p w14:paraId="67CEF839" w14:textId="19D61C2E" w:rsidR="002E6FFA" w:rsidRPr="00F72BDE" w:rsidRDefault="002E6FFA" w:rsidP="002E6FFA">
      <w:pPr>
        <w:pStyle w:val="DHHSbullet1"/>
      </w:pPr>
      <w:r>
        <w:t>t</w:t>
      </w:r>
      <w:r w:rsidRPr="00F72BDE">
        <w:t>he possibility the young person may have intellectual, language or other communication difficulties</w:t>
      </w:r>
    </w:p>
    <w:p w14:paraId="0A15901B" w14:textId="77777777" w:rsidR="002E6FFA" w:rsidRPr="00F72BDE" w:rsidRDefault="002E6FFA" w:rsidP="002E6FFA">
      <w:pPr>
        <w:pStyle w:val="DHHSbullet1"/>
      </w:pPr>
      <w:r>
        <w:t>s</w:t>
      </w:r>
      <w:r w:rsidRPr="00F72BDE">
        <w:t>pecific needs associated with age, gender and culture</w:t>
      </w:r>
    </w:p>
    <w:p w14:paraId="784616C6" w14:textId="77777777" w:rsidR="002E6FFA" w:rsidRPr="00F72BDE" w:rsidRDefault="002E6FFA" w:rsidP="002E6FFA">
      <w:pPr>
        <w:pStyle w:val="DHHSbullet1"/>
      </w:pPr>
      <w:r>
        <w:lastRenderedPageBreak/>
        <w:t>the s</w:t>
      </w:r>
      <w:r w:rsidRPr="00F72BDE">
        <w:t>eriousness of the offence and the degree of harm caused to alleged victim</w:t>
      </w:r>
      <w:r>
        <w:t>(</w:t>
      </w:r>
      <w:r w:rsidRPr="00F72BDE">
        <w:t>s</w:t>
      </w:r>
      <w:r>
        <w:t>)</w:t>
      </w:r>
    </w:p>
    <w:p w14:paraId="33E4A843" w14:textId="77777777" w:rsidR="002E6FFA" w:rsidRPr="00F72BDE" w:rsidRDefault="002E6FFA" w:rsidP="002E6FFA">
      <w:pPr>
        <w:pStyle w:val="DHHSbullet1"/>
      </w:pPr>
      <w:r>
        <w:t>the v</w:t>
      </w:r>
      <w:r w:rsidRPr="00F72BDE">
        <w:t>iews of the alleged victim</w:t>
      </w:r>
      <w:r>
        <w:t>(</w:t>
      </w:r>
      <w:r w:rsidRPr="00F72BDE">
        <w:t>s</w:t>
      </w:r>
      <w:r>
        <w:t>)</w:t>
      </w:r>
    </w:p>
    <w:p w14:paraId="6617CF68" w14:textId="77777777" w:rsidR="002E6FFA" w:rsidRPr="00F72BDE" w:rsidRDefault="002E6FFA" w:rsidP="002E6FFA">
      <w:pPr>
        <w:pStyle w:val="DHHSbullet1"/>
      </w:pPr>
      <w:r>
        <w:t>i</w:t>
      </w:r>
      <w:r w:rsidRPr="00F72BDE">
        <w:t>nformation provided by the residential care service about the child’s personal circumstances.</w:t>
      </w:r>
    </w:p>
    <w:p w14:paraId="3A7CA40B" w14:textId="4603C8E8" w:rsidR="002E6FFA" w:rsidRPr="00F72BDE" w:rsidRDefault="002E6FFA" w:rsidP="00E97405">
      <w:pPr>
        <w:pStyle w:val="DHHSbodyafterbullets"/>
      </w:pPr>
      <w:r w:rsidRPr="00F72BDE">
        <w:t xml:space="preserve">Police involvement must focus on harm minimisation. An indicator of whether </w:t>
      </w:r>
      <w:r>
        <w:t xml:space="preserve">a </w:t>
      </w:r>
      <w:r w:rsidRPr="00F72BDE">
        <w:t xml:space="preserve">police response is appropriate is </w:t>
      </w:r>
      <w:r w:rsidRPr="00F609FD">
        <w:rPr>
          <w:b/>
          <w:bCs/>
        </w:rPr>
        <w:t xml:space="preserve">when the behaviour will lead to immediate and substantial risk of harm to </w:t>
      </w:r>
      <w:r>
        <w:rPr>
          <w:b/>
          <w:bCs/>
        </w:rPr>
        <w:t>the young person</w:t>
      </w:r>
      <w:r w:rsidRPr="00F609FD">
        <w:rPr>
          <w:b/>
          <w:bCs/>
        </w:rPr>
        <w:t xml:space="preserve"> or others</w:t>
      </w:r>
      <w:r w:rsidRPr="00F609FD">
        <w:t>.</w:t>
      </w:r>
      <w:r w:rsidRPr="00F72BDE">
        <w:rPr>
          <w:u w:val="single"/>
        </w:rPr>
        <w:t xml:space="preserve"> </w:t>
      </w:r>
    </w:p>
    <w:p w14:paraId="5AAE1CFA" w14:textId="198B50EB" w:rsidR="002E6FFA" w:rsidRPr="00F72BDE" w:rsidRDefault="002E6FFA" w:rsidP="002E6FFA">
      <w:pPr>
        <w:pStyle w:val="DHHSbody"/>
      </w:pPr>
      <w:r w:rsidRPr="00F72BDE">
        <w:t>The appropriate and considered use of discretion is integral to effective</w:t>
      </w:r>
      <w:r>
        <w:t>ly</w:t>
      </w:r>
      <w:r w:rsidRPr="00F72BDE">
        <w:t xml:space="preserve"> implement</w:t>
      </w:r>
      <w:r>
        <w:t>ing</w:t>
      </w:r>
      <w:r w:rsidRPr="00F72BDE">
        <w:t xml:space="preserve"> the </w:t>
      </w:r>
      <w:r>
        <w:t>f</w:t>
      </w:r>
      <w:r w:rsidRPr="00F72BDE">
        <w:t xml:space="preserve">ramework. When police are responding to incidents in residential care homes, police will consider </w:t>
      </w:r>
      <w:r w:rsidR="00C71A14">
        <w:t>using</w:t>
      </w:r>
      <w:r w:rsidRPr="00F72BDE">
        <w:t xml:space="preserve"> discretionary powers as an alternative to criminal charges. This includes consideration of issuing a warning</w:t>
      </w:r>
      <w:r w:rsidR="00417501">
        <w:t>, a</w:t>
      </w:r>
      <w:r w:rsidRPr="00F72BDE">
        <w:t xml:space="preserve"> Child Caution</w:t>
      </w:r>
      <w:r w:rsidR="00417501">
        <w:t>,</w:t>
      </w:r>
      <w:r w:rsidRPr="00F72BDE">
        <w:t xml:space="preserve"> or supporting an application for diversion. </w:t>
      </w:r>
    </w:p>
    <w:p w14:paraId="649A7AA2" w14:textId="3A4C5664" w:rsidR="002E6FFA" w:rsidRPr="00F72BDE" w:rsidRDefault="002E6FFA" w:rsidP="002E6FFA">
      <w:pPr>
        <w:pStyle w:val="DHHSbody"/>
      </w:pPr>
      <w:r w:rsidRPr="00F72BDE">
        <w:t>Police may also determine that no further action is required in response to an incident after discussing the incident with the relevant residential care staff, young people involved and any victim</w:t>
      </w:r>
      <w:r>
        <w:t>(</w:t>
      </w:r>
      <w:r w:rsidRPr="00F72BDE">
        <w:t>s</w:t>
      </w:r>
      <w:r>
        <w:t>),</w:t>
      </w:r>
      <w:r w:rsidRPr="00F72BDE">
        <w:t xml:space="preserve"> noting </w:t>
      </w:r>
      <w:r w:rsidR="00C71A14">
        <w:t xml:space="preserve">that </w:t>
      </w:r>
      <w:r w:rsidRPr="00F72BDE">
        <w:t>a victim of harm has a right to involve police following any incident.</w:t>
      </w:r>
      <w:r>
        <w:t xml:space="preserve"> </w:t>
      </w:r>
      <w:r w:rsidRPr="00F72BDE">
        <w:t xml:space="preserve">An approach </w:t>
      </w:r>
      <w:r w:rsidR="00C71A14">
        <w:t>that</w:t>
      </w:r>
      <w:r w:rsidR="00C71A14" w:rsidRPr="00F72BDE">
        <w:t xml:space="preserve"> </w:t>
      </w:r>
      <w:r w:rsidRPr="00F72BDE">
        <w:t>first considers exercising discretion to respond informally to a young person in residential care is likely to leave police with more diversionary options in the future.</w:t>
      </w:r>
    </w:p>
    <w:p w14:paraId="0ED30785" w14:textId="1D9B1BAA" w:rsidR="002E6FFA" w:rsidRPr="00F72BDE" w:rsidRDefault="002E6FFA" w:rsidP="002E6FFA">
      <w:pPr>
        <w:pStyle w:val="DHHSbody"/>
      </w:pPr>
      <w:r w:rsidRPr="00F72BDE">
        <w:t xml:space="preserve">The Victorian </w:t>
      </w:r>
      <w:r>
        <w:t>y</w:t>
      </w:r>
      <w:r w:rsidRPr="00F72BDE">
        <w:t xml:space="preserve">outh </w:t>
      </w:r>
      <w:r>
        <w:t>j</w:t>
      </w:r>
      <w:r w:rsidRPr="00F72BDE">
        <w:t xml:space="preserve">ustice system has a strong focus on diversion and restorative justice including </w:t>
      </w:r>
      <w:proofErr w:type="gramStart"/>
      <w:r w:rsidRPr="00F72BDE">
        <w:t>through the use of</w:t>
      </w:r>
      <w:proofErr w:type="gramEnd"/>
      <w:r w:rsidRPr="00F72BDE">
        <w:t xml:space="preserve"> group conferencing. Conferencing, one of the more common forms of restorative justice, should be considered and is thought to be more effective than sentencing in reducing reoffending due to the different stigmatising effects of each.</w:t>
      </w:r>
    </w:p>
    <w:bookmarkEnd w:id="54"/>
    <w:bookmarkEnd w:id="55"/>
    <w:bookmarkEnd w:id="56"/>
    <w:bookmarkEnd w:id="57"/>
    <w:bookmarkEnd w:id="58"/>
    <w:bookmarkEnd w:id="59"/>
    <w:p w14:paraId="50D43D6D" w14:textId="77777777" w:rsidR="002E6FFA" w:rsidRDefault="002E6FFA" w:rsidP="00B93B5B">
      <w:pPr>
        <w:pStyle w:val="DHHSbody"/>
        <w:rPr>
          <w:rFonts w:asciiTheme="minorHAnsi" w:eastAsiaTheme="minorHAnsi" w:hAnsiTheme="minorHAnsi" w:cstheme="minorBidi"/>
          <w:color w:val="404040" w:themeColor="text1" w:themeTint="BF"/>
          <w:sz w:val="22"/>
          <w:szCs w:val="22"/>
          <w:lang w:eastAsia="en-AU"/>
        </w:rPr>
      </w:pPr>
      <w:r>
        <w:br w:type="page"/>
      </w:r>
    </w:p>
    <w:p w14:paraId="79455CB4" w14:textId="77777777" w:rsidR="002E6FFA" w:rsidRPr="00F72BDE" w:rsidRDefault="002E6FFA" w:rsidP="002E6FFA">
      <w:pPr>
        <w:pStyle w:val="Heading1"/>
        <w:rPr>
          <w:rFonts w:eastAsia="Times"/>
        </w:rPr>
      </w:pPr>
      <w:bookmarkStart w:id="60" w:name="_Toc31442879"/>
      <w:r w:rsidRPr="00F72BDE">
        <w:rPr>
          <w:rFonts w:eastAsia="MS Gothic"/>
        </w:rPr>
        <w:lastRenderedPageBreak/>
        <w:t xml:space="preserve">A decision-making guide for when to call </w:t>
      </w:r>
      <w:r w:rsidRPr="009775DD">
        <w:rPr>
          <w:rFonts w:eastAsia="MS Gothic"/>
        </w:rPr>
        <w:t>police</w:t>
      </w:r>
      <w:r w:rsidRPr="00F72BDE">
        <w:rPr>
          <w:rFonts w:eastAsia="MS Gothic"/>
        </w:rPr>
        <w:t xml:space="preserve"> in residential care</w:t>
      </w:r>
      <w:bookmarkEnd w:id="60"/>
    </w:p>
    <w:p w14:paraId="75026AFC" w14:textId="77777777" w:rsidR="002E6FFA" w:rsidRPr="00257EEA" w:rsidRDefault="002E6FFA" w:rsidP="00257EEA">
      <w:pPr>
        <w:pStyle w:val="Quote"/>
        <w:rPr>
          <w:rStyle w:val="Strong"/>
          <w:b w:val="0"/>
          <w:bCs w:val="0"/>
        </w:rPr>
      </w:pPr>
      <w:r w:rsidRPr="00257EEA">
        <w:rPr>
          <w:rStyle w:val="Strong"/>
          <w:b w:val="0"/>
          <w:bCs w:val="0"/>
        </w:rPr>
        <w:t>In the event of an emergency or immediate risk to safety, please call triple zero (000).</w:t>
      </w:r>
    </w:p>
    <w:p w14:paraId="78CF40A7" w14:textId="7F368CB7" w:rsidR="002E6FFA" w:rsidRPr="002E6FFA" w:rsidRDefault="002E6FFA" w:rsidP="002E6FFA">
      <w:pPr>
        <w:pStyle w:val="DHHSbody"/>
      </w:pPr>
      <w:r w:rsidRPr="002E6FFA">
        <w:t>Th</w:t>
      </w:r>
      <w:r w:rsidR="008C2B4D">
        <w:t>is</w:t>
      </w:r>
      <w:r w:rsidRPr="002E6FFA">
        <w:t xml:space="preserve"> section</w:t>
      </w:r>
      <w:r w:rsidR="008C2B4D">
        <w:t xml:space="preserve"> of the framework provides</w:t>
      </w:r>
      <w:r w:rsidRPr="002E6FFA">
        <w:t xml:space="preserve"> a decision-making guide for responding to incidents in residential care that aims to reduce unnecessary police involvement in matters that would normally be dealt with by parents in a traditional home environment and</w:t>
      </w:r>
      <w:r w:rsidR="008C2B4D">
        <w:t>, consequently,</w:t>
      </w:r>
      <w:r w:rsidRPr="002E6FFA">
        <w:t xml:space="preserve"> reduce the risk of criminalising young people in residential care. </w:t>
      </w:r>
    </w:p>
    <w:p w14:paraId="41F0314B" w14:textId="71D07C1B" w:rsidR="002E6FFA" w:rsidRPr="002E6FFA" w:rsidRDefault="002E6FFA" w:rsidP="002E6FFA">
      <w:pPr>
        <w:pStyle w:val="DHHSbody"/>
      </w:pPr>
      <w:r w:rsidRPr="002E6FFA">
        <w:t xml:space="preserve">The decision-making guide is based on the guiding principles of the framework and that </w:t>
      </w:r>
      <w:r w:rsidRPr="002E6FFA">
        <w:rPr>
          <w:rStyle w:val="Strong"/>
        </w:rPr>
        <w:t>a police response should be the last resort to a non-crisis situation</w:t>
      </w:r>
      <w:r w:rsidRPr="002E6FFA">
        <w:t xml:space="preserve"> and must only ever be considered after other de-escalation strategies have been attempted without success. It is also based on the principle that </w:t>
      </w:r>
      <w:r w:rsidRPr="002E6FFA">
        <w:rPr>
          <w:rStyle w:val="Strong"/>
        </w:rPr>
        <w:t>criminal charges should only be pursued by police where alternative approaches are not appropriate</w:t>
      </w:r>
      <w:r w:rsidRPr="002E6FFA">
        <w:t xml:space="preserve">. </w:t>
      </w:r>
    </w:p>
    <w:p w14:paraId="369FD001" w14:textId="77777777" w:rsidR="002E6FFA" w:rsidRPr="002E6FFA" w:rsidRDefault="002E6FFA" w:rsidP="002E6FFA">
      <w:pPr>
        <w:pStyle w:val="DHHSbody"/>
      </w:pPr>
      <w:r w:rsidRPr="002E6FFA">
        <w:t xml:space="preserve">This framework must be read in conjunction with existing policies and practices including </w:t>
      </w:r>
      <w:r w:rsidRPr="00E97405">
        <w:rPr>
          <w:i/>
          <w:iCs/>
        </w:rPr>
        <w:t>Program requirements for residential care in Victoria</w:t>
      </w:r>
      <w:r w:rsidRPr="002E6FFA">
        <w:t xml:space="preserve"> and the Victoria Police manual. </w:t>
      </w:r>
    </w:p>
    <w:p w14:paraId="2BFB9453" w14:textId="77777777" w:rsidR="002E6FFA" w:rsidRPr="002E6FFA" w:rsidRDefault="002E6FFA" w:rsidP="002E6FFA">
      <w:pPr>
        <w:pStyle w:val="DHHSbody"/>
      </w:pPr>
      <w:r w:rsidRPr="002E6FFA">
        <w:t xml:space="preserve">All elements of the framework should also be incorporated into standard operating procedures for both residential care service providers and Victoria Police. </w:t>
      </w:r>
    </w:p>
    <w:p w14:paraId="6D760572" w14:textId="77777777" w:rsidR="002E6FFA" w:rsidRPr="00F72BDE" w:rsidRDefault="002E6FFA" w:rsidP="002E6FFA">
      <w:pPr>
        <w:pStyle w:val="Heading2"/>
      </w:pPr>
      <w:bookmarkStart w:id="61" w:name="_Toc14357117"/>
      <w:bookmarkStart w:id="62" w:name="_Toc14357170"/>
      <w:bookmarkStart w:id="63" w:name="_Toc14357310"/>
      <w:bookmarkStart w:id="64" w:name="_Toc14364150"/>
      <w:bookmarkStart w:id="65" w:name="_Toc14793039"/>
      <w:bookmarkStart w:id="66" w:name="_Toc14867905"/>
      <w:r w:rsidRPr="00F72BDE">
        <w:t xml:space="preserve">Stages of </w:t>
      </w:r>
      <w:r>
        <w:t>r</w:t>
      </w:r>
      <w:r w:rsidRPr="00F72BDE">
        <w:t>espon</w:t>
      </w:r>
      <w:bookmarkEnd w:id="61"/>
      <w:bookmarkEnd w:id="62"/>
      <w:bookmarkEnd w:id="63"/>
      <w:r w:rsidRPr="00F72BDE">
        <w:t>ding to behaviour</w:t>
      </w:r>
      <w:bookmarkEnd w:id="64"/>
      <w:bookmarkEnd w:id="65"/>
      <w:bookmarkEnd w:id="66"/>
      <w:r w:rsidRPr="00F72BDE">
        <w:t>s of concern</w:t>
      </w:r>
    </w:p>
    <w:p w14:paraId="63BBE9B0" w14:textId="6636044E" w:rsidR="002E6FFA" w:rsidRPr="00F72BDE" w:rsidRDefault="002E6FFA" w:rsidP="002E6FFA">
      <w:pPr>
        <w:pStyle w:val="DHHSbody"/>
      </w:pPr>
      <w:r w:rsidRPr="00F72BDE">
        <w:t xml:space="preserve">Responding to behaviours of concern forms part of a consistent, respectful approach to </w:t>
      </w:r>
      <w:r w:rsidR="00E10182">
        <w:t>a young person’s</w:t>
      </w:r>
      <w:r w:rsidRPr="00F72BDE">
        <w:t xml:space="preserve"> overall care. Responding to behaviours does not just occur at the point the behaviour manifests. It is something residential care staff and police can proactively prepare for – to either prevent it occurring or to reduce its severity. It is essential that residential care workers be guided by a continuum of responses to the </w:t>
      </w:r>
      <w:r>
        <w:t>young person’s</w:t>
      </w:r>
      <w:r w:rsidRPr="00F72BDE">
        <w:t xml:space="preserve"> behaviours. This continuum </w:t>
      </w:r>
      <w:r w:rsidRPr="00F72BDE">
        <w:rPr>
          <w:b/>
        </w:rPr>
        <w:t>must</w:t>
      </w:r>
      <w:r w:rsidRPr="00F72BDE">
        <w:t xml:space="preserve"> always begin with anticipation, planning and proactive prevention. </w:t>
      </w:r>
    </w:p>
    <w:p w14:paraId="3B00E7C5" w14:textId="77777777" w:rsidR="002E6FFA" w:rsidRDefault="002E6FFA" w:rsidP="002E6FFA">
      <w:pPr>
        <w:pStyle w:val="DHHSbody"/>
      </w:pPr>
      <w:r w:rsidRPr="00F72BDE">
        <w:t>The framework provides four stages for response</w:t>
      </w:r>
      <w:r>
        <w:t>, as shown in Figure 1.</w:t>
      </w:r>
      <w:r w:rsidRPr="00F72BDE">
        <w:t xml:space="preserve"> </w:t>
      </w:r>
    </w:p>
    <w:p w14:paraId="2CC83A72" w14:textId="77777777" w:rsidR="002E6FFA" w:rsidRPr="00F72BDE" w:rsidRDefault="002E6FFA" w:rsidP="00257EEA">
      <w:pPr>
        <w:pStyle w:val="DHHSfigurecaption"/>
      </w:pPr>
      <w:r>
        <w:t xml:space="preserve">Figure 1: The </w:t>
      </w:r>
      <w:r w:rsidRPr="00F72BDE">
        <w:t>four stages for response</w:t>
      </w:r>
    </w:p>
    <w:p w14:paraId="18770501" w14:textId="77777777" w:rsidR="002E6FFA" w:rsidRPr="00F72BDE" w:rsidRDefault="002E6FFA" w:rsidP="002E6FFA">
      <w:pPr>
        <w:pStyle w:val="DHHSbody"/>
      </w:pPr>
      <w:r>
        <w:rPr>
          <w:noProof/>
        </w:rPr>
        <w:drawing>
          <wp:inline distT="0" distB="0" distL="0" distR="0" wp14:anchorId="789F7683" wp14:editId="7F7126FA">
            <wp:extent cx="6479540" cy="1543050"/>
            <wp:effectExtent l="0" t="0" r="0" b="0"/>
            <wp:docPr id="5" name="Picture 5" descr="Flowchart showing that proactive prevention and de-escalation are interconnected, leading to intervention and repair and 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79540" cy="1543050"/>
                    </a:xfrm>
                    <a:prstGeom prst="rect">
                      <a:avLst/>
                    </a:prstGeom>
                    <a:noFill/>
                    <a:ln>
                      <a:noFill/>
                    </a:ln>
                  </pic:spPr>
                </pic:pic>
              </a:graphicData>
            </a:graphic>
          </wp:inline>
        </w:drawing>
      </w:r>
    </w:p>
    <w:p w14:paraId="2907A5D2" w14:textId="77777777" w:rsidR="002E6FFA" w:rsidRPr="002E6FFA" w:rsidRDefault="002E6FFA" w:rsidP="002E6FFA">
      <w:pPr>
        <w:pStyle w:val="DHHSbody"/>
      </w:pPr>
      <w:r w:rsidRPr="002E6FFA">
        <w:t xml:space="preserve">The continuum of response may move back and forth between prevention and de-escalation strategies. </w:t>
      </w:r>
    </w:p>
    <w:p w14:paraId="25713472" w14:textId="77777777" w:rsidR="002E6FFA" w:rsidRPr="002E6FFA" w:rsidRDefault="002E6FFA" w:rsidP="002E6FFA">
      <w:pPr>
        <w:pStyle w:val="DHHSbody"/>
      </w:pPr>
      <w:r w:rsidRPr="002E6FFA">
        <w:t xml:space="preserve">If the de-escalation strategies </w:t>
      </w:r>
      <w:proofErr w:type="gramStart"/>
      <w:r w:rsidRPr="002E6FFA">
        <w:t>do not succeed</w:t>
      </w:r>
      <w:proofErr w:type="gramEnd"/>
      <w:r w:rsidRPr="002E6FFA">
        <w:t>, the response may move to appropriate intervention and consideration for police involvement, after which reflection and repairing of the relationship with those involved must be addressed.</w:t>
      </w:r>
    </w:p>
    <w:p w14:paraId="02F5B403" w14:textId="77777777" w:rsidR="002E6FFA" w:rsidRPr="002E6FFA" w:rsidRDefault="002E6FFA" w:rsidP="002E6FFA">
      <w:pPr>
        <w:pStyle w:val="Heading3"/>
      </w:pPr>
      <w:bookmarkStart w:id="67" w:name="_Toc14357118"/>
      <w:bookmarkStart w:id="68" w:name="_Toc14357171"/>
      <w:bookmarkStart w:id="69" w:name="_Toc14357311"/>
      <w:bookmarkStart w:id="70" w:name="_Toc14364151"/>
      <w:bookmarkStart w:id="71" w:name="_Toc14793040"/>
      <w:bookmarkStart w:id="72" w:name="_Toc14867906"/>
      <w:r w:rsidRPr="002E6FFA">
        <w:t xml:space="preserve">Proactive </w:t>
      </w:r>
      <w:bookmarkEnd w:id="67"/>
      <w:bookmarkEnd w:id="68"/>
      <w:bookmarkEnd w:id="69"/>
      <w:bookmarkEnd w:id="70"/>
      <w:r w:rsidRPr="002E6FFA">
        <w:t>prevention</w:t>
      </w:r>
      <w:bookmarkEnd w:id="71"/>
      <w:bookmarkEnd w:id="72"/>
    </w:p>
    <w:p w14:paraId="27078C37" w14:textId="77777777" w:rsidR="002E6FFA" w:rsidRPr="002E6FFA" w:rsidRDefault="002E6FFA" w:rsidP="002E6FFA">
      <w:pPr>
        <w:pStyle w:val="DHHSbody"/>
      </w:pPr>
      <w:r w:rsidRPr="002E6FFA">
        <w:t xml:space="preserve">The most effective way to respond to behaviours or concern, or harm between young people or with staff, is to be able to prevent it in the first place. </w:t>
      </w:r>
    </w:p>
    <w:p w14:paraId="679AEB81" w14:textId="414FFEC6" w:rsidR="002E6FFA" w:rsidRPr="002E6FFA" w:rsidRDefault="002E6FFA" w:rsidP="002E6FFA">
      <w:pPr>
        <w:pStyle w:val="DHHSbody"/>
      </w:pPr>
      <w:r w:rsidRPr="002E6FFA">
        <w:lastRenderedPageBreak/>
        <w:t xml:space="preserve">Supporting and managing the behaviour of young people can be complex. Behaviour may be developmentally appropriate (seen in </w:t>
      </w:r>
      <w:r w:rsidR="007E371F">
        <w:t>young people</w:t>
      </w:r>
      <w:r w:rsidR="007E371F" w:rsidRPr="00F72BDE">
        <w:t xml:space="preserve"> </w:t>
      </w:r>
      <w:r w:rsidRPr="002E6FFA">
        <w:t xml:space="preserve">of similar age) or may be as a result of, or impacted by, factors such as previously experienced trauma, disability, mental health, alcohol and other drugs and a young person’s environment. </w:t>
      </w:r>
    </w:p>
    <w:p w14:paraId="3D499652" w14:textId="05DB67EC" w:rsidR="002E6FFA" w:rsidRPr="002E6FFA" w:rsidRDefault="002E6FFA" w:rsidP="002E6FFA">
      <w:pPr>
        <w:pStyle w:val="DHHSbody"/>
      </w:pPr>
      <w:r w:rsidRPr="002E6FFA">
        <w:t xml:space="preserve">Providing sensitive and responsive care is critical to improving positive outcomes for a young person. A range of tailored and planned supports are needed to keep young people safe and to effect positive behaviour change. Positive behaviour support </w:t>
      </w:r>
      <w:proofErr w:type="gramStart"/>
      <w:r w:rsidRPr="002E6FFA">
        <w:t>is based on an assumption</w:t>
      </w:r>
      <w:proofErr w:type="gramEnd"/>
      <w:r w:rsidRPr="002E6FFA">
        <w:t xml:space="preserve"> that all behaviour happens for a reason. Each behaviour serves a purpose (or function) for the young person and communicates a message. A </w:t>
      </w:r>
      <w:r w:rsidR="00F76A0D" w:rsidRPr="002E6FFA">
        <w:t>young person</w:t>
      </w:r>
      <w:r w:rsidR="00F76A0D">
        <w:t>’s</w:t>
      </w:r>
      <w:r w:rsidR="00F76A0D" w:rsidRPr="002E6FFA">
        <w:t xml:space="preserve"> </w:t>
      </w:r>
      <w:r w:rsidRPr="002E6FFA">
        <w:t xml:space="preserve">behaviour support plan anticipates how the young person may respond and specifies a range of strategies to be used in supporting the person's behaviour including proactive strategies to build on their strengths and increase their life skills. </w:t>
      </w:r>
    </w:p>
    <w:p w14:paraId="4B189531" w14:textId="77777777" w:rsidR="002E6FFA" w:rsidRPr="002E6FFA" w:rsidRDefault="002E6FFA" w:rsidP="002E6FFA">
      <w:pPr>
        <w:pStyle w:val="DHHSbody"/>
        <w:rPr>
          <w:rStyle w:val="Strong"/>
        </w:rPr>
      </w:pPr>
      <w:r w:rsidRPr="002E6FFA">
        <w:rPr>
          <w:rStyle w:val="Strong"/>
        </w:rPr>
        <w:t xml:space="preserve">All young people in residential care must have a behaviour support plan. </w:t>
      </w:r>
    </w:p>
    <w:p w14:paraId="092044A2" w14:textId="77777777" w:rsidR="002E6FFA" w:rsidRPr="002E6FFA" w:rsidRDefault="002E6FFA" w:rsidP="002E6FFA">
      <w:pPr>
        <w:pStyle w:val="DHHSbody"/>
      </w:pPr>
      <w:r w:rsidRPr="002E6FFA">
        <w:t xml:space="preserve">Behaviour support plans should align with an individual’s </w:t>
      </w:r>
      <w:r w:rsidRPr="005A53B8">
        <w:rPr>
          <w:i/>
        </w:rPr>
        <w:t>Looking after children care and placement plan</w:t>
      </w:r>
      <w:r w:rsidRPr="002E6FFA">
        <w:t xml:space="preserve"> and be consistent with a positive behaviour support framework. </w:t>
      </w:r>
    </w:p>
    <w:p w14:paraId="35F5A76F" w14:textId="77777777" w:rsidR="002E6FFA" w:rsidRPr="002E6FFA" w:rsidRDefault="002E6FFA" w:rsidP="002E6FFA">
      <w:pPr>
        <w:pStyle w:val="DHHSbody"/>
      </w:pPr>
      <w:r w:rsidRPr="002E6FFA">
        <w:t xml:space="preserve">For Aboriginal young people, behaviour support plans should align with the young person’s cultural plan and must consider Aboriginal decision-making principles. Aboriginal people should be involved in developing their behaviour support plan. Consideration should be given to consulting with an Aboriginal community-controlled organisation as part of developing the behaviour support plan. </w:t>
      </w:r>
    </w:p>
    <w:p w14:paraId="2C252A16" w14:textId="4D2E6C06" w:rsidR="002E6FFA" w:rsidRPr="002E6FFA" w:rsidRDefault="002E6FFA" w:rsidP="002E6FFA">
      <w:pPr>
        <w:pStyle w:val="DHHSbody"/>
      </w:pPr>
      <w:r w:rsidRPr="002E6FFA">
        <w:t xml:space="preserve">A </w:t>
      </w:r>
      <w:hyperlink r:id="rId22" w:history="1">
        <w:r w:rsidRPr="00E97405">
          <w:rPr>
            <w:rStyle w:val="Hyperlink"/>
          </w:rPr>
          <w:t>behaviour support plan template</w:t>
        </w:r>
      </w:hyperlink>
      <w:r w:rsidRPr="002E6FFA">
        <w:t xml:space="preserve"> &lt;https://providers.dhhs.vic.gov.au/behaviour-support-plan-template-out-home-care-services&gt; can be found </w:t>
      </w:r>
      <w:r w:rsidR="00F76A0D">
        <w:t>on</w:t>
      </w:r>
      <w:r w:rsidR="00F76A0D" w:rsidRPr="002E6FFA">
        <w:t xml:space="preserve"> </w:t>
      </w:r>
      <w:r w:rsidRPr="002E6FFA">
        <w:t xml:space="preserve">the Department of Health and Human Services website. </w:t>
      </w:r>
    </w:p>
    <w:p w14:paraId="28CC62E3" w14:textId="77777777" w:rsidR="002E6FFA" w:rsidRPr="002E6FFA" w:rsidRDefault="002E6FFA" w:rsidP="002E6FFA">
      <w:pPr>
        <w:pStyle w:val="DHHSbody"/>
      </w:pPr>
      <w:r w:rsidRPr="002E6FFA">
        <w:t xml:space="preserve">A positive behaviour support plan may include a range of strategies or actions such as those listed in Table 1. </w:t>
      </w:r>
    </w:p>
    <w:p w14:paraId="43FA7096" w14:textId="77777777" w:rsidR="002E6FFA" w:rsidRPr="002E6FFA" w:rsidRDefault="002E6FFA" w:rsidP="002E6FFA">
      <w:pPr>
        <w:pStyle w:val="DHHStablecaption"/>
      </w:pPr>
      <w:r w:rsidRPr="002E6FFA">
        <w:t>Table 1: Positive behaviour support plan strategies</w:t>
      </w:r>
    </w:p>
    <w:tbl>
      <w:tblPr>
        <w:tblStyle w:val="GridTable1Light"/>
        <w:tblW w:w="5000" w:type="pct"/>
        <w:tblLook w:val="0420" w:firstRow="1" w:lastRow="0" w:firstColumn="0" w:lastColumn="0" w:noHBand="0" w:noVBand="1"/>
      </w:tblPr>
      <w:tblGrid>
        <w:gridCol w:w="3071"/>
        <w:gridCol w:w="2957"/>
        <w:gridCol w:w="3260"/>
      </w:tblGrid>
      <w:tr w:rsidR="002E6FFA" w:rsidRPr="00B508A6" w14:paraId="3C47011D" w14:textId="77777777" w:rsidTr="00E97405">
        <w:trPr>
          <w:cnfStyle w:val="100000000000" w:firstRow="1" w:lastRow="0" w:firstColumn="0" w:lastColumn="0" w:oddVBand="0" w:evenVBand="0" w:oddHBand="0" w:evenHBand="0" w:firstRowFirstColumn="0" w:firstRowLastColumn="0" w:lastRowFirstColumn="0" w:lastRowLastColumn="0"/>
          <w:trHeight w:val="705"/>
          <w:tblHeader/>
        </w:trPr>
        <w:tc>
          <w:tcPr>
            <w:tcW w:w="0" w:type="pct"/>
          </w:tcPr>
          <w:p w14:paraId="79BE0753" w14:textId="77777777" w:rsidR="002E6FFA" w:rsidRPr="00E97405" w:rsidRDefault="002E6FFA" w:rsidP="00B508A6">
            <w:pPr>
              <w:pStyle w:val="DHHStablecolhead"/>
              <w:rPr>
                <w:b/>
                <w:bCs w:val="0"/>
                <w:sz w:val="20"/>
                <w:szCs w:val="20"/>
              </w:rPr>
            </w:pPr>
            <w:r w:rsidRPr="00F76A0D">
              <w:t>Changes to the environment / environmental supports</w:t>
            </w:r>
          </w:p>
        </w:tc>
        <w:tc>
          <w:tcPr>
            <w:tcW w:w="0" w:type="pct"/>
          </w:tcPr>
          <w:p w14:paraId="0A2BFD62" w14:textId="77777777" w:rsidR="002E6FFA" w:rsidRPr="00E97405" w:rsidRDefault="002E6FFA" w:rsidP="00B508A6">
            <w:pPr>
              <w:pStyle w:val="DHHStablecolhead"/>
              <w:rPr>
                <w:b/>
                <w:bCs w:val="0"/>
                <w:sz w:val="20"/>
                <w:szCs w:val="20"/>
              </w:rPr>
            </w:pPr>
            <w:r w:rsidRPr="00F76A0D">
              <w:t>Teaching skills for young people</w:t>
            </w:r>
          </w:p>
        </w:tc>
        <w:tc>
          <w:tcPr>
            <w:tcW w:w="0" w:type="pct"/>
          </w:tcPr>
          <w:p w14:paraId="54A44063" w14:textId="77777777" w:rsidR="002E6FFA" w:rsidRPr="00E97405" w:rsidRDefault="002E6FFA" w:rsidP="00B508A6">
            <w:pPr>
              <w:pStyle w:val="DHHStablecolhead"/>
              <w:rPr>
                <w:b/>
                <w:bCs w:val="0"/>
                <w:sz w:val="20"/>
                <w:szCs w:val="20"/>
              </w:rPr>
            </w:pPr>
            <w:r w:rsidRPr="00F76A0D">
              <w:t>Short-term strategies that promote rapid change</w:t>
            </w:r>
          </w:p>
        </w:tc>
      </w:tr>
      <w:tr w:rsidR="002E6FFA" w:rsidRPr="00F72BDE" w14:paraId="3BD02887" w14:textId="77777777" w:rsidTr="00B508A6">
        <w:trPr>
          <w:trHeight w:val="70"/>
        </w:trPr>
        <w:tc>
          <w:tcPr>
            <w:tcW w:w="1653" w:type="pct"/>
          </w:tcPr>
          <w:p w14:paraId="0B0285A3" w14:textId="77777777" w:rsidR="002E6FFA" w:rsidRPr="00401069" w:rsidRDefault="002E6FFA" w:rsidP="00B508A6">
            <w:pPr>
              <w:pStyle w:val="DHHStabletext"/>
              <w:rPr>
                <w:sz w:val="20"/>
                <w:szCs w:val="20"/>
              </w:rPr>
            </w:pPr>
            <w:r w:rsidRPr="00401069">
              <w:rPr>
                <w:sz w:val="20"/>
                <w:szCs w:val="20"/>
              </w:rPr>
              <w:t>Making changes to the environment based on information about the young person to provide:</w:t>
            </w:r>
          </w:p>
          <w:p w14:paraId="7ACD785B" w14:textId="77777777" w:rsidR="002E6FFA" w:rsidRPr="00401069" w:rsidRDefault="002E6FFA" w:rsidP="00B508A6">
            <w:pPr>
              <w:pStyle w:val="DHHStablebullet1"/>
              <w:rPr>
                <w:sz w:val="20"/>
                <w:szCs w:val="20"/>
              </w:rPr>
            </w:pPr>
            <w:r w:rsidRPr="00401069">
              <w:rPr>
                <w:sz w:val="20"/>
                <w:szCs w:val="20"/>
              </w:rPr>
              <w:t>increased opportunities for access to a variety of activities</w:t>
            </w:r>
          </w:p>
          <w:p w14:paraId="378F3977" w14:textId="77777777" w:rsidR="002E6FFA" w:rsidRPr="00401069" w:rsidRDefault="002E6FFA" w:rsidP="00B508A6">
            <w:pPr>
              <w:pStyle w:val="DHHStablebullet1"/>
              <w:rPr>
                <w:sz w:val="20"/>
                <w:szCs w:val="20"/>
              </w:rPr>
            </w:pPr>
            <w:r w:rsidRPr="00401069">
              <w:rPr>
                <w:sz w:val="20"/>
                <w:szCs w:val="20"/>
              </w:rPr>
              <w:t>a focus on tasks and opportunities that build on strengths</w:t>
            </w:r>
          </w:p>
          <w:p w14:paraId="0C9C4E32" w14:textId="77777777" w:rsidR="002E6FFA" w:rsidRPr="00401069" w:rsidRDefault="002E6FFA" w:rsidP="00B508A6">
            <w:pPr>
              <w:pStyle w:val="DHHStablebullet1"/>
              <w:rPr>
                <w:sz w:val="20"/>
                <w:szCs w:val="20"/>
              </w:rPr>
            </w:pPr>
            <w:r w:rsidRPr="00401069">
              <w:rPr>
                <w:sz w:val="20"/>
                <w:szCs w:val="20"/>
              </w:rPr>
              <w:t>increased positive interactions with the young person</w:t>
            </w:r>
          </w:p>
          <w:p w14:paraId="63707DF9" w14:textId="77777777" w:rsidR="002E6FFA" w:rsidRPr="00401069" w:rsidRDefault="002E6FFA" w:rsidP="00B508A6">
            <w:pPr>
              <w:pStyle w:val="DHHStablebullet1"/>
              <w:rPr>
                <w:sz w:val="20"/>
                <w:szCs w:val="20"/>
              </w:rPr>
            </w:pPr>
            <w:r w:rsidRPr="00401069">
              <w:rPr>
                <w:sz w:val="20"/>
                <w:szCs w:val="20"/>
              </w:rPr>
              <w:t>sensitive and responsive caring</w:t>
            </w:r>
          </w:p>
          <w:p w14:paraId="6D9DA0EE" w14:textId="77777777" w:rsidR="002E6FFA" w:rsidRPr="00401069" w:rsidRDefault="002E6FFA" w:rsidP="00B508A6">
            <w:pPr>
              <w:pStyle w:val="DHHStablebullet1"/>
              <w:rPr>
                <w:sz w:val="20"/>
                <w:szCs w:val="20"/>
              </w:rPr>
            </w:pPr>
            <w:r w:rsidRPr="00401069">
              <w:rPr>
                <w:sz w:val="20"/>
                <w:szCs w:val="20"/>
              </w:rPr>
              <w:t>a ‘balanced lifestyle’</w:t>
            </w:r>
          </w:p>
          <w:p w14:paraId="5333C4BE" w14:textId="77777777" w:rsidR="002E6FFA" w:rsidRPr="00401069" w:rsidRDefault="002E6FFA" w:rsidP="00B508A6">
            <w:pPr>
              <w:pStyle w:val="DHHStablebullet1"/>
              <w:rPr>
                <w:sz w:val="20"/>
                <w:szCs w:val="20"/>
              </w:rPr>
            </w:pPr>
            <w:r w:rsidRPr="00401069">
              <w:rPr>
                <w:sz w:val="20"/>
                <w:szCs w:val="20"/>
              </w:rPr>
              <w:t>a predictable environment</w:t>
            </w:r>
          </w:p>
          <w:p w14:paraId="040F97A6" w14:textId="77777777" w:rsidR="002E6FFA" w:rsidRPr="00401069" w:rsidRDefault="002E6FFA" w:rsidP="00B508A6">
            <w:pPr>
              <w:pStyle w:val="DHHStablebullet1"/>
              <w:rPr>
                <w:sz w:val="20"/>
                <w:szCs w:val="20"/>
              </w:rPr>
            </w:pPr>
            <w:r w:rsidRPr="00401069">
              <w:rPr>
                <w:sz w:val="20"/>
                <w:szCs w:val="20"/>
              </w:rPr>
              <w:t>consistent routines</w:t>
            </w:r>
          </w:p>
          <w:p w14:paraId="653980FC" w14:textId="77777777" w:rsidR="002E6FFA" w:rsidRPr="00401069" w:rsidRDefault="002E6FFA" w:rsidP="00B508A6">
            <w:pPr>
              <w:pStyle w:val="DHHStablebullet1"/>
              <w:rPr>
                <w:sz w:val="20"/>
                <w:szCs w:val="20"/>
              </w:rPr>
            </w:pPr>
            <w:r w:rsidRPr="00401069">
              <w:rPr>
                <w:sz w:val="20"/>
                <w:szCs w:val="20"/>
              </w:rPr>
              <w:lastRenderedPageBreak/>
              <w:t>improved interactions and realistic expectations.</w:t>
            </w:r>
          </w:p>
        </w:tc>
        <w:tc>
          <w:tcPr>
            <w:tcW w:w="1592" w:type="pct"/>
          </w:tcPr>
          <w:p w14:paraId="6A1640E6" w14:textId="77777777" w:rsidR="002E6FFA" w:rsidRPr="00401069" w:rsidRDefault="002E6FFA" w:rsidP="00B508A6">
            <w:pPr>
              <w:pStyle w:val="DHHStabletext"/>
              <w:rPr>
                <w:sz w:val="20"/>
                <w:szCs w:val="20"/>
              </w:rPr>
            </w:pPr>
            <w:r w:rsidRPr="00401069">
              <w:rPr>
                <w:sz w:val="20"/>
                <w:szCs w:val="20"/>
              </w:rPr>
              <w:lastRenderedPageBreak/>
              <w:t xml:space="preserve">Problem solving and decision-making skills – helping a young person put a problem into words, brainstorming solutions and making plans. </w:t>
            </w:r>
          </w:p>
          <w:p w14:paraId="72C4B355" w14:textId="77777777" w:rsidR="002E6FFA" w:rsidRPr="00401069" w:rsidRDefault="002E6FFA" w:rsidP="00B508A6">
            <w:pPr>
              <w:pStyle w:val="DHHStabletext"/>
              <w:rPr>
                <w:sz w:val="20"/>
                <w:szCs w:val="20"/>
              </w:rPr>
            </w:pPr>
            <w:r w:rsidRPr="00401069">
              <w:rPr>
                <w:sz w:val="20"/>
                <w:szCs w:val="20"/>
              </w:rPr>
              <w:t>General skills development – teaching a person to do more things for themselves.</w:t>
            </w:r>
          </w:p>
          <w:p w14:paraId="7F20C6C6" w14:textId="77777777" w:rsidR="002E6FFA" w:rsidRPr="00401069" w:rsidRDefault="002E6FFA" w:rsidP="00B508A6">
            <w:pPr>
              <w:pStyle w:val="DHHStabletext"/>
              <w:rPr>
                <w:sz w:val="20"/>
                <w:szCs w:val="20"/>
              </w:rPr>
            </w:pPr>
            <w:r w:rsidRPr="00401069">
              <w:rPr>
                <w:sz w:val="20"/>
                <w:szCs w:val="20"/>
              </w:rPr>
              <w:t>Effective communication – teaching a young person how to seek help or attention from others if needed.</w:t>
            </w:r>
          </w:p>
          <w:p w14:paraId="2776A6B9" w14:textId="77777777" w:rsidR="002E6FFA" w:rsidRPr="00401069" w:rsidRDefault="002E6FFA" w:rsidP="00B508A6">
            <w:pPr>
              <w:pStyle w:val="DHHStabletext"/>
              <w:rPr>
                <w:sz w:val="20"/>
                <w:szCs w:val="20"/>
              </w:rPr>
            </w:pPr>
            <w:r w:rsidRPr="00401069">
              <w:rPr>
                <w:sz w:val="20"/>
                <w:szCs w:val="20"/>
              </w:rPr>
              <w:t>Managing unhelpful thoughts – to address the way a young person thinks about themselves, others or the world around them.</w:t>
            </w:r>
          </w:p>
          <w:p w14:paraId="0DE6C660" w14:textId="77777777" w:rsidR="002E6FFA" w:rsidRPr="00401069" w:rsidRDefault="002E6FFA" w:rsidP="00B508A6">
            <w:pPr>
              <w:pStyle w:val="DHHStabletext"/>
              <w:rPr>
                <w:sz w:val="20"/>
                <w:szCs w:val="20"/>
              </w:rPr>
            </w:pPr>
            <w:r w:rsidRPr="00401069">
              <w:rPr>
                <w:sz w:val="20"/>
                <w:szCs w:val="20"/>
              </w:rPr>
              <w:t xml:space="preserve">Coping skills – teaching the young person what to do when feeling angry, how to put words to feelings and </w:t>
            </w:r>
            <w:r w:rsidRPr="00401069">
              <w:rPr>
                <w:sz w:val="20"/>
                <w:szCs w:val="20"/>
              </w:rPr>
              <w:lastRenderedPageBreak/>
              <w:t>emotions, and calming skills such as controlled breathing.</w:t>
            </w:r>
          </w:p>
        </w:tc>
        <w:tc>
          <w:tcPr>
            <w:tcW w:w="1755" w:type="pct"/>
          </w:tcPr>
          <w:p w14:paraId="69550912" w14:textId="77777777" w:rsidR="002E6FFA" w:rsidRPr="00401069" w:rsidRDefault="002E6FFA" w:rsidP="00B508A6">
            <w:pPr>
              <w:pStyle w:val="DHHStabletext"/>
              <w:rPr>
                <w:sz w:val="20"/>
                <w:szCs w:val="20"/>
              </w:rPr>
            </w:pPr>
            <w:r w:rsidRPr="00401069">
              <w:rPr>
                <w:sz w:val="20"/>
                <w:szCs w:val="20"/>
              </w:rPr>
              <w:lastRenderedPageBreak/>
              <w:t>Building the skills of workers to use strategies that readily support learning new skills or positive behaviour responses such as:</w:t>
            </w:r>
          </w:p>
          <w:p w14:paraId="7E49DA37" w14:textId="77777777" w:rsidR="002E6FFA" w:rsidRPr="00401069" w:rsidRDefault="002E6FFA" w:rsidP="00B508A6">
            <w:pPr>
              <w:pStyle w:val="DHHStablebullet1"/>
              <w:rPr>
                <w:sz w:val="20"/>
                <w:szCs w:val="20"/>
              </w:rPr>
            </w:pPr>
            <w:r w:rsidRPr="00401069">
              <w:rPr>
                <w:sz w:val="20"/>
                <w:szCs w:val="20"/>
              </w:rPr>
              <w:t>reinforcing specific ‘positive’ behaviours – this includes an understanding of reinforcement, identifying resources and how to use reinforcement to promote behaviour change</w:t>
            </w:r>
          </w:p>
          <w:p w14:paraId="724578A6" w14:textId="77777777" w:rsidR="002E6FFA" w:rsidRPr="00401069" w:rsidRDefault="002E6FFA" w:rsidP="00B508A6">
            <w:pPr>
              <w:pStyle w:val="DHHStablebullet1"/>
              <w:rPr>
                <w:sz w:val="20"/>
                <w:szCs w:val="20"/>
              </w:rPr>
            </w:pPr>
            <w:r w:rsidRPr="00401069">
              <w:rPr>
                <w:sz w:val="20"/>
                <w:szCs w:val="20"/>
              </w:rPr>
              <w:t>avoiding things that upset the young person (triggers) and increasing things that promote positive responses</w:t>
            </w:r>
          </w:p>
          <w:p w14:paraId="6E325E21" w14:textId="77777777" w:rsidR="002E6FFA" w:rsidRPr="00401069" w:rsidRDefault="002E6FFA" w:rsidP="00B508A6">
            <w:pPr>
              <w:pStyle w:val="DHHStablebullet1"/>
              <w:rPr>
                <w:sz w:val="20"/>
                <w:szCs w:val="20"/>
              </w:rPr>
            </w:pPr>
            <w:r w:rsidRPr="00401069">
              <w:rPr>
                <w:sz w:val="20"/>
                <w:szCs w:val="20"/>
              </w:rPr>
              <w:t>responding to behaviour early and quickly</w:t>
            </w:r>
          </w:p>
          <w:p w14:paraId="1D521280" w14:textId="77777777" w:rsidR="002E6FFA" w:rsidRPr="00401069" w:rsidRDefault="002E6FFA" w:rsidP="00B508A6">
            <w:pPr>
              <w:pStyle w:val="DHHStablebullet1"/>
              <w:rPr>
                <w:sz w:val="20"/>
                <w:szCs w:val="20"/>
              </w:rPr>
            </w:pPr>
            <w:r w:rsidRPr="00401069">
              <w:rPr>
                <w:sz w:val="20"/>
                <w:szCs w:val="20"/>
              </w:rPr>
              <w:t>consistency in residential care worker responses</w:t>
            </w:r>
          </w:p>
          <w:p w14:paraId="709C6B60" w14:textId="77777777" w:rsidR="002E6FFA" w:rsidRPr="00401069" w:rsidRDefault="002E6FFA" w:rsidP="00B508A6">
            <w:pPr>
              <w:pStyle w:val="DHHStablebullet1"/>
              <w:rPr>
                <w:sz w:val="20"/>
                <w:szCs w:val="20"/>
              </w:rPr>
            </w:pPr>
            <w:r w:rsidRPr="00401069">
              <w:rPr>
                <w:sz w:val="20"/>
                <w:szCs w:val="20"/>
              </w:rPr>
              <w:lastRenderedPageBreak/>
              <w:t>strategies to increase engagement with young people.</w:t>
            </w:r>
          </w:p>
        </w:tc>
      </w:tr>
    </w:tbl>
    <w:p w14:paraId="3BAF9730" w14:textId="77777777" w:rsidR="002E6FFA" w:rsidRPr="00B508A6" w:rsidRDefault="002E6FFA" w:rsidP="00401069">
      <w:pPr>
        <w:pStyle w:val="DHHSbodyaftertablefigure"/>
      </w:pPr>
      <w:r w:rsidRPr="00B508A6">
        <w:lastRenderedPageBreak/>
        <w:t>The benefits of this approach include:</w:t>
      </w:r>
    </w:p>
    <w:p w14:paraId="5A47E59A" w14:textId="77777777" w:rsidR="002E6FFA" w:rsidRPr="00F72BDE" w:rsidRDefault="002E6FFA" w:rsidP="00B508A6">
      <w:pPr>
        <w:pStyle w:val="DHHSbullet1"/>
      </w:pPr>
      <w:r>
        <w:t>i</w:t>
      </w:r>
      <w:r w:rsidRPr="00F72BDE">
        <w:t>mproving the young person’s quality of life, strengths and safety skills</w:t>
      </w:r>
    </w:p>
    <w:p w14:paraId="134024A2" w14:textId="08F3113A" w:rsidR="002E6FFA" w:rsidRPr="00F72BDE" w:rsidRDefault="002E6FFA" w:rsidP="00B508A6">
      <w:pPr>
        <w:pStyle w:val="DHHSbullet1"/>
      </w:pPr>
      <w:r>
        <w:t>p</w:t>
      </w:r>
      <w:r w:rsidRPr="00F72BDE">
        <w:t>romoting positive connections and building trust with residential care workers to improv</w:t>
      </w:r>
      <w:r>
        <w:t>e</w:t>
      </w:r>
      <w:r w:rsidRPr="00F72BDE">
        <w:t xml:space="preserve"> the young person’s experience and to minimise the possibility of re-traumatisation</w:t>
      </w:r>
    </w:p>
    <w:p w14:paraId="1ECA0C9B" w14:textId="77777777" w:rsidR="002E6FFA" w:rsidRPr="00F72BDE" w:rsidRDefault="002E6FFA" w:rsidP="00B508A6">
      <w:pPr>
        <w:pStyle w:val="DHHSbullet1"/>
      </w:pPr>
      <w:r>
        <w:t>p</w:t>
      </w:r>
      <w:r w:rsidRPr="00F72BDE">
        <w:t xml:space="preserve">reventing further challenging behaviours by helping </w:t>
      </w:r>
      <w:r>
        <w:t>young people to</w:t>
      </w:r>
      <w:r w:rsidRPr="00F72BDE">
        <w:t xml:space="preserve"> develop skills to communicate, engage in activities and understand their feelings</w:t>
      </w:r>
    </w:p>
    <w:p w14:paraId="48526129" w14:textId="77777777" w:rsidR="002E6FFA" w:rsidRPr="00F72BDE" w:rsidRDefault="002E6FFA" w:rsidP="00B508A6">
      <w:pPr>
        <w:pStyle w:val="DHHSbullet1"/>
      </w:pPr>
      <w:r>
        <w:t>p</w:t>
      </w:r>
      <w:r w:rsidRPr="00F72BDE">
        <w:t>roviding an environment that best supports a young person’s needs and development</w:t>
      </w:r>
    </w:p>
    <w:p w14:paraId="1B664D58" w14:textId="77777777" w:rsidR="002E6FFA" w:rsidRPr="00F72BDE" w:rsidRDefault="002E6FFA" w:rsidP="00B508A6">
      <w:pPr>
        <w:pStyle w:val="DHHSbullet1"/>
      </w:pPr>
      <w:r>
        <w:t>b</w:t>
      </w:r>
      <w:r w:rsidRPr="00F72BDE">
        <w:t>reaking down barriers to talking about difficult topics and advocating for the young person’s needs.</w:t>
      </w:r>
    </w:p>
    <w:p w14:paraId="3EB1EE94" w14:textId="77777777" w:rsidR="00B508A6" w:rsidRDefault="002E6FFA" w:rsidP="00E97405">
      <w:pPr>
        <w:pStyle w:val="DHHSbodyafterbullets"/>
        <w:rPr>
          <w:rStyle w:val="Strong"/>
        </w:rPr>
      </w:pPr>
      <w:r w:rsidRPr="00B508A6">
        <w:rPr>
          <w:rStyle w:val="Strong"/>
        </w:rPr>
        <w:t>Care teams should actively work with young people to develop a person-centred behaviour support plan.</w:t>
      </w:r>
    </w:p>
    <w:p w14:paraId="4B1A73CA" w14:textId="493E2CDB" w:rsidR="00B508A6" w:rsidRPr="009229F1" w:rsidRDefault="00B508A6" w:rsidP="00E97405">
      <w:pPr>
        <w:pStyle w:val="Heading3"/>
      </w:pPr>
      <w:r w:rsidRPr="009229F1">
        <w:t xml:space="preserve">Practice advice – </w:t>
      </w:r>
      <w:r>
        <w:t>m</w:t>
      </w:r>
      <w:r w:rsidRPr="009229F1">
        <w:t xml:space="preserve">issing from </w:t>
      </w:r>
      <w:r>
        <w:t>c</w:t>
      </w:r>
      <w:r w:rsidRPr="009229F1">
        <w:t>are</w:t>
      </w:r>
    </w:p>
    <w:p w14:paraId="50D8E5EC" w14:textId="6FE898E3" w:rsidR="00B508A6" w:rsidRPr="009229F1" w:rsidRDefault="00B508A6" w:rsidP="00B508A6">
      <w:pPr>
        <w:pStyle w:val="DHHSbody"/>
        <w:rPr>
          <w:iCs/>
        </w:rPr>
      </w:pPr>
      <w:r w:rsidRPr="009229F1">
        <w:rPr>
          <w:iCs/>
        </w:rPr>
        <w:t>Young people may engage in behaviours of concern such as running away or going missing. These behaviours, along with their personal histories of trauma</w:t>
      </w:r>
      <w:r>
        <w:rPr>
          <w:iCs/>
        </w:rPr>
        <w:t>,</w:t>
      </w:r>
      <w:r w:rsidRPr="009229F1">
        <w:rPr>
          <w:iCs/>
        </w:rPr>
        <w:t xml:space="preserve"> can place </w:t>
      </w:r>
      <w:r w:rsidR="007E371F">
        <w:t>young people</w:t>
      </w:r>
      <w:r w:rsidR="007E371F" w:rsidRPr="00F72BDE">
        <w:t xml:space="preserve"> </w:t>
      </w:r>
      <w:r w:rsidRPr="009229F1">
        <w:rPr>
          <w:iCs/>
        </w:rPr>
        <w:t>at increased risk of further harm.</w:t>
      </w:r>
    </w:p>
    <w:p w14:paraId="2BF96AE6" w14:textId="77777777" w:rsidR="00B508A6" w:rsidRPr="009229F1" w:rsidRDefault="00B508A6" w:rsidP="00B508A6">
      <w:pPr>
        <w:pStyle w:val="DHHSbody"/>
        <w:rPr>
          <w:iCs/>
        </w:rPr>
      </w:pPr>
      <w:r w:rsidRPr="009229F1">
        <w:rPr>
          <w:iCs/>
        </w:rPr>
        <w:t xml:space="preserve">It is unsafe to assume that a young person who has repeated episodes of missing but always returns to placement decreases the risk; in fact, at times this is evidence of increasing risk. </w:t>
      </w:r>
    </w:p>
    <w:p w14:paraId="1A86BD11" w14:textId="77777777" w:rsidR="00B508A6" w:rsidRPr="009229F1" w:rsidRDefault="00B508A6" w:rsidP="00B508A6">
      <w:pPr>
        <w:pStyle w:val="DHHSbody"/>
        <w:rPr>
          <w:iCs/>
        </w:rPr>
      </w:pPr>
      <w:r w:rsidRPr="009229F1">
        <w:rPr>
          <w:iCs/>
        </w:rPr>
        <w:t>Every episode of missing should be assessed, considered independently and cumulatively, and treated as a serious event. Understanding and assessing every missing episode is important. Critical reflection following each missing episode helps build an understanding of the behaviour and the potential responses to it.</w:t>
      </w:r>
    </w:p>
    <w:p w14:paraId="3E1001E7" w14:textId="77777777" w:rsidR="00B508A6" w:rsidRPr="009229F1" w:rsidRDefault="00B508A6" w:rsidP="00B508A6">
      <w:pPr>
        <w:pStyle w:val="DHHSbody"/>
        <w:rPr>
          <w:iCs/>
        </w:rPr>
      </w:pPr>
      <w:r w:rsidRPr="009229F1">
        <w:rPr>
          <w:iCs/>
        </w:rPr>
        <w:t>A return to care conversation is an important part of addressing this behaviour and reinforcing to young people that someone cares about them. It is an opportunity to speak and listen to them about missing episodes</w:t>
      </w:r>
      <w:r>
        <w:rPr>
          <w:iCs/>
        </w:rPr>
        <w:t xml:space="preserve"> – </w:t>
      </w:r>
      <w:r w:rsidRPr="009229F1">
        <w:rPr>
          <w:iCs/>
        </w:rPr>
        <w:t>highlighting their serious and dangerous nature</w:t>
      </w:r>
      <w:r>
        <w:rPr>
          <w:iCs/>
        </w:rPr>
        <w:t xml:space="preserve"> – </w:t>
      </w:r>
      <w:r w:rsidRPr="009229F1">
        <w:rPr>
          <w:iCs/>
        </w:rPr>
        <w:t xml:space="preserve">and if unknown, to determine their recent whereabouts and the </w:t>
      </w:r>
      <w:r>
        <w:rPr>
          <w:iCs/>
        </w:rPr>
        <w:t xml:space="preserve">people </w:t>
      </w:r>
      <w:r w:rsidRPr="009229F1">
        <w:rPr>
          <w:iCs/>
        </w:rPr>
        <w:t>they may have been in contact with.</w:t>
      </w:r>
    </w:p>
    <w:p w14:paraId="0725D4C3" w14:textId="714BB914" w:rsidR="00B508A6" w:rsidRPr="009229F1" w:rsidRDefault="00B508A6" w:rsidP="00B508A6">
      <w:pPr>
        <w:pStyle w:val="DHHSbody"/>
        <w:rPr>
          <w:iCs/>
        </w:rPr>
      </w:pPr>
      <w:r w:rsidRPr="009229F1">
        <w:rPr>
          <w:iCs/>
        </w:rPr>
        <w:t xml:space="preserve">The focus of a return to care conversation is to hear from the young person </w:t>
      </w:r>
      <w:r w:rsidR="003A7FC5">
        <w:rPr>
          <w:iCs/>
        </w:rPr>
        <w:t xml:space="preserve">about </w:t>
      </w:r>
      <w:r w:rsidRPr="009229F1">
        <w:rPr>
          <w:iCs/>
        </w:rPr>
        <w:t xml:space="preserve">any reasons for leaving and emphasising care and concern. It should not be an opportunity to reprimand or reinforce rules that the </w:t>
      </w:r>
      <w:r>
        <w:rPr>
          <w:iCs/>
        </w:rPr>
        <w:t>young person</w:t>
      </w:r>
      <w:r w:rsidRPr="009229F1">
        <w:rPr>
          <w:iCs/>
        </w:rPr>
        <w:t xml:space="preserve"> may have broken. The return to care conversation should also address any immediate health, emotional and safety needs. A return to care conversation should be completed by a worker the young person trusts. This can also inform planning to prevent future episodes of </w:t>
      </w:r>
      <w:r>
        <w:rPr>
          <w:iCs/>
        </w:rPr>
        <w:t xml:space="preserve">the </w:t>
      </w:r>
      <w:r w:rsidRPr="009229F1">
        <w:rPr>
          <w:iCs/>
        </w:rPr>
        <w:t xml:space="preserve">young person missing from care. </w:t>
      </w:r>
    </w:p>
    <w:p w14:paraId="515FE826" w14:textId="77777777" w:rsidR="00B508A6" w:rsidRDefault="00B508A6" w:rsidP="00B508A6">
      <w:pPr>
        <w:pStyle w:val="DHHSbody"/>
        <w:rPr>
          <w:rStyle w:val="Strong"/>
        </w:rPr>
      </w:pPr>
      <w:r w:rsidRPr="009229F1">
        <w:rPr>
          <w:iCs/>
        </w:rPr>
        <w:t xml:space="preserve">If there was a </w:t>
      </w:r>
      <w:proofErr w:type="gramStart"/>
      <w:r w:rsidRPr="009229F1">
        <w:rPr>
          <w:iCs/>
        </w:rPr>
        <w:t xml:space="preserve">missing </w:t>
      </w:r>
      <w:proofErr w:type="spellStart"/>
      <w:r w:rsidRPr="009229F1">
        <w:rPr>
          <w:iCs/>
        </w:rPr>
        <w:t>persons</w:t>
      </w:r>
      <w:proofErr w:type="spellEnd"/>
      <w:proofErr w:type="gramEnd"/>
      <w:r w:rsidRPr="009229F1">
        <w:rPr>
          <w:iCs/>
        </w:rPr>
        <w:t xml:space="preserve"> report or a Children’s Court warrant, consideration should be given to completing the return to care conversation jointly with police</w:t>
      </w:r>
      <w:r>
        <w:rPr>
          <w:iCs/>
        </w:rPr>
        <w:t>. Police</w:t>
      </w:r>
      <w:r w:rsidRPr="009229F1">
        <w:rPr>
          <w:iCs/>
        </w:rPr>
        <w:t xml:space="preserve"> require information </w:t>
      </w:r>
      <w:r>
        <w:rPr>
          <w:iCs/>
        </w:rPr>
        <w:t>about</w:t>
      </w:r>
      <w:r w:rsidRPr="009229F1">
        <w:rPr>
          <w:iCs/>
        </w:rPr>
        <w:t xml:space="preserve"> the person</w:t>
      </w:r>
      <w:r>
        <w:rPr>
          <w:iCs/>
        </w:rPr>
        <w:t>’</w:t>
      </w:r>
      <w:r w:rsidRPr="009229F1">
        <w:rPr>
          <w:iCs/>
        </w:rPr>
        <w:t xml:space="preserve">s absence to </w:t>
      </w:r>
      <w:r>
        <w:rPr>
          <w:iCs/>
        </w:rPr>
        <w:t xml:space="preserve">help when </w:t>
      </w:r>
      <w:r w:rsidRPr="009229F1">
        <w:rPr>
          <w:iCs/>
        </w:rPr>
        <w:t>investigati</w:t>
      </w:r>
      <w:r>
        <w:rPr>
          <w:iCs/>
        </w:rPr>
        <w:t>ng</w:t>
      </w:r>
      <w:r w:rsidRPr="009229F1">
        <w:rPr>
          <w:iCs/>
        </w:rPr>
        <w:t xml:space="preserve"> future missing persons reports. This should be used as an opportunity to engage with the young person and</w:t>
      </w:r>
      <w:r>
        <w:rPr>
          <w:iCs/>
        </w:rPr>
        <w:t xml:space="preserve"> to</w:t>
      </w:r>
      <w:r w:rsidRPr="009229F1">
        <w:rPr>
          <w:iCs/>
        </w:rPr>
        <w:t xml:space="preserve"> build relationships with local police.</w:t>
      </w:r>
      <w:r w:rsidRPr="00F72BDE">
        <w:rPr>
          <w:i/>
        </w:rPr>
        <w:t xml:space="preserve"> </w:t>
      </w:r>
    </w:p>
    <w:p w14:paraId="6759D331" w14:textId="77777777" w:rsidR="00B508A6" w:rsidRPr="00F72BDE" w:rsidRDefault="00B508A6" w:rsidP="00B508A6">
      <w:pPr>
        <w:pStyle w:val="Heading3"/>
      </w:pPr>
      <w:r w:rsidRPr="00F72BDE">
        <w:t>De-escalation</w:t>
      </w:r>
    </w:p>
    <w:p w14:paraId="7C07F363" w14:textId="77777777" w:rsidR="00B508A6" w:rsidRPr="00B508A6" w:rsidRDefault="00B508A6" w:rsidP="00B508A6">
      <w:pPr>
        <w:pStyle w:val="DHHSbody"/>
      </w:pPr>
      <w:r w:rsidRPr="00B508A6">
        <w:t xml:space="preserve">De-escalation of emerging behaviours of concern, which could lead to harm, can encompass a range of responses by those engaging with the young person. It may simply involve hearing and responding to </w:t>
      </w:r>
      <w:r w:rsidRPr="00B508A6">
        <w:lastRenderedPageBreak/>
        <w:t xml:space="preserve">their issues while remaining calm. This can either distract the young person from the situation or enable the young person to feel they have been heard and understood. </w:t>
      </w:r>
    </w:p>
    <w:p w14:paraId="58110F14" w14:textId="77777777" w:rsidR="00B508A6" w:rsidRPr="00B508A6" w:rsidRDefault="00B508A6" w:rsidP="00B508A6">
      <w:pPr>
        <w:pStyle w:val="DHHSbody"/>
      </w:pPr>
      <w:r w:rsidRPr="00B508A6">
        <w:t xml:space="preserve">Even if it is unclear why a young person is responding in a certain way, residential care workers must be able and willing to acknowledge how the young person may be feeling at the time. Residential care workers may aid the young person to calm down, express frustration or emotion in a safer way or ultimately cease their behaviour. Risky or disrespectful behaviour is not acceptable, and it is reasonable and appropriate that residential care workers advise young people when their behaviour is inappropriate or harmful. Residential care workers should also seek strategies from team leaders, supervisors and senior staff to support de-escalation strategies. </w:t>
      </w:r>
    </w:p>
    <w:p w14:paraId="217C64AF" w14:textId="77777777" w:rsidR="00B508A6" w:rsidRPr="00B508A6" w:rsidRDefault="00B508A6" w:rsidP="00B508A6">
      <w:pPr>
        <w:pStyle w:val="DHHSbody"/>
      </w:pPr>
      <w:r w:rsidRPr="00B508A6">
        <w:t xml:space="preserve">The aim of de-escalation strategies is to </w:t>
      </w:r>
      <w:r w:rsidRPr="00B508A6">
        <w:rPr>
          <w:rStyle w:val="Strong"/>
        </w:rPr>
        <w:t>reduce harm</w:t>
      </w:r>
      <w:r w:rsidRPr="00B508A6">
        <w:t xml:space="preserve">. The following strategies are examples that can aid in minimising risk to the young person and others by attempting to de-escalate or manage a serious episode of behaviour: </w:t>
      </w:r>
    </w:p>
    <w:p w14:paraId="3C2F4F10" w14:textId="77777777" w:rsidR="00B508A6" w:rsidRPr="00B508A6" w:rsidRDefault="00B508A6" w:rsidP="00B508A6">
      <w:pPr>
        <w:pStyle w:val="DHHSbullet1"/>
      </w:pPr>
      <w:r w:rsidRPr="00B508A6">
        <w:t>responding to early signs of the behaviour – identifying warning signs or triggers of behaviour and intervening early (for example, using clear language, a calm demeanour, active listening and humour)</w:t>
      </w:r>
    </w:p>
    <w:p w14:paraId="7DF8E935" w14:textId="77777777" w:rsidR="00B508A6" w:rsidRPr="00B508A6" w:rsidRDefault="00B508A6" w:rsidP="00B508A6">
      <w:pPr>
        <w:pStyle w:val="DHHSbullet1"/>
      </w:pPr>
      <w:r w:rsidRPr="00B508A6">
        <w:t>redirection (for example, ‘distracting’ the person by offering another activity)</w:t>
      </w:r>
    </w:p>
    <w:p w14:paraId="511792A2" w14:textId="77777777" w:rsidR="00B508A6" w:rsidRPr="00B508A6" w:rsidRDefault="00B508A6" w:rsidP="00B508A6">
      <w:pPr>
        <w:pStyle w:val="DHHSbullet1"/>
      </w:pPr>
      <w:r w:rsidRPr="00B508A6">
        <w:t>talking to the young person to find out what the problem is – this includes hearing and responding to the child’s issues while remaining calm</w:t>
      </w:r>
    </w:p>
    <w:p w14:paraId="10613EC6" w14:textId="77777777" w:rsidR="00B508A6" w:rsidRPr="00B508A6" w:rsidRDefault="00B508A6" w:rsidP="00B508A6">
      <w:pPr>
        <w:pStyle w:val="DHHSbullet1"/>
      </w:pPr>
      <w:r w:rsidRPr="00B508A6">
        <w:t>considering what the young person’s behaviour is trying to communicate – then responding accordingly (meeting the need)</w:t>
      </w:r>
    </w:p>
    <w:p w14:paraId="7DB1F74F" w14:textId="77777777" w:rsidR="00B508A6" w:rsidRPr="00B508A6" w:rsidRDefault="00B508A6" w:rsidP="00B508A6">
      <w:pPr>
        <w:pStyle w:val="DHHSbullet1"/>
      </w:pPr>
      <w:r w:rsidRPr="00B508A6">
        <w:t>providing praise and encouragement when it is clear they are trying to calm themselves.</w:t>
      </w:r>
    </w:p>
    <w:p w14:paraId="2F69998C" w14:textId="77777777" w:rsidR="00B508A6" w:rsidRPr="00B508A6" w:rsidRDefault="00B508A6" w:rsidP="00E97405">
      <w:pPr>
        <w:pStyle w:val="DHHSbodyafterbullets"/>
      </w:pPr>
      <w:r w:rsidRPr="00B508A6">
        <w:t>De-escalation strategies should recognise that behaviour often escalates through stages prior to crisis, providing an opportunity to intervene early to prevent behaviour from progressing.</w:t>
      </w:r>
    </w:p>
    <w:p w14:paraId="01344F7A" w14:textId="77777777" w:rsidR="00B508A6" w:rsidRPr="00F72BDE" w:rsidRDefault="00B508A6" w:rsidP="00B508A6">
      <w:pPr>
        <w:pStyle w:val="Heading3"/>
      </w:pPr>
      <w:bookmarkStart w:id="73" w:name="_Toc14357120"/>
      <w:bookmarkStart w:id="74" w:name="_Toc14357173"/>
      <w:bookmarkStart w:id="75" w:name="_Toc14357313"/>
      <w:bookmarkStart w:id="76" w:name="_Toc14364153"/>
      <w:bookmarkStart w:id="77" w:name="_Toc14793042"/>
      <w:bookmarkStart w:id="78" w:name="_Toc14867908"/>
      <w:r w:rsidRPr="00F72BDE">
        <w:t xml:space="preserve">Intervention </w:t>
      </w:r>
      <w:r>
        <w:t>– c</w:t>
      </w:r>
      <w:r w:rsidRPr="00F72BDE">
        <w:t xml:space="preserve">onsideration for police </w:t>
      </w:r>
      <w:bookmarkEnd w:id="73"/>
      <w:bookmarkEnd w:id="74"/>
      <w:bookmarkEnd w:id="75"/>
      <w:r w:rsidRPr="00F72BDE">
        <w:t>involvement</w:t>
      </w:r>
      <w:bookmarkEnd w:id="76"/>
      <w:bookmarkEnd w:id="77"/>
      <w:bookmarkEnd w:id="78"/>
    </w:p>
    <w:p w14:paraId="4ED9B6F6" w14:textId="77777777" w:rsidR="00B508A6" w:rsidRPr="00B508A6" w:rsidRDefault="00B508A6" w:rsidP="00B508A6">
      <w:pPr>
        <w:pStyle w:val="DHHSbody"/>
      </w:pPr>
      <w:r w:rsidRPr="00B508A6">
        <w:t xml:space="preserve">If the residential care worker has progressed through initial stages of prevention and de-escalation strategies, and a young person’s behaviour continues to place themselves or others at serious risk of harm, it may be necessary to escalate to an intervention such as the need for police involvement. </w:t>
      </w:r>
    </w:p>
    <w:p w14:paraId="114CEBB0" w14:textId="77777777" w:rsidR="00B508A6" w:rsidRPr="00B508A6" w:rsidRDefault="00B508A6" w:rsidP="00B508A6">
      <w:pPr>
        <w:pStyle w:val="DHHSbody"/>
        <w:rPr>
          <w:rStyle w:val="Strong"/>
        </w:rPr>
      </w:pPr>
      <w:r w:rsidRPr="00B508A6">
        <w:rPr>
          <w:rStyle w:val="Strong"/>
        </w:rPr>
        <w:t xml:space="preserve">This does not exclude revisiting de-escalation at any point when the immediate risk of harm is diminished. </w:t>
      </w:r>
    </w:p>
    <w:p w14:paraId="4EFA8897" w14:textId="77777777" w:rsidR="00B508A6" w:rsidRPr="00B508A6" w:rsidRDefault="00B508A6" w:rsidP="00B508A6">
      <w:pPr>
        <w:pStyle w:val="DHHSbody"/>
      </w:pPr>
      <w:bookmarkStart w:id="79" w:name="_Hlk16003162"/>
      <w:r w:rsidRPr="00B508A6">
        <w:t xml:space="preserve">The most effective interventions for young people displaying behaviours of concern are therapeutic and must be considered within any response or intervention. An intervention, including police involvement, must never be used to punish, degrade, intimidate or coerce, nor should it be used to exert personal power or control. </w:t>
      </w:r>
    </w:p>
    <w:p w14:paraId="7C56F7E5" w14:textId="01082736" w:rsidR="00B508A6" w:rsidRPr="00B508A6" w:rsidRDefault="00B508A6" w:rsidP="00B508A6">
      <w:pPr>
        <w:pStyle w:val="DHHSbody"/>
      </w:pPr>
      <w:r w:rsidRPr="00B508A6">
        <w:t xml:space="preserve">Police involvement must focus on harm minimisation. An indicator of whether a police response is appropriate is when the behaviour will most likely lead to immediate and substantial risk of harm to </w:t>
      </w:r>
      <w:r w:rsidR="005A53B8">
        <w:t>the young person</w:t>
      </w:r>
      <w:r w:rsidR="005A53B8" w:rsidRPr="00B508A6">
        <w:t xml:space="preserve"> </w:t>
      </w:r>
      <w:r w:rsidRPr="00B508A6">
        <w:t xml:space="preserve">or others. Police officers responding or attending a residential care home are likely to be uniformed officers. It should be acknowledged that police contact can trigger memories of trauma for some young people. </w:t>
      </w:r>
    </w:p>
    <w:p w14:paraId="2F7113BD" w14:textId="17D6E26C" w:rsidR="00B508A6" w:rsidRPr="00B508A6" w:rsidRDefault="00B508A6" w:rsidP="00B508A6">
      <w:pPr>
        <w:pStyle w:val="DHHSbody"/>
      </w:pPr>
      <w:r w:rsidRPr="00B508A6">
        <w:t xml:space="preserve">The key consideration for police officers will be to ensure the physical safety of all those present, and to determine whether a criminal offence has occurred. For more information regarding responses by police, refer to the ‘Victoria Police responses to non-crisis incidents in residential care homes’ section of the framework. </w:t>
      </w:r>
    </w:p>
    <w:p w14:paraId="200F03C4" w14:textId="29B90867" w:rsidR="00B508A6" w:rsidRPr="00F72BDE" w:rsidRDefault="00B508A6" w:rsidP="00B508A6">
      <w:pPr>
        <w:pStyle w:val="DHHSbody"/>
      </w:pPr>
      <w:r w:rsidRPr="00F72BDE">
        <w:t xml:space="preserve">When it comes to using force, everyone must lead by example, treating </w:t>
      </w:r>
      <w:r w:rsidR="002F4B75">
        <w:t>all involved</w:t>
      </w:r>
      <w:r w:rsidR="002F4B75" w:rsidRPr="00F72BDE">
        <w:t xml:space="preserve"> </w:t>
      </w:r>
      <w:r w:rsidRPr="00F72BDE">
        <w:t>with dignity and respect while having regard to the safety of all concerned.</w:t>
      </w:r>
    </w:p>
    <w:bookmarkEnd w:id="79"/>
    <w:p w14:paraId="7B104254" w14:textId="77777777" w:rsidR="00B508A6" w:rsidRPr="00F72BDE" w:rsidRDefault="00B508A6" w:rsidP="00B508A6">
      <w:pPr>
        <w:pStyle w:val="DHHSbody"/>
      </w:pPr>
      <w:r w:rsidRPr="00F72BDE">
        <w:t>If police involvement is required, residential care workers must provide information to the attending police officer relevant to:</w:t>
      </w:r>
    </w:p>
    <w:p w14:paraId="39CD7F56" w14:textId="77777777" w:rsidR="00B508A6" w:rsidRPr="00F72BDE" w:rsidRDefault="00B508A6" w:rsidP="00B508A6">
      <w:pPr>
        <w:pStyle w:val="DHHSbullet1"/>
      </w:pPr>
      <w:r>
        <w:lastRenderedPageBreak/>
        <w:t>t</w:t>
      </w:r>
      <w:r w:rsidRPr="00F72BDE">
        <w:t>he nature and context of the incident (</w:t>
      </w:r>
      <w:r>
        <w:t>for example,</w:t>
      </w:r>
      <w:r w:rsidRPr="00F72BDE">
        <w:t xml:space="preserve"> severity, injury/damage caused, triggers, timeline)</w:t>
      </w:r>
    </w:p>
    <w:p w14:paraId="1B9AD299" w14:textId="77777777" w:rsidR="00B508A6" w:rsidRPr="00F72BDE" w:rsidRDefault="00B508A6" w:rsidP="00B508A6">
      <w:pPr>
        <w:pStyle w:val="DHHSbullet1"/>
      </w:pPr>
      <w:r>
        <w:t>t</w:t>
      </w:r>
      <w:r w:rsidRPr="00F72BDE">
        <w:t>he individual (</w:t>
      </w:r>
      <w:r>
        <w:t>for example,</w:t>
      </w:r>
      <w:r w:rsidRPr="00F72BDE">
        <w:t xml:space="preserve"> history of behaviour, mental health incl</w:t>
      </w:r>
      <w:r>
        <w:t>uding</w:t>
      </w:r>
      <w:r w:rsidRPr="00F72BDE">
        <w:t xml:space="preserve"> trauma, physical health, disability)</w:t>
      </w:r>
    </w:p>
    <w:p w14:paraId="1D8DEE95" w14:textId="2669F07F" w:rsidR="00B508A6" w:rsidRPr="00F72BDE" w:rsidRDefault="00B508A6" w:rsidP="00B508A6">
      <w:pPr>
        <w:pStyle w:val="DHHSbullet1"/>
      </w:pPr>
      <w:r>
        <w:t>t</w:t>
      </w:r>
      <w:r w:rsidRPr="00F72BDE">
        <w:t>he victim</w:t>
      </w:r>
      <w:r w:rsidR="0034394C">
        <w:t>(s)</w:t>
      </w:r>
      <w:r w:rsidRPr="00F72BDE">
        <w:t xml:space="preserve"> (</w:t>
      </w:r>
      <w:r>
        <w:t>for example,</w:t>
      </w:r>
      <w:r w:rsidRPr="00F72BDE">
        <w:t xml:space="preserve"> their relationship to the individual, harm caused, their wishes)</w:t>
      </w:r>
    </w:p>
    <w:p w14:paraId="69068A0A" w14:textId="77777777" w:rsidR="00B508A6" w:rsidRPr="00F72BDE" w:rsidRDefault="00B508A6" w:rsidP="00B508A6">
      <w:pPr>
        <w:pStyle w:val="DHHSbullet1"/>
      </w:pPr>
      <w:r>
        <w:t>t</w:t>
      </w:r>
      <w:r w:rsidRPr="00F72BDE">
        <w:t>heir approaches to de-escalate or respond to the behaviour</w:t>
      </w:r>
    </w:p>
    <w:p w14:paraId="3AEA9F83" w14:textId="77777777" w:rsidR="00B508A6" w:rsidRPr="00F72BDE" w:rsidRDefault="00B508A6" w:rsidP="00B508A6">
      <w:pPr>
        <w:pStyle w:val="DHHSbullet1"/>
      </w:pPr>
      <w:r>
        <w:t>s</w:t>
      </w:r>
      <w:r w:rsidRPr="00F72BDE">
        <w:t>trategies for engagement or addressing behaviours of concern that have proved effective in the past</w:t>
      </w:r>
    </w:p>
    <w:p w14:paraId="55F6446C" w14:textId="77777777" w:rsidR="00B508A6" w:rsidRPr="00F72BDE" w:rsidRDefault="00B508A6" w:rsidP="00B508A6">
      <w:pPr>
        <w:pStyle w:val="DHHSbullet1"/>
      </w:pPr>
      <w:r>
        <w:t>t</w:t>
      </w:r>
      <w:r w:rsidRPr="00F72BDE">
        <w:t>he nature of police assistance sought.</w:t>
      </w:r>
    </w:p>
    <w:p w14:paraId="63ABC949" w14:textId="77777777" w:rsidR="00B508A6" w:rsidRPr="00B508A6" w:rsidRDefault="00B508A6" w:rsidP="00E97405">
      <w:pPr>
        <w:pStyle w:val="DHHSbodyafterbullets"/>
      </w:pPr>
      <w:r w:rsidRPr="00B508A6">
        <w:t>This information must be considered before phoning police to ensure that information is conveyed in a way that is comprehensive and concise.</w:t>
      </w:r>
    </w:p>
    <w:p w14:paraId="5055DE7E" w14:textId="59218BE3" w:rsidR="00B508A6" w:rsidRDefault="002F4B75" w:rsidP="00B508A6">
      <w:pPr>
        <w:pStyle w:val="DHHSbody"/>
      </w:pPr>
      <w:r>
        <w:t>R</w:t>
      </w:r>
      <w:r w:rsidR="00362A00">
        <w:t xml:space="preserve">efer to the ‘Flowchart for residential care workers – When do I contact </w:t>
      </w:r>
      <w:r>
        <w:t>p</w:t>
      </w:r>
      <w:r w:rsidR="00362A00">
        <w:t>olice?’ section of the framework</w:t>
      </w:r>
      <w:r>
        <w:t xml:space="preserve"> for a</w:t>
      </w:r>
      <w:r w:rsidRPr="00B508A6">
        <w:t xml:space="preserve"> flowchart outlining the steps that residential care workers should consider when police involvement may be required.</w:t>
      </w:r>
    </w:p>
    <w:p w14:paraId="094573F9" w14:textId="77777777" w:rsidR="00B508A6" w:rsidRPr="00F72BDE" w:rsidRDefault="00B508A6" w:rsidP="00B508A6">
      <w:pPr>
        <w:pStyle w:val="Heading3"/>
      </w:pPr>
      <w:bookmarkStart w:id="80" w:name="_Toc14357123"/>
      <w:bookmarkStart w:id="81" w:name="_Toc14357176"/>
      <w:bookmarkStart w:id="82" w:name="_Toc14357316"/>
      <w:bookmarkStart w:id="83" w:name="_Toc14364156"/>
      <w:bookmarkStart w:id="84" w:name="_Toc14793045"/>
      <w:bookmarkStart w:id="85" w:name="_Toc14867911"/>
      <w:r w:rsidRPr="00F72BDE">
        <w:t>Repair and reflection</w:t>
      </w:r>
      <w:bookmarkEnd w:id="80"/>
      <w:bookmarkEnd w:id="81"/>
      <w:bookmarkEnd w:id="82"/>
      <w:bookmarkEnd w:id="83"/>
      <w:bookmarkEnd w:id="84"/>
      <w:bookmarkEnd w:id="85"/>
    </w:p>
    <w:p w14:paraId="487ED606" w14:textId="77777777" w:rsidR="00B508A6" w:rsidRPr="00B508A6" w:rsidRDefault="00B508A6" w:rsidP="00B508A6">
      <w:pPr>
        <w:pStyle w:val="DHHSbody"/>
      </w:pPr>
      <w:r w:rsidRPr="00B508A6">
        <w:t xml:space="preserve">After an incident of challenging behaviour, particularly where the young person’s behaviour escalated and a police response was required, it is important to make efforts to repair the relationship between the residential care workers, local police and the young person. </w:t>
      </w:r>
    </w:p>
    <w:p w14:paraId="44E5715B" w14:textId="77777777" w:rsidR="00B508A6" w:rsidRPr="00B508A6" w:rsidRDefault="00B508A6" w:rsidP="00B508A6">
      <w:pPr>
        <w:pStyle w:val="DHHSbody"/>
      </w:pPr>
      <w:r w:rsidRPr="00B508A6">
        <w:t xml:space="preserve">As part of repair and reflection, and at the appropriate time, both the young person and residential care worker need the opportunity to discuss what has occurred and the impact of the action undertaken. The purpose of this is to help all involved understand the causes and consequences of the event/response, to support the young person to consider the cause, impact and consequences of the behaviour, and to look at how to avoid similar situations arising in the future. </w:t>
      </w:r>
    </w:p>
    <w:p w14:paraId="313A8D58" w14:textId="77777777" w:rsidR="00B508A6" w:rsidRPr="00B508A6" w:rsidRDefault="00B508A6" w:rsidP="00B508A6">
      <w:pPr>
        <w:pStyle w:val="DHHSbody"/>
      </w:pPr>
      <w:r w:rsidRPr="00B508A6">
        <w:t xml:space="preserve">It is also important to repair relationships between the young person, residential care workers and other residents involved in the event/response. This is an important process because it mirrors healthy and functional relationships. This process has a restorative function rather than one where blame and shame are facilitated. </w:t>
      </w:r>
    </w:p>
    <w:p w14:paraId="2E4D4847" w14:textId="77777777" w:rsidR="00B508A6" w:rsidRPr="00B508A6" w:rsidRDefault="00B508A6" w:rsidP="00B508A6">
      <w:pPr>
        <w:pStyle w:val="DHHSbody"/>
      </w:pPr>
      <w:r w:rsidRPr="00B508A6">
        <w:t>Where police have attended a residential care home in response to a call for assistance, residential care workers must complete incident reports in line with local reporting requirements and organisational processes and review the young person’s behaviour support plan and other relevant plans for the young person or the residential care home.</w:t>
      </w:r>
    </w:p>
    <w:p w14:paraId="65DAA76E" w14:textId="77777777" w:rsidR="00B508A6" w:rsidRDefault="00B508A6" w:rsidP="00B93B5B">
      <w:pPr>
        <w:pStyle w:val="DHHSbody"/>
        <w:rPr>
          <w:rStyle w:val="Strong"/>
        </w:rPr>
      </w:pPr>
      <w:r>
        <w:rPr>
          <w:rStyle w:val="Strong"/>
        </w:rPr>
        <w:br w:type="page"/>
      </w:r>
    </w:p>
    <w:p w14:paraId="1056066C" w14:textId="77777777" w:rsidR="00B508A6" w:rsidRPr="00F72BDE" w:rsidRDefault="00B508A6" w:rsidP="00B508A6">
      <w:pPr>
        <w:pStyle w:val="Heading3"/>
        <w:jc w:val="center"/>
        <w:rPr>
          <w:lang w:val="en-GB" w:eastAsia="en-GB"/>
        </w:rPr>
      </w:pPr>
      <w:r w:rsidRPr="00F72BDE">
        <w:rPr>
          <w:lang w:val="en-GB" w:eastAsia="en-GB"/>
        </w:rPr>
        <w:lastRenderedPageBreak/>
        <w:t>Flowchart</w:t>
      </w:r>
      <w:r w:rsidRPr="00F72BDE">
        <w:rPr>
          <w:lang w:val="en-GB"/>
        </w:rPr>
        <w:t xml:space="preserve"> for residential care </w:t>
      </w:r>
      <w:r w:rsidRPr="00F72BDE">
        <w:rPr>
          <w:lang w:val="en-GB" w:eastAsia="en-GB"/>
        </w:rPr>
        <w:t>workers</w:t>
      </w:r>
      <w:r>
        <w:rPr>
          <w:lang w:val="en-GB" w:eastAsia="en-GB"/>
        </w:rPr>
        <w:t xml:space="preserve"> – </w:t>
      </w:r>
      <w:r w:rsidRPr="00F72BDE">
        <w:rPr>
          <w:lang w:val="en-GB" w:eastAsia="en-GB"/>
        </w:rPr>
        <w:t>When do I contact</w:t>
      </w:r>
      <w:r w:rsidRPr="00F72BDE">
        <w:rPr>
          <w:lang w:val="en-GB"/>
        </w:rPr>
        <w:t xml:space="preserve"> police</w:t>
      </w:r>
      <w:r w:rsidRPr="00F72BDE">
        <w:rPr>
          <w:lang w:val="en-GB" w:eastAsia="en-GB"/>
        </w:rPr>
        <w:t>?</w:t>
      </w:r>
    </w:p>
    <w:p w14:paraId="4F412072" w14:textId="51654ED3" w:rsidR="002E6FFA" w:rsidRDefault="00AB67CA" w:rsidP="00B508A6">
      <w:pPr>
        <w:pStyle w:val="DHHSbody"/>
        <w:rPr>
          <w:rStyle w:val="Strong"/>
        </w:rPr>
      </w:pPr>
      <w:r w:rsidRPr="00AB67CA">
        <w:rPr>
          <w:rStyle w:val="Strong"/>
          <w:b w:val="0"/>
          <w:bCs w:val="0"/>
          <w:noProof/>
        </w:rPr>
        <w:drawing>
          <wp:inline distT="0" distB="0" distL="0" distR="0" wp14:anchorId="0F217775" wp14:editId="0B869528">
            <wp:extent cx="5939910" cy="8388000"/>
            <wp:effectExtent l="0" t="0" r="3810" b="0"/>
            <wp:docPr id="1" name="Picture 1" descr="This is a flowchart for residential care workers to follow for when to consider contacting police.&#10;Image transcript can be found at Appendix 1of this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3"/>
                    <a:srcRect l="2292" t="1758" r="2426" b="1899"/>
                    <a:stretch/>
                  </pic:blipFill>
                  <pic:spPr bwMode="auto">
                    <a:xfrm>
                      <a:off x="0" y="0"/>
                      <a:ext cx="5939910" cy="8388000"/>
                    </a:xfrm>
                    <a:prstGeom prst="rect">
                      <a:avLst/>
                    </a:prstGeom>
                    <a:noFill/>
                    <a:ln>
                      <a:noFill/>
                    </a:ln>
                    <a:extLst>
                      <a:ext uri="{53640926-AAD7-44D8-BBD7-CCE9431645EC}">
                        <a14:shadowObscured xmlns:a14="http://schemas.microsoft.com/office/drawing/2010/main"/>
                      </a:ext>
                    </a:extLst>
                  </pic:spPr>
                </pic:pic>
              </a:graphicData>
            </a:graphic>
          </wp:inline>
        </w:drawing>
      </w:r>
      <w:bookmarkStart w:id="86" w:name="_GoBack"/>
      <w:bookmarkEnd w:id="86"/>
    </w:p>
    <w:p w14:paraId="10868CA2" w14:textId="77777777" w:rsidR="00B508A6" w:rsidRDefault="00B508A6" w:rsidP="00B93B5B">
      <w:pPr>
        <w:pStyle w:val="DHHSbody"/>
        <w:rPr>
          <w:rStyle w:val="Strong"/>
        </w:rPr>
      </w:pPr>
      <w:r>
        <w:rPr>
          <w:rStyle w:val="Strong"/>
        </w:rPr>
        <w:br w:type="page"/>
      </w:r>
    </w:p>
    <w:p w14:paraId="14CDE6D1" w14:textId="77777777" w:rsidR="00B508A6" w:rsidRPr="00F72BDE" w:rsidRDefault="00B508A6" w:rsidP="00B508A6">
      <w:pPr>
        <w:pStyle w:val="Heading1"/>
      </w:pPr>
      <w:bookmarkStart w:id="87" w:name="_Toc13059503"/>
      <w:bookmarkStart w:id="88" w:name="_Toc14357122"/>
      <w:bookmarkStart w:id="89" w:name="_Toc14357175"/>
      <w:bookmarkStart w:id="90" w:name="_Toc14357315"/>
      <w:bookmarkStart w:id="91" w:name="_Toc14364155"/>
      <w:bookmarkStart w:id="92" w:name="_Toc14793044"/>
      <w:bookmarkStart w:id="93" w:name="_Toc14867910"/>
      <w:bookmarkStart w:id="94" w:name="_Toc31442880"/>
      <w:r w:rsidRPr="00F72BDE">
        <w:lastRenderedPageBreak/>
        <w:t>Victoria Police responses to non-crisis incidents in residential care homes</w:t>
      </w:r>
      <w:bookmarkEnd w:id="87"/>
      <w:bookmarkEnd w:id="88"/>
      <w:bookmarkEnd w:id="89"/>
      <w:bookmarkEnd w:id="90"/>
      <w:bookmarkEnd w:id="91"/>
      <w:bookmarkEnd w:id="92"/>
      <w:bookmarkEnd w:id="93"/>
      <w:bookmarkEnd w:id="94"/>
    </w:p>
    <w:p w14:paraId="3A1C89BD" w14:textId="77777777" w:rsidR="00B508A6" w:rsidRPr="00B508A6" w:rsidRDefault="00B508A6" w:rsidP="00B508A6">
      <w:pPr>
        <w:pStyle w:val="DHHSbody"/>
      </w:pPr>
      <w:r w:rsidRPr="00B508A6">
        <w:t xml:space="preserve">There are times when police need to be called. To reduce the likelihood of unnecessary criminalisation of young people living in care services, Victoria Police will promote the use of discretionary powers as an alternative to criminal charges, whenever appropriate. </w:t>
      </w:r>
    </w:p>
    <w:p w14:paraId="73DCD8C5" w14:textId="77777777" w:rsidR="00B508A6" w:rsidRPr="00B508A6" w:rsidRDefault="00B508A6" w:rsidP="00B508A6">
      <w:pPr>
        <w:pStyle w:val="DHHSbody"/>
      </w:pPr>
      <w:r w:rsidRPr="00B508A6">
        <w:t>When responding to a call for assistance, Victoria Police will consult with residential care workers, victim(s) and the young person and will consider the following when determining the most suitable response:</w:t>
      </w:r>
    </w:p>
    <w:p w14:paraId="7A74F7D9" w14:textId="77777777" w:rsidR="00B508A6" w:rsidRPr="00F72BDE" w:rsidRDefault="00B508A6" w:rsidP="00B508A6">
      <w:pPr>
        <w:pStyle w:val="DHHSbullet1"/>
      </w:pPr>
      <w:r>
        <w:t>t</w:t>
      </w:r>
      <w:r w:rsidRPr="00F72BDE">
        <w:t>he nature and context of the incident (</w:t>
      </w:r>
      <w:r>
        <w:t>for example,</w:t>
      </w:r>
      <w:r w:rsidRPr="00F72BDE">
        <w:t xml:space="preserve"> severity, injury/damage caused, triggers, timeline) </w:t>
      </w:r>
    </w:p>
    <w:p w14:paraId="74552A74" w14:textId="2FC1D198" w:rsidR="00B508A6" w:rsidRPr="00F72BDE" w:rsidRDefault="00B508A6" w:rsidP="00B508A6">
      <w:pPr>
        <w:pStyle w:val="DHHSbullet1"/>
      </w:pPr>
      <w:r>
        <w:t>t</w:t>
      </w:r>
      <w:r w:rsidRPr="00F72BDE">
        <w:t>he possibility of intellectual, language or other communication difficulties</w:t>
      </w:r>
    </w:p>
    <w:p w14:paraId="024A9044" w14:textId="77777777" w:rsidR="00B508A6" w:rsidRPr="00F72BDE" w:rsidRDefault="00B508A6" w:rsidP="00B508A6">
      <w:pPr>
        <w:pStyle w:val="DHHSbullet1"/>
      </w:pPr>
      <w:r>
        <w:t>s</w:t>
      </w:r>
      <w:r w:rsidRPr="00F72BDE">
        <w:t>pecific needs associated with age, gender and culture</w:t>
      </w:r>
    </w:p>
    <w:p w14:paraId="018D3861" w14:textId="77777777" w:rsidR="00B508A6" w:rsidRPr="00F72BDE" w:rsidRDefault="00B508A6" w:rsidP="00B508A6">
      <w:pPr>
        <w:pStyle w:val="DHHSbullet1"/>
      </w:pPr>
      <w:r>
        <w:t>the s</w:t>
      </w:r>
      <w:r w:rsidRPr="00F72BDE">
        <w:t>eriousness of the offence</w:t>
      </w:r>
    </w:p>
    <w:p w14:paraId="21B89325" w14:textId="77192242" w:rsidR="00B508A6" w:rsidRPr="00F72BDE" w:rsidRDefault="00B508A6" w:rsidP="00B508A6">
      <w:pPr>
        <w:pStyle w:val="DHHSbullet1"/>
      </w:pPr>
      <w:r>
        <w:t>the d</w:t>
      </w:r>
      <w:r w:rsidRPr="00F72BDE">
        <w:t xml:space="preserve">egree of harm caused to </w:t>
      </w:r>
      <w:r w:rsidR="0034394C">
        <w:t xml:space="preserve">the </w:t>
      </w:r>
      <w:r w:rsidRPr="00F72BDE">
        <w:t>alleged victim</w:t>
      </w:r>
      <w:r w:rsidR="0034394C">
        <w:t>(</w:t>
      </w:r>
      <w:r w:rsidRPr="00F72BDE">
        <w:t>s</w:t>
      </w:r>
      <w:r w:rsidR="0034394C">
        <w:t>)</w:t>
      </w:r>
    </w:p>
    <w:p w14:paraId="40F1BBDE" w14:textId="77777777" w:rsidR="00B508A6" w:rsidRPr="00F72BDE" w:rsidRDefault="00B508A6" w:rsidP="00B508A6">
      <w:pPr>
        <w:pStyle w:val="DHHSbullet1"/>
      </w:pPr>
      <w:r>
        <w:t>the v</w:t>
      </w:r>
      <w:r w:rsidRPr="00F72BDE">
        <w:t>iews of the victim</w:t>
      </w:r>
      <w:r>
        <w:t>(</w:t>
      </w:r>
      <w:r w:rsidRPr="00F72BDE">
        <w:t>s</w:t>
      </w:r>
      <w:r>
        <w:t>)</w:t>
      </w:r>
    </w:p>
    <w:p w14:paraId="14C0FAA5" w14:textId="77777777" w:rsidR="00B508A6" w:rsidRPr="00F72BDE" w:rsidRDefault="00B508A6" w:rsidP="00B508A6">
      <w:pPr>
        <w:pStyle w:val="DHHSbullet1"/>
      </w:pPr>
      <w:r>
        <w:t>i</w:t>
      </w:r>
      <w:r w:rsidRPr="00F72BDE">
        <w:t xml:space="preserve">nformation provided by the residential care service about the </w:t>
      </w:r>
      <w:r>
        <w:t>young person’s</w:t>
      </w:r>
      <w:r w:rsidRPr="00F72BDE">
        <w:t xml:space="preserve"> personal circumstances</w:t>
      </w:r>
      <w:r>
        <w:t>.</w:t>
      </w:r>
    </w:p>
    <w:p w14:paraId="4A5C5692" w14:textId="39928764" w:rsidR="00B508A6" w:rsidRPr="00B508A6" w:rsidRDefault="00B508A6" w:rsidP="00401069">
      <w:pPr>
        <w:pStyle w:val="DHHSbodyafterbullets"/>
      </w:pPr>
      <w:r w:rsidRPr="00B508A6">
        <w:t xml:space="preserve">When a police response is initiated, police officers must communicate to young people and any other individual involved </w:t>
      </w:r>
      <w:r w:rsidR="0034394C">
        <w:t>about</w:t>
      </w:r>
      <w:r w:rsidRPr="00B508A6">
        <w:t xml:space="preserve"> their rights and facilitate their access to legal representation. </w:t>
      </w:r>
    </w:p>
    <w:p w14:paraId="5371F595" w14:textId="7547299C" w:rsidR="00B508A6" w:rsidRPr="00B508A6" w:rsidRDefault="00B508A6" w:rsidP="00B508A6">
      <w:pPr>
        <w:pStyle w:val="DHHSbody"/>
      </w:pPr>
      <w:r w:rsidRPr="00B508A6">
        <w:t>The appropriate and considered use of discretion is integral to effective</w:t>
      </w:r>
      <w:r w:rsidR="0034394C">
        <w:t>ly</w:t>
      </w:r>
      <w:r w:rsidRPr="00B508A6">
        <w:t xml:space="preserve"> implement</w:t>
      </w:r>
      <w:r w:rsidR="0034394C">
        <w:t>ing</w:t>
      </w:r>
      <w:r w:rsidRPr="00B508A6">
        <w:t xml:space="preserve"> the framework. When police are responding to incidents in residential care homes, police will consider </w:t>
      </w:r>
      <w:r w:rsidR="001E3389">
        <w:t>using</w:t>
      </w:r>
      <w:r w:rsidRPr="00B508A6">
        <w:t xml:space="preserve"> discretionary powers as an alternative to criminal charges. This includes consideration of issuing a warning, </w:t>
      </w:r>
      <w:r w:rsidR="00B742B9">
        <w:t xml:space="preserve">a </w:t>
      </w:r>
      <w:r w:rsidRPr="00B508A6">
        <w:t>Child Caution</w:t>
      </w:r>
      <w:r w:rsidR="00B742B9">
        <w:t>,</w:t>
      </w:r>
      <w:r w:rsidRPr="00B508A6">
        <w:t xml:space="preserve"> or supporting an application for diversion. </w:t>
      </w:r>
    </w:p>
    <w:p w14:paraId="55E72719" w14:textId="19E9F845" w:rsidR="00B508A6" w:rsidRPr="00B508A6" w:rsidRDefault="00B508A6" w:rsidP="00B508A6">
      <w:pPr>
        <w:pStyle w:val="DHHSbody"/>
      </w:pPr>
      <w:r w:rsidRPr="00B508A6">
        <w:t>Police may also determine that no further action is required in response to an incident after discussing the incident with the relevant residential care staff, young people involved and any victim(s).</w:t>
      </w:r>
      <w:r w:rsidR="00C81C90">
        <w:t xml:space="preserve"> </w:t>
      </w:r>
    </w:p>
    <w:p w14:paraId="1FD3DF59" w14:textId="11930218" w:rsidR="00B508A6" w:rsidRPr="00B508A6" w:rsidRDefault="00B508A6" w:rsidP="00B508A6">
      <w:pPr>
        <w:pStyle w:val="DHHSbody"/>
      </w:pPr>
      <w:r w:rsidRPr="00B508A6">
        <w:t>Although police have the power to exercise discretion, in some circumstances police may be required to charge a young person in residential care. Criminal charges should only be pursued by police where alternative approaches are not appropriate and should consider the least punitive course of action.</w:t>
      </w:r>
    </w:p>
    <w:p w14:paraId="1E2C1713" w14:textId="77777777" w:rsidR="00B508A6" w:rsidRPr="00B508A6" w:rsidRDefault="00B508A6" w:rsidP="00B508A6">
      <w:pPr>
        <w:pStyle w:val="DHHSbody"/>
      </w:pPr>
      <w:r w:rsidRPr="00B508A6">
        <w:t>Where a decision for criminal proceedings is initiated, police are encouraged to continue to liaise with the residential care service provider to provide ongoing advice for residential care workers, such as linking the young person with programs and services to divert them away from criminal activity.</w:t>
      </w:r>
    </w:p>
    <w:p w14:paraId="1C7E0128" w14:textId="77777777" w:rsidR="00B508A6" w:rsidRDefault="00B508A6" w:rsidP="00B508A6">
      <w:pPr>
        <w:pStyle w:val="DHHSbody"/>
      </w:pPr>
      <w:r w:rsidRPr="00B508A6">
        <w:t>It is important to note that when it comes to using force, police must lead by example, treating everyone with dignity and respect while having regard for the safety of themselves, other police, members of the public and any offenders.</w:t>
      </w:r>
    </w:p>
    <w:p w14:paraId="28FF196C" w14:textId="76267222" w:rsidR="00B508A6" w:rsidRPr="00B550AB" w:rsidRDefault="00B508A6" w:rsidP="00E97405">
      <w:pPr>
        <w:pStyle w:val="Heading3"/>
        <w:rPr>
          <w:rStyle w:val="Strong"/>
        </w:rPr>
      </w:pPr>
      <w:r w:rsidRPr="004763EA">
        <w:rPr>
          <w:rStyle w:val="Strong"/>
          <w:b/>
          <w:bCs/>
        </w:rPr>
        <w:t xml:space="preserve">Practice </w:t>
      </w:r>
      <w:r w:rsidR="00B742B9">
        <w:rPr>
          <w:rStyle w:val="Strong"/>
          <w:b/>
          <w:bCs/>
        </w:rPr>
        <w:t>advice -</w:t>
      </w:r>
      <w:r w:rsidRPr="004763EA">
        <w:rPr>
          <w:rStyle w:val="Strong"/>
          <w:b/>
          <w:bCs/>
        </w:rPr>
        <w:t xml:space="preserve"> </w:t>
      </w:r>
      <w:r w:rsidR="00B742B9">
        <w:rPr>
          <w:rStyle w:val="Strong"/>
          <w:b/>
          <w:bCs/>
        </w:rPr>
        <w:t>o</w:t>
      </w:r>
      <w:r w:rsidRPr="002B4CF8">
        <w:rPr>
          <w:rStyle w:val="Strong"/>
          <w:b/>
          <w:bCs/>
        </w:rPr>
        <w:t>bligations</w:t>
      </w:r>
      <w:r w:rsidRPr="00E10950">
        <w:rPr>
          <w:rStyle w:val="Strong"/>
          <w:b/>
          <w:bCs/>
        </w:rPr>
        <w:t xml:space="preserve"> for police involvement</w:t>
      </w:r>
    </w:p>
    <w:p w14:paraId="5D7F1F6C" w14:textId="77777777" w:rsidR="00B508A6" w:rsidRDefault="00B508A6" w:rsidP="00B508A6">
      <w:pPr>
        <w:pStyle w:val="DHHSbody"/>
        <w:rPr>
          <w:iCs/>
        </w:rPr>
      </w:pPr>
      <w:r w:rsidRPr="00271E61">
        <w:rPr>
          <w:iCs/>
        </w:rPr>
        <w:t xml:space="preserve">There are obligations </w:t>
      </w:r>
      <w:r>
        <w:rPr>
          <w:iCs/>
        </w:rPr>
        <w:t xml:space="preserve">on residential care services </w:t>
      </w:r>
      <w:r w:rsidRPr="00271E61">
        <w:rPr>
          <w:iCs/>
        </w:rPr>
        <w:t>to contact police</w:t>
      </w:r>
      <w:r>
        <w:rPr>
          <w:iCs/>
        </w:rPr>
        <w:t xml:space="preserve"> when </w:t>
      </w:r>
      <w:r w:rsidRPr="00271E61">
        <w:rPr>
          <w:iCs/>
        </w:rPr>
        <w:t xml:space="preserve">a young person is missing and in response to critical incidents such as allegations or instances of abuse. These obligations </w:t>
      </w:r>
      <w:r w:rsidRPr="00271E61">
        <w:rPr>
          <w:b/>
          <w:iCs/>
        </w:rPr>
        <w:t>must</w:t>
      </w:r>
      <w:r w:rsidRPr="00271E61">
        <w:rPr>
          <w:iCs/>
        </w:rPr>
        <w:t xml:space="preserve"> continue to be met</w:t>
      </w:r>
      <w:r>
        <w:rPr>
          <w:iCs/>
        </w:rPr>
        <w:t>,</w:t>
      </w:r>
      <w:r w:rsidRPr="00271E61">
        <w:rPr>
          <w:iCs/>
        </w:rPr>
        <w:t xml:space="preserve"> with specific consideration </w:t>
      </w:r>
      <w:r>
        <w:rPr>
          <w:iCs/>
        </w:rPr>
        <w:t xml:space="preserve">given </w:t>
      </w:r>
      <w:r w:rsidRPr="00271E61">
        <w:rPr>
          <w:iCs/>
        </w:rPr>
        <w:t>to a trauma-informed approach</w:t>
      </w:r>
      <w:r>
        <w:rPr>
          <w:iCs/>
        </w:rPr>
        <w:t xml:space="preserve"> and </w:t>
      </w:r>
      <w:r w:rsidRPr="00271E61">
        <w:rPr>
          <w:iCs/>
        </w:rPr>
        <w:t>o</w:t>
      </w:r>
      <w:r>
        <w:rPr>
          <w:iCs/>
        </w:rPr>
        <w:t>n</w:t>
      </w:r>
      <w:r w:rsidRPr="00271E61">
        <w:rPr>
          <w:iCs/>
        </w:rPr>
        <w:t xml:space="preserve"> not further stigmatising the young person or those involved in the police response.</w:t>
      </w:r>
    </w:p>
    <w:p w14:paraId="70E54E3E" w14:textId="77777777" w:rsidR="00B508A6" w:rsidRDefault="00B508A6" w:rsidP="00B93B5B">
      <w:pPr>
        <w:pStyle w:val="DHHSbody"/>
      </w:pPr>
      <w:r>
        <w:br w:type="page"/>
      </w:r>
    </w:p>
    <w:p w14:paraId="27F7A2D3" w14:textId="77777777" w:rsidR="00C8344E" w:rsidRPr="00F72BDE" w:rsidRDefault="00C8344E" w:rsidP="00C8344E">
      <w:pPr>
        <w:pStyle w:val="Heading1"/>
      </w:pPr>
      <w:bookmarkStart w:id="95" w:name="_Toc31442881"/>
      <w:r w:rsidRPr="00D162FF">
        <w:lastRenderedPageBreak/>
        <w:t>Roles</w:t>
      </w:r>
      <w:r w:rsidRPr="00F72BDE">
        <w:t xml:space="preserve"> and </w:t>
      </w:r>
      <w:r>
        <w:t>r</w:t>
      </w:r>
      <w:r w:rsidRPr="00F72BDE">
        <w:t>esponsibilities</w:t>
      </w:r>
      <w:bookmarkEnd w:id="95"/>
    </w:p>
    <w:p w14:paraId="622E4DB2" w14:textId="77777777" w:rsidR="00C8344E" w:rsidRPr="00C8344E" w:rsidRDefault="00C8344E" w:rsidP="00C8344E">
      <w:pPr>
        <w:pStyle w:val="DHHSbody"/>
      </w:pPr>
      <w:r w:rsidRPr="00C8344E">
        <w:t>In collaboration with the signatories to this framework, organisations have both a shared and individual responsibility to help achieve its objectives and to honour its guiding principles.</w:t>
      </w:r>
    </w:p>
    <w:p w14:paraId="256785B9" w14:textId="77777777" w:rsidR="00C8344E" w:rsidRPr="00F72BDE" w:rsidRDefault="00C8344E" w:rsidP="00C8344E">
      <w:pPr>
        <w:pStyle w:val="Heading2"/>
      </w:pPr>
      <w:r w:rsidRPr="00F72BDE">
        <w:t>Joint responsibilities</w:t>
      </w:r>
    </w:p>
    <w:p w14:paraId="0F81DECE" w14:textId="77777777" w:rsidR="00C8344E" w:rsidRPr="00C8344E" w:rsidRDefault="00C8344E" w:rsidP="00C8344E">
      <w:pPr>
        <w:pStyle w:val="DHHSbullet1"/>
      </w:pPr>
      <w:r w:rsidRPr="00C8344E">
        <w:t>Acknowledge the vulnerability of young people placed in care services.</w:t>
      </w:r>
    </w:p>
    <w:p w14:paraId="044D3B17" w14:textId="77777777" w:rsidR="00C8344E" w:rsidRPr="00C8344E" w:rsidRDefault="00C8344E" w:rsidP="00C8344E">
      <w:pPr>
        <w:pStyle w:val="DHHSbullet1"/>
      </w:pPr>
      <w:r w:rsidRPr="00C8344E">
        <w:t xml:space="preserve">Acknowledge and uphold the rights of young people in residential care. </w:t>
      </w:r>
    </w:p>
    <w:p w14:paraId="21E081F4" w14:textId="77777777" w:rsidR="00C8344E" w:rsidRPr="00C8344E" w:rsidRDefault="00C8344E" w:rsidP="00C8344E">
      <w:pPr>
        <w:pStyle w:val="DHHSbullet1"/>
      </w:pPr>
      <w:r w:rsidRPr="00C8344E">
        <w:t xml:space="preserve">Ensure the welfare, cultural safety, health and wellbeing of young people in residential care are in accordance with the relevant legislation and policy frameworks. </w:t>
      </w:r>
    </w:p>
    <w:p w14:paraId="3CE621A4" w14:textId="77777777" w:rsidR="00C8344E" w:rsidRPr="00C8344E" w:rsidRDefault="00C8344E" w:rsidP="00C8344E">
      <w:pPr>
        <w:pStyle w:val="DHHSbullet1"/>
      </w:pPr>
      <w:r w:rsidRPr="00C8344E">
        <w:t>Commit to continuous improvement and implement review mechanisms to improve policies, processes and connections within the spirit and intent of the framework to reduce the unnecessary and inappropriate contact of young people in residential care with the criminal justice system.</w:t>
      </w:r>
    </w:p>
    <w:p w14:paraId="63A56CAA" w14:textId="77777777" w:rsidR="00C8344E" w:rsidRPr="00C8344E" w:rsidRDefault="00C8344E" w:rsidP="00C8344E">
      <w:pPr>
        <w:pStyle w:val="DHHSbullet1"/>
      </w:pPr>
      <w:r w:rsidRPr="00C8344E">
        <w:t xml:space="preserve">Commit to review and monitor the implementation of the framework through an 18-month action plan. </w:t>
      </w:r>
    </w:p>
    <w:p w14:paraId="5C4698A9" w14:textId="77777777" w:rsidR="00C8344E" w:rsidRPr="00C8344E" w:rsidRDefault="00C8344E" w:rsidP="00C8344E">
      <w:pPr>
        <w:pStyle w:val="DHHSbullet1"/>
      </w:pPr>
      <w:r w:rsidRPr="00C8344E">
        <w:t>Work with young people in residential care to identify reasons behind offending behaviours, and how to support positive behaviours/factors that would help mitigate offending.</w:t>
      </w:r>
    </w:p>
    <w:p w14:paraId="1B5B829C" w14:textId="183811ED" w:rsidR="00C8344E" w:rsidRPr="00C8344E" w:rsidRDefault="00C8344E" w:rsidP="00C8344E">
      <w:pPr>
        <w:pStyle w:val="DHHSbullet1"/>
      </w:pPr>
      <w:r w:rsidRPr="00C8344E">
        <w:t xml:space="preserve">Share information and work collaboratively so each signatory and supporting organisation can perform its responsibilities to support the framework. </w:t>
      </w:r>
    </w:p>
    <w:p w14:paraId="20AE4DC6" w14:textId="77777777" w:rsidR="00C8344E" w:rsidRPr="00C8344E" w:rsidRDefault="00C8344E" w:rsidP="00C8344E">
      <w:pPr>
        <w:pStyle w:val="DHHSbullet1"/>
      </w:pPr>
      <w:r w:rsidRPr="00C8344E">
        <w:t>Develop, deliver, embed and promote appropriate training to support implementation of the framework.</w:t>
      </w:r>
    </w:p>
    <w:p w14:paraId="59EA7A1F" w14:textId="77777777" w:rsidR="00C8344E" w:rsidRPr="00C8344E" w:rsidRDefault="00C8344E" w:rsidP="00C8344E">
      <w:pPr>
        <w:pStyle w:val="DHHSbullet1"/>
      </w:pPr>
      <w:r w:rsidRPr="00C8344E">
        <w:t xml:space="preserve">Consider findings and learnings from programs or initiatives that have a specific focus on reducing criminalisation of young people in residential care. </w:t>
      </w:r>
    </w:p>
    <w:p w14:paraId="135BE542" w14:textId="77777777" w:rsidR="00C8344E" w:rsidRPr="00C8344E" w:rsidRDefault="00C8344E" w:rsidP="00C8344E">
      <w:pPr>
        <w:pStyle w:val="DHHSbullet1"/>
      </w:pPr>
      <w:r w:rsidRPr="00C8344E">
        <w:t>Support collaborative and local arrangements with services and organisations that focus on local resolution while promoting consistency and shared responsibility.</w:t>
      </w:r>
    </w:p>
    <w:p w14:paraId="4776E154" w14:textId="77777777" w:rsidR="00C8344E" w:rsidRPr="00C8344E" w:rsidRDefault="00C8344E" w:rsidP="00C8344E">
      <w:pPr>
        <w:pStyle w:val="DHHSbullet1"/>
      </w:pPr>
      <w:r w:rsidRPr="00C8344E">
        <w:t>Investigate avenues to promote prosocial community connectedness.</w:t>
      </w:r>
    </w:p>
    <w:p w14:paraId="36AF30E1" w14:textId="77777777" w:rsidR="00C8344E" w:rsidRPr="00C8344E" w:rsidRDefault="00C8344E" w:rsidP="00C8344E">
      <w:pPr>
        <w:pStyle w:val="DHHSbullet1"/>
      </w:pPr>
      <w:r w:rsidRPr="00C8344E">
        <w:t xml:space="preserve">Ensure young people in residential care are aware of their options for legal representation and, when required, provide guidance on how to seek legal services. </w:t>
      </w:r>
    </w:p>
    <w:p w14:paraId="79F2E7A6" w14:textId="77777777" w:rsidR="00C8344E" w:rsidRPr="00F72BDE" w:rsidRDefault="00C8344E" w:rsidP="00C8344E">
      <w:pPr>
        <w:pStyle w:val="Heading2"/>
      </w:pPr>
      <w:bookmarkStart w:id="96" w:name="_Toc14253505"/>
      <w:bookmarkStart w:id="97" w:name="_Toc14275594"/>
      <w:bookmarkStart w:id="98" w:name="_Toc14276313"/>
      <w:bookmarkStart w:id="99" w:name="_Toc14357105"/>
      <w:bookmarkStart w:id="100" w:name="_Toc14357158"/>
      <w:bookmarkStart w:id="101" w:name="_Toc14357298"/>
      <w:bookmarkStart w:id="102" w:name="_Toc14364138"/>
      <w:bookmarkStart w:id="103" w:name="_Toc14793032"/>
      <w:bookmarkStart w:id="104" w:name="_Toc14867898"/>
      <w:r w:rsidRPr="00F72BDE">
        <w:t>Department of Health and Human Services</w:t>
      </w:r>
      <w:bookmarkEnd w:id="96"/>
      <w:bookmarkEnd w:id="97"/>
      <w:bookmarkEnd w:id="98"/>
      <w:bookmarkEnd w:id="99"/>
      <w:bookmarkEnd w:id="100"/>
      <w:bookmarkEnd w:id="101"/>
      <w:bookmarkEnd w:id="102"/>
      <w:bookmarkEnd w:id="103"/>
      <w:bookmarkEnd w:id="104"/>
      <w:r w:rsidRPr="00F72BDE">
        <w:t xml:space="preserve"> </w:t>
      </w:r>
    </w:p>
    <w:p w14:paraId="76ADC92E" w14:textId="77777777" w:rsidR="00C8344E" w:rsidRPr="00C8344E" w:rsidRDefault="00C8344E" w:rsidP="00C8344E">
      <w:pPr>
        <w:pStyle w:val="DHHSbullet1"/>
      </w:pPr>
      <w:r w:rsidRPr="00C8344E">
        <w:t xml:space="preserve">Establish </w:t>
      </w:r>
      <w:proofErr w:type="spellStart"/>
      <w:r w:rsidRPr="00C8344E">
        <w:t>statewide</w:t>
      </w:r>
      <w:proofErr w:type="spellEnd"/>
      <w:r w:rsidRPr="00C8344E">
        <w:t xml:space="preserve"> governance arrangements to help implement, monitor and review the framework. </w:t>
      </w:r>
    </w:p>
    <w:p w14:paraId="040BEFE9" w14:textId="77777777" w:rsidR="00C8344E" w:rsidRPr="00C8344E" w:rsidRDefault="00C8344E" w:rsidP="00C8344E">
      <w:pPr>
        <w:pStyle w:val="DHHSbullet1"/>
      </w:pPr>
      <w:r w:rsidRPr="00C8344E">
        <w:t xml:space="preserve">Promote effective implementation of the objectives of the framework through existing governance arrangements and stakeholder relationships at the local level. </w:t>
      </w:r>
    </w:p>
    <w:p w14:paraId="58FF7D68" w14:textId="77777777" w:rsidR="00C8344E" w:rsidRPr="00C8344E" w:rsidRDefault="00C8344E" w:rsidP="00C8344E">
      <w:pPr>
        <w:pStyle w:val="DHHSbullet1"/>
      </w:pPr>
      <w:r w:rsidRPr="00C8344E">
        <w:t>Strengthen existing practice advice and training to support the capacity building of residential care service providers and residential care workers to provide positive behaviour support in the context of trauma-informed care to manage behaviours of concern among young people in residential care.</w:t>
      </w:r>
    </w:p>
    <w:p w14:paraId="5C7AEEB9" w14:textId="77777777" w:rsidR="00C8344E" w:rsidRPr="00C8344E" w:rsidRDefault="00C8344E" w:rsidP="00C8344E">
      <w:pPr>
        <w:pStyle w:val="DHHSbullet1"/>
      </w:pPr>
      <w:r w:rsidRPr="00C8344E">
        <w:t>Promote learning and best practice within the broader reform agenda to improve early intervention and prevention and to transform the children and families service system.</w:t>
      </w:r>
    </w:p>
    <w:p w14:paraId="73251748" w14:textId="77777777" w:rsidR="00C8344E" w:rsidRPr="00C8344E" w:rsidRDefault="00C8344E" w:rsidP="00C8344E">
      <w:pPr>
        <w:pStyle w:val="DHHSbullet1"/>
      </w:pPr>
      <w:r w:rsidRPr="00C8344E">
        <w:t xml:space="preserve">Strengthen the capacity of the care team to develop and implement behaviour support plans to address the specific needs of young people who exhibit behaviours of concern and reduce the incidence of behaviours that may contribute to contact with police. </w:t>
      </w:r>
    </w:p>
    <w:p w14:paraId="70FB0A75" w14:textId="77777777" w:rsidR="00C8344E" w:rsidRPr="00C8344E" w:rsidRDefault="00C8344E" w:rsidP="00C8344E">
      <w:pPr>
        <w:pStyle w:val="DHHSbullet1"/>
      </w:pPr>
      <w:r w:rsidRPr="00C8344E">
        <w:t>Collate and analyse available data sources to identify systemic issues that may affect managing non-crisis behaviours and contribute to police callouts.</w:t>
      </w:r>
    </w:p>
    <w:p w14:paraId="69CD1A85" w14:textId="3A1461F4" w:rsidR="00C8344E" w:rsidRPr="00C8344E" w:rsidRDefault="00C8344E" w:rsidP="00C8344E">
      <w:pPr>
        <w:pStyle w:val="DHHSbullet1"/>
      </w:pPr>
      <w:r w:rsidRPr="00C8344E">
        <w:t xml:space="preserve">Work with the Department of Justice and Community Safety to finalise and implement a memorandum of understanding to improve collaboration, accountability and information sharing for common clients, including agreeing arrangements for sharing cultural support plans for Aboriginal </w:t>
      </w:r>
      <w:r w:rsidR="007E371F">
        <w:t>young people</w:t>
      </w:r>
      <w:r w:rsidRPr="00C8344E">
        <w:t>.</w:t>
      </w:r>
    </w:p>
    <w:p w14:paraId="7C7F4F6F" w14:textId="77777777" w:rsidR="00C8344E" w:rsidRPr="00C8344E" w:rsidRDefault="00C8344E" w:rsidP="00C8344E">
      <w:pPr>
        <w:pStyle w:val="DHHSbullet1"/>
      </w:pPr>
      <w:r w:rsidRPr="00C8344E">
        <w:lastRenderedPageBreak/>
        <w:t>Work in partnership with the Department of Justice and Community Safety on justice and social service delivery reform to improve outcomes for common clients, including young people in residential care who are at risk of contact with the justice system. This includes more integrated service responses tailored to the needs of this cohort to reduce the over-representation of young people in the criminal justice system who have a history of residential care placement.</w:t>
      </w:r>
    </w:p>
    <w:p w14:paraId="3B173D7A" w14:textId="77777777" w:rsidR="00C8344E" w:rsidRPr="00F72BDE" w:rsidRDefault="00C8344E" w:rsidP="00C8344E">
      <w:pPr>
        <w:pStyle w:val="Heading2"/>
      </w:pPr>
      <w:bookmarkStart w:id="105" w:name="_Toc14253506"/>
      <w:bookmarkStart w:id="106" w:name="_Toc14275595"/>
      <w:bookmarkStart w:id="107" w:name="_Toc14276314"/>
      <w:bookmarkStart w:id="108" w:name="_Toc14357106"/>
      <w:bookmarkStart w:id="109" w:name="_Toc14357159"/>
      <w:bookmarkStart w:id="110" w:name="_Toc14357299"/>
      <w:bookmarkStart w:id="111" w:name="_Toc14364139"/>
      <w:bookmarkStart w:id="112" w:name="_Toc14793033"/>
      <w:bookmarkStart w:id="113" w:name="_Toc14867899"/>
      <w:r w:rsidRPr="00F72BDE">
        <w:t>Residential care service providers</w:t>
      </w:r>
    </w:p>
    <w:p w14:paraId="059E3762" w14:textId="77777777" w:rsidR="00C8344E" w:rsidRPr="00F72BDE" w:rsidRDefault="00C8344E" w:rsidP="00C8344E">
      <w:pPr>
        <w:pStyle w:val="DHHSbullet1"/>
      </w:pPr>
      <w:r w:rsidRPr="00F72BDE">
        <w:t xml:space="preserve">Promote local partnerships to build relationships and support communication and information sharing with the Department of Health and Human Services and Victoria Police regarding the needs of young people in residential care, including strategies or plans identified through the young person’s care team to enable a more effective police response. </w:t>
      </w:r>
    </w:p>
    <w:p w14:paraId="21BF57B6" w14:textId="77777777" w:rsidR="00C8344E" w:rsidRPr="00F72BDE" w:rsidRDefault="00C8344E" w:rsidP="00C8344E">
      <w:pPr>
        <w:pStyle w:val="DHHSbullet1"/>
      </w:pPr>
      <w:r w:rsidRPr="00F72BDE">
        <w:t xml:space="preserve">Lead the development of behaviour support plans for young people in residential care in accordance </w:t>
      </w:r>
      <w:r>
        <w:t>with</w:t>
      </w:r>
      <w:r w:rsidRPr="00F72BDE">
        <w:t xml:space="preserve"> the </w:t>
      </w:r>
      <w:r w:rsidRPr="00F72BDE">
        <w:rPr>
          <w:i/>
        </w:rPr>
        <w:t xml:space="preserve">Looking </w:t>
      </w:r>
      <w:r>
        <w:rPr>
          <w:i/>
        </w:rPr>
        <w:t>a</w:t>
      </w:r>
      <w:r w:rsidRPr="00F72BDE">
        <w:rPr>
          <w:i/>
        </w:rPr>
        <w:t xml:space="preserve">fter </w:t>
      </w:r>
      <w:r>
        <w:rPr>
          <w:i/>
        </w:rPr>
        <w:t>c</w:t>
      </w:r>
      <w:r w:rsidRPr="00F72BDE">
        <w:rPr>
          <w:i/>
        </w:rPr>
        <w:t>hildren</w:t>
      </w:r>
      <w:r w:rsidRPr="00F72BDE">
        <w:t xml:space="preserve"> </w:t>
      </w:r>
      <w:r>
        <w:rPr>
          <w:i/>
          <w:iCs/>
        </w:rPr>
        <w:t>c</w:t>
      </w:r>
      <w:r w:rsidRPr="00271E61">
        <w:rPr>
          <w:i/>
          <w:iCs/>
        </w:rPr>
        <w:t xml:space="preserve">are and </w:t>
      </w:r>
      <w:r>
        <w:rPr>
          <w:i/>
          <w:iCs/>
        </w:rPr>
        <w:t>p</w:t>
      </w:r>
      <w:r w:rsidRPr="00271E61">
        <w:rPr>
          <w:i/>
          <w:iCs/>
        </w:rPr>
        <w:t>lacement plan</w:t>
      </w:r>
      <w:r w:rsidRPr="00F72BDE">
        <w:t xml:space="preserve">. For Aboriginal young people, behaviour support plans must align </w:t>
      </w:r>
      <w:r>
        <w:t xml:space="preserve">with </w:t>
      </w:r>
      <w:r w:rsidRPr="00F72BDE">
        <w:t xml:space="preserve">the young person’s cultural plan. </w:t>
      </w:r>
    </w:p>
    <w:p w14:paraId="4494A1EE" w14:textId="77777777" w:rsidR="00C8344E" w:rsidRPr="00F72BDE" w:rsidRDefault="00C8344E" w:rsidP="00C8344E">
      <w:pPr>
        <w:pStyle w:val="DHHSbullet1"/>
      </w:pPr>
      <w:r w:rsidRPr="00F72BDE">
        <w:t xml:space="preserve">Review local policies and procedures to strengthen consistency with the objectives, values and principles of the </w:t>
      </w:r>
      <w:r>
        <w:t>f</w:t>
      </w:r>
      <w:r w:rsidRPr="00F72BDE">
        <w:t xml:space="preserve">ramework, including clear guidance </w:t>
      </w:r>
      <w:r>
        <w:t xml:space="preserve">about </w:t>
      </w:r>
      <w:r w:rsidRPr="00F72BDE">
        <w:t>involv</w:t>
      </w:r>
      <w:r>
        <w:t>ing</w:t>
      </w:r>
      <w:r w:rsidRPr="00F72BDE">
        <w:t xml:space="preserve"> police in response to crisis situations that minimises police involvement where possible.</w:t>
      </w:r>
    </w:p>
    <w:p w14:paraId="151505E0" w14:textId="77777777" w:rsidR="00C8344E" w:rsidRPr="00F72BDE" w:rsidRDefault="00C8344E" w:rsidP="00C8344E">
      <w:pPr>
        <w:pStyle w:val="DHHSbullet1"/>
      </w:pPr>
      <w:r>
        <w:t xml:space="preserve">Provide </w:t>
      </w:r>
      <w:r w:rsidRPr="00F72BDE">
        <w:t xml:space="preserve">local police </w:t>
      </w:r>
      <w:r>
        <w:t xml:space="preserve">with </w:t>
      </w:r>
      <w:r w:rsidRPr="00F72BDE">
        <w:t xml:space="preserve">information in line with the </w:t>
      </w:r>
      <w:r>
        <w:t>f</w:t>
      </w:r>
      <w:r w:rsidRPr="00F72BDE">
        <w:t xml:space="preserve">ramework when police </w:t>
      </w:r>
      <w:r>
        <w:t xml:space="preserve">are </w:t>
      </w:r>
      <w:r w:rsidRPr="00F72BDE">
        <w:t>required to respond to an individual circumstance.</w:t>
      </w:r>
    </w:p>
    <w:p w14:paraId="628F10C1" w14:textId="77777777" w:rsidR="00C8344E" w:rsidRPr="00F72BDE" w:rsidRDefault="00C8344E" w:rsidP="00C8344E">
      <w:pPr>
        <w:pStyle w:val="DHHSbullet1"/>
      </w:pPr>
      <w:r>
        <w:t>Document</w:t>
      </w:r>
      <w:r w:rsidRPr="00F72BDE">
        <w:t xml:space="preserve"> and monitor incidents where police involvement </w:t>
      </w:r>
      <w:proofErr w:type="gramStart"/>
      <w:r w:rsidRPr="00F72BDE">
        <w:t>was</w:t>
      </w:r>
      <w:proofErr w:type="gramEnd"/>
      <w:r w:rsidRPr="00F72BDE">
        <w:t xml:space="preserve"> required. </w:t>
      </w:r>
    </w:p>
    <w:p w14:paraId="2582A6AA" w14:textId="77777777" w:rsidR="00C8344E" w:rsidRPr="00F72BDE" w:rsidRDefault="00C8344E" w:rsidP="00C8344E">
      <w:pPr>
        <w:pStyle w:val="DHHSbullet1"/>
      </w:pPr>
      <w:r w:rsidRPr="00F72BDE">
        <w:t>Identify opportunities for training and resources to build</w:t>
      </w:r>
      <w:r>
        <w:t xml:space="preserve"> staff</w:t>
      </w:r>
      <w:r w:rsidRPr="00F72BDE">
        <w:t xml:space="preserve"> skills and confidence to respond to behaviour</w:t>
      </w:r>
      <w:r>
        <w:t>s</w:t>
      </w:r>
      <w:r w:rsidRPr="00F72BDE">
        <w:t xml:space="preserve"> of concern though trauma</w:t>
      </w:r>
      <w:r>
        <w:t>-</w:t>
      </w:r>
      <w:r w:rsidRPr="00F72BDE">
        <w:t xml:space="preserve">informed care and positive behaviour support. </w:t>
      </w:r>
    </w:p>
    <w:p w14:paraId="2040867A" w14:textId="77777777" w:rsidR="00C8344E" w:rsidRPr="00F72BDE" w:rsidRDefault="00C8344E" w:rsidP="00C8344E">
      <w:pPr>
        <w:pStyle w:val="DHHSbullet1"/>
      </w:pPr>
      <w:r w:rsidRPr="00F72BDE">
        <w:t>Promote opportunities for restorative practices to strengthen or repair relationships</w:t>
      </w:r>
      <w:r>
        <w:t>.</w:t>
      </w:r>
      <w:r w:rsidRPr="00F72BDE">
        <w:t xml:space="preserve"> </w:t>
      </w:r>
      <w:r>
        <w:t>I</w:t>
      </w:r>
      <w:r w:rsidRPr="00F72BDE">
        <w:t>dentify follow</w:t>
      </w:r>
      <w:r>
        <w:t>-</w:t>
      </w:r>
      <w:r w:rsidRPr="00F72BDE">
        <w:t xml:space="preserve">up supports for young people and staff following behaviours of concern. </w:t>
      </w:r>
    </w:p>
    <w:p w14:paraId="6673AB11" w14:textId="77777777" w:rsidR="00C8344E" w:rsidRPr="00F72BDE" w:rsidRDefault="00C8344E" w:rsidP="00C8344E">
      <w:pPr>
        <w:pStyle w:val="DHHSbullet1"/>
      </w:pPr>
      <w:r w:rsidRPr="00F72BDE">
        <w:t>Actively promote young people</w:t>
      </w:r>
      <w:r>
        <w:t>’s</w:t>
      </w:r>
      <w:r w:rsidRPr="00F72BDE">
        <w:t xml:space="preserve"> engagement in planning and support processes that respond to their specific care and cultural needs</w:t>
      </w:r>
      <w:r>
        <w:t>.</w:t>
      </w:r>
      <w:r w:rsidRPr="00F72BDE">
        <w:t xml:space="preserve"> </w:t>
      </w:r>
      <w:r>
        <w:t>C</w:t>
      </w:r>
      <w:r w:rsidRPr="00F72BDE">
        <w:t xml:space="preserve">ontinue to prioritise strengthening family relationships </w:t>
      </w:r>
      <w:r>
        <w:t>for</w:t>
      </w:r>
      <w:r w:rsidRPr="00F72BDE">
        <w:t xml:space="preserve"> young people</w:t>
      </w:r>
      <w:r>
        <w:t>.</w:t>
      </w:r>
    </w:p>
    <w:p w14:paraId="7E76A694" w14:textId="3AFE919A" w:rsidR="00C8344E" w:rsidRPr="00F72BDE" w:rsidRDefault="00C8344E" w:rsidP="00C8344E">
      <w:pPr>
        <w:pStyle w:val="DHHSbullet1"/>
      </w:pPr>
      <w:r w:rsidRPr="00F72BDE">
        <w:t xml:space="preserve">Provide information to young people </w:t>
      </w:r>
      <w:r w:rsidR="00B07AA7">
        <w:t>about</w:t>
      </w:r>
      <w:r w:rsidR="00B07AA7" w:rsidRPr="00F72BDE">
        <w:t xml:space="preserve"> </w:t>
      </w:r>
      <w:r w:rsidRPr="00F72BDE">
        <w:t xml:space="preserve">raising complaints or issues. This could include providing details for accessing legal services or </w:t>
      </w:r>
      <w:r>
        <w:t xml:space="preserve">about </w:t>
      </w:r>
      <w:r w:rsidRPr="00F72BDE">
        <w:t xml:space="preserve">existing complaints/feedback processes. </w:t>
      </w:r>
    </w:p>
    <w:p w14:paraId="28E18230" w14:textId="77777777" w:rsidR="00C8344E" w:rsidRPr="00F72BDE" w:rsidRDefault="00C8344E" w:rsidP="00C8344E">
      <w:pPr>
        <w:pStyle w:val="DHHSbullet1"/>
      </w:pPr>
      <w:r w:rsidRPr="00F72BDE">
        <w:t xml:space="preserve">Designate a senior staff member within the residential care home as a liaison point between local police. </w:t>
      </w:r>
    </w:p>
    <w:p w14:paraId="6E4C402E" w14:textId="77777777" w:rsidR="00C8344E" w:rsidRPr="00F72BDE" w:rsidRDefault="00C8344E" w:rsidP="00C8344E">
      <w:pPr>
        <w:pStyle w:val="Heading2"/>
      </w:pPr>
      <w:r w:rsidRPr="00F72BDE">
        <w:t>Department of Justice and Community Safety</w:t>
      </w:r>
    </w:p>
    <w:p w14:paraId="7E470F41" w14:textId="77777777" w:rsidR="00C8344E" w:rsidRPr="00C8344E" w:rsidRDefault="00C8344E" w:rsidP="00C8344E">
      <w:pPr>
        <w:pStyle w:val="DHHSbullet1"/>
      </w:pPr>
      <w:r w:rsidRPr="00C8344E">
        <w:t xml:space="preserve">Strengthen existing practice advice and training to support the diversion and early intervention of young people from residential care including through the Children’s Court Youth Diversion Program and the Youth Justice Group Conference Program. </w:t>
      </w:r>
    </w:p>
    <w:p w14:paraId="07213C35" w14:textId="77777777" w:rsidR="00C8344E" w:rsidRPr="00C8344E" w:rsidRDefault="00C8344E" w:rsidP="00C8344E">
      <w:pPr>
        <w:pStyle w:val="DHHSbullet1"/>
      </w:pPr>
      <w:r w:rsidRPr="00C8344E">
        <w:t>Review bail guidelines and strengthen training to promote the use of supervised and intensive bail (and to ensure remand is considered as a last resort).</w:t>
      </w:r>
    </w:p>
    <w:p w14:paraId="210F8004" w14:textId="77777777" w:rsidR="00C8344E" w:rsidRPr="00C8344E" w:rsidRDefault="00C8344E" w:rsidP="00C8344E">
      <w:pPr>
        <w:pStyle w:val="DHHSbullet1"/>
      </w:pPr>
      <w:r w:rsidRPr="00C8344E">
        <w:t>Work in partnership with the Department of Health and Human Services to finalise and implement a memorandum of understanding to improve collaboration, accountability and information sharing for common clients, including agreeing arrangements for sharing cultural plans.</w:t>
      </w:r>
    </w:p>
    <w:p w14:paraId="6AAEED38" w14:textId="77777777" w:rsidR="00C8344E" w:rsidRPr="00C8344E" w:rsidRDefault="00C8344E" w:rsidP="00C8344E">
      <w:pPr>
        <w:pStyle w:val="DHHSbullet1"/>
      </w:pPr>
      <w:r w:rsidRPr="00C8344E">
        <w:t>Work in partnership with the Department of Health and Human Services on justice and social service delivery reform to improve outcomes for common clients, including young people in residential care who are at risk of contact with the justice system. This includes more integrated service responses, tailored to the needs of this cohort to reduce the over-representation of young people in the criminal justice system who have a history of residential care placement.</w:t>
      </w:r>
    </w:p>
    <w:p w14:paraId="53CF8064" w14:textId="77777777" w:rsidR="00C8344E" w:rsidRPr="00F72BDE" w:rsidRDefault="00C8344E" w:rsidP="00C8344E">
      <w:pPr>
        <w:pStyle w:val="Heading2"/>
      </w:pPr>
      <w:r w:rsidRPr="00F72BDE">
        <w:lastRenderedPageBreak/>
        <w:t>Victoria Police</w:t>
      </w:r>
      <w:bookmarkEnd w:id="105"/>
      <w:bookmarkEnd w:id="106"/>
      <w:bookmarkEnd w:id="107"/>
      <w:bookmarkEnd w:id="108"/>
      <w:bookmarkEnd w:id="109"/>
      <w:bookmarkEnd w:id="110"/>
      <w:bookmarkEnd w:id="111"/>
      <w:bookmarkEnd w:id="112"/>
      <w:bookmarkEnd w:id="113"/>
    </w:p>
    <w:p w14:paraId="5A7D709E" w14:textId="77777777" w:rsidR="00C8344E" w:rsidRPr="00C8344E" w:rsidRDefault="00C8344E" w:rsidP="00C8344E">
      <w:pPr>
        <w:pStyle w:val="DHHSbullet1"/>
      </w:pPr>
      <w:bookmarkStart w:id="114" w:name="_Toc14253507"/>
      <w:bookmarkStart w:id="115" w:name="_Toc14275596"/>
      <w:bookmarkStart w:id="116" w:name="_Toc14276315"/>
      <w:bookmarkStart w:id="117" w:name="_Toc14357107"/>
      <w:bookmarkStart w:id="118" w:name="_Toc14357160"/>
      <w:bookmarkStart w:id="119" w:name="_Toc14357300"/>
      <w:bookmarkStart w:id="120" w:name="_Toc14364140"/>
      <w:bookmarkStart w:id="121" w:name="_Toc14793034"/>
      <w:bookmarkStart w:id="122" w:name="_Toc14867900"/>
      <w:r w:rsidRPr="00C8344E">
        <w:t xml:space="preserve">Acknowledge the importance of reducing unnecessary contact with police and proactively strengthen relationships between young people in care and police, where appropriate. </w:t>
      </w:r>
    </w:p>
    <w:p w14:paraId="195633A5" w14:textId="77777777" w:rsidR="00C8344E" w:rsidRPr="00C8344E" w:rsidRDefault="00C8344E" w:rsidP="00C8344E">
      <w:pPr>
        <w:pStyle w:val="DHHSbullet1"/>
      </w:pPr>
      <w:r w:rsidRPr="00C8344E">
        <w:t xml:space="preserve">Promote local partnerships to build relationships and support communication and information sharing with the Department of Health and Human Services and residential care service providers regarding the needs of young people in residential care to enable a more effective police response. </w:t>
      </w:r>
    </w:p>
    <w:p w14:paraId="1B07F70B" w14:textId="77777777" w:rsidR="00C8344E" w:rsidRPr="00C8344E" w:rsidRDefault="00C8344E" w:rsidP="00C8344E">
      <w:pPr>
        <w:pStyle w:val="DHHSbullet1"/>
      </w:pPr>
      <w:r w:rsidRPr="00C8344E">
        <w:t>Convey to local police members any information about a young person’s case that might help them to exercise discretion based on individual circumstances.</w:t>
      </w:r>
    </w:p>
    <w:p w14:paraId="1B9D1A05" w14:textId="5324911E" w:rsidR="00C8344E" w:rsidRPr="00C8344E" w:rsidRDefault="00C8344E" w:rsidP="00C8344E">
      <w:pPr>
        <w:pStyle w:val="DHHSbullet1"/>
      </w:pPr>
      <w:r w:rsidRPr="00C8344E">
        <w:t>Consider opportunities for processes and procedures to promote a trauma-informed response to incidents for young people in care services</w:t>
      </w:r>
      <w:r w:rsidR="00263BA2">
        <w:t>,</w:t>
      </w:r>
      <w:r w:rsidRPr="00C8344E">
        <w:t xml:space="preserve"> considering the young person’s individual circumstances and history of trauma wherever possible.</w:t>
      </w:r>
    </w:p>
    <w:p w14:paraId="74FBEE0E" w14:textId="77777777" w:rsidR="00C8344E" w:rsidRPr="00C8344E" w:rsidRDefault="00C8344E" w:rsidP="00C8344E">
      <w:pPr>
        <w:pStyle w:val="DHHSbullet1"/>
      </w:pPr>
      <w:r w:rsidRPr="00C8344E">
        <w:t>Identify opportunities for training and resources that will help deliver trauma-informed services across the workforce, particularly where such information may not be generally available.</w:t>
      </w:r>
    </w:p>
    <w:p w14:paraId="7FE890C9" w14:textId="7B541DCB" w:rsidR="00C8344E" w:rsidRPr="00C8344E" w:rsidRDefault="00C8344E" w:rsidP="00C8344E">
      <w:pPr>
        <w:pStyle w:val="DHHSbullet1"/>
      </w:pPr>
      <w:r w:rsidRPr="00C8344E">
        <w:t>Support a senior staff member within residential care home</w:t>
      </w:r>
      <w:r w:rsidR="00263BA2">
        <w:t>s</w:t>
      </w:r>
      <w:r w:rsidRPr="00C8344E">
        <w:t xml:space="preserve"> to act a liaison point with local police. </w:t>
      </w:r>
    </w:p>
    <w:p w14:paraId="1807590C" w14:textId="77777777" w:rsidR="00C8344E" w:rsidRPr="00C8344E" w:rsidRDefault="00C8344E" w:rsidP="00C8344E">
      <w:pPr>
        <w:pStyle w:val="DHHSbullet1"/>
      </w:pPr>
      <w:r w:rsidRPr="00C8344E">
        <w:t>When police become involved, consider using discretionary powers, where appropriate, subject to legislative limitations relevant to exercising discretion.</w:t>
      </w:r>
      <w:bookmarkEnd w:id="114"/>
      <w:bookmarkEnd w:id="115"/>
      <w:bookmarkEnd w:id="116"/>
      <w:bookmarkEnd w:id="117"/>
      <w:bookmarkEnd w:id="118"/>
      <w:bookmarkEnd w:id="119"/>
      <w:bookmarkEnd w:id="120"/>
      <w:bookmarkEnd w:id="121"/>
      <w:bookmarkEnd w:id="122"/>
      <w:r w:rsidRPr="00C8344E">
        <w:t xml:space="preserve"> </w:t>
      </w:r>
    </w:p>
    <w:p w14:paraId="6CEFD5BB" w14:textId="77777777" w:rsidR="00C8344E" w:rsidRDefault="00C8344E" w:rsidP="00B93B5B">
      <w:pPr>
        <w:pStyle w:val="DHHSbody"/>
        <w:rPr>
          <w:rStyle w:val="Strong"/>
        </w:rPr>
      </w:pPr>
      <w:r>
        <w:rPr>
          <w:rStyle w:val="Strong"/>
        </w:rPr>
        <w:br w:type="page"/>
      </w:r>
    </w:p>
    <w:p w14:paraId="47E765DD" w14:textId="77777777" w:rsidR="00C8344E" w:rsidRPr="00C8344E" w:rsidRDefault="00C8344E" w:rsidP="00C8344E">
      <w:pPr>
        <w:pStyle w:val="Heading1"/>
      </w:pPr>
      <w:bookmarkStart w:id="123" w:name="_Toc31442882"/>
      <w:r w:rsidRPr="00C8344E">
        <w:lastRenderedPageBreak/>
        <w:t>Supporting implementation of the framework</w:t>
      </w:r>
      <w:bookmarkEnd w:id="123"/>
    </w:p>
    <w:p w14:paraId="133B9DBD" w14:textId="77777777" w:rsidR="00C8344E" w:rsidRPr="00F72BDE" w:rsidRDefault="00C8344E" w:rsidP="00C8344E">
      <w:pPr>
        <w:pStyle w:val="DHHSbody"/>
      </w:pPr>
      <w:r w:rsidRPr="00F72BDE">
        <w:t xml:space="preserve">The </w:t>
      </w:r>
      <w:r>
        <w:t>f</w:t>
      </w:r>
      <w:r w:rsidRPr="00F72BDE">
        <w:t>ramework aims to drive a coordinated and trauma-informed approach to reducing unnecessary contact with the criminal justice system for young people living in residential care. Implementation will be driven by key outcomes and measures, which will be monitored and reviewed through establish</w:t>
      </w:r>
      <w:r>
        <w:t>ing</w:t>
      </w:r>
      <w:r w:rsidRPr="00F72BDE">
        <w:t xml:space="preserve"> specific governance arrangements and develop</w:t>
      </w:r>
      <w:r>
        <w:t>ing</w:t>
      </w:r>
      <w:r w:rsidRPr="00F72BDE">
        <w:t xml:space="preserve"> an 18-month </w:t>
      </w:r>
      <w:r>
        <w:t>a</w:t>
      </w:r>
      <w:r w:rsidRPr="00F72BDE">
        <w:t xml:space="preserve">ction </w:t>
      </w:r>
      <w:r>
        <w:t>p</w:t>
      </w:r>
      <w:r w:rsidRPr="00F72BDE">
        <w:t xml:space="preserve">lan. </w:t>
      </w:r>
    </w:p>
    <w:p w14:paraId="711F15F4" w14:textId="77777777" w:rsidR="00C8344E" w:rsidRPr="00C8344E" w:rsidRDefault="00C8344E" w:rsidP="00C8344E">
      <w:pPr>
        <w:pStyle w:val="Heading2"/>
      </w:pPr>
      <w:r w:rsidRPr="00C8344E">
        <w:t>Governance arrangements</w:t>
      </w:r>
    </w:p>
    <w:p w14:paraId="509A179E" w14:textId="77777777" w:rsidR="00C8344E" w:rsidRPr="00F72BDE" w:rsidRDefault="00C8344E" w:rsidP="00C8344E">
      <w:pPr>
        <w:pStyle w:val="DHHSbody"/>
      </w:pPr>
      <w:r w:rsidRPr="00F72BDE">
        <w:t xml:space="preserve">The </w:t>
      </w:r>
      <w:r>
        <w:t>f</w:t>
      </w:r>
      <w:r w:rsidRPr="00F72BDE">
        <w:t>ramework’s successful implementation is contingent upon cooperation and a respectful understanding of the outcomes for reducing the criminalisation of young people in residential care.</w:t>
      </w:r>
    </w:p>
    <w:p w14:paraId="4288EA7B" w14:textId="77777777" w:rsidR="00C8344E" w:rsidRPr="00C8344E" w:rsidRDefault="00C8344E" w:rsidP="00C8344E">
      <w:pPr>
        <w:pStyle w:val="Heading3"/>
      </w:pPr>
      <w:proofErr w:type="spellStart"/>
      <w:r w:rsidRPr="00C8344E">
        <w:t>Statewide</w:t>
      </w:r>
      <w:proofErr w:type="spellEnd"/>
      <w:r w:rsidRPr="00C8344E">
        <w:t xml:space="preserve"> implementation group</w:t>
      </w:r>
    </w:p>
    <w:p w14:paraId="1998419C" w14:textId="77777777" w:rsidR="00C8344E" w:rsidRPr="00F72BDE" w:rsidRDefault="00C8344E" w:rsidP="00C8344E">
      <w:pPr>
        <w:pStyle w:val="DHHSbody"/>
      </w:pPr>
      <w:r w:rsidRPr="00F72BDE">
        <w:t xml:space="preserve">The Department of Health and Human Services will engage with signatories, supporting agencies and relevant stakeholders to establish a </w:t>
      </w:r>
      <w:proofErr w:type="spellStart"/>
      <w:r>
        <w:t>s</w:t>
      </w:r>
      <w:r w:rsidRPr="00F72BDE">
        <w:t>tatewide</w:t>
      </w:r>
      <w:proofErr w:type="spellEnd"/>
      <w:r w:rsidRPr="00F72BDE">
        <w:t xml:space="preserve"> </w:t>
      </w:r>
      <w:r>
        <w:t>i</w:t>
      </w:r>
      <w:r w:rsidRPr="00F72BDE">
        <w:t xml:space="preserve">mplementation </w:t>
      </w:r>
      <w:r>
        <w:t>g</w:t>
      </w:r>
      <w:r w:rsidRPr="00F72BDE">
        <w:t xml:space="preserve">roup. </w:t>
      </w:r>
    </w:p>
    <w:p w14:paraId="0119B7BF" w14:textId="2FDFEA9D" w:rsidR="00C8344E" w:rsidRDefault="00C8344E" w:rsidP="00C8344E">
      <w:pPr>
        <w:pStyle w:val="DHHSbody"/>
      </w:pPr>
      <w:r w:rsidRPr="00396F3C">
        <w:t xml:space="preserve">Membership of the </w:t>
      </w:r>
      <w:proofErr w:type="spellStart"/>
      <w:r w:rsidRPr="00396F3C">
        <w:t>statewide</w:t>
      </w:r>
      <w:proofErr w:type="spellEnd"/>
      <w:r w:rsidRPr="00396F3C">
        <w:t xml:space="preserve"> implementation group will include the Department of Health and Human Services, Department of Justice and Community Safety, Victoria Police, Centre for Excellence in Child and Family Welfare, </w:t>
      </w:r>
      <w:r>
        <w:t>Victorian Aboriginal Child Care Agency</w:t>
      </w:r>
      <w:r w:rsidRPr="00396F3C">
        <w:t>, residential care service providers, the Commission for Children and Young People, the Aboriginal Children and Young People Alliance, CREATE Foundation, Victoria Legal Aid and Aboriginal Victorian Legal Services. Membership will also be extended to other issues-based invitees</w:t>
      </w:r>
      <w:r w:rsidR="00263BA2">
        <w:t>.</w:t>
      </w:r>
    </w:p>
    <w:p w14:paraId="52AAC518" w14:textId="77777777" w:rsidR="00C8344E" w:rsidRPr="00F72BDE" w:rsidRDefault="00C8344E" w:rsidP="00C8344E">
      <w:pPr>
        <w:pStyle w:val="DHHSbody"/>
      </w:pPr>
      <w:r w:rsidRPr="00F72BDE">
        <w:t xml:space="preserve">The </w:t>
      </w:r>
      <w:proofErr w:type="spellStart"/>
      <w:r w:rsidRPr="00F72BDE">
        <w:t>statewide</w:t>
      </w:r>
      <w:proofErr w:type="spellEnd"/>
      <w:r w:rsidRPr="00F72BDE">
        <w:t xml:space="preserve"> implementation group will work to:</w:t>
      </w:r>
    </w:p>
    <w:p w14:paraId="7C581816" w14:textId="77777777" w:rsidR="00C8344E" w:rsidRPr="00F72BDE" w:rsidRDefault="00C8344E" w:rsidP="00C8344E">
      <w:pPr>
        <w:pStyle w:val="DHHSbullet1"/>
      </w:pPr>
      <w:r>
        <w:t>d</w:t>
      </w:r>
      <w:r w:rsidRPr="00F72BDE">
        <w:t xml:space="preserve">evelop an 18-month action plan to </w:t>
      </w:r>
      <w:r>
        <w:t>help</w:t>
      </w:r>
      <w:r w:rsidRPr="00F72BDE">
        <w:t xml:space="preserve"> meet the objectives and measures of the </w:t>
      </w:r>
      <w:r>
        <w:t>f</w:t>
      </w:r>
      <w:r w:rsidRPr="00F72BDE">
        <w:t>ramework</w:t>
      </w:r>
    </w:p>
    <w:p w14:paraId="5AA0FEA6" w14:textId="77777777" w:rsidR="00C8344E" w:rsidRPr="00F72BDE" w:rsidRDefault="00C8344E" w:rsidP="00C8344E">
      <w:pPr>
        <w:pStyle w:val="DHHSbullet1"/>
      </w:pPr>
      <w:r>
        <w:t>i</w:t>
      </w:r>
      <w:r w:rsidRPr="00F72BDE">
        <w:t xml:space="preserve">dentify the type of data, and subsequent methodology, </w:t>
      </w:r>
      <w:r>
        <w:t>required</w:t>
      </w:r>
      <w:r w:rsidRPr="00F72BDE">
        <w:t xml:space="preserve"> to inform the monitoring and implementation of the </w:t>
      </w:r>
      <w:r>
        <w:t>f</w:t>
      </w:r>
      <w:r w:rsidRPr="00F72BDE">
        <w:t>ramework</w:t>
      </w:r>
    </w:p>
    <w:p w14:paraId="6D560D7A" w14:textId="77777777" w:rsidR="00C8344E" w:rsidRPr="00F72BDE" w:rsidRDefault="00C8344E" w:rsidP="00C8344E">
      <w:pPr>
        <w:pStyle w:val="DHHSbullet1"/>
      </w:pPr>
      <w:r>
        <w:t>i</w:t>
      </w:r>
      <w:r w:rsidRPr="00F72BDE">
        <w:t>dentify and provide areas of focus and baseline expectations for local governance arrangements</w:t>
      </w:r>
    </w:p>
    <w:p w14:paraId="19500619" w14:textId="77777777" w:rsidR="00C8344E" w:rsidRPr="00F72BDE" w:rsidRDefault="00C8344E" w:rsidP="00C8344E">
      <w:pPr>
        <w:pStyle w:val="DHHSbullet1"/>
      </w:pPr>
      <w:r>
        <w:t>d</w:t>
      </w:r>
      <w:r w:rsidRPr="00F72BDE">
        <w:t xml:space="preserve">evelop a communication and promotion strategy to support the </w:t>
      </w:r>
      <w:r>
        <w:t>f</w:t>
      </w:r>
      <w:r w:rsidRPr="00F72BDE">
        <w:t>ramework</w:t>
      </w:r>
      <w:r>
        <w:t>’s</w:t>
      </w:r>
      <w:r w:rsidRPr="00E3398D">
        <w:t xml:space="preserve"> </w:t>
      </w:r>
      <w:r w:rsidRPr="00F72BDE">
        <w:t>implementation</w:t>
      </w:r>
    </w:p>
    <w:p w14:paraId="2E069B77" w14:textId="77777777" w:rsidR="00C8344E" w:rsidRPr="00F72BDE" w:rsidRDefault="00C8344E" w:rsidP="00C8344E">
      <w:pPr>
        <w:pStyle w:val="DHHSbullet1"/>
      </w:pPr>
      <w:r>
        <w:t>d</w:t>
      </w:r>
      <w:r w:rsidRPr="00F72BDE">
        <w:t>evelop an evaluation program logic and scope options for an evaluation framework</w:t>
      </w:r>
    </w:p>
    <w:p w14:paraId="4E86E86A" w14:textId="77777777" w:rsidR="00C8344E" w:rsidRPr="00F72BDE" w:rsidRDefault="00C8344E" w:rsidP="00C8344E">
      <w:pPr>
        <w:pStyle w:val="DHHSbullet1"/>
      </w:pPr>
      <w:r>
        <w:t>d</w:t>
      </w:r>
      <w:r w:rsidRPr="00F72BDE">
        <w:t xml:space="preserve">evelop a risk mitigation strategy that considers identified and emerging risks and issues including implementation at </w:t>
      </w:r>
      <w:r>
        <w:t>the</w:t>
      </w:r>
      <w:r w:rsidRPr="00F72BDE">
        <w:t xml:space="preserve"> operational/worker level</w:t>
      </w:r>
    </w:p>
    <w:p w14:paraId="288F0F96" w14:textId="77777777" w:rsidR="00C8344E" w:rsidRPr="00F72BDE" w:rsidRDefault="00C8344E" w:rsidP="00C8344E">
      <w:pPr>
        <w:pStyle w:val="DHHSbullet1"/>
      </w:pPr>
      <w:r>
        <w:t>s</w:t>
      </w:r>
      <w:r w:rsidRPr="00F72BDE">
        <w:t>upport development of sector-specific or joint-agency training and resources</w:t>
      </w:r>
    </w:p>
    <w:p w14:paraId="1355C89C" w14:textId="77777777" w:rsidR="00C8344E" w:rsidRPr="00F72BDE" w:rsidRDefault="00C8344E" w:rsidP="00C8344E">
      <w:pPr>
        <w:pStyle w:val="DHHSbullet1"/>
      </w:pPr>
      <w:r>
        <w:t>m</w:t>
      </w:r>
      <w:r w:rsidRPr="00F72BDE">
        <w:t xml:space="preserve">onitor implementation of the </w:t>
      </w:r>
      <w:r>
        <w:t>f</w:t>
      </w:r>
      <w:r w:rsidRPr="00F72BDE">
        <w:t>ramework and related procedures and identify the need for any other processes or related tools to be developed to support this process</w:t>
      </w:r>
    </w:p>
    <w:p w14:paraId="5CFDB75A" w14:textId="77777777" w:rsidR="00C8344E" w:rsidRPr="00F72BDE" w:rsidRDefault="00C8344E" w:rsidP="00C8344E">
      <w:pPr>
        <w:pStyle w:val="DHHSbullet1"/>
      </w:pPr>
      <w:r>
        <w:t>i</w:t>
      </w:r>
      <w:r w:rsidRPr="00F72BDE">
        <w:t>dentify and promot</w:t>
      </w:r>
      <w:r>
        <w:t>e</w:t>
      </w:r>
      <w:r w:rsidRPr="00F72BDE">
        <w:t xml:space="preserve"> good practice in implementing the </w:t>
      </w:r>
      <w:r>
        <w:t>f</w:t>
      </w:r>
      <w:r w:rsidRPr="00F72BDE">
        <w:t>ramework</w:t>
      </w:r>
    </w:p>
    <w:p w14:paraId="0C6FD7C2" w14:textId="3B6F0DA9" w:rsidR="00C8344E" w:rsidRPr="00F72BDE" w:rsidRDefault="00C8344E" w:rsidP="00C8344E">
      <w:pPr>
        <w:pStyle w:val="DHHSbullet1"/>
      </w:pPr>
      <w:r>
        <w:t>r</w:t>
      </w:r>
      <w:r w:rsidRPr="00F72BDE">
        <w:t xml:space="preserve">efer </w:t>
      </w:r>
      <w:r w:rsidR="00263BA2">
        <w:t xml:space="preserve">to </w:t>
      </w:r>
      <w:r w:rsidRPr="00F72BDE">
        <w:t>or seek advice from other bodies or groups to support identifying and addressing any systemic issues associated with implement</w:t>
      </w:r>
      <w:r>
        <w:t>ing</w:t>
      </w:r>
      <w:r w:rsidRPr="00F72BDE">
        <w:t xml:space="preserve"> the </w:t>
      </w:r>
      <w:r>
        <w:t>f</w:t>
      </w:r>
      <w:r w:rsidRPr="00F72BDE">
        <w:t>ramework</w:t>
      </w:r>
    </w:p>
    <w:p w14:paraId="39B4DBB5" w14:textId="77777777" w:rsidR="00C8344E" w:rsidRPr="00F72BDE" w:rsidRDefault="00C8344E" w:rsidP="00C8344E">
      <w:pPr>
        <w:pStyle w:val="DHHSbullet1"/>
      </w:pPr>
      <w:r>
        <w:t>c</w:t>
      </w:r>
      <w:r w:rsidRPr="00F72BDE">
        <w:t xml:space="preserve">onsider findings and learnings from programs or initiatives that have a specific focus on reducing criminalisation of young people in residential care. </w:t>
      </w:r>
    </w:p>
    <w:p w14:paraId="6A5D8B5D" w14:textId="77777777" w:rsidR="00C8344E" w:rsidRPr="00C8344E" w:rsidRDefault="00C8344E" w:rsidP="00401069">
      <w:pPr>
        <w:pStyle w:val="DHHSbodyafterbullets"/>
      </w:pPr>
      <w:r w:rsidRPr="00C8344E">
        <w:t xml:space="preserve">The </w:t>
      </w:r>
      <w:proofErr w:type="spellStart"/>
      <w:r w:rsidRPr="00C8344E">
        <w:t>statewide</w:t>
      </w:r>
      <w:proofErr w:type="spellEnd"/>
      <w:r w:rsidRPr="00C8344E">
        <w:t xml:space="preserve"> governance arrangements will aim not to hinder local responses and agreements but to provide an avenue for transparency and oversight with implementing the framework in Victoria.</w:t>
      </w:r>
    </w:p>
    <w:p w14:paraId="21B85C1C" w14:textId="77777777" w:rsidR="00C8344E" w:rsidRPr="00C8344E" w:rsidRDefault="00C8344E" w:rsidP="00C8344E">
      <w:pPr>
        <w:pStyle w:val="Heading3"/>
      </w:pPr>
      <w:r w:rsidRPr="00C8344E">
        <w:t>Local governance arrangements</w:t>
      </w:r>
    </w:p>
    <w:p w14:paraId="38B2522C" w14:textId="77777777" w:rsidR="00C8344E" w:rsidRPr="00C8344E" w:rsidRDefault="00C8344E" w:rsidP="00C8344E">
      <w:pPr>
        <w:pStyle w:val="DHHSbody"/>
      </w:pPr>
      <w:r w:rsidRPr="00C8344E">
        <w:t xml:space="preserve">It is acknowledged that there are existing local governance arrangements or local initiatives and activities. These local governance arrangements are encouraged to continue, and consideration should be given to whether activities to support the framework’s implementation and monitoring is included in scope of the localised arrangements. </w:t>
      </w:r>
    </w:p>
    <w:p w14:paraId="2C073E13" w14:textId="77777777" w:rsidR="00C8344E" w:rsidRPr="00C8344E" w:rsidRDefault="00C8344E" w:rsidP="00C8344E">
      <w:pPr>
        <w:pStyle w:val="DHHSbody"/>
      </w:pPr>
      <w:r w:rsidRPr="00C8344E">
        <w:lastRenderedPageBreak/>
        <w:t xml:space="preserve">Where a local governance arrangement does not exist, local police, residential care service providers and local department representatives should consider forming an arrangement that can support implementation of the framework. Consideration should be given to involving local government to identify the role the local community can have in supporting implementation. </w:t>
      </w:r>
    </w:p>
    <w:p w14:paraId="2CE51B72" w14:textId="7A040606" w:rsidR="00C8344E" w:rsidRPr="00C8344E" w:rsidRDefault="00C8344E" w:rsidP="00C8344E">
      <w:pPr>
        <w:pStyle w:val="DHHSbody"/>
      </w:pPr>
      <w:r w:rsidRPr="00C8344E">
        <w:t>It is envis</w:t>
      </w:r>
      <w:r w:rsidR="00263BA2">
        <w:t>ag</w:t>
      </w:r>
      <w:r w:rsidRPr="00C8344E">
        <w:t xml:space="preserve">ed that local governance arrangements will include membership from operational divisions/areas of the Department of Health and Human Services, Department of Justice and Community Safety, Victoria Police and residential care providers. Local governance arrangements will need to establish mechanisms to encourage information </w:t>
      </w:r>
      <w:r w:rsidR="005A53B8">
        <w:t xml:space="preserve">sharing </w:t>
      </w:r>
      <w:r w:rsidRPr="00C8344E">
        <w:t xml:space="preserve">with other local areas and the </w:t>
      </w:r>
      <w:proofErr w:type="spellStart"/>
      <w:r w:rsidRPr="00C8344E">
        <w:t>statewide</w:t>
      </w:r>
      <w:proofErr w:type="spellEnd"/>
      <w:r w:rsidRPr="00C8344E">
        <w:t xml:space="preserve"> implementation group. </w:t>
      </w:r>
    </w:p>
    <w:p w14:paraId="6C5AB542" w14:textId="3DA0D3D5" w:rsidR="00C8344E" w:rsidRPr="00C8344E" w:rsidRDefault="00C8344E" w:rsidP="00C8344E">
      <w:pPr>
        <w:pStyle w:val="DHHSbody"/>
      </w:pPr>
      <w:r w:rsidRPr="00C8344E">
        <w:t xml:space="preserve">Residential care service providers vary according to size and geographic location. Accordingly, each residential care service provider will determine the best way to ensure arrangements are in place to provide consistent framework implementation across local areas. </w:t>
      </w:r>
    </w:p>
    <w:p w14:paraId="6EE8A4CD" w14:textId="77777777" w:rsidR="00C8344E" w:rsidRPr="00C8344E" w:rsidRDefault="00C8344E" w:rsidP="00C8344E">
      <w:pPr>
        <w:pStyle w:val="Heading2"/>
      </w:pPr>
      <w:r w:rsidRPr="00C8344E">
        <w:t>Developing an action plan</w:t>
      </w:r>
    </w:p>
    <w:p w14:paraId="6E07482D" w14:textId="77777777" w:rsidR="00C8344E" w:rsidRPr="00C8344E" w:rsidRDefault="00C8344E" w:rsidP="00C8344E">
      <w:pPr>
        <w:pStyle w:val="DHHSbody"/>
      </w:pPr>
      <w:r w:rsidRPr="00C8344E">
        <w:t xml:space="preserve">Developing an action plan will identify specific and measurable strategies to support the implementation and review of the framework. The purpose of the action plan is to turn the objectives of the framework into practice. </w:t>
      </w:r>
    </w:p>
    <w:p w14:paraId="2868E25B" w14:textId="77777777" w:rsidR="00C8344E" w:rsidRPr="00C8344E" w:rsidRDefault="00C8344E" w:rsidP="00C8344E">
      <w:pPr>
        <w:pStyle w:val="DHHSbody"/>
      </w:pPr>
      <w:r w:rsidRPr="00C8344E">
        <w:t xml:space="preserve">The </w:t>
      </w:r>
      <w:proofErr w:type="spellStart"/>
      <w:r w:rsidRPr="00C8344E">
        <w:t>statewide</w:t>
      </w:r>
      <w:proofErr w:type="spellEnd"/>
      <w:r w:rsidRPr="00C8344E">
        <w:t xml:space="preserve"> implementation group will develop the action plan, which will focus on:</w:t>
      </w:r>
    </w:p>
    <w:p w14:paraId="5AC08836" w14:textId="3E2E5D94" w:rsidR="00C8344E" w:rsidRPr="00C8344E" w:rsidRDefault="00C8344E" w:rsidP="00C8344E">
      <w:pPr>
        <w:pStyle w:val="DHHSbullet1"/>
        <w:rPr>
          <w:rStyle w:val="CommentReference"/>
          <w:sz w:val="20"/>
          <w:szCs w:val="20"/>
        </w:rPr>
      </w:pPr>
      <w:r w:rsidRPr="00C8344E">
        <w:t xml:space="preserve">key </w:t>
      </w:r>
      <w:r w:rsidRPr="00C8344E">
        <w:rPr>
          <w:rStyle w:val="CommentReference"/>
          <w:sz w:val="20"/>
          <w:szCs w:val="20"/>
        </w:rPr>
        <w:t xml:space="preserve">actions </w:t>
      </w:r>
      <w:r w:rsidR="006A767A" w:rsidRPr="00C8344E">
        <w:rPr>
          <w:rStyle w:val="CommentReference"/>
          <w:sz w:val="20"/>
          <w:szCs w:val="20"/>
        </w:rPr>
        <w:t xml:space="preserve">signatories </w:t>
      </w:r>
      <w:r w:rsidR="006A767A">
        <w:rPr>
          <w:rStyle w:val="CommentReference"/>
          <w:sz w:val="20"/>
          <w:szCs w:val="20"/>
        </w:rPr>
        <w:t>will</w:t>
      </w:r>
      <w:r w:rsidRPr="00C8344E">
        <w:rPr>
          <w:rStyle w:val="CommentReference"/>
          <w:sz w:val="20"/>
          <w:szCs w:val="20"/>
        </w:rPr>
        <w:t xml:space="preserve"> undertake to support implementation of joint and individual responsibilities under the framework including updating relevant policies and procedures</w:t>
      </w:r>
    </w:p>
    <w:p w14:paraId="27366094" w14:textId="77777777" w:rsidR="00C8344E" w:rsidRPr="00C8344E" w:rsidRDefault="00C8344E" w:rsidP="00C8344E">
      <w:pPr>
        <w:pStyle w:val="DHHSbullet1"/>
        <w:rPr>
          <w:rStyle w:val="CommentReference"/>
          <w:sz w:val="20"/>
          <w:szCs w:val="20"/>
        </w:rPr>
      </w:pPr>
      <w:r w:rsidRPr="00C8344E">
        <w:rPr>
          <w:rStyle w:val="CommentReference"/>
          <w:sz w:val="20"/>
          <w:szCs w:val="20"/>
        </w:rPr>
        <w:t>training and resources to support implementation of the framework</w:t>
      </w:r>
    </w:p>
    <w:p w14:paraId="6C23C2E3" w14:textId="77777777" w:rsidR="00C8344E" w:rsidRPr="00C8344E" w:rsidRDefault="00C8344E" w:rsidP="00C8344E">
      <w:pPr>
        <w:pStyle w:val="DHHSbullet1"/>
        <w:rPr>
          <w:rStyle w:val="CommentReference"/>
          <w:sz w:val="20"/>
          <w:szCs w:val="20"/>
        </w:rPr>
      </w:pPr>
      <w:r w:rsidRPr="00C8344E">
        <w:rPr>
          <w:rStyle w:val="CommentReference"/>
          <w:sz w:val="20"/>
          <w:szCs w:val="20"/>
        </w:rPr>
        <w:t>promoting access to appropriate resources and avenues to seek legal advice for young people in residential care when required</w:t>
      </w:r>
    </w:p>
    <w:p w14:paraId="32F8765A" w14:textId="77777777" w:rsidR="00C8344E" w:rsidRPr="00C8344E" w:rsidRDefault="00C8344E" w:rsidP="00C8344E">
      <w:pPr>
        <w:pStyle w:val="DHHSbullet1"/>
        <w:rPr>
          <w:rStyle w:val="CommentReference"/>
          <w:sz w:val="20"/>
          <w:szCs w:val="20"/>
        </w:rPr>
      </w:pPr>
      <w:r w:rsidRPr="00C8344E">
        <w:rPr>
          <w:rStyle w:val="CommentReference"/>
          <w:sz w:val="20"/>
          <w:szCs w:val="20"/>
        </w:rPr>
        <w:t>opportunities to build on learnings from programs or initiatives that have a specific focus on reducing criminalisation of young people in residential care</w:t>
      </w:r>
    </w:p>
    <w:p w14:paraId="00E12627" w14:textId="13C8D76D" w:rsidR="00C8344E" w:rsidRPr="00C8344E" w:rsidRDefault="00C8344E" w:rsidP="00C8344E">
      <w:pPr>
        <w:pStyle w:val="DHHSbullet1"/>
      </w:pPr>
      <w:r w:rsidRPr="00C8344E">
        <w:rPr>
          <w:rStyle w:val="CommentReference"/>
          <w:sz w:val="20"/>
          <w:szCs w:val="20"/>
        </w:rPr>
        <w:t>communication</w:t>
      </w:r>
      <w:r w:rsidRPr="00C8344E">
        <w:t xml:space="preserve"> activities to promote embedding the framework to ensure our vision of reducing criminalisation of young people in residential care is </w:t>
      </w:r>
      <w:r w:rsidR="005A53B8">
        <w:t>applied consistently</w:t>
      </w:r>
      <w:r w:rsidR="005A53B8" w:rsidRPr="00C8344E">
        <w:t xml:space="preserve"> </w:t>
      </w:r>
      <w:r w:rsidRPr="00C8344E">
        <w:t>across Victoria.</w:t>
      </w:r>
    </w:p>
    <w:p w14:paraId="58815645" w14:textId="77777777" w:rsidR="00C8344E" w:rsidRPr="00C8344E" w:rsidRDefault="00C8344E" w:rsidP="00C8344E">
      <w:pPr>
        <w:pStyle w:val="Heading3"/>
      </w:pPr>
      <w:r w:rsidRPr="00C8344E">
        <w:t>Objectives</w:t>
      </w:r>
    </w:p>
    <w:p w14:paraId="74D7866E" w14:textId="77777777" w:rsidR="00C8344E" w:rsidRPr="00C8344E" w:rsidRDefault="00C8344E" w:rsidP="00C8344E">
      <w:pPr>
        <w:pStyle w:val="DHHSbody"/>
      </w:pPr>
      <w:r w:rsidRPr="00C8344E">
        <w:t>Successfully implementing the framework over the next 18 months will aim to:</w:t>
      </w:r>
    </w:p>
    <w:p w14:paraId="0B4D2ED0" w14:textId="77777777" w:rsidR="00C8344E" w:rsidRPr="00C8344E" w:rsidRDefault="00C8344E" w:rsidP="00C8344E">
      <w:pPr>
        <w:pStyle w:val="DHHSbullet1"/>
        <w:rPr>
          <w:rStyle w:val="CommentReference"/>
          <w:sz w:val="20"/>
          <w:szCs w:val="20"/>
        </w:rPr>
      </w:pPr>
      <w:r w:rsidRPr="00C8344E">
        <w:rPr>
          <w:rStyle w:val="CommentReference"/>
          <w:sz w:val="20"/>
          <w:szCs w:val="20"/>
        </w:rPr>
        <w:t>highlight the importance of a trauma-informed approach in determining the most appropriate response to a young person’s behaviour on a case-by-case basis</w:t>
      </w:r>
    </w:p>
    <w:p w14:paraId="2B0996FD" w14:textId="77777777" w:rsidR="00C8344E" w:rsidRPr="00C8344E" w:rsidRDefault="00C8344E" w:rsidP="00C8344E">
      <w:pPr>
        <w:pStyle w:val="DHHSbullet1"/>
        <w:rPr>
          <w:rStyle w:val="CommentReference"/>
          <w:sz w:val="20"/>
          <w:szCs w:val="20"/>
        </w:rPr>
      </w:pPr>
      <w:r w:rsidRPr="00C8344E">
        <w:rPr>
          <w:rStyle w:val="CommentReference"/>
          <w:sz w:val="20"/>
          <w:szCs w:val="20"/>
        </w:rPr>
        <w:t>promote a therapeutic response to behaviours that are trauma-related to reduce the likelihood and frequency of behaviours of concern that may result in a police response</w:t>
      </w:r>
    </w:p>
    <w:p w14:paraId="29F22EF2" w14:textId="77777777" w:rsidR="00C8344E" w:rsidRPr="00C8344E" w:rsidRDefault="00C8344E" w:rsidP="00C8344E">
      <w:pPr>
        <w:pStyle w:val="DHHSbullet1"/>
        <w:rPr>
          <w:rStyle w:val="CommentReference"/>
          <w:sz w:val="20"/>
          <w:szCs w:val="20"/>
        </w:rPr>
      </w:pPr>
      <w:r w:rsidRPr="00C8344E">
        <w:rPr>
          <w:rStyle w:val="CommentReference"/>
          <w:sz w:val="20"/>
          <w:szCs w:val="20"/>
        </w:rPr>
        <w:t>promote strategies that hold young people to account without the need for police involvement, being mindful of the long-term impacts for young people once police intervention is requested</w:t>
      </w:r>
    </w:p>
    <w:p w14:paraId="4AFFB4E2" w14:textId="77777777" w:rsidR="00C8344E" w:rsidRPr="00C8344E" w:rsidRDefault="00C8344E" w:rsidP="00C8344E">
      <w:pPr>
        <w:pStyle w:val="DHHSbullet1"/>
        <w:rPr>
          <w:rStyle w:val="CommentReference"/>
          <w:sz w:val="20"/>
          <w:szCs w:val="20"/>
        </w:rPr>
      </w:pPr>
      <w:r w:rsidRPr="00C8344E">
        <w:rPr>
          <w:rStyle w:val="CommentReference"/>
          <w:sz w:val="20"/>
          <w:szCs w:val="20"/>
        </w:rPr>
        <w:t>promote a rights-based approach through strengthening the importance of learning and listening to young people’s voices/views and using this to inform practice</w:t>
      </w:r>
    </w:p>
    <w:p w14:paraId="4ECB1A11" w14:textId="77777777" w:rsidR="00C8344E" w:rsidRPr="00C8344E" w:rsidRDefault="00C8344E" w:rsidP="00C8344E">
      <w:pPr>
        <w:pStyle w:val="DHHSbullet1"/>
        <w:rPr>
          <w:rStyle w:val="CommentReference"/>
          <w:sz w:val="20"/>
          <w:szCs w:val="20"/>
        </w:rPr>
      </w:pPr>
      <w:r w:rsidRPr="00C8344E">
        <w:rPr>
          <w:rStyle w:val="CommentReference"/>
          <w:sz w:val="20"/>
          <w:szCs w:val="20"/>
        </w:rPr>
        <w:t>ensure a coordinated approach of information sharing between child protection and youth justice for common clients</w:t>
      </w:r>
    </w:p>
    <w:p w14:paraId="60B3E174" w14:textId="77777777" w:rsidR="00C8344E" w:rsidRPr="00C8344E" w:rsidRDefault="00C8344E" w:rsidP="00C8344E">
      <w:pPr>
        <w:pStyle w:val="DHHSbullet1"/>
        <w:rPr>
          <w:rStyle w:val="CommentReference"/>
          <w:sz w:val="20"/>
          <w:szCs w:val="20"/>
        </w:rPr>
      </w:pPr>
      <w:r w:rsidRPr="00C8344E">
        <w:rPr>
          <w:rStyle w:val="CommentReference"/>
          <w:sz w:val="20"/>
          <w:szCs w:val="20"/>
        </w:rPr>
        <w:t>ensure residential care workers contact Victoria Police in response to incidents arising in residential care homes only when necessary and in accordance with the decision-making framework for when to call police in residential care</w:t>
      </w:r>
    </w:p>
    <w:p w14:paraId="6FDD12D4" w14:textId="77777777" w:rsidR="00C8344E" w:rsidRPr="00C8344E" w:rsidRDefault="00C8344E" w:rsidP="00C8344E">
      <w:pPr>
        <w:pStyle w:val="DHHSbullet1"/>
        <w:rPr>
          <w:rStyle w:val="CommentReference"/>
          <w:sz w:val="20"/>
          <w:szCs w:val="20"/>
        </w:rPr>
      </w:pPr>
      <w:r w:rsidRPr="00C8344E">
        <w:rPr>
          <w:rStyle w:val="CommentReference"/>
          <w:sz w:val="20"/>
          <w:szCs w:val="20"/>
        </w:rPr>
        <w:t>promote and focus on services that reduce the risk of reoffending and prevent further progression into the criminal justice system for those young people in contact with Victoria Police or youth justice services, such as cautioning, diversion, alternative approaches and restorative justice</w:t>
      </w:r>
    </w:p>
    <w:p w14:paraId="0F283A3E" w14:textId="77777777" w:rsidR="00C8344E" w:rsidRPr="00C8344E" w:rsidRDefault="00C8344E" w:rsidP="00C8344E">
      <w:pPr>
        <w:pStyle w:val="DHHSbullet1"/>
        <w:rPr>
          <w:rStyle w:val="CommentReference"/>
          <w:sz w:val="20"/>
          <w:szCs w:val="20"/>
        </w:rPr>
      </w:pPr>
      <w:r w:rsidRPr="00C8344E">
        <w:rPr>
          <w:rStyle w:val="CommentReference"/>
          <w:sz w:val="20"/>
          <w:szCs w:val="20"/>
        </w:rPr>
        <w:lastRenderedPageBreak/>
        <w:t>support the appropriate use of legal advocates and representatives whenever a young person has contact with police</w:t>
      </w:r>
    </w:p>
    <w:p w14:paraId="154F0D4E" w14:textId="77777777" w:rsidR="00C8344E" w:rsidRPr="00C8344E" w:rsidRDefault="00C8344E" w:rsidP="00C8344E">
      <w:pPr>
        <w:pStyle w:val="DHHSbullet1"/>
      </w:pPr>
      <w:r w:rsidRPr="00C8344E">
        <w:rPr>
          <w:rStyle w:val="CommentReference"/>
          <w:sz w:val="20"/>
          <w:szCs w:val="20"/>
        </w:rPr>
        <w:t>respond to</w:t>
      </w:r>
      <w:r w:rsidRPr="00C8344E">
        <w:t xml:space="preserve"> the underlying causes of a young person’s behaviour to promote healing and recognise the importance of trauma-informed practice to elicit effective positive behaviour change</w:t>
      </w:r>
    </w:p>
    <w:p w14:paraId="14BE2655" w14:textId="77777777" w:rsidR="00C8344E" w:rsidRPr="00C8344E" w:rsidRDefault="00C8344E" w:rsidP="00C8344E">
      <w:pPr>
        <w:pStyle w:val="DHHSbullet1"/>
      </w:pPr>
      <w:r w:rsidRPr="00C8344E">
        <w:t xml:space="preserve">improve local relationships, communication and information sharing between Victoria Police, the Department of Health and Human Services, Department of Justice and Community Safety and residential care service providers to promoting the safety, welfare and wellbeing of young people living in residential care </w:t>
      </w:r>
    </w:p>
    <w:p w14:paraId="5DD138CF" w14:textId="1AFD3037" w:rsidR="00C8344E" w:rsidRPr="00C8344E" w:rsidRDefault="00C8344E" w:rsidP="00C8344E">
      <w:pPr>
        <w:pStyle w:val="DHHSbullet1"/>
      </w:pPr>
      <w:r w:rsidRPr="00C8344E">
        <w:t>develop and deliver training and resources in trauma-informed practice that support vulnerable young people</w:t>
      </w:r>
    </w:p>
    <w:p w14:paraId="3E7D444D" w14:textId="77777777" w:rsidR="00C8344E" w:rsidRPr="00C8344E" w:rsidRDefault="00C8344E" w:rsidP="00C8344E">
      <w:pPr>
        <w:pStyle w:val="DHHSbullet1"/>
      </w:pPr>
      <w:r w:rsidRPr="00C8344E">
        <w:t xml:space="preserve">promote a shared focus on intervening early to prevent contact with, and progression into, the criminal justice system – this includes an increased understanding of ‘touch points’ on the continuum of services (care services and youth justice services) and exercising discretionary powers and alternative responses, where possible. </w:t>
      </w:r>
    </w:p>
    <w:p w14:paraId="66B21569" w14:textId="77777777" w:rsidR="00C8344E" w:rsidRPr="00C8344E" w:rsidRDefault="00C8344E" w:rsidP="00C8344E">
      <w:pPr>
        <w:pStyle w:val="Heading3"/>
      </w:pPr>
      <w:r w:rsidRPr="00C8344E">
        <w:t>Key activities and outcomes</w:t>
      </w:r>
    </w:p>
    <w:p w14:paraId="58EC5C5F" w14:textId="77777777" w:rsidR="00C8344E" w:rsidRPr="00C8344E" w:rsidRDefault="00C8344E" w:rsidP="00C8344E">
      <w:pPr>
        <w:pStyle w:val="DHHSbody"/>
      </w:pPr>
      <w:r w:rsidRPr="00C8344E">
        <w:t xml:space="preserve">To achieve these objectives, the following key activities, with corresponding expected outcomes, will guide the initial actions as part of the 18-month action plan developed by the </w:t>
      </w:r>
      <w:proofErr w:type="spellStart"/>
      <w:r w:rsidRPr="00C8344E">
        <w:t>statewide</w:t>
      </w:r>
      <w:proofErr w:type="spellEnd"/>
      <w:r w:rsidRPr="00C8344E">
        <w:t xml:space="preserve"> implementation group (see Table 2). These measures and activities are not exhaustive, and additional measures and activities may be identified throughout the implementation of the action plan.</w:t>
      </w:r>
    </w:p>
    <w:p w14:paraId="7EA092AE" w14:textId="77777777" w:rsidR="00C8344E" w:rsidRPr="00C8344E" w:rsidRDefault="00C8344E" w:rsidP="00C8344E">
      <w:pPr>
        <w:pStyle w:val="DHHStablecaption"/>
      </w:pPr>
      <w:r w:rsidRPr="00C8344E">
        <w:t>Table 2: Key activities and outcomes</w:t>
      </w:r>
    </w:p>
    <w:tbl>
      <w:tblPr>
        <w:tblStyle w:val="GridTable1Light"/>
        <w:tblW w:w="4587" w:type="pct"/>
        <w:tblLook w:val="06A0" w:firstRow="1" w:lastRow="0" w:firstColumn="1" w:lastColumn="0" w:noHBand="1" w:noVBand="1"/>
      </w:tblPr>
      <w:tblGrid>
        <w:gridCol w:w="3357"/>
        <w:gridCol w:w="5164"/>
      </w:tblGrid>
      <w:tr w:rsidR="00C8344E" w:rsidRPr="00F72BDE" w14:paraId="2C5063A3" w14:textId="77777777" w:rsidTr="00C8344E">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1970" w:type="pct"/>
          </w:tcPr>
          <w:p w14:paraId="71282C2C" w14:textId="77777777" w:rsidR="00C8344E" w:rsidRPr="00E97405" w:rsidRDefault="00C8344E" w:rsidP="00C8344E">
            <w:pPr>
              <w:pStyle w:val="DHHStablecolhead"/>
              <w:rPr>
                <w:b/>
                <w:bCs w:val="0"/>
                <w:sz w:val="20"/>
                <w:szCs w:val="20"/>
              </w:rPr>
            </w:pPr>
            <w:r w:rsidRPr="006A767A">
              <w:t>Description of activity</w:t>
            </w:r>
          </w:p>
        </w:tc>
        <w:tc>
          <w:tcPr>
            <w:tcW w:w="3030" w:type="pct"/>
          </w:tcPr>
          <w:p w14:paraId="2D3383B4" w14:textId="77777777" w:rsidR="00C8344E" w:rsidRPr="00E97405" w:rsidRDefault="00C8344E" w:rsidP="00C8344E">
            <w:pPr>
              <w:pStyle w:val="DHHStablecolhead"/>
              <w:cnfStyle w:val="100000000000" w:firstRow="1" w:lastRow="0" w:firstColumn="0" w:lastColumn="0" w:oddVBand="0" w:evenVBand="0" w:oddHBand="0" w:evenHBand="0" w:firstRowFirstColumn="0" w:firstRowLastColumn="0" w:lastRowFirstColumn="0" w:lastRowLastColumn="0"/>
              <w:rPr>
                <w:b/>
                <w:bCs w:val="0"/>
                <w:sz w:val="20"/>
                <w:szCs w:val="20"/>
              </w:rPr>
            </w:pPr>
            <w:r w:rsidRPr="006A767A">
              <w:t>Expected result</w:t>
            </w:r>
          </w:p>
        </w:tc>
      </w:tr>
      <w:tr w:rsidR="00C8344E" w:rsidRPr="00F72BDE" w14:paraId="3722D4E9" w14:textId="77777777" w:rsidTr="00C8344E">
        <w:trPr>
          <w:trHeight w:val="680"/>
        </w:trPr>
        <w:tc>
          <w:tcPr>
            <w:cnfStyle w:val="001000000000" w:firstRow="0" w:lastRow="0" w:firstColumn="1" w:lastColumn="0" w:oddVBand="0" w:evenVBand="0" w:oddHBand="0" w:evenHBand="0" w:firstRowFirstColumn="0" w:firstRowLastColumn="0" w:lastRowFirstColumn="0" w:lastRowLastColumn="0"/>
            <w:tcW w:w="1970" w:type="pct"/>
          </w:tcPr>
          <w:p w14:paraId="230B367D" w14:textId="77777777" w:rsidR="00C8344E" w:rsidRPr="00401069" w:rsidRDefault="00C8344E" w:rsidP="00C8344E">
            <w:pPr>
              <w:pStyle w:val="DHHStabletext"/>
              <w:rPr>
                <w:sz w:val="20"/>
                <w:szCs w:val="20"/>
              </w:rPr>
            </w:pPr>
            <w:r w:rsidRPr="00401069">
              <w:rPr>
                <w:sz w:val="20"/>
                <w:szCs w:val="20"/>
              </w:rPr>
              <w:t>Implementation of the decision-making framework for when to call police in residential care</w:t>
            </w:r>
          </w:p>
        </w:tc>
        <w:tc>
          <w:tcPr>
            <w:tcW w:w="3030" w:type="pct"/>
          </w:tcPr>
          <w:p w14:paraId="00361DD3" w14:textId="77777777" w:rsidR="00C8344E" w:rsidRPr="00401069" w:rsidRDefault="00C8344E" w:rsidP="00C8344E">
            <w:pPr>
              <w:pStyle w:val="DHHStabletext"/>
              <w:cnfStyle w:val="000000000000" w:firstRow="0" w:lastRow="0" w:firstColumn="0" w:lastColumn="0" w:oddVBand="0" w:evenVBand="0" w:oddHBand="0" w:evenHBand="0" w:firstRowFirstColumn="0" w:firstRowLastColumn="0" w:lastRowFirstColumn="0" w:lastRowLastColumn="0"/>
              <w:rPr>
                <w:sz w:val="20"/>
                <w:szCs w:val="20"/>
              </w:rPr>
            </w:pPr>
            <w:r w:rsidRPr="00401069">
              <w:rPr>
                <w:sz w:val="20"/>
                <w:szCs w:val="20"/>
              </w:rPr>
              <w:t>Reduction of unnecessary contact with the criminal justice system and reduced criminalisation of behaviours of concern or for minor breaches of house rules</w:t>
            </w:r>
          </w:p>
        </w:tc>
      </w:tr>
      <w:tr w:rsidR="00C8344E" w:rsidRPr="00F72BDE" w14:paraId="3DAA3196" w14:textId="77777777" w:rsidTr="00C8344E">
        <w:trPr>
          <w:trHeight w:val="680"/>
        </w:trPr>
        <w:tc>
          <w:tcPr>
            <w:cnfStyle w:val="001000000000" w:firstRow="0" w:lastRow="0" w:firstColumn="1" w:lastColumn="0" w:oddVBand="0" w:evenVBand="0" w:oddHBand="0" w:evenHBand="0" w:firstRowFirstColumn="0" w:firstRowLastColumn="0" w:lastRowFirstColumn="0" w:lastRowLastColumn="0"/>
            <w:tcW w:w="1970" w:type="pct"/>
          </w:tcPr>
          <w:p w14:paraId="4E4EBD65" w14:textId="77777777" w:rsidR="00C8344E" w:rsidRPr="00401069" w:rsidRDefault="00C8344E" w:rsidP="00C8344E">
            <w:pPr>
              <w:pStyle w:val="DHHStabletext"/>
              <w:rPr>
                <w:sz w:val="20"/>
                <w:szCs w:val="20"/>
              </w:rPr>
            </w:pPr>
            <w:r w:rsidRPr="00401069">
              <w:rPr>
                <w:sz w:val="20"/>
                <w:szCs w:val="20"/>
              </w:rPr>
              <w:t>Development of behaviour support plans for all young people in residential care</w:t>
            </w:r>
          </w:p>
        </w:tc>
        <w:tc>
          <w:tcPr>
            <w:tcW w:w="3030" w:type="pct"/>
          </w:tcPr>
          <w:p w14:paraId="3DC4B03F" w14:textId="77777777" w:rsidR="00C8344E" w:rsidRPr="00401069" w:rsidRDefault="00C8344E" w:rsidP="00C8344E">
            <w:pPr>
              <w:pStyle w:val="DHHStabletext"/>
              <w:cnfStyle w:val="000000000000" w:firstRow="0" w:lastRow="0" w:firstColumn="0" w:lastColumn="0" w:oddVBand="0" w:evenVBand="0" w:oddHBand="0" w:evenHBand="0" w:firstRowFirstColumn="0" w:firstRowLastColumn="0" w:lastRowFirstColumn="0" w:lastRowLastColumn="0"/>
              <w:rPr>
                <w:sz w:val="20"/>
                <w:szCs w:val="20"/>
              </w:rPr>
            </w:pPr>
            <w:r w:rsidRPr="00401069">
              <w:rPr>
                <w:sz w:val="20"/>
                <w:szCs w:val="20"/>
              </w:rPr>
              <w:t xml:space="preserve">Reduced frequency and/or severity of incidents arising from behaviour and improved relationships between staff and young people in residential care </w:t>
            </w:r>
          </w:p>
        </w:tc>
      </w:tr>
      <w:tr w:rsidR="00C8344E" w:rsidRPr="00F72BDE" w14:paraId="15517880" w14:textId="77777777" w:rsidTr="00C8344E">
        <w:trPr>
          <w:trHeight w:val="680"/>
        </w:trPr>
        <w:tc>
          <w:tcPr>
            <w:cnfStyle w:val="001000000000" w:firstRow="0" w:lastRow="0" w:firstColumn="1" w:lastColumn="0" w:oddVBand="0" w:evenVBand="0" w:oddHBand="0" w:evenHBand="0" w:firstRowFirstColumn="0" w:firstRowLastColumn="0" w:lastRowFirstColumn="0" w:lastRowLastColumn="0"/>
            <w:tcW w:w="1970" w:type="pct"/>
          </w:tcPr>
          <w:p w14:paraId="453D1305" w14:textId="77777777" w:rsidR="00C8344E" w:rsidRPr="00401069" w:rsidRDefault="00C8344E" w:rsidP="00C8344E">
            <w:pPr>
              <w:pStyle w:val="DHHStabletext"/>
              <w:rPr>
                <w:sz w:val="20"/>
                <w:szCs w:val="20"/>
              </w:rPr>
            </w:pPr>
            <w:r w:rsidRPr="00401069">
              <w:rPr>
                <w:sz w:val="20"/>
                <w:szCs w:val="20"/>
              </w:rPr>
              <w:t>Completion of a data linkage exercise using common client data and analytics to build the evidence base about the circumstances and needs of common clients of child protection and youth justice</w:t>
            </w:r>
          </w:p>
        </w:tc>
        <w:tc>
          <w:tcPr>
            <w:tcW w:w="3030" w:type="pct"/>
          </w:tcPr>
          <w:p w14:paraId="530F8440" w14:textId="77777777" w:rsidR="00C8344E" w:rsidRPr="00401069" w:rsidRDefault="00C8344E" w:rsidP="00C8344E">
            <w:pPr>
              <w:pStyle w:val="DHHStabletext"/>
              <w:cnfStyle w:val="000000000000" w:firstRow="0" w:lastRow="0" w:firstColumn="0" w:lastColumn="0" w:oddVBand="0" w:evenVBand="0" w:oddHBand="0" w:evenHBand="0" w:firstRowFirstColumn="0" w:firstRowLastColumn="0" w:lastRowFirstColumn="0" w:lastRowLastColumn="0"/>
              <w:rPr>
                <w:sz w:val="20"/>
                <w:szCs w:val="20"/>
              </w:rPr>
            </w:pPr>
            <w:r w:rsidRPr="00401069">
              <w:rPr>
                <w:sz w:val="20"/>
                <w:szCs w:val="20"/>
              </w:rPr>
              <w:t>Increased data and evidence used to develop targeted measures to improve collaborative practice with common clients</w:t>
            </w:r>
          </w:p>
        </w:tc>
      </w:tr>
      <w:tr w:rsidR="00C8344E" w:rsidRPr="00F72BDE" w14:paraId="13E85192" w14:textId="77777777" w:rsidTr="00C8344E">
        <w:trPr>
          <w:trHeight w:val="680"/>
        </w:trPr>
        <w:tc>
          <w:tcPr>
            <w:cnfStyle w:val="001000000000" w:firstRow="0" w:lastRow="0" w:firstColumn="1" w:lastColumn="0" w:oddVBand="0" w:evenVBand="0" w:oddHBand="0" w:evenHBand="0" w:firstRowFirstColumn="0" w:firstRowLastColumn="0" w:lastRowFirstColumn="0" w:lastRowLastColumn="0"/>
            <w:tcW w:w="1970" w:type="pct"/>
          </w:tcPr>
          <w:p w14:paraId="71887387" w14:textId="77777777" w:rsidR="00C8344E" w:rsidRPr="00401069" w:rsidRDefault="00C8344E" w:rsidP="00C8344E">
            <w:pPr>
              <w:pStyle w:val="DHHStabletext"/>
              <w:rPr>
                <w:sz w:val="20"/>
                <w:szCs w:val="20"/>
              </w:rPr>
            </w:pPr>
            <w:r w:rsidRPr="00401069">
              <w:rPr>
                <w:sz w:val="20"/>
                <w:szCs w:val="20"/>
              </w:rPr>
              <w:t>Development of trauma-informed care training/resources to support residential care workers, local police and support workers</w:t>
            </w:r>
          </w:p>
        </w:tc>
        <w:tc>
          <w:tcPr>
            <w:tcW w:w="3030" w:type="pct"/>
          </w:tcPr>
          <w:p w14:paraId="1AC5089E" w14:textId="77777777" w:rsidR="00C8344E" w:rsidRPr="00401069" w:rsidRDefault="00C8344E" w:rsidP="00C8344E">
            <w:pPr>
              <w:pStyle w:val="DHHStabletext"/>
              <w:cnfStyle w:val="000000000000" w:firstRow="0" w:lastRow="0" w:firstColumn="0" w:lastColumn="0" w:oddVBand="0" w:evenVBand="0" w:oddHBand="0" w:evenHBand="0" w:firstRowFirstColumn="0" w:firstRowLastColumn="0" w:lastRowFirstColumn="0" w:lastRowLastColumn="0"/>
              <w:rPr>
                <w:sz w:val="20"/>
                <w:szCs w:val="20"/>
              </w:rPr>
            </w:pPr>
            <w:r w:rsidRPr="00401069">
              <w:rPr>
                <w:sz w:val="20"/>
                <w:szCs w:val="20"/>
              </w:rPr>
              <w:t>Improved responses to young people’s behaviour and consistent approaches when engaging with young people in residential care</w:t>
            </w:r>
          </w:p>
        </w:tc>
      </w:tr>
    </w:tbl>
    <w:p w14:paraId="528DFC0B" w14:textId="77777777" w:rsidR="00C8344E" w:rsidRPr="00C8344E" w:rsidRDefault="00C8344E" w:rsidP="005A53B8">
      <w:pPr>
        <w:pStyle w:val="Heading1"/>
      </w:pPr>
      <w:bookmarkStart w:id="124" w:name="_Toc31442883"/>
      <w:r w:rsidRPr="00C8344E">
        <w:lastRenderedPageBreak/>
        <w:t>Review of the framework and action plan</w:t>
      </w:r>
      <w:bookmarkEnd w:id="124"/>
    </w:p>
    <w:p w14:paraId="2C0B2011" w14:textId="77777777" w:rsidR="00C8344E" w:rsidRPr="00C8344E" w:rsidRDefault="00C8344E" w:rsidP="00C8344E">
      <w:pPr>
        <w:pStyle w:val="DHHSbody"/>
      </w:pPr>
      <w:r w:rsidRPr="00C8344E">
        <w:t xml:space="preserve">The </w:t>
      </w:r>
      <w:proofErr w:type="spellStart"/>
      <w:r w:rsidRPr="00C8344E">
        <w:t>statewide</w:t>
      </w:r>
      <w:proofErr w:type="spellEnd"/>
      <w:r w:rsidRPr="00C8344E">
        <w:t xml:space="preserve"> implementation group will lead a review of the framework and 18-month action plan. </w:t>
      </w:r>
    </w:p>
    <w:p w14:paraId="41D9FF7F" w14:textId="77777777" w:rsidR="00C8344E" w:rsidRPr="00C8344E" w:rsidRDefault="00C8344E" w:rsidP="00C8344E">
      <w:pPr>
        <w:pStyle w:val="DHHSbody"/>
      </w:pPr>
      <w:r w:rsidRPr="00C8344E">
        <w:t xml:space="preserve">Gathering data and information sharing is a critical part of monitoring the impact of implementing the framework. </w:t>
      </w:r>
    </w:p>
    <w:p w14:paraId="632B8460" w14:textId="7BF3E913" w:rsidR="00C8344E" w:rsidRPr="00C8344E" w:rsidRDefault="00C8344E" w:rsidP="00C8344E">
      <w:pPr>
        <w:pStyle w:val="DHHSbody"/>
      </w:pPr>
      <w:r w:rsidRPr="00C8344E">
        <w:t>Improved data collection across multiple agencies</w:t>
      </w:r>
      <w:r w:rsidR="005A53B8">
        <w:t xml:space="preserve"> and </w:t>
      </w:r>
      <w:r w:rsidRPr="00C8344E">
        <w:t>organisations will also contribute to developing strengthened policies</w:t>
      </w:r>
      <w:r w:rsidR="005A53B8">
        <w:t xml:space="preserve">, </w:t>
      </w:r>
      <w:r w:rsidRPr="00C8344E">
        <w:t xml:space="preserve">procedures and responses to promote positive outcomes for young people in residential care. This includes police involvement in residential care. </w:t>
      </w:r>
    </w:p>
    <w:p w14:paraId="17823D88" w14:textId="574188E5" w:rsidR="00C8344E" w:rsidRPr="00C8344E" w:rsidRDefault="00C8344E" w:rsidP="00C8344E">
      <w:pPr>
        <w:pStyle w:val="DHHSbody"/>
      </w:pPr>
      <w:r w:rsidRPr="00C8344E">
        <w:t xml:space="preserve">Wherever possible, existing data and reporting systems will be used and shared to help monitor implementation of the framework. Consideration will be given to establishing processes to improve data collection (and information sharing) to better understand the criminalisation of young people in residential care. </w:t>
      </w:r>
    </w:p>
    <w:p w14:paraId="7A7F3809" w14:textId="77777777" w:rsidR="00C8344E" w:rsidRPr="00C8344E" w:rsidRDefault="00C8344E" w:rsidP="00C8344E">
      <w:pPr>
        <w:pStyle w:val="DHHSbody"/>
      </w:pPr>
      <w:r w:rsidRPr="00C8344E">
        <w:t xml:space="preserve">The framework will be reviewed on completion of the 18-month action plan, with a </w:t>
      </w:r>
      <w:proofErr w:type="gramStart"/>
      <w:r w:rsidRPr="00C8344E">
        <w:t>particular focus</w:t>
      </w:r>
      <w:proofErr w:type="gramEnd"/>
      <w:r w:rsidRPr="00C8344E">
        <w:t xml:space="preserve"> on whether:</w:t>
      </w:r>
    </w:p>
    <w:p w14:paraId="7D95A2DB" w14:textId="77777777" w:rsidR="00C8344E" w:rsidRPr="00F72BDE" w:rsidRDefault="00C8344E" w:rsidP="00C8344E">
      <w:pPr>
        <w:pStyle w:val="DHHSbullet1"/>
      </w:pPr>
      <w:r>
        <w:t>t</w:t>
      </w:r>
      <w:r w:rsidRPr="00F72BDE">
        <w:t>he objectives and expected outcomes are achieved</w:t>
      </w:r>
    </w:p>
    <w:p w14:paraId="7095B9D8" w14:textId="77777777" w:rsidR="00C8344E" w:rsidRPr="00F72BDE" w:rsidRDefault="00C8344E" w:rsidP="00C8344E">
      <w:pPr>
        <w:pStyle w:val="DHHSbullet1"/>
      </w:pPr>
      <w:r>
        <w:t>t</w:t>
      </w:r>
      <w:r w:rsidRPr="00F72BDE">
        <w:t xml:space="preserve">he four key activities and measures of the </w:t>
      </w:r>
      <w:r>
        <w:t>f</w:t>
      </w:r>
      <w:r w:rsidRPr="00F72BDE">
        <w:t>ramework have been completed and embedded into practice</w:t>
      </w:r>
    </w:p>
    <w:p w14:paraId="3B079146" w14:textId="77777777" w:rsidR="00C8344E" w:rsidRPr="00F72BDE" w:rsidRDefault="00C8344E" w:rsidP="00C8344E">
      <w:pPr>
        <w:pStyle w:val="DHHSbullet1"/>
      </w:pPr>
      <w:r w:rsidRPr="00F72BDE">
        <w:t>signatories and frontline workers</w:t>
      </w:r>
      <w:r w:rsidRPr="00F72BDE" w:rsidDel="0055108C">
        <w:t xml:space="preserve"> </w:t>
      </w:r>
      <w:r>
        <w:t xml:space="preserve">have adhered to and adopted </w:t>
      </w:r>
      <w:r w:rsidRPr="00F72BDE">
        <w:t xml:space="preserve">the </w:t>
      </w:r>
      <w:r>
        <w:t>f</w:t>
      </w:r>
      <w:r w:rsidRPr="00F72BDE">
        <w:t>ramework.</w:t>
      </w:r>
    </w:p>
    <w:p w14:paraId="2C5D035F" w14:textId="16BBEFED" w:rsidR="00FC36AA" w:rsidRDefault="00FC36AA" w:rsidP="00B93B5B">
      <w:pPr>
        <w:pStyle w:val="DHHSbody"/>
        <w:rPr>
          <w:rStyle w:val="Strong"/>
        </w:rPr>
      </w:pPr>
      <w:r>
        <w:rPr>
          <w:rStyle w:val="Strong"/>
        </w:rPr>
        <w:br w:type="page"/>
      </w:r>
    </w:p>
    <w:p w14:paraId="6F3BA1A3" w14:textId="4B772C6C" w:rsidR="00FC36AA" w:rsidRDefault="00FC36AA" w:rsidP="00FC36AA">
      <w:pPr>
        <w:pStyle w:val="Heading1"/>
        <w:rPr>
          <w:lang w:val="en-GB" w:eastAsia="en-GB"/>
        </w:rPr>
      </w:pPr>
      <w:bookmarkStart w:id="125" w:name="_Toc31442884"/>
      <w:r w:rsidRPr="00FC36AA">
        <w:lastRenderedPageBreak/>
        <w:t>Appendix: Transcript of the flowchart for residential</w:t>
      </w:r>
      <w:r w:rsidRPr="00F72BDE">
        <w:rPr>
          <w:lang w:val="en-GB"/>
        </w:rPr>
        <w:t xml:space="preserve"> care </w:t>
      </w:r>
      <w:r w:rsidRPr="00F72BDE">
        <w:rPr>
          <w:lang w:val="en-GB" w:eastAsia="en-GB"/>
        </w:rPr>
        <w:t>workers</w:t>
      </w:r>
      <w:r>
        <w:rPr>
          <w:lang w:val="en-GB" w:eastAsia="en-GB"/>
        </w:rPr>
        <w:t xml:space="preserve"> – </w:t>
      </w:r>
      <w:r w:rsidRPr="00F72BDE">
        <w:rPr>
          <w:lang w:val="en-GB" w:eastAsia="en-GB"/>
        </w:rPr>
        <w:t>When do I contact</w:t>
      </w:r>
      <w:r w:rsidRPr="00F72BDE">
        <w:rPr>
          <w:lang w:val="en-GB"/>
        </w:rPr>
        <w:t xml:space="preserve"> police</w:t>
      </w:r>
      <w:r w:rsidRPr="00F72BDE">
        <w:rPr>
          <w:lang w:val="en-GB" w:eastAsia="en-GB"/>
        </w:rPr>
        <w:t>?</w:t>
      </w:r>
      <w:bookmarkEnd w:id="125"/>
    </w:p>
    <w:p w14:paraId="35F0011A" w14:textId="101867D0" w:rsidR="00FC36AA" w:rsidRPr="00335A26" w:rsidRDefault="004A2336" w:rsidP="00FC36AA">
      <w:pPr>
        <w:pStyle w:val="DHHSbody"/>
        <w:rPr>
          <w:b/>
          <w:bCs/>
          <w:lang w:val="en-GB" w:eastAsia="en-GB"/>
        </w:rPr>
      </w:pPr>
      <w:r w:rsidRPr="00335A26">
        <w:rPr>
          <w:b/>
          <w:bCs/>
          <w:lang w:val="en-GB" w:eastAsia="en-GB"/>
        </w:rPr>
        <w:t>Is there an immediate safety risk?</w:t>
      </w:r>
    </w:p>
    <w:p w14:paraId="1353458C" w14:textId="20A769B3" w:rsidR="003B6CE2" w:rsidRDefault="003B6CE2" w:rsidP="00193F62">
      <w:pPr>
        <w:pStyle w:val="DHHSbullet1"/>
        <w:rPr>
          <w:lang w:val="en-GB" w:eastAsia="en-GB"/>
        </w:rPr>
      </w:pPr>
      <w:r>
        <w:rPr>
          <w:lang w:val="en-GB" w:eastAsia="en-GB"/>
        </w:rPr>
        <w:t>If yes, go to column 1.</w:t>
      </w:r>
    </w:p>
    <w:p w14:paraId="64CBA75A" w14:textId="66F03BAA" w:rsidR="004A2336" w:rsidRDefault="004A2336" w:rsidP="00335A26">
      <w:pPr>
        <w:pStyle w:val="DHHSbullet1"/>
        <w:rPr>
          <w:lang w:val="en-GB" w:eastAsia="en-GB"/>
        </w:rPr>
      </w:pPr>
      <w:r>
        <w:rPr>
          <w:lang w:val="en-GB" w:eastAsia="en-GB"/>
        </w:rPr>
        <w:t xml:space="preserve">If no: </w:t>
      </w:r>
      <w:r w:rsidRPr="00FB0124">
        <w:rPr>
          <w:b/>
          <w:bCs/>
          <w:lang w:val="en-GB" w:eastAsia="en-GB"/>
        </w:rPr>
        <w:t>Is there a reporting obligation to Victoria Police?</w:t>
      </w:r>
    </w:p>
    <w:p w14:paraId="292DC67F" w14:textId="1DAA6DFB" w:rsidR="003B6CE2" w:rsidRDefault="003B6CE2" w:rsidP="00335A26">
      <w:pPr>
        <w:pStyle w:val="DHHSbullet2"/>
        <w:rPr>
          <w:lang w:val="en-GB" w:eastAsia="en-GB"/>
        </w:rPr>
      </w:pPr>
      <w:r>
        <w:rPr>
          <w:lang w:val="en-GB" w:eastAsia="en-GB"/>
        </w:rPr>
        <w:t>If yes, go to column 2.</w:t>
      </w:r>
    </w:p>
    <w:p w14:paraId="1780E8F3" w14:textId="77777777" w:rsidR="004A2336" w:rsidRDefault="004A2336" w:rsidP="00335A26">
      <w:pPr>
        <w:pStyle w:val="DHHSbullet2"/>
        <w:rPr>
          <w:lang w:val="en-GB" w:eastAsia="en-GB"/>
        </w:rPr>
      </w:pPr>
      <w:r>
        <w:rPr>
          <w:lang w:val="en-GB" w:eastAsia="en-GB"/>
        </w:rPr>
        <w:t xml:space="preserve">If no, go to column 3. </w:t>
      </w:r>
    </w:p>
    <w:p w14:paraId="309A6B87" w14:textId="52E9FEBD" w:rsidR="004A2336" w:rsidRDefault="004A2336" w:rsidP="003B6CE2">
      <w:pPr>
        <w:pStyle w:val="Heading2"/>
        <w:rPr>
          <w:lang w:val="en-GB" w:eastAsia="en-GB"/>
        </w:rPr>
      </w:pPr>
      <w:r>
        <w:rPr>
          <w:lang w:val="en-GB" w:eastAsia="en-GB"/>
        </w:rPr>
        <w:t>Column 1</w:t>
      </w:r>
    </w:p>
    <w:p w14:paraId="75DE7F16" w14:textId="31C4E1DA" w:rsidR="004A2336" w:rsidRDefault="003B6CE2" w:rsidP="003B6CE2">
      <w:pPr>
        <w:pStyle w:val="Heading3"/>
        <w:rPr>
          <w:lang w:val="en-GB" w:eastAsia="en-GB"/>
        </w:rPr>
      </w:pPr>
      <w:r>
        <w:rPr>
          <w:lang w:val="en-GB" w:eastAsia="en-GB"/>
        </w:rPr>
        <w:t>Emergency</w:t>
      </w:r>
    </w:p>
    <w:p w14:paraId="67BA7127" w14:textId="129D71FA" w:rsidR="004A2336" w:rsidRDefault="003B6CE2" w:rsidP="00A26170">
      <w:pPr>
        <w:pStyle w:val="DHHSbullet1"/>
        <w:rPr>
          <w:lang w:val="en-GB" w:eastAsia="en-GB"/>
        </w:rPr>
      </w:pPr>
      <w:r>
        <w:rPr>
          <w:lang w:val="en-GB" w:eastAsia="en-GB"/>
        </w:rPr>
        <w:t>Immediately contact police on triple zero (000)</w:t>
      </w:r>
      <w:r w:rsidR="00A26170">
        <w:rPr>
          <w:lang w:val="en-GB" w:eastAsia="en-GB"/>
        </w:rPr>
        <w:t>.</w:t>
      </w:r>
    </w:p>
    <w:p w14:paraId="7C51B992" w14:textId="307BA609" w:rsidR="003B6CE2" w:rsidRDefault="003B6CE2" w:rsidP="00335A26">
      <w:pPr>
        <w:pStyle w:val="DHHSbullet1"/>
        <w:spacing w:after="120"/>
        <w:ind w:left="288" w:hanging="288"/>
        <w:rPr>
          <w:lang w:val="en-GB" w:eastAsia="en-GB"/>
        </w:rPr>
      </w:pPr>
      <w:r>
        <w:rPr>
          <w:lang w:val="en-GB" w:eastAsia="en-GB"/>
        </w:rPr>
        <w:t xml:space="preserve">Police will use their </w:t>
      </w:r>
      <w:r w:rsidRPr="00335A26">
        <w:t>triage</w:t>
      </w:r>
      <w:r>
        <w:rPr>
          <w:lang w:val="en-GB" w:eastAsia="en-GB"/>
        </w:rPr>
        <w:t xml:space="preserve"> process to allocate the urgency of the response</w:t>
      </w:r>
      <w:r w:rsidR="00A26170">
        <w:rPr>
          <w:lang w:val="en-GB" w:eastAsia="en-GB"/>
        </w:rPr>
        <w:t>.</w:t>
      </w:r>
    </w:p>
    <w:p w14:paraId="67687756" w14:textId="0B31850F" w:rsidR="003B6CE2" w:rsidRPr="00A26170" w:rsidRDefault="003B6CE2" w:rsidP="00FC36AA">
      <w:pPr>
        <w:pStyle w:val="DHHSbody"/>
        <w:rPr>
          <w:i/>
          <w:iCs/>
          <w:lang w:val="en-GB" w:eastAsia="en-GB"/>
        </w:rPr>
      </w:pPr>
      <w:r w:rsidRPr="00A26170">
        <w:rPr>
          <w:i/>
          <w:iCs/>
          <w:lang w:val="en-GB" w:eastAsia="en-GB"/>
        </w:rPr>
        <w:t>Example: Person at risk or threat of immediate harm</w:t>
      </w:r>
    </w:p>
    <w:p w14:paraId="491E3F28" w14:textId="0E144303" w:rsidR="003B6CE2" w:rsidRDefault="003B6CE2" w:rsidP="003B6CE2">
      <w:pPr>
        <w:pStyle w:val="Heading3"/>
        <w:rPr>
          <w:lang w:val="en-GB" w:eastAsia="en-GB"/>
        </w:rPr>
      </w:pPr>
      <w:r>
        <w:rPr>
          <w:lang w:val="en-GB" w:eastAsia="en-GB"/>
        </w:rPr>
        <w:t>Immediate action</w:t>
      </w:r>
    </w:p>
    <w:p w14:paraId="3A5B7E77" w14:textId="11060F0A" w:rsidR="003B6CE2" w:rsidRDefault="003B6CE2" w:rsidP="00A26170">
      <w:pPr>
        <w:pStyle w:val="DHHSbullet1"/>
        <w:rPr>
          <w:lang w:val="en-GB" w:eastAsia="en-GB"/>
        </w:rPr>
      </w:pPr>
      <w:r>
        <w:rPr>
          <w:lang w:val="en-GB" w:eastAsia="en-GB"/>
        </w:rPr>
        <w:t>Contact Victoria Police on triple zero (000)</w:t>
      </w:r>
      <w:r w:rsidR="00A26170">
        <w:rPr>
          <w:lang w:val="en-GB" w:eastAsia="en-GB"/>
        </w:rPr>
        <w:t>.</w:t>
      </w:r>
    </w:p>
    <w:p w14:paraId="62DA2768" w14:textId="65557D01" w:rsidR="003B6CE2" w:rsidRDefault="003B6CE2" w:rsidP="00A26170">
      <w:pPr>
        <w:pStyle w:val="DHHSbullet1"/>
        <w:rPr>
          <w:lang w:val="en-GB" w:eastAsia="en-GB"/>
        </w:rPr>
      </w:pPr>
      <w:r>
        <w:rPr>
          <w:lang w:val="en-GB" w:eastAsia="en-GB"/>
        </w:rPr>
        <w:t>Residential care worker provides attending police officer with relevant information</w:t>
      </w:r>
      <w:r w:rsidR="00A26170">
        <w:rPr>
          <w:lang w:val="en-GB" w:eastAsia="en-GB"/>
        </w:rPr>
        <w:t>.</w:t>
      </w:r>
    </w:p>
    <w:p w14:paraId="1BA98C45" w14:textId="42A1CB73" w:rsidR="008A70A6" w:rsidRDefault="008A70A6" w:rsidP="00A26170">
      <w:pPr>
        <w:pStyle w:val="DHHSbullet1"/>
        <w:rPr>
          <w:lang w:val="en-GB" w:eastAsia="en-GB"/>
        </w:rPr>
      </w:pPr>
      <w:r w:rsidRPr="008A70A6">
        <w:rPr>
          <w:lang w:val="en-GB" w:eastAsia="en-GB"/>
        </w:rPr>
        <w:t>Contact your manager or on-call for advice and support.</w:t>
      </w:r>
    </w:p>
    <w:p w14:paraId="5406D43E" w14:textId="1CD94ECE" w:rsidR="008A70A6" w:rsidRDefault="008A70A6" w:rsidP="00A26170">
      <w:pPr>
        <w:pStyle w:val="DHHSbullet1"/>
        <w:rPr>
          <w:lang w:val="en-GB" w:eastAsia="en-GB"/>
        </w:rPr>
      </w:pPr>
      <w:r w:rsidRPr="008A70A6">
        <w:rPr>
          <w:lang w:val="en-GB" w:eastAsia="en-GB"/>
        </w:rPr>
        <w:t>Police will consider the use of discretionary powers, where appropriate.</w:t>
      </w:r>
    </w:p>
    <w:p w14:paraId="211E52D8" w14:textId="58C267CE" w:rsidR="004A2336" w:rsidRDefault="004A2336" w:rsidP="003B6CE2">
      <w:pPr>
        <w:pStyle w:val="Heading2"/>
        <w:rPr>
          <w:lang w:val="en-GB" w:eastAsia="en-GB"/>
        </w:rPr>
      </w:pPr>
      <w:r>
        <w:rPr>
          <w:lang w:val="en-GB" w:eastAsia="en-GB"/>
        </w:rPr>
        <w:t>Column 2</w:t>
      </w:r>
    </w:p>
    <w:p w14:paraId="354B0559" w14:textId="2A046089" w:rsidR="004A2336" w:rsidRDefault="003B6CE2" w:rsidP="003B6CE2">
      <w:pPr>
        <w:pStyle w:val="Heading3"/>
        <w:rPr>
          <w:lang w:val="en-GB" w:eastAsia="en-GB"/>
        </w:rPr>
      </w:pPr>
      <w:r>
        <w:rPr>
          <w:lang w:val="en-GB" w:eastAsia="en-GB"/>
        </w:rPr>
        <w:t xml:space="preserve">No immediate safety </w:t>
      </w:r>
      <w:proofErr w:type="gramStart"/>
      <w:r>
        <w:rPr>
          <w:lang w:val="en-GB" w:eastAsia="en-GB"/>
        </w:rPr>
        <w:t>risk</w:t>
      </w:r>
      <w:proofErr w:type="gramEnd"/>
    </w:p>
    <w:p w14:paraId="4CECDF8B" w14:textId="3ACB46F9" w:rsidR="004A2336" w:rsidRDefault="00A26170" w:rsidP="00A26170">
      <w:pPr>
        <w:pStyle w:val="DHHSbullet1"/>
        <w:rPr>
          <w:lang w:val="en-GB" w:eastAsia="en-GB"/>
        </w:rPr>
      </w:pPr>
      <w:r>
        <w:rPr>
          <w:lang w:val="en-GB" w:eastAsia="en-GB"/>
        </w:rPr>
        <w:t>Police to be contacted as per organisation policy and procedure for non-emergency situation.</w:t>
      </w:r>
    </w:p>
    <w:p w14:paraId="12FF3687" w14:textId="0EEB72E9" w:rsidR="00A26170" w:rsidRDefault="00A26170" w:rsidP="00335A26">
      <w:pPr>
        <w:pStyle w:val="DHHSbullet1"/>
        <w:spacing w:after="120"/>
        <w:ind w:left="288" w:hanging="288"/>
        <w:rPr>
          <w:lang w:val="en-GB" w:eastAsia="en-GB"/>
        </w:rPr>
      </w:pPr>
      <w:r w:rsidRPr="00335A26">
        <w:t>Manager</w:t>
      </w:r>
      <w:r>
        <w:rPr>
          <w:lang w:val="en-GB" w:eastAsia="en-GB"/>
        </w:rPr>
        <w:t xml:space="preserve"> or after-hours on-call to be contacted for direction to obtain authorisation to call police.</w:t>
      </w:r>
    </w:p>
    <w:p w14:paraId="63A4BAFD" w14:textId="6C66B9B8" w:rsidR="00A26170" w:rsidRPr="00A26170" w:rsidRDefault="00A26170" w:rsidP="00FC36AA">
      <w:pPr>
        <w:pStyle w:val="DHHSbody"/>
        <w:rPr>
          <w:i/>
          <w:iCs/>
          <w:lang w:val="en-GB" w:eastAsia="en-GB"/>
        </w:rPr>
      </w:pPr>
      <w:r w:rsidRPr="00A26170">
        <w:rPr>
          <w:i/>
          <w:iCs/>
          <w:lang w:val="en-GB" w:eastAsia="en-GB"/>
        </w:rPr>
        <w:t>Example: Historical allegation of abuse</w:t>
      </w:r>
    </w:p>
    <w:p w14:paraId="75AD99F9" w14:textId="77777777" w:rsidR="003B6CE2" w:rsidRDefault="003B6CE2" w:rsidP="003B6CE2">
      <w:pPr>
        <w:pStyle w:val="Heading3"/>
        <w:rPr>
          <w:lang w:val="en-GB" w:eastAsia="en-GB"/>
        </w:rPr>
      </w:pPr>
      <w:r>
        <w:rPr>
          <w:lang w:val="en-GB" w:eastAsia="en-GB"/>
        </w:rPr>
        <w:t>Immediate action</w:t>
      </w:r>
    </w:p>
    <w:p w14:paraId="58248E0F" w14:textId="1451FE39" w:rsidR="003B6CE2" w:rsidRDefault="00A26170" w:rsidP="00A26170">
      <w:pPr>
        <w:pStyle w:val="DHHSbullet1"/>
        <w:rPr>
          <w:lang w:val="en-GB" w:eastAsia="en-GB"/>
        </w:rPr>
      </w:pPr>
      <w:r>
        <w:rPr>
          <w:lang w:val="en-GB" w:eastAsia="en-GB"/>
        </w:rPr>
        <w:t>Ensure there are no immediate safety risks.</w:t>
      </w:r>
    </w:p>
    <w:p w14:paraId="7764EB8E" w14:textId="3358D6E9" w:rsidR="003B6CE2" w:rsidRDefault="00A26170" w:rsidP="00A26170">
      <w:pPr>
        <w:pStyle w:val="DHHSbullet1"/>
        <w:rPr>
          <w:lang w:val="en-GB" w:eastAsia="en-GB"/>
        </w:rPr>
      </w:pPr>
      <w:r>
        <w:rPr>
          <w:lang w:val="en-GB" w:eastAsia="en-GB"/>
        </w:rPr>
        <w:t>Contact your manager or after-hours on-call for advice and support.</w:t>
      </w:r>
    </w:p>
    <w:p w14:paraId="1E3DDC9D" w14:textId="38DA8EF1" w:rsidR="004A2336" w:rsidRDefault="004A2336" w:rsidP="003B6CE2">
      <w:pPr>
        <w:pStyle w:val="Heading2"/>
        <w:rPr>
          <w:lang w:val="en-GB" w:eastAsia="en-GB"/>
        </w:rPr>
      </w:pPr>
      <w:r>
        <w:rPr>
          <w:lang w:val="en-GB" w:eastAsia="en-GB"/>
        </w:rPr>
        <w:t>Column 3</w:t>
      </w:r>
    </w:p>
    <w:p w14:paraId="342DE017" w14:textId="3648B468" w:rsidR="004A2336" w:rsidRPr="00FC36AA" w:rsidRDefault="004A2336" w:rsidP="003B6CE2">
      <w:pPr>
        <w:pStyle w:val="Heading3"/>
        <w:rPr>
          <w:lang w:val="en-GB" w:eastAsia="en-GB"/>
        </w:rPr>
      </w:pPr>
      <w:r>
        <w:rPr>
          <w:lang w:val="en-GB" w:eastAsia="en-GB"/>
        </w:rPr>
        <w:t>Non-crisis behavioural issue – police involvement not required</w:t>
      </w:r>
    </w:p>
    <w:p w14:paraId="42F02180" w14:textId="3C89D197" w:rsidR="00B508A6" w:rsidRPr="00A26170" w:rsidRDefault="00A26170" w:rsidP="00335A26">
      <w:pPr>
        <w:pStyle w:val="DHHSbullet1"/>
        <w:spacing w:after="120"/>
        <w:ind w:left="288" w:hanging="288"/>
        <w:rPr>
          <w:rStyle w:val="Strong"/>
          <w:b w:val="0"/>
          <w:bCs w:val="0"/>
        </w:rPr>
      </w:pPr>
      <w:r w:rsidRPr="00A26170">
        <w:rPr>
          <w:rStyle w:val="Strong"/>
          <w:b w:val="0"/>
          <w:bCs w:val="0"/>
        </w:rPr>
        <w:t xml:space="preserve">Use </w:t>
      </w:r>
      <w:r w:rsidRPr="00335A26">
        <w:t>alternative</w:t>
      </w:r>
      <w:r w:rsidRPr="00A26170">
        <w:rPr>
          <w:rStyle w:val="Strong"/>
          <w:b w:val="0"/>
          <w:bCs w:val="0"/>
        </w:rPr>
        <w:t xml:space="preserve"> strategies to manage behaviour</w:t>
      </w:r>
      <w:r w:rsidR="00335A26">
        <w:rPr>
          <w:rStyle w:val="Strong"/>
          <w:b w:val="0"/>
          <w:bCs w:val="0"/>
        </w:rPr>
        <w:t>.</w:t>
      </w:r>
    </w:p>
    <w:p w14:paraId="28FCE840" w14:textId="625AAB86" w:rsidR="003B6CE2" w:rsidRPr="00180D3C" w:rsidRDefault="00A26170" w:rsidP="00A26170">
      <w:pPr>
        <w:pStyle w:val="DHHSbody"/>
        <w:rPr>
          <w:rStyle w:val="Strong"/>
          <w:b w:val="0"/>
          <w:bCs w:val="0"/>
          <w:i/>
          <w:iCs/>
        </w:rPr>
      </w:pPr>
      <w:r w:rsidRPr="00180D3C">
        <w:rPr>
          <w:rStyle w:val="Strong"/>
          <w:b w:val="0"/>
          <w:bCs w:val="0"/>
          <w:i/>
          <w:iCs/>
        </w:rPr>
        <w:t>Example: Young person acting</w:t>
      </w:r>
      <w:r w:rsidR="00180D3C">
        <w:rPr>
          <w:rStyle w:val="Strong"/>
          <w:b w:val="0"/>
          <w:bCs w:val="0"/>
          <w:i/>
          <w:iCs/>
        </w:rPr>
        <w:t xml:space="preserve"> out, minor property damage that can be resolved directly</w:t>
      </w:r>
    </w:p>
    <w:p w14:paraId="23E55537" w14:textId="77777777" w:rsidR="003B6CE2" w:rsidRDefault="003B6CE2" w:rsidP="003B6CE2">
      <w:pPr>
        <w:pStyle w:val="Heading3"/>
        <w:rPr>
          <w:lang w:val="en-GB" w:eastAsia="en-GB"/>
        </w:rPr>
      </w:pPr>
      <w:r>
        <w:rPr>
          <w:lang w:val="en-GB" w:eastAsia="en-GB"/>
        </w:rPr>
        <w:lastRenderedPageBreak/>
        <w:t>Immediate action</w:t>
      </w:r>
    </w:p>
    <w:p w14:paraId="404B4D68" w14:textId="20D189D2" w:rsidR="003B6CE2" w:rsidRPr="008A70A6" w:rsidRDefault="00180D3C" w:rsidP="008A70A6">
      <w:pPr>
        <w:pStyle w:val="DHHSbullet1"/>
        <w:rPr>
          <w:rStyle w:val="Strong"/>
          <w:b w:val="0"/>
          <w:bCs w:val="0"/>
        </w:rPr>
      </w:pPr>
      <w:r w:rsidRPr="008A70A6">
        <w:rPr>
          <w:rStyle w:val="Strong"/>
          <w:b w:val="0"/>
          <w:bCs w:val="0"/>
        </w:rPr>
        <w:t>Manage situation through organisation policies and practice and in line with the young person’s behaviour support plan.</w:t>
      </w:r>
    </w:p>
    <w:p w14:paraId="3666BF32" w14:textId="77777777" w:rsidR="006A1163" w:rsidRPr="008A70A6" w:rsidRDefault="006A1163" w:rsidP="008A70A6">
      <w:pPr>
        <w:pStyle w:val="DHHSbullet1"/>
      </w:pPr>
      <w:r w:rsidRPr="008A70A6">
        <w:t>Contact your manager or after-hours on-call for advice and support.</w:t>
      </w:r>
    </w:p>
    <w:p w14:paraId="21A0F1BE" w14:textId="271DAB07" w:rsidR="006A1163" w:rsidRPr="008A70A6" w:rsidRDefault="006A1163" w:rsidP="008A70A6">
      <w:pPr>
        <w:pStyle w:val="DHHSbullet1"/>
        <w:rPr>
          <w:rStyle w:val="Strong"/>
          <w:b w:val="0"/>
          <w:bCs w:val="0"/>
        </w:rPr>
      </w:pPr>
      <w:r w:rsidRPr="008A70A6">
        <w:rPr>
          <w:rStyle w:val="Strong"/>
          <w:b w:val="0"/>
          <w:bCs w:val="0"/>
        </w:rPr>
        <w:t>Contact your police liaison officer if additional guidance is required.</w:t>
      </w:r>
    </w:p>
    <w:p w14:paraId="3836FCC4" w14:textId="143D29C2" w:rsidR="006A1163" w:rsidRPr="008A70A6" w:rsidRDefault="006A1163" w:rsidP="008A70A6">
      <w:pPr>
        <w:pStyle w:val="DHHSbullet1"/>
        <w:rPr>
          <w:rStyle w:val="Strong"/>
          <w:b w:val="0"/>
          <w:bCs w:val="0"/>
        </w:rPr>
      </w:pPr>
      <w:r w:rsidRPr="008A70A6">
        <w:rPr>
          <w:rStyle w:val="Strong"/>
          <w:b w:val="0"/>
          <w:bCs w:val="0"/>
        </w:rPr>
        <w:t>If the situation escalates and immediate safety risks emerge, contact Victoria Police on triple zero (000).</w:t>
      </w:r>
    </w:p>
    <w:p w14:paraId="525CCD03" w14:textId="3817C42C" w:rsidR="003B6CE2" w:rsidRDefault="003B6CE2" w:rsidP="003B6CE2">
      <w:pPr>
        <w:pStyle w:val="Heading2"/>
        <w:rPr>
          <w:rStyle w:val="Strong"/>
          <w:b/>
          <w:bCs w:val="0"/>
        </w:rPr>
      </w:pPr>
      <w:r w:rsidRPr="003B6CE2">
        <w:rPr>
          <w:rStyle w:val="Strong"/>
          <w:b/>
          <w:bCs w:val="0"/>
        </w:rPr>
        <w:t>Post-event action</w:t>
      </w:r>
    </w:p>
    <w:p w14:paraId="528F3961" w14:textId="77777777" w:rsidR="008A70A6" w:rsidRPr="008A70A6" w:rsidRDefault="008A70A6" w:rsidP="008A70A6">
      <w:pPr>
        <w:pStyle w:val="DHHSbullet1"/>
        <w:rPr>
          <w:rStyle w:val="Strong"/>
          <w:b w:val="0"/>
          <w:bCs w:val="0"/>
        </w:rPr>
      </w:pPr>
      <w:r w:rsidRPr="008A70A6">
        <w:rPr>
          <w:rStyle w:val="Strong"/>
          <w:b w:val="0"/>
          <w:bCs w:val="0"/>
        </w:rPr>
        <w:t xml:space="preserve">Complete reporting requirements (as appropriate) in line with organisational processes. </w:t>
      </w:r>
    </w:p>
    <w:p w14:paraId="5B992171" w14:textId="77777777" w:rsidR="008A70A6" w:rsidRPr="008A70A6" w:rsidRDefault="008A70A6" w:rsidP="008A70A6">
      <w:pPr>
        <w:pStyle w:val="DHHSbullet1"/>
        <w:rPr>
          <w:rStyle w:val="Strong"/>
          <w:b w:val="0"/>
          <w:bCs w:val="0"/>
        </w:rPr>
      </w:pPr>
      <w:r w:rsidRPr="008A70A6">
        <w:rPr>
          <w:rStyle w:val="Strong"/>
          <w:b w:val="0"/>
          <w:bCs w:val="0"/>
        </w:rPr>
        <w:t xml:space="preserve">Review the young person’s behaviour support plan and other relevant plans for the residential care home. </w:t>
      </w:r>
    </w:p>
    <w:p w14:paraId="1CA4D8C6" w14:textId="77777777" w:rsidR="008A70A6" w:rsidRPr="008A70A6" w:rsidRDefault="008A70A6" w:rsidP="008A70A6">
      <w:pPr>
        <w:pStyle w:val="DHHSbullet1"/>
        <w:rPr>
          <w:rStyle w:val="Strong"/>
          <w:b w:val="0"/>
          <w:bCs w:val="0"/>
        </w:rPr>
      </w:pPr>
      <w:r w:rsidRPr="008A70A6">
        <w:rPr>
          <w:rStyle w:val="Strong"/>
          <w:b w:val="0"/>
          <w:bCs w:val="0"/>
        </w:rPr>
        <w:t xml:space="preserve">All events should provide an opportunity to work with young people on restorative practices and alternative response strategies. </w:t>
      </w:r>
    </w:p>
    <w:p w14:paraId="7B1CECE8" w14:textId="77777777" w:rsidR="008A70A6" w:rsidRPr="008A70A6" w:rsidRDefault="008A70A6" w:rsidP="008A70A6">
      <w:pPr>
        <w:pStyle w:val="DHHSbullet1"/>
        <w:rPr>
          <w:rStyle w:val="Strong"/>
          <w:b w:val="0"/>
          <w:bCs w:val="0"/>
        </w:rPr>
      </w:pPr>
      <w:r w:rsidRPr="008A70A6">
        <w:rPr>
          <w:rStyle w:val="Strong"/>
          <w:b w:val="0"/>
          <w:bCs w:val="0"/>
        </w:rPr>
        <w:t xml:space="preserve">All calls to police must be reviewed and a de-brief conducted with relevant parties (Victoria Police as appropriate) to identify opportunities to strengthen future responses. </w:t>
      </w:r>
    </w:p>
    <w:p w14:paraId="00DFA849" w14:textId="03E112A4" w:rsidR="003B6CE2" w:rsidRPr="003B6CE2" w:rsidRDefault="008A70A6" w:rsidP="008A70A6">
      <w:pPr>
        <w:pStyle w:val="DHHSbullet1"/>
        <w:rPr>
          <w:rStyle w:val="Strong"/>
          <w:b w:val="0"/>
          <w:bCs w:val="0"/>
        </w:rPr>
      </w:pPr>
      <w:r w:rsidRPr="008A70A6">
        <w:rPr>
          <w:rStyle w:val="Strong"/>
          <w:b w:val="0"/>
          <w:bCs w:val="0"/>
        </w:rPr>
        <w:t>Where there is an impact to the child or young person, complete Critical Incident Management System (CIMS) processes.</w:t>
      </w:r>
    </w:p>
    <w:sectPr w:rsidR="003B6CE2" w:rsidRPr="003B6CE2" w:rsidSect="00C81C90">
      <w:pgSz w:w="11906" w:h="16838"/>
      <w:pgMar w:top="1701" w:right="1304" w:bottom="1134" w:left="1304" w:header="454"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DC7C6" w14:textId="77777777" w:rsidR="0095401F" w:rsidRDefault="0095401F">
      <w:r>
        <w:separator/>
      </w:r>
    </w:p>
  </w:endnote>
  <w:endnote w:type="continuationSeparator" w:id="0">
    <w:p w14:paraId="4C799759" w14:textId="77777777" w:rsidR="0095401F" w:rsidRDefault="0095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3F78D" w14:textId="77777777" w:rsidR="008131D6" w:rsidRDefault="00813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13A88" w14:textId="77777777" w:rsidR="008131D6" w:rsidRDefault="00813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01078" w14:textId="77777777" w:rsidR="008131D6" w:rsidRDefault="008131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9C625" w14:textId="77777777" w:rsidR="0095401F" w:rsidRPr="008114D1" w:rsidRDefault="0095401F" w:rsidP="00E969B1">
    <w:pPr>
      <w:pStyle w:val="DHHSfooter"/>
    </w:pPr>
    <w:r>
      <w:t xml:space="preserve">Page </w:t>
    </w:r>
    <w:r w:rsidRPr="005A39EC">
      <w:fldChar w:fldCharType="begin"/>
    </w:r>
    <w:r w:rsidRPr="005A39EC">
      <w:instrText xml:space="preserve"> PAGE </w:instrText>
    </w:r>
    <w:r w:rsidRPr="005A39EC">
      <w:fldChar w:fldCharType="separate"/>
    </w:r>
    <w:r>
      <w:rPr>
        <w:noProof/>
      </w:rPr>
      <w:t>10</w:t>
    </w:r>
    <w:r w:rsidRPr="005A39EC">
      <w:fldChar w:fldCharType="end"/>
    </w:r>
    <w:r>
      <w:ptab w:relativeTo="margin" w:alignment="right" w:leader="none"/>
    </w:r>
    <w:r w:rsidRPr="00B508A6">
      <w:t xml:space="preserve"> </w:t>
    </w:r>
    <w:r>
      <w:t>Framework to reduce</w:t>
    </w:r>
    <w:r w:rsidRPr="001C5261">
      <w:t xml:space="preserve"> the criminalisation of young people in residential care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F155" w14:textId="77777777" w:rsidR="0095401F" w:rsidRPr="0031753A" w:rsidRDefault="0095401F" w:rsidP="00E969B1">
    <w:pPr>
      <w:pStyle w:val="DHHSfooter"/>
    </w:pPr>
    <w:r>
      <w:t>Framework to reduce</w:t>
    </w:r>
    <w:r w:rsidRPr="001C5261">
      <w:t xml:space="preserve"> the criminalisation of young people in residential care</w:t>
    </w:r>
    <w:r>
      <w:t xml:space="preserve"> </w:t>
    </w:r>
    <w:r>
      <w:ptab w:relativeTo="margin" w:alignment="right" w:leader="none"/>
    </w:r>
    <w:r w:rsidRPr="0031753A">
      <w:t xml:space="preserve">Page </w:t>
    </w:r>
    <w:r w:rsidRPr="0031753A">
      <w:fldChar w:fldCharType="begin"/>
    </w:r>
    <w:r w:rsidRPr="0031753A">
      <w:instrText xml:space="preserve"> PAGE </w:instrText>
    </w:r>
    <w:r w:rsidRPr="0031753A">
      <w:fldChar w:fldCharType="separate"/>
    </w:r>
    <w:r>
      <w:rPr>
        <w:noProof/>
      </w:rPr>
      <w:t>9</w:t>
    </w:r>
    <w:r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3F0EE" w14:textId="77777777" w:rsidR="0095401F" w:rsidRPr="001A7E04" w:rsidRDefault="0095401F"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9797C" w14:textId="77777777" w:rsidR="0095401F" w:rsidRDefault="0095401F">
      <w:r>
        <w:separator/>
      </w:r>
    </w:p>
  </w:footnote>
  <w:footnote w:type="continuationSeparator" w:id="0">
    <w:p w14:paraId="22E1F57D" w14:textId="77777777" w:rsidR="0095401F" w:rsidRDefault="0095401F">
      <w:r>
        <w:continuationSeparator/>
      </w:r>
    </w:p>
  </w:footnote>
  <w:footnote w:id="1">
    <w:p w14:paraId="6C150C85" w14:textId="77777777" w:rsidR="0095401F" w:rsidRDefault="0095401F" w:rsidP="002E6FFA">
      <w:pPr>
        <w:pStyle w:val="FootnoteText"/>
      </w:pPr>
      <w:r>
        <w:rPr>
          <w:rStyle w:val="FootnoteReference"/>
        </w:rPr>
        <w:footnoteRef/>
      </w:r>
      <w:r>
        <w:t xml:space="preserve"> </w:t>
      </w:r>
      <w:r w:rsidRPr="008D7C62">
        <w:t xml:space="preserve">Royal College of Psychiatrists, </w:t>
      </w:r>
      <w:r w:rsidRPr="0068023E">
        <w:rPr>
          <w:i/>
          <w:iCs/>
        </w:rPr>
        <w:t>Challenging behaviour: a unified update</w:t>
      </w:r>
      <w:r w:rsidRPr="008D7C62">
        <w:t xml:space="preserve"> (April 2016).</w:t>
      </w:r>
    </w:p>
  </w:footnote>
  <w:footnote w:id="2">
    <w:p w14:paraId="7E8E35FC" w14:textId="77777777" w:rsidR="0095401F" w:rsidRDefault="0095401F" w:rsidP="002E6FFA">
      <w:pPr>
        <w:pStyle w:val="FootnoteText"/>
      </w:pPr>
      <w:r>
        <w:rPr>
          <w:rStyle w:val="FootnoteReference"/>
        </w:rPr>
        <w:footnoteRef/>
      </w:r>
      <w:r>
        <w:t xml:space="preserve"> </w:t>
      </w:r>
      <w:r>
        <w:rPr>
          <w:noProof/>
        </w:rPr>
        <w:t xml:space="preserve">Mendes P, Baidawi S, Snow P 2014, </w:t>
      </w:r>
      <w:r>
        <w:rPr>
          <w:i/>
          <w:iCs/>
          <w:noProof/>
        </w:rPr>
        <w:t>Good practice in reducing the over-representation of care lavers in the youth justice system</w:t>
      </w:r>
      <w:r>
        <w:rPr>
          <w:noProof/>
        </w:rPr>
        <w:t>, Monash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61CFE" w14:textId="77777777" w:rsidR="008131D6" w:rsidRDefault="00813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51068" w14:textId="77777777" w:rsidR="008131D6" w:rsidRDefault="008131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91201" w14:textId="77777777" w:rsidR="008131D6" w:rsidRDefault="008131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D41F7" w14:textId="77777777" w:rsidR="0095401F" w:rsidRPr="0069374A" w:rsidRDefault="0095401F"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FE8DB" w14:textId="77777777" w:rsidR="0095401F" w:rsidRDefault="0095401F"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2B7D0561"/>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4A66FB0"/>
    <w:multiLevelType w:val="hybridMultilevel"/>
    <w:tmpl w:val="37122D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7B96CDA"/>
    <w:multiLevelType w:val="multilevel"/>
    <w:tmpl w:val="9A36A2A0"/>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C7F8F4F8"/>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14D6A00E"/>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num>
  <w:num w:numId="17">
    <w:abstractNumId w:val="7"/>
  </w:num>
  <w:num w:numId="18">
    <w:abstractNumId w:val="7"/>
  </w:num>
  <w:num w:numId="19">
    <w:abstractNumId w:val="6"/>
  </w:num>
  <w:num w:numId="20">
    <w:abstractNumId w:val="2"/>
  </w:num>
  <w:num w:numId="21">
    <w:abstractNumId w:val="7"/>
  </w:num>
  <w:num w:numId="22">
    <w:abstractNumId w:val="2"/>
  </w:num>
  <w:num w:numId="23">
    <w:abstractNumId w:val="8"/>
  </w:num>
  <w:num w:numId="24">
    <w:abstractNumId w:val="8"/>
  </w:num>
  <w:num w:numId="25">
    <w:abstractNumId w:val="11"/>
  </w:num>
  <w:num w:numId="26">
    <w:abstractNumId w:val="11"/>
  </w:num>
  <w:num w:numId="27">
    <w:abstractNumId w:val="9"/>
  </w:num>
  <w:num w:numId="28">
    <w:abstractNumId w:val="9"/>
  </w:num>
  <w:num w:numId="29">
    <w:abstractNumId w:val="10"/>
  </w:num>
  <w:num w:numId="30">
    <w:abstractNumId w:val="7"/>
  </w:num>
  <w:num w:numId="31">
    <w:abstractNumId w:val="2"/>
  </w:num>
  <w:num w:numId="32">
    <w:abstractNumId w:val="11"/>
  </w:num>
  <w:num w:numId="33">
    <w:abstractNumId w:val="8"/>
  </w:num>
  <w:num w:numId="34">
    <w:abstractNumId w:val="9"/>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5"/>
  </w:num>
  <w:num w:numId="42">
    <w:abstractNumId w:val="10"/>
  </w:num>
  <w:num w:numId="43">
    <w:abstractNumId w:val="10"/>
  </w:num>
  <w:num w:numId="4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FA"/>
    <w:rsid w:val="00002990"/>
    <w:rsid w:val="000048AC"/>
    <w:rsid w:val="000055C9"/>
    <w:rsid w:val="00014FC4"/>
    <w:rsid w:val="000156D1"/>
    <w:rsid w:val="00020AAB"/>
    <w:rsid w:val="000223A4"/>
    <w:rsid w:val="00022E60"/>
    <w:rsid w:val="00026C19"/>
    <w:rsid w:val="00031263"/>
    <w:rsid w:val="0005587D"/>
    <w:rsid w:val="00060E93"/>
    <w:rsid w:val="00064936"/>
    <w:rsid w:val="000734F8"/>
    <w:rsid w:val="000736B8"/>
    <w:rsid w:val="000817CB"/>
    <w:rsid w:val="000873EF"/>
    <w:rsid w:val="000A1282"/>
    <w:rsid w:val="000B3792"/>
    <w:rsid w:val="000B3BA0"/>
    <w:rsid w:val="000C6242"/>
    <w:rsid w:val="000C68DB"/>
    <w:rsid w:val="000D2C32"/>
    <w:rsid w:val="000E6F72"/>
    <w:rsid w:val="000F0478"/>
    <w:rsid w:val="000F0A50"/>
    <w:rsid w:val="000F7CF3"/>
    <w:rsid w:val="00103D5E"/>
    <w:rsid w:val="00104EA7"/>
    <w:rsid w:val="00105FAD"/>
    <w:rsid w:val="0011155B"/>
    <w:rsid w:val="00111A6A"/>
    <w:rsid w:val="00121BF1"/>
    <w:rsid w:val="00127A8B"/>
    <w:rsid w:val="0013166F"/>
    <w:rsid w:val="00134BE5"/>
    <w:rsid w:val="001412D1"/>
    <w:rsid w:val="001423E3"/>
    <w:rsid w:val="001475EA"/>
    <w:rsid w:val="001504F5"/>
    <w:rsid w:val="001517BD"/>
    <w:rsid w:val="0017248D"/>
    <w:rsid w:val="00173626"/>
    <w:rsid w:val="0017614A"/>
    <w:rsid w:val="00180D3C"/>
    <w:rsid w:val="0018177B"/>
    <w:rsid w:val="001817CD"/>
    <w:rsid w:val="0018235E"/>
    <w:rsid w:val="001834B7"/>
    <w:rsid w:val="0018768C"/>
    <w:rsid w:val="00192BA0"/>
    <w:rsid w:val="00193F62"/>
    <w:rsid w:val="00197303"/>
    <w:rsid w:val="001A17EA"/>
    <w:rsid w:val="001A1D17"/>
    <w:rsid w:val="001A22AA"/>
    <w:rsid w:val="001A7A18"/>
    <w:rsid w:val="001B1565"/>
    <w:rsid w:val="001B166D"/>
    <w:rsid w:val="001B28B5"/>
    <w:rsid w:val="001B2975"/>
    <w:rsid w:val="001C08A9"/>
    <w:rsid w:val="001C122D"/>
    <w:rsid w:val="001D1DD0"/>
    <w:rsid w:val="001D2A82"/>
    <w:rsid w:val="001D569B"/>
    <w:rsid w:val="001E0EA3"/>
    <w:rsid w:val="001E3389"/>
    <w:rsid w:val="001E35AD"/>
    <w:rsid w:val="001E3F3D"/>
    <w:rsid w:val="001E4995"/>
    <w:rsid w:val="001E7A42"/>
    <w:rsid w:val="001F09DC"/>
    <w:rsid w:val="001F43E6"/>
    <w:rsid w:val="00213772"/>
    <w:rsid w:val="00215D68"/>
    <w:rsid w:val="00220749"/>
    <w:rsid w:val="0022422C"/>
    <w:rsid w:val="0022724E"/>
    <w:rsid w:val="00230666"/>
    <w:rsid w:val="00231153"/>
    <w:rsid w:val="0023252E"/>
    <w:rsid w:val="00241C31"/>
    <w:rsid w:val="00256E7C"/>
    <w:rsid w:val="00257EEA"/>
    <w:rsid w:val="00263BA2"/>
    <w:rsid w:val="002679D5"/>
    <w:rsid w:val="002714FD"/>
    <w:rsid w:val="00274BD3"/>
    <w:rsid w:val="00275F94"/>
    <w:rsid w:val="00277D12"/>
    <w:rsid w:val="00281B9C"/>
    <w:rsid w:val="00284C9B"/>
    <w:rsid w:val="002A141B"/>
    <w:rsid w:val="002A19EE"/>
    <w:rsid w:val="002A26B6"/>
    <w:rsid w:val="002A6A4E"/>
    <w:rsid w:val="002B4CF8"/>
    <w:rsid w:val="002B5A85"/>
    <w:rsid w:val="002B63A7"/>
    <w:rsid w:val="002C5543"/>
    <w:rsid w:val="002D0F7F"/>
    <w:rsid w:val="002E0198"/>
    <w:rsid w:val="002E1D7C"/>
    <w:rsid w:val="002E6FFA"/>
    <w:rsid w:val="002F449B"/>
    <w:rsid w:val="002F4B75"/>
    <w:rsid w:val="002F4D86"/>
    <w:rsid w:val="002F5D69"/>
    <w:rsid w:val="002F7C77"/>
    <w:rsid w:val="00300CB3"/>
    <w:rsid w:val="0030394B"/>
    <w:rsid w:val="003072C6"/>
    <w:rsid w:val="00310D8E"/>
    <w:rsid w:val="00315BBD"/>
    <w:rsid w:val="0031753A"/>
    <w:rsid w:val="00320293"/>
    <w:rsid w:val="00322CC2"/>
    <w:rsid w:val="003271DC"/>
    <w:rsid w:val="00332FA0"/>
    <w:rsid w:val="00334B54"/>
    <w:rsid w:val="00335A26"/>
    <w:rsid w:val="0033739E"/>
    <w:rsid w:val="00343733"/>
    <w:rsid w:val="0034394C"/>
    <w:rsid w:val="00355886"/>
    <w:rsid w:val="00356814"/>
    <w:rsid w:val="00362A00"/>
    <w:rsid w:val="003741AD"/>
    <w:rsid w:val="0038019F"/>
    <w:rsid w:val="00381B67"/>
    <w:rsid w:val="00382071"/>
    <w:rsid w:val="003A2F25"/>
    <w:rsid w:val="003A7FC5"/>
    <w:rsid w:val="003B2807"/>
    <w:rsid w:val="003B6CE2"/>
    <w:rsid w:val="003C1A21"/>
    <w:rsid w:val="003C68F2"/>
    <w:rsid w:val="003D58B8"/>
    <w:rsid w:val="003D5CFB"/>
    <w:rsid w:val="003E2636"/>
    <w:rsid w:val="003E2E12"/>
    <w:rsid w:val="003F39CE"/>
    <w:rsid w:val="00401069"/>
    <w:rsid w:val="00401108"/>
    <w:rsid w:val="00402927"/>
    <w:rsid w:val="00407993"/>
    <w:rsid w:val="00410AFD"/>
    <w:rsid w:val="00411833"/>
    <w:rsid w:val="00412F64"/>
    <w:rsid w:val="00417501"/>
    <w:rsid w:val="00417BEB"/>
    <w:rsid w:val="00417CC6"/>
    <w:rsid w:val="00422FEF"/>
    <w:rsid w:val="004324FF"/>
    <w:rsid w:val="00432A55"/>
    <w:rsid w:val="004372B7"/>
    <w:rsid w:val="0044260A"/>
    <w:rsid w:val="00444D82"/>
    <w:rsid w:val="004564C6"/>
    <w:rsid w:val="004610CC"/>
    <w:rsid w:val="00465464"/>
    <w:rsid w:val="00465E87"/>
    <w:rsid w:val="004763EA"/>
    <w:rsid w:val="0047786A"/>
    <w:rsid w:val="00477A65"/>
    <w:rsid w:val="00482DB3"/>
    <w:rsid w:val="00486774"/>
    <w:rsid w:val="004A0236"/>
    <w:rsid w:val="004A2336"/>
    <w:rsid w:val="004A369A"/>
    <w:rsid w:val="004A3B3E"/>
    <w:rsid w:val="004C5777"/>
    <w:rsid w:val="004D0173"/>
    <w:rsid w:val="004D1056"/>
    <w:rsid w:val="004D2B7B"/>
    <w:rsid w:val="004D3577"/>
    <w:rsid w:val="004D720B"/>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2B8F"/>
    <w:rsid w:val="0050779D"/>
    <w:rsid w:val="005139EA"/>
    <w:rsid w:val="00520BBB"/>
    <w:rsid w:val="00524310"/>
    <w:rsid w:val="00525456"/>
    <w:rsid w:val="00530452"/>
    <w:rsid w:val="00532236"/>
    <w:rsid w:val="005338EA"/>
    <w:rsid w:val="00541DFE"/>
    <w:rsid w:val="00543E6C"/>
    <w:rsid w:val="00544184"/>
    <w:rsid w:val="00551789"/>
    <w:rsid w:val="00553F68"/>
    <w:rsid w:val="005552FD"/>
    <w:rsid w:val="005600E5"/>
    <w:rsid w:val="00564E8F"/>
    <w:rsid w:val="005728A4"/>
    <w:rsid w:val="005763FC"/>
    <w:rsid w:val="00576EB4"/>
    <w:rsid w:val="00577B30"/>
    <w:rsid w:val="00582768"/>
    <w:rsid w:val="00583461"/>
    <w:rsid w:val="005856A4"/>
    <w:rsid w:val="00590730"/>
    <w:rsid w:val="0059242D"/>
    <w:rsid w:val="005A3051"/>
    <w:rsid w:val="005A53B8"/>
    <w:rsid w:val="005A53FE"/>
    <w:rsid w:val="005B7D22"/>
    <w:rsid w:val="005C029E"/>
    <w:rsid w:val="005E085D"/>
    <w:rsid w:val="005E3FA7"/>
    <w:rsid w:val="005E7963"/>
    <w:rsid w:val="005F218C"/>
    <w:rsid w:val="005F4523"/>
    <w:rsid w:val="00601D4D"/>
    <w:rsid w:val="006021B4"/>
    <w:rsid w:val="00605B5B"/>
    <w:rsid w:val="006062D8"/>
    <w:rsid w:val="00606827"/>
    <w:rsid w:val="00606C23"/>
    <w:rsid w:val="00616AC7"/>
    <w:rsid w:val="00620262"/>
    <w:rsid w:val="00621B4C"/>
    <w:rsid w:val="00627C52"/>
    <w:rsid w:val="00630937"/>
    <w:rsid w:val="00653B84"/>
    <w:rsid w:val="00653E0D"/>
    <w:rsid w:val="006865C8"/>
    <w:rsid w:val="00686B48"/>
    <w:rsid w:val="00687038"/>
    <w:rsid w:val="0068714E"/>
    <w:rsid w:val="006872F5"/>
    <w:rsid w:val="006929F7"/>
    <w:rsid w:val="0069374A"/>
    <w:rsid w:val="00694AB8"/>
    <w:rsid w:val="0069598B"/>
    <w:rsid w:val="00695EF7"/>
    <w:rsid w:val="0069699D"/>
    <w:rsid w:val="006A1163"/>
    <w:rsid w:val="006A767A"/>
    <w:rsid w:val="006B2C51"/>
    <w:rsid w:val="006B6361"/>
    <w:rsid w:val="006D24CE"/>
    <w:rsid w:val="006D360C"/>
    <w:rsid w:val="006D5259"/>
    <w:rsid w:val="006D5AC9"/>
    <w:rsid w:val="006D66ED"/>
    <w:rsid w:val="006D72A3"/>
    <w:rsid w:val="006E786B"/>
    <w:rsid w:val="006F3E0E"/>
    <w:rsid w:val="007002B1"/>
    <w:rsid w:val="00704EB7"/>
    <w:rsid w:val="00705742"/>
    <w:rsid w:val="007104FE"/>
    <w:rsid w:val="00711B0C"/>
    <w:rsid w:val="007121A2"/>
    <w:rsid w:val="00713981"/>
    <w:rsid w:val="007176D6"/>
    <w:rsid w:val="00727D54"/>
    <w:rsid w:val="00731EF2"/>
    <w:rsid w:val="007344C5"/>
    <w:rsid w:val="00734959"/>
    <w:rsid w:val="00735137"/>
    <w:rsid w:val="0073520D"/>
    <w:rsid w:val="00780226"/>
    <w:rsid w:val="00781AB4"/>
    <w:rsid w:val="007923B7"/>
    <w:rsid w:val="00792616"/>
    <w:rsid w:val="007926BB"/>
    <w:rsid w:val="0079344C"/>
    <w:rsid w:val="007968AE"/>
    <w:rsid w:val="007A0283"/>
    <w:rsid w:val="007C02C7"/>
    <w:rsid w:val="007C21EE"/>
    <w:rsid w:val="007D3A2E"/>
    <w:rsid w:val="007D6652"/>
    <w:rsid w:val="007E343D"/>
    <w:rsid w:val="007E371F"/>
    <w:rsid w:val="007F4383"/>
    <w:rsid w:val="007F5858"/>
    <w:rsid w:val="007F6862"/>
    <w:rsid w:val="00801601"/>
    <w:rsid w:val="0080169A"/>
    <w:rsid w:val="008036A7"/>
    <w:rsid w:val="00810991"/>
    <w:rsid w:val="008131D6"/>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669BE"/>
    <w:rsid w:val="00876275"/>
    <w:rsid w:val="00882B99"/>
    <w:rsid w:val="00886121"/>
    <w:rsid w:val="008A295B"/>
    <w:rsid w:val="008A5B97"/>
    <w:rsid w:val="008A6604"/>
    <w:rsid w:val="008A70A6"/>
    <w:rsid w:val="008B1C73"/>
    <w:rsid w:val="008B5482"/>
    <w:rsid w:val="008C11F4"/>
    <w:rsid w:val="008C2B4D"/>
    <w:rsid w:val="008C2BEC"/>
    <w:rsid w:val="008C6523"/>
    <w:rsid w:val="008C6D0E"/>
    <w:rsid w:val="008D09D2"/>
    <w:rsid w:val="008D39C5"/>
    <w:rsid w:val="008E1D89"/>
    <w:rsid w:val="008E3E3E"/>
    <w:rsid w:val="008F5F87"/>
    <w:rsid w:val="00900A34"/>
    <w:rsid w:val="00906132"/>
    <w:rsid w:val="00907073"/>
    <w:rsid w:val="00912C19"/>
    <w:rsid w:val="009208F5"/>
    <w:rsid w:val="00927D51"/>
    <w:rsid w:val="00932272"/>
    <w:rsid w:val="00932862"/>
    <w:rsid w:val="00935D60"/>
    <w:rsid w:val="009447BB"/>
    <w:rsid w:val="00944C48"/>
    <w:rsid w:val="00946335"/>
    <w:rsid w:val="009513C4"/>
    <w:rsid w:val="009528B9"/>
    <w:rsid w:val="0095401F"/>
    <w:rsid w:val="00955E55"/>
    <w:rsid w:val="00962200"/>
    <w:rsid w:val="00966F54"/>
    <w:rsid w:val="00975E61"/>
    <w:rsid w:val="00976E31"/>
    <w:rsid w:val="00977C63"/>
    <w:rsid w:val="00980087"/>
    <w:rsid w:val="00980C0B"/>
    <w:rsid w:val="0098524F"/>
    <w:rsid w:val="00987ABE"/>
    <w:rsid w:val="009906C7"/>
    <w:rsid w:val="009963CD"/>
    <w:rsid w:val="009A632B"/>
    <w:rsid w:val="009B1EDF"/>
    <w:rsid w:val="009B266D"/>
    <w:rsid w:val="009B5CBF"/>
    <w:rsid w:val="009C184A"/>
    <w:rsid w:val="009C2CA5"/>
    <w:rsid w:val="009D1A48"/>
    <w:rsid w:val="009D3E45"/>
    <w:rsid w:val="009D4AA8"/>
    <w:rsid w:val="009E4235"/>
    <w:rsid w:val="009F351F"/>
    <w:rsid w:val="009F3F89"/>
    <w:rsid w:val="009F44F0"/>
    <w:rsid w:val="009F480E"/>
    <w:rsid w:val="009F4C1B"/>
    <w:rsid w:val="00A01FB2"/>
    <w:rsid w:val="00A022A2"/>
    <w:rsid w:val="00A02D15"/>
    <w:rsid w:val="00A11403"/>
    <w:rsid w:val="00A26170"/>
    <w:rsid w:val="00A26B0D"/>
    <w:rsid w:val="00A3735A"/>
    <w:rsid w:val="00A42F1B"/>
    <w:rsid w:val="00A44EBE"/>
    <w:rsid w:val="00A546BC"/>
    <w:rsid w:val="00A55989"/>
    <w:rsid w:val="00A5694A"/>
    <w:rsid w:val="00A63DA4"/>
    <w:rsid w:val="00A73A66"/>
    <w:rsid w:val="00A75CD5"/>
    <w:rsid w:val="00A763D5"/>
    <w:rsid w:val="00A83DF3"/>
    <w:rsid w:val="00A85915"/>
    <w:rsid w:val="00A86270"/>
    <w:rsid w:val="00A952AB"/>
    <w:rsid w:val="00A9783D"/>
    <w:rsid w:val="00AA45E6"/>
    <w:rsid w:val="00AA5A37"/>
    <w:rsid w:val="00AB29BA"/>
    <w:rsid w:val="00AB489C"/>
    <w:rsid w:val="00AB50C1"/>
    <w:rsid w:val="00AB67CA"/>
    <w:rsid w:val="00AB6936"/>
    <w:rsid w:val="00AC0B28"/>
    <w:rsid w:val="00AC0C3B"/>
    <w:rsid w:val="00AC25AF"/>
    <w:rsid w:val="00AC2D63"/>
    <w:rsid w:val="00AD03D8"/>
    <w:rsid w:val="00AD0711"/>
    <w:rsid w:val="00AD704E"/>
    <w:rsid w:val="00AE5FE0"/>
    <w:rsid w:val="00AE60B7"/>
    <w:rsid w:val="00AF2AB7"/>
    <w:rsid w:val="00AF2B1C"/>
    <w:rsid w:val="00AF4D3F"/>
    <w:rsid w:val="00B0300B"/>
    <w:rsid w:val="00B05457"/>
    <w:rsid w:val="00B057F5"/>
    <w:rsid w:val="00B07AA7"/>
    <w:rsid w:val="00B126CB"/>
    <w:rsid w:val="00B128A0"/>
    <w:rsid w:val="00B20240"/>
    <w:rsid w:val="00B23281"/>
    <w:rsid w:val="00B27571"/>
    <w:rsid w:val="00B4164B"/>
    <w:rsid w:val="00B508A6"/>
    <w:rsid w:val="00B5409A"/>
    <w:rsid w:val="00B550AB"/>
    <w:rsid w:val="00B55574"/>
    <w:rsid w:val="00B6525D"/>
    <w:rsid w:val="00B65ABA"/>
    <w:rsid w:val="00B67097"/>
    <w:rsid w:val="00B6790F"/>
    <w:rsid w:val="00B7021C"/>
    <w:rsid w:val="00B71B3B"/>
    <w:rsid w:val="00B742B9"/>
    <w:rsid w:val="00B853DB"/>
    <w:rsid w:val="00B87D61"/>
    <w:rsid w:val="00B93948"/>
    <w:rsid w:val="00B93B5B"/>
    <w:rsid w:val="00BA4BC7"/>
    <w:rsid w:val="00BA55B7"/>
    <w:rsid w:val="00BA5E47"/>
    <w:rsid w:val="00BA7D57"/>
    <w:rsid w:val="00BB156E"/>
    <w:rsid w:val="00BB3330"/>
    <w:rsid w:val="00BB47D7"/>
    <w:rsid w:val="00BB4A62"/>
    <w:rsid w:val="00BC01C1"/>
    <w:rsid w:val="00BC45A1"/>
    <w:rsid w:val="00BC5A34"/>
    <w:rsid w:val="00BD17F5"/>
    <w:rsid w:val="00BD6E05"/>
    <w:rsid w:val="00BE54D0"/>
    <w:rsid w:val="00BF6B6C"/>
    <w:rsid w:val="00BF7251"/>
    <w:rsid w:val="00BF7F28"/>
    <w:rsid w:val="00C01909"/>
    <w:rsid w:val="00C05787"/>
    <w:rsid w:val="00C11871"/>
    <w:rsid w:val="00C13059"/>
    <w:rsid w:val="00C156D4"/>
    <w:rsid w:val="00C167A3"/>
    <w:rsid w:val="00C2181C"/>
    <w:rsid w:val="00C2657D"/>
    <w:rsid w:val="00C26A87"/>
    <w:rsid w:val="00C3745D"/>
    <w:rsid w:val="00C416E1"/>
    <w:rsid w:val="00C47BF8"/>
    <w:rsid w:val="00C51B1C"/>
    <w:rsid w:val="00C53DCE"/>
    <w:rsid w:val="00C655F2"/>
    <w:rsid w:val="00C65B4C"/>
    <w:rsid w:val="00C65B61"/>
    <w:rsid w:val="00C70E53"/>
    <w:rsid w:val="00C71A14"/>
    <w:rsid w:val="00C72979"/>
    <w:rsid w:val="00C81529"/>
    <w:rsid w:val="00C81BA6"/>
    <w:rsid w:val="00C81C90"/>
    <w:rsid w:val="00C8344E"/>
    <w:rsid w:val="00C8377C"/>
    <w:rsid w:val="00C862EC"/>
    <w:rsid w:val="00C877CD"/>
    <w:rsid w:val="00C902E9"/>
    <w:rsid w:val="00C908B7"/>
    <w:rsid w:val="00C91D81"/>
    <w:rsid w:val="00C92A42"/>
    <w:rsid w:val="00CA18F2"/>
    <w:rsid w:val="00CA4871"/>
    <w:rsid w:val="00CA6722"/>
    <w:rsid w:val="00CA6D4E"/>
    <w:rsid w:val="00CA7B4B"/>
    <w:rsid w:val="00CB36A8"/>
    <w:rsid w:val="00CB4FC7"/>
    <w:rsid w:val="00CC139A"/>
    <w:rsid w:val="00CC1E7A"/>
    <w:rsid w:val="00CC2716"/>
    <w:rsid w:val="00CC46FE"/>
    <w:rsid w:val="00CC4F64"/>
    <w:rsid w:val="00CD058C"/>
    <w:rsid w:val="00CD3B98"/>
    <w:rsid w:val="00CD4216"/>
    <w:rsid w:val="00CD518C"/>
    <w:rsid w:val="00CD6381"/>
    <w:rsid w:val="00CD733F"/>
    <w:rsid w:val="00CD7C65"/>
    <w:rsid w:val="00CE0942"/>
    <w:rsid w:val="00CE7CA5"/>
    <w:rsid w:val="00CF1117"/>
    <w:rsid w:val="00CF1D81"/>
    <w:rsid w:val="00CF2DC9"/>
    <w:rsid w:val="00CF7CB6"/>
    <w:rsid w:val="00D035CB"/>
    <w:rsid w:val="00D20628"/>
    <w:rsid w:val="00D311AB"/>
    <w:rsid w:val="00D32290"/>
    <w:rsid w:val="00D325A8"/>
    <w:rsid w:val="00D442AD"/>
    <w:rsid w:val="00D5618A"/>
    <w:rsid w:val="00D5784B"/>
    <w:rsid w:val="00D63EFB"/>
    <w:rsid w:val="00D658AF"/>
    <w:rsid w:val="00D70A79"/>
    <w:rsid w:val="00D83DE9"/>
    <w:rsid w:val="00D8450D"/>
    <w:rsid w:val="00D95AF9"/>
    <w:rsid w:val="00DA09C9"/>
    <w:rsid w:val="00DA1822"/>
    <w:rsid w:val="00DB5E1F"/>
    <w:rsid w:val="00DC19D8"/>
    <w:rsid w:val="00DC2613"/>
    <w:rsid w:val="00DC4512"/>
    <w:rsid w:val="00DD3691"/>
    <w:rsid w:val="00DD4B55"/>
    <w:rsid w:val="00DE1E90"/>
    <w:rsid w:val="00DE24E6"/>
    <w:rsid w:val="00DE5C8A"/>
    <w:rsid w:val="00DE7B07"/>
    <w:rsid w:val="00DF07AD"/>
    <w:rsid w:val="00DF3364"/>
    <w:rsid w:val="00E0374E"/>
    <w:rsid w:val="00E055BB"/>
    <w:rsid w:val="00E10182"/>
    <w:rsid w:val="00E10950"/>
    <w:rsid w:val="00E11988"/>
    <w:rsid w:val="00E15DA9"/>
    <w:rsid w:val="00E2095D"/>
    <w:rsid w:val="00E30414"/>
    <w:rsid w:val="00E40769"/>
    <w:rsid w:val="00E42E8B"/>
    <w:rsid w:val="00E60F12"/>
    <w:rsid w:val="00E645ED"/>
    <w:rsid w:val="00E652FB"/>
    <w:rsid w:val="00E66C20"/>
    <w:rsid w:val="00E713A8"/>
    <w:rsid w:val="00E71C46"/>
    <w:rsid w:val="00E731B7"/>
    <w:rsid w:val="00E75ED2"/>
    <w:rsid w:val="00E8280C"/>
    <w:rsid w:val="00E83E4C"/>
    <w:rsid w:val="00E9076B"/>
    <w:rsid w:val="00E91933"/>
    <w:rsid w:val="00E92A81"/>
    <w:rsid w:val="00E969B1"/>
    <w:rsid w:val="00E97405"/>
    <w:rsid w:val="00EA44EB"/>
    <w:rsid w:val="00EB6552"/>
    <w:rsid w:val="00EC18E6"/>
    <w:rsid w:val="00EC1984"/>
    <w:rsid w:val="00EC234C"/>
    <w:rsid w:val="00ED3529"/>
    <w:rsid w:val="00ED4D17"/>
    <w:rsid w:val="00EE6CD3"/>
    <w:rsid w:val="00EF20D7"/>
    <w:rsid w:val="00EF3419"/>
    <w:rsid w:val="00EF55D0"/>
    <w:rsid w:val="00F0119C"/>
    <w:rsid w:val="00F02BDB"/>
    <w:rsid w:val="00F0441B"/>
    <w:rsid w:val="00F07623"/>
    <w:rsid w:val="00F07D0B"/>
    <w:rsid w:val="00F2073E"/>
    <w:rsid w:val="00F3136B"/>
    <w:rsid w:val="00F314F1"/>
    <w:rsid w:val="00F327EA"/>
    <w:rsid w:val="00F33641"/>
    <w:rsid w:val="00F35D1B"/>
    <w:rsid w:val="00F42842"/>
    <w:rsid w:val="00F43EE0"/>
    <w:rsid w:val="00F46E40"/>
    <w:rsid w:val="00F4760A"/>
    <w:rsid w:val="00F529FE"/>
    <w:rsid w:val="00F52B8E"/>
    <w:rsid w:val="00F53CFD"/>
    <w:rsid w:val="00F54AF5"/>
    <w:rsid w:val="00F557E3"/>
    <w:rsid w:val="00F61E78"/>
    <w:rsid w:val="00F635C5"/>
    <w:rsid w:val="00F736E3"/>
    <w:rsid w:val="00F767E8"/>
    <w:rsid w:val="00F76A0D"/>
    <w:rsid w:val="00F86A3F"/>
    <w:rsid w:val="00F91297"/>
    <w:rsid w:val="00F9133B"/>
    <w:rsid w:val="00F97730"/>
    <w:rsid w:val="00FB0124"/>
    <w:rsid w:val="00FB32A4"/>
    <w:rsid w:val="00FB594D"/>
    <w:rsid w:val="00FC36AA"/>
    <w:rsid w:val="00FC49BB"/>
    <w:rsid w:val="00FD616B"/>
    <w:rsid w:val="00FE367F"/>
    <w:rsid w:val="00FF29DC"/>
    <w:rsid w:val="00FF5A2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7670A68"/>
  <w15:docId w15:val="{E5B03748-BA5C-49F9-8974-7A95C04F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29"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31" w:qFormat="1"/>
    <w:lsdException w:name="Intense Reference" w:semiHidden="1" w:uiPriority="32"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0055C9"/>
    <w:rPr>
      <w:rFonts w:ascii="Cambria" w:hAnsi="Cambria"/>
      <w:lang w:eastAsia="en-US"/>
    </w:rPr>
  </w:style>
  <w:style w:type="paragraph" w:styleId="Heading1">
    <w:name w:val="heading 1"/>
    <w:next w:val="DHHSbody"/>
    <w:link w:val="Heading1Char"/>
    <w:uiPriority w:val="1"/>
    <w:qFormat/>
    <w:rsid w:val="000055C9"/>
    <w:pPr>
      <w:keepNext/>
      <w:keepLines/>
      <w:spacing w:before="520" w:after="440" w:line="440" w:lineRule="atLeast"/>
      <w:outlineLvl w:val="0"/>
    </w:pPr>
    <w:rPr>
      <w:rFonts w:ascii="Arial" w:hAnsi="Arial"/>
      <w:bCs/>
      <w:color w:val="53565A"/>
      <w:sz w:val="44"/>
      <w:szCs w:val="44"/>
      <w:lang w:eastAsia="en-US"/>
    </w:rPr>
  </w:style>
  <w:style w:type="paragraph" w:styleId="Heading2">
    <w:name w:val="heading 2"/>
    <w:next w:val="DHHSbody"/>
    <w:link w:val="Heading2Char"/>
    <w:uiPriority w:val="1"/>
    <w:qFormat/>
    <w:rsid w:val="000055C9"/>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055C9"/>
    <w:rPr>
      <w:rFonts w:ascii="Arial" w:hAnsi="Arial"/>
      <w:bCs/>
      <w:color w:val="53565A"/>
      <w:sz w:val="44"/>
      <w:szCs w:val="44"/>
      <w:lang w:eastAsia="en-US"/>
    </w:rPr>
  </w:style>
  <w:style w:type="character" w:customStyle="1" w:styleId="Heading2Char">
    <w:name w:val="Heading 2 Char"/>
    <w:link w:val="Heading2"/>
    <w:uiPriority w:val="1"/>
    <w:rsid w:val="000055C9"/>
    <w:rPr>
      <w:rFonts w:ascii="Arial" w:hAnsi="Arial"/>
      <w:b/>
      <w:color w:val="53565A"/>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7F6862"/>
    <w:rPr>
      <w:color w:val="87189D"/>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DE7B0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0055C9"/>
    <w:pPr>
      <w:keepLines/>
      <w:spacing w:after="240" w:line="580" w:lineRule="atLeast"/>
    </w:pPr>
    <w:rPr>
      <w:rFonts w:ascii="Arial" w:hAnsi="Arial"/>
      <w:color w:val="53565A"/>
      <w:sz w:val="50"/>
      <w:szCs w:val="24"/>
      <w:lang w:eastAsia="en-US"/>
    </w:rPr>
  </w:style>
  <w:style w:type="paragraph" w:styleId="FootnoteText">
    <w:name w:val="footnote text"/>
    <w:basedOn w:val="Normal"/>
    <w:link w:val="FootnoteTextChar"/>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DE7B07"/>
    <w:pPr>
      <w:keepNext/>
      <w:keepLines/>
      <w:tabs>
        <w:tab w:val="right" w:leader="dot" w:pos="9299"/>
      </w:tabs>
      <w:spacing w:before="160" w:after="60" w:line="270" w:lineRule="atLeast"/>
    </w:pPr>
    <w:rPr>
      <w:rFonts w:ascii="Arial" w:hAnsi="Arial"/>
      <w:b/>
      <w:noProof/>
    </w:rPr>
  </w:style>
  <w:style w:type="paragraph" w:styleId="TOC2">
    <w:name w:val="toc 2"/>
    <w:basedOn w:val="Normal"/>
    <w:next w:val="Normal"/>
    <w:uiPriority w:val="39"/>
    <w:rsid w:val="00DE7B07"/>
    <w:pPr>
      <w:keepNext/>
      <w:keepLines/>
      <w:tabs>
        <w:tab w:val="right" w:leader="dot" w:pos="9299"/>
      </w:tabs>
      <w:spacing w:after="60" w:line="270" w:lineRule="atLeast"/>
    </w:pPr>
    <w:rPr>
      <w:rFonts w:ascii="Arial" w:hAnsi="Arial"/>
      <w:noProof/>
    </w:rPr>
  </w:style>
  <w:style w:type="paragraph" w:styleId="TOC3">
    <w:name w:val="toc 3"/>
    <w:basedOn w:val="Normal"/>
    <w:next w:val="Normal"/>
    <w:uiPriority w:val="39"/>
    <w:rsid w:val="00DE7B07"/>
    <w:pPr>
      <w:keepLines/>
      <w:tabs>
        <w:tab w:val="right" w:leader="dot" w:pos="9299"/>
      </w:tabs>
      <w:spacing w:after="60" w:line="270" w:lineRule="atLeast"/>
      <w:ind w:left="284"/>
    </w:pPr>
    <w:rPr>
      <w:rFonts w:ascii="Arial" w:hAnsi="Arial" w:cs="Arial"/>
    </w:rPr>
  </w:style>
  <w:style w:type="paragraph" w:styleId="TOC4">
    <w:name w:val="toc 4"/>
    <w:basedOn w:val="TOC3"/>
    <w:uiPriority w:val="39"/>
    <w:rsid w:val="00B126CB"/>
    <w:pPr>
      <w:ind w:left="567"/>
    </w:pPr>
  </w:style>
  <w:style w:type="paragraph" w:styleId="TOC5">
    <w:name w:val="toc 5"/>
    <w:basedOn w:val="TOC4"/>
    <w:rsid w:val="00B126CB"/>
    <w:pPr>
      <w:ind w:left="851"/>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cover">
    <w:name w:val="DHHS report main title cover"/>
    <w:uiPriority w:val="4"/>
    <w:rsid w:val="000055C9"/>
    <w:pPr>
      <w:keepLines/>
      <w:spacing w:after="240" w:line="580" w:lineRule="atLeast"/>
    </w:pPr>
    <w:rPr>
      <w:rFonts w:ascii="Arial" w:hAnsi="Arial"/>
      <w:bCs/>
      <w:color w:val="53565A"/>
      <w:sz w:val="50"/>
      <w:szCs w:val="50"/>
      <w:lang w:eastAsia="en-US"/>
    </w:rPr>
  </w:style>
  <w:style w:type="paragraph" w:customStyle="1" w:styleId="DHHSreportsubtitlecover">
    <w:name w:val="DHHS report subtitle cover"/>
    <w:uiPriority w:val="4"/>
    <w:rsid w:val="000055C9"/>
    <w:pPr>
      <w:spacing w:after="120" w:line="380" w:lineRule="atLeast"/>
    </w:pPr>
    <w:rPr>
      <w:rFonts w:ascii="Arial" w:hAnsi="Arial"/>
      <w:bCs/>
      <w:color w:val="53565A"/>
      <w:sz w:val="30"/>
      <w:szCs w:val="30"/>
      <w:lang w:eastAsia="en-US"/>
    </w:rPr>
  </w:style>
  <w:style w:type="paragraph" w:customStyle="1" w:styleId="Coverinstructions">
    <w:name w:val="Cover instructions"/>
    <w:rsid w:val="000055C9"/>
    <w:pPr>
      <w:spacing w:after="200" w:line="320" w:lineRule="atLeast"/>
    </w:pPr>
    <w:rPr>
      <w:rFonts w:ascii="Arial" w:hAnsi="Arial"/>
      <w:color w:val="53565A"/>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7F5858"/>
    <w:pPr>
      <w:numPr>
        <w:numId w:val="2"/>
      </w:numPr>
      <w:spacing w:after="40"/>
    </w:pPr>
  </w:style>
  <w:style w:type="paragraph" w:customStyle="1" w:styleId="DHHSnumberloweralpha">
    <w:name w:val="DHHS number lower alpha"/>
    <w:basedOn w:val="DHHSbody"/>
    <w:uiPriority w:val="3"/>
    <w:rsid w:val="008669BE"/>
    <w:pPr>
      <w:numPr>
        <w:numId w:val="31"/>
      </w:numPr>
    </w:pPr>
  </w:style>
  <w:style w:type="paragraph" w:customStyle="1" w:styleId="DHHSnumberloweralphaindent">
    <w:name w:val="DHHS number lower alpha indent"/>
    <w:basedOn w:val="DHHSbody"/>
    <w:uiPriority w:val="3"/>
    <w:rsid w:val="008669BE"/>
    <w:pPr>
      <w:numPr>
        <w:ilvl w:val="1"/>
        <w:numId w:val="31"/>
      </w:numPr>
    </w:pPr>
  </w:style>
  <w:style w:type="paragraph" w:customStyle="1" w:styleId="DHHStablefigurenote">
    <w:name w:val="DHHS table/figure note"/>
    <w:uiPriority w:val="4"/>
    <w:rsid w:val="008A5B97"/>
    <w:pPr>
      <w:spacing w:before="60" w:after="60" w:line="240" w:lineRule="exact"/>
    </w:pPr>
    <w:rPr>
      <w:rFonts w:ascii="Arial" w:hAnsi="Arial"/>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7F5858"/>
    <w:pPr>
      <w:numPr>
        <w:ilvl w:val="1"/>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8669BE"/>
    <w:pPr>
      <w:numPr>
        <w:numId w:val="17"/>
      </w:numPr>
    </w:pPr>
  </w:style>
  <w:style w:type="paragraph" w:customStyle="1" w:styleId="DHHStablecolhead">
    <w:name w:val="DHHS table col head"/>
    <w:uiPriority w:val="3"/>
    <w:qFormat/>
    <w:rsid w:val="000055C9"/>
    <w:pPr>
      <w:spacing w:before="80" w:after="60"/>
    </w:pPr>
    <w:rPr>
      <w:rFonts w:ascii="Arial" w:hAnsi="Arial"/>
      <w:b/>
      <w:color w:val="53565A"/>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TOCheadingreport">
    <w:name w:val="DHHS TOC heading report"/>
    <w:basedOn w:val="Heading1"/>
    <w:link w:val="DHHSTOCheadingreportChar"/>
    <w:uiPriority w:val="5"/>
    <w:rsid w:val="00E0374E"/>
    <w:pPr>
      <w:spacing w:before="0"/>
      <w:outlineLvl w:val="9"/>
    </w:pPr>
  </w:style>
  <w:style w:type="character" w:customStyle="1" w:styleId="DHHSTOCheadingreportChar">
    <w:name w:val="DHHS TOC heading report Char"/>
    <w:link w:val="DHHSTOCheadingreport"/>
    <w:uiPriority w:val="5"/>
    <w:rsid w:val="00E0374E"/>
    <w:rPr>
      <w:rFonts w:ascii="Arial" w:hAnsi="Arial"/>
      <w:bCs/>
      <w:color w:val="C5511A"/>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7F5858"/>
    <w:pPr>
      <w:numPr>
        <w:numId w:val="2"/>
      </w:numPr>
    </w:pPr>
  </w:style>
  <w:style w:type="paragraph" w:customStyle="1" w:styleId="DHHSnumberlowerroman">
    <w:name w:val="DHHS number lower roman"/>
    <w:basedOn w:val="DHHSbody"/>
    <w:uiPriority w:val="3"/>
    <w:rsid w:val="008669BE"/>
    <w:pPr>
      <w:numPr>
        <w:numId w:val="33"/>
      </w:numPr>
    </w:pPr>
  </w:style>
  <w:style w:type="paragraph" w:customStyle="1" w:styleId="DHHSnumberlowerromanindent">
    <w:name w:val="DHHS number lower roman indent"/>
    <w:basedOn w:val="DHHSbody"/>
    <w:uiPriority w:val="3"/>
    <w:rsid w:val="008669BE"/>
    <w:pPr>
      <w:numPr>
        <w:ilvl w:val="1"/>
        <w:numId w:val="33"/>
      </w:numPr>
    </w:pPr>
  </w:style>
  <w:style w:type="paragraph" w:customStyle="1" w:styleId="DHHSnumberdigitindent">
    <w:name w:val="DHHS number digit indent"/>
    <w:basedOn w:val="DHHSnumberloweralphaindent"/>
    <w:uiPriority w:val="3"/>
    <w:rsid w:val="000055C9"/>
    <w:pPr>
      <w:numPr>
        <w:numId w:val="17"/>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bullets">
    <w:name w:val="DHHS body after bullets"/>
    <w:basedOn w:val="DHHSbody"/>
    <w:uiPriority w:val="11"/>
    <w:rsid w:val="008669BE"/>
    <w:pPr>
      <w:spacing w:before="120"/>
    </w:pPr>
  </w:style>
  <w:style w:type="paragraph" w:customStyle="1" w:styleId="DHHSbulletafternumbers1">
    <w:name w:val="DHHS bullet after numbers 1"/>
    <w:basedOn w:val="DHHSbody"/>
    <w:uiPriority w:val="4"/>
    <w:rsid w:val="000055C9"/>
    <w:pPr>
      <w:numPr>
        <w:ilvl w:val="2"/>
        <w:numId w:val="17"/>
      </w:numPr>
    </w:pPr>
  </w:style>
  <w:style w:type="paragraph" w:customStyle="1" w:styleId="DHHSbulletafternumbers2">
    <w:name w:val="DHHS bullet after numbers 2"/>
    <w:basedOn w:val="DHHSbody"/>
    <w:rsid w:val="000055C9"/>
    <w:pPr>
      <w:numPr>
        <w:ilvl w:val="3"/>
        <w:numId w:val="17"/>
      </w:numPr>
    </w:pPr>
  </w:style>
  <w:style w:type="paragraph" w:customStyle="1" w:styleId="DHHSquotebullet1">
    <w:name w:val="DHHS quote bullet 1"/>
    <w:basedOn w:val="DHHSquote"/>
    <w:rsid w:val="008669BE"/>
    <w:pPr>
      <w:numPr>
        <w:numId w:val="32"/>
      </w:numPr>
    </w:pPr>
  </w:style>
  <w:style w:type="paragraph" w:customStyle="1" w:styleId="DHHSquotebullet2">
    <w:name w:val="DHHS quote bullet 2"/>
    <w:basedOn w:val="DHHSquote"/>
    <w:rsid w:val="008669BE"/>
    <w:pPr>
      <w:numPr>
        <w:ilvl w:val="1"/>
        <w:numId w:val="32"/>
      </w:numPr>
    </w:pPr>
  </w:style>
  <w:style w:type="paragraph" w:customStyle="1" w:styleId="DHHStablebullet1">
    <w:name w:val="DHHS table bullet 1"/>
    <w:basedOn w:val="DHHStabletext"/>
    <w:uiPriority w:val="3"/>
    <w:qFormat/>
    <w:rsid w:val="008669BE"/>
    <w:pPr>
      <w:numPr>
        <w:numId w:val="34"/>
      </w:numPr>
    </w:pPr>
  </w:style>
  <w:style w:type="paragraph" w:customStyle="1" w:styleId="DHHStablebullet2">
    <w:name w:val="DHHS table bullet 2"/>
    <w:basedOn w:val="DHHStabletext"/>
    <w:uiPriority w:val="11"/>
    <w:rsid w:val="008669BE"/>
    <w:pPr>
      <w:numPr>
        <w:ilvl w:val="1"/>
        <w:numId w:val="34"/>
      </w:numPr>
    </w:pPr>
  </w:style>
  <w:style w:type="numbering" w:customStyle="1" w:styleId="ZZNumbersdigit">
    <w:name w:val="ZZ Numbers digit"/>
    <w:rsid w:val="000055C9"/>
    <w:pPr>
      <w:numPr>
        <w:numId w:val="17"/>
      </w:numPr>
    </w:pPr>
  </w:style>
  <w:style w:type="numbering" w:customStyle="1" w:styleId="ZZNumbersloweralpha">
    <w:name w:val="ZZ Numbers lower alpha"/>
    <w:basedOn w:val="NoList"/>
    <w:rsid w:val="008669BE"/>
    <w:pPr>
      <w:numPr>
        <w:numId w:val="20"/>
      </w:numPr>
    </w:pPr>
  </w:style>
  <w:style w:type="numbering" w:customStyle="1" w:styleId="ZZQuotebullets">
    <w:name w:val="ZZ Quote bullets"/>
    <w:basedOn w:val="ZZNumbersdigit"/>
    <w:rsid w:val="008669BE"/>
    <w:pPr>
      <w:numPr>
        <w:numId w:val="25"/>
      </w:numPr>
    </w:pPr>
  </w:style>
  <w:style w:type="numbering" w:customStyle="1" w:styleId="ZZNumberslowerroman">
    <w:name w:val="ZZ Numbers lower roman"/>
    <w:basedOn w:val="ZZQuotebullets"/>
    <w:rsid w:val="008669BE"/>
    <w:pPr>
      <w:numPr>
        <w:numId w:val="23"/>
      </w:numPr>
    </w:pPr>
  </w:style>
  <w:style w:type="numbering" w:customStyle="1" w:styleId="ZZTablebullets">
    <w:name w:val="ZZ Table bullets"/>
    <w:basedOn w:val="NoList"/>
    <w:rsid w:val="008669BE"/>
    <w:pPr>
      <w:numPr>
        <w:numId w:val="27"/>
      </w:numPr>
    </w:pPr>
  </w:style>
  <w:style w:type="paragraph" w:styleId="BalloonText">
    <w:name w:val="Balloon Text"/>
    <w:basedOn w:val="Normal"/>
    <w:link w:val="BalloonTextChar"/>
    <w:uiPriority w:val="99"/>
    <w:semiHidden/>
    <w:unhideWhenUsed/>
    <w:rsid w:val="002E6F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FA"/>
    <w:rPr>
      <w:rFonts w:ascii="Segoe UI" w:hAnsi="Segoe UI" w:cs="Segoe UI"/>
      <w:sz w:val="18"/>
      <w:szCs w:val="18"/>
      <w:lang w:eastAsia="en-US"/>
    </w:rPr>
  </w:style>
  <w:style w:type="paragraph" w:customStyle="1" w:styleId="DHHStablebullet">
    <w:name w:val="DHHS table bullet"/>
    <w:basedOn w:val="DHHStabletext"/>
    <w:uiPriority w:val="3"/>
    <w:rsid w:val="002E6FFA"/>
    <w:pPr>
      <w:spacing w:line="276" w:lineRule="auto"/>
      <w:ind w:left="227" w:hanging="227"/>
    </w:pPr>
    <w:rPr>
      <w:rFonts w:eastAsiaTheme="minorHAnsi" w:cstheme="minorBidi"/>
      <w:sz w:val="22"/>
      <w:szCs w:val="22"/>
    </w:rPr>
  </w:style>
  <w:style w:type="paragraph" w:customStyle="1" w:styleId="DHHSbulletindent">
    <w:name w:val="DHHS bullet indent"/>
    <w:basedOn w:val="DHHSbody"/>
    <w:uiPriority w:val="4"/>
    <w:rsid w:val="002E6FFA"/>
    <w:pPr>
      <w:spacing w:after="40"/>
      <w:ind w:left="680" w:hanging="283"/>
    </w:pPr>
    <w:rPr>
      <w:rFonts w:cstheme="minorBidi"/>
      <w:sz w:val="22"/>
      <w:szCs w:val="22"/>
    </w:rPr>
  </w:style>
  <w:style w:type="paragraph" w:customStyle="1" w:styleId="DHHSbullet1lastline">
    <w:name w:val="DHHS bullet 1 last line"/>
    <w:basedOn w:val="DHHSbullet1"/>
    <w:rsid w:val="002E6FFA"/>
    <w:pPr>
      <w:numPr>
        <w:numId w:val="0"/>
      </w:numPr>
      <w:spacing w:after="120"/>
      <w:ind w:left="284" w:hanging="284"/>
    </w:pPr>
    <w:rPr>
      <w:rFonts w:cstheme="minorBidi"/>
      <w:sz w:val="22"/>
      <w:szCs w:val="22"/>
    </w:rPr>
  </w:style>
  <w:style w:type="paragraph" w:customStyle="1" w:styleId="DHHSbullet2lastline">
    <w:name w:val="DHHS bullet 2 last line"/>
    <w:basedOn w:val="DHHSbullet2"/>
    <w:uiPriority w:val="2"/>
    <w:rsid w:val="002E6FFA"/>
    <w:pPr>
      <w:numPr>
        <w:ilvl w:val="0"/>
        <w:numId w:val="0"/>
      </w:numPr>
      <w:spacing w:after="120"/>
      <w:ind w:left="567" w:hanging="283"/>
    </w:pPr>
    <w:rPr>
      <w:rFonts w:cstheme="minorBidi"/>
      <w:sz w:val="22"/>
      <w:szCs w:val="22"/>
    </w:rPr>
  </w:style>
  <w:style w:type="paragraph" w:customStyle="1" w:styleId="DHHSbulletindentlastline">
    <w:name w:val="DHHS bullet indent last line"/>
    <w:basedOn w:val="DHHSbody"/>
    <w:uiPriority w:val="4"/>
    <w:rsid w:val="002E6FFA"/>
    <w:pPr>
      <w:ind w:left="680" w:hanging="283"/>
    </w:pPr>
    <w:rPr>
      <w:rFonts w:cstheme="minorBidi"/>
      <w:sz w:val="22"/>
      <w:szCs w:val="22"/>
    </w:rPr>
  </w:style>
  <w:style w:type="character" w:customStyle="1" w:styleId="DHHSbodyChar">
    <w:name w:val="DHHS body Char"/>
    <w:link w:val="DHHSbody"/>
    <w:locked/>
    <w:rsid w:val="002E6FFA"/>
    <w:rPr>
      <w:rFonts w:ascii="Arial" w:eastAsia="Times" w:hAnsi="Arial"/>
      <w:lang w:eastAsia="en-US"/>
    </w:rPr>
  </w:style>
  <w:style w:type="character" w:customStyle="1" w:styleId="FootnoteTextChar">
    <w:name w:val="Footnote Text Char"/>
    <w:link w:val="FootnoteText"/>
    <w:uiPriority w:val="8"/>
    <w:rsid w:val="002E6FFA"/>
    <w:rPr>
      <w:rFonts w:ascii="Arial" w:eastAsia="MS Gothic" w:hAnsi="Arial" w:cs="Arial"/>
      <w:sz w:val="16"/>
      <w:szCs w:val="16"/>
      <w:lang w:eastAsia="en-US"/>
    </w:rPr>
  </w:style>
  <w:style w:type="character" w:styleId="IntenseReference">
    <w:name w:val="Intense Reference"/>
    <w:uiPriority w:val="32"/>
    <w:qFormat/>
    <w:rsid w:val="002E6FFA"/>
    <w:rPr>
      <w:b/>
      <w:bCs/>
      <w:smallCaps/>
      <w:color w:val="4472C4" w:themeColor="accent1"/>
      <w:spacing w:val="5"/>
    </w:rPr>
  </w:style>
  <w:style w:type="character" w:styleId="CommentReference">
    <w:name w:val="annotation reference"/>
    <w:basedOn w:val="DefaultParagraphFont"/>
    <w:uiPriority w:val="99"/>
    <w:semiHidden/>
    <w:unhideWhenUsed/>
    <w:rsid w:val="002E6FFA"/>
    <w:rPr>
      <w:sz w:val="16"/>
      <w:szCs w:val="16"/>
    </w:rPr>
  </w:style>
  <w:style w:type="paragraph" w:styleId="Quote">
    <w:name w:val="Quote"/>
    <w:basedOn w:val="Normal"/>
    <w:next w:val="Normal"/>
    <w:link w:val="QuoteChar"/>
    <w:uiPriority w:val="29"/>
    <w:qFormat/>
    <w:rsid w:val="00257EEA"/>
    <w:pPr>
      <w:spacing w:before="200" w:after="160" w:line="276" w:lineRule="auto"/>
      <w:ind w:left="864" w:right="864"/>
      <w:jc w:val="center"/>
    </w:pPr>
    <w:rPr>
      <w:rFonts w:ascii="Arial" w:eastAsiaTheme="minorHAnsi" w:hAnsi="Arial" w:cstheme="minorBidi"/>
      <w:i/>
      <w:iCs/>
      <w:color w:val="404040" w:themeColor="text1" w:themeTint="BF"/>
      <w:szCs w:val="22"/>
      <w:lang w:eastAsia="en-AU"/>
    </w:rPr>
  </w:style>
  <w:style w:type="character" w:customStyle="1" w:styleId="QuoteChar">
    <w:name w:val="Quote Char"/>
    <w:basedOn w:val="DefaultParagraphFont"/>
    <w:link w:val="Quote"/>
    <w:uiPriority w:val="29"/>
    <w:rsid w:val="00257EEA"/>
    <w:rPr>
      <w:rFonts w:ascii="Arial" w:eastAsiaTheme="minorHAnsi" w:hAnsi="Arial" w:cstheme="minorBidi"/>
      <w:i/>
      <w:iCs/>
      <w:color w:val="404040" w:themeColor="text1" w:themeTint="BF"/>
      <w:szCs w:val="22"/>
    </w:rPr>
  </w:style>
  <w:style w:type="character" w:styleId="SubtleReference">
    <w:name w:val="Subtle Reference"/>
    <w:uiPriority w:val="31"/>
    <w:qFormat/>
    <w:rsid w:val="002E6FFA"/>
    <w:rPr>
      <w:smallCaps/>
      <w:color w:val="5A5A5A" w:themeColor="text1" w:themeTint="A5"/>
    </w:rPr>
  </w:style>
  <w:style w:type="table" w:styleId="GridTable1Light">
    <w:name w:val="Grid Table 1 Light"/>
    <w:basedOn w:val="TableNormal"/>
    <w:uiPriority w:val="46"/>
    <w:rsid w:val="002E6FFA"/>
    <w:pPr>
      <w:spacing w:after="200" w:line="276" w:lineRule="auto"/>
    </w:pPr>
    <w:rPr>
      <w:rFonts w:asciiTheme="minorHAnsi" w:eastAsiaTheme="minorHAnsi" w:hAnsiTheme="minorHAnsi" w:cstheme="minorBid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F76A0D"/>
  </w:style>
  <w:style w:type="character" w:customStyle="1" w:styleId="CommentTextChar">
    <w:name w:val="Comment Text Char"/>
    <w:basedOn w:val="DefaultParagraphFont"/>
    <w:link w:val="CommentText"/>
    <w:uiPriority w:val="99"/>
    <w:semiHidden/>
    <w:rsid w:val="00F76A0D"/>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F76A0D"/>
    <w:rPr>
      <w:b/>
      <w:bCs/>
    </w:rPr>
  </w:style>
  <w:style w:type="character" w:customStyle="1" w:styleId="CommentSubjectChar">
    <w:name w:val="Comment Subject Char"/>
    <w:basedOn w:val="CommentTextChar"/>
    <w:link w:val="CommentSubject"/>
    <w:uiPriority w:val="99"/>
    <w:semiHidden/>
    <w:rsid w:val="00F76A0D"/>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857175">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7361652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ccyp.vic.gov.au/child-safety/being-a-child-safe-organisation/the-child-safe-stand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3.jpeg"/><Relationship Id="rId28"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roviders.dhhs.vic.gov.au/behaviour-support-plan-template-out-home-care-services"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E1B768F0-7284-4F67-8EAF-874256979972}">
  <ds:schemaRefs>
    <ds:schemaRef ds:uri="http://schemas.openxmlformats.org/officeDocument/2006/bibliography"/>
  </ds:schemaRefs>
</ds:datastoreItem>
</file>

<file path=customXml/itemProps2.xml><?xml version="1.0" encoding="utf-8"?>
<ds:datastoreItem xmlns:ds="http://schemas.openxmlformats.org/officeDocument/2006/customXml" ds:itemID="{9CB419AC-1802-4B13-A5DB-44A8A231FC91}"/>
</file>

<file path=customXml/itemProps3.xml><?xml version="1.0" encoding="utf-8"?>
<ds:datastoreItem xmlns:ds="http://schemas.openxmlformats.org/officeDocument/2006/customXml" ds:itemID="{239F047B-8FAB-437A-B0E4-86452724A7F1}"/>
</file>

<file path=customXml/itemProps4.xml><?xml version="1.0" encoding="utf-8"?>
<ds:datastoreItem xmlns:ds="http://schemas.openxmlformats.org/officeDocument/2006/customXml" ds:itemID="{25F57AA2-2AD0-4B75-A65C-063D84EC7776}"/>
</file>

<file path=docProps/app.xml><?xml version="1.0" encoding="utf-8"?>
<Properties xmlns="http://schemas.openxmlformats.org/officeDocument/2006/extended-properties" xmlns:vt="http://schemas.openxmlformats.org/officeDocument/2006/docPropsVTypes">
  <Template>Normal.dotm</Template>
  <TotalTime>1</TotalTime>
  <Pages>33</Pages>
  <Words>10956</Words>
  <Characters>64873</Characters>
  <Application>Microsoft Office Word</Application>
  <DocSecurity>4</DocSecurity>
  <Lines>540</Lines>
  <Paragraphs>151</Paragraphs>
  <ScaleCrop>false</ScaleCrop>
  <HeadingPairs>
    <vt:vector size="2" baseType="variant">
      <vt:variant>
        <vt:lpstr>Title</vt:lpstr>
      </vt:variant>
      <vt:variant>
        <vt:i4>1</vt:i4>
      </vt:variant>
    </vt:vector>
  </HeadingPairs>
  <TitlesOfParts>
    <vt:vector size="1" baseType="lpstr">
      <vt:lpstr>Framework to reduce the criminalisation of young people in residential care </vt:lpstr>
    </vt:vector>
  </TitlesOfParts>
  <Company>Department of Health and Human Services</Company>
  <LinksUpToDate>false</LinksUpToDate>
  <CharactersWithSpaces>75678</CharactersWithSpaces>
  <SharedDoc>false</SharedDoc>
  <HyperlinkBase/>
  <HLinks>
    <vt:vector size="66" baseType="variant">
      <vt:variant>
        <vt:i4>7864376</vt:i4>
      </vt:variant>
      <vt:variant>
        <vt:i4>54</vt:i4>
      </vt:variant>
      <vt:variant>
        <vt:i4>0</vt:i4>
      </vt:variant>
      <vt:variant>
        <vt:i4>5</vt:i4>
      </vt:variant>
      <vt:variant>
        <vt:lpwstr>https://intranet.dhhs.vic.gov.au/templates-our-visual-style</vt:lpwstr>
      </vt:variant>
      <vt:variant>
        <vt:lpwstr/>
      </vt:variant>
      <vt:variant>
        <vt:i4>1048626</vt:i4>
      </vt:variant>
      <vt:variant>
        <vt:i4>47</vt:i4>
      </vt:variant>
      <vt:variant>
        <vt:i4>0</vt:i4>
      </vt:variant>
      <vt:variant>
        <vt:i4>5</vt:i4>
      </vt:variant>
      <vt:variant>
        <vt:lpwstr/>
      </vt:variant>
      <vt:variant>
        <vt:lpwstr>_Toc442704404</vt:lpwstr>
      </vt:variant>
      <vt:variant>
        <vt:i4>1048626</vt:i4>
      </vt:variant>
      <vt:variant>
        <vt:i4>41</vt:i4>
      </vt:variant>
      <vt:variant>
        <vt:i4>0</vt:i4>
      </vt:variant>
      <vt:variant>
        <vt:i4>5</vt:i4>
      </vt:variant>
      <vt:variant>
        <vt:lpwstr/>
      </vt:variant>
      <vt:variant>
        <vt:lpwstr>_Toc442704403</vt:lpwstr>
      </vt:variant>
      <vt:variant>
        <vt:i4>1048626</vt:i4>
      </vt:variant>
      <vt:variant>
        <vt:i4>35</vt:i4>
      </vt:variant>
      <vt:variant>
        <vt:i4>0</vt:i4>
      </vt:variant>
      <vt:variant>
        <vt:i4>5</vt:i4>
      </vt:variant>
      <vt:variant>
        <vt:lpwstr/>
      </vt:variant>
      <vt:variant>
        <vt:lpwstr>_Toc442704402</vt:lpwstr>
      </vt:variant>
      <vt:variant>
        <vt:i4>1048626</vt:i4>
      </vt:variant>
      <vt:variant>
        <vt:i4>29</vt:i4>
      </vt:variant>
      <vt:variant>
        <vt:i4>0</vt:i4>
      </vt:variant>
      <vt:variant>
        <vt:i4>5</vt:i4>
      </vt:variant>
      <vt:variant>
        <vt:lpwstr/>
      </vt:variant>
      <vt:variant>
        <vt:lpwstr>_Toc442704401</vt:lpwstr>
      </vt:variant>
      <vt:variant>
        <vt:i4>1048626</vt:i4>
      </vt:variant>
      <vt:variant>
        <vt:i4>23</vt:i4>
      </vt:variant>
      <vt:variant>
        <vt:i4>0</vt:i4>
      </vt:variant>
      <vt:variant>
        <vt:i4>5</vt:i4>
      </vt:variant>
      <vt:variant>
        <vt:lpwstr/>
      </vt:variant>
      <vt:variant>
        <vt:lpwstr>_Toc442704400</vt:lpwstr>
      </vt:variant>
      <vt:variant>
        <vt:i4>1638453</vt:i4>
      </vt:variant>
      <vt:variant>
        <vt:i4>17</vt:i4>
      </vt:variant>
      <vt:variant>
        <vt:i4>0</vt:i4>
      </vt:variant>
      <vt:variant>
        <vt:i4>5</vt:i4>
      </vt:variant>
      <vt:variant>
        <vt:lpwstr/>
      </vt:variant>
      <vt:variant>
        <vt:lpwstr>_Toc442704399</vt:lpwstr>
      </vt:variant>
      <vt:variant>
        <vt:i4>1638453</vt:i4>
      </vt:variant>
      <vt:variant>
        <vt:i4>11</vt:i4>
      </vt:variant>
      <vt:variant>
        <vt:i4>0</vt:i4>
      </vt:variant>
      <vt:variant>
        <vt:i4>5</vt:i4>
      </vt:variant>
      <vt:variant>
        <vt:lpwstr/>
      </vt:variant>
      <vt:variant>
        <vt:lpwstr>_Toc442704398</vt:lpwstr>
      </vt:variant>
      <vt:variant>
        <vt:i4>7602296</vt:i4>
      </vt:variant>
      <vt:variant>
        <vt:i4>6</vt:i4>
      </vt:variant>
      <vt:variant>
        <vt:i4>0</vt:i4>
      </vt:variant>
      <vt:variant>
        <vt:i4>5</vt:i4>
      </vt:variant>
      <vt:variant>
        <vt:lpwstr>https://intranet.dhhs.vic.gov.au/graphic-design-process</vt:lpwstr>
      </vt:variant>
      <vt:variant>
        <vt:lpwstr/>
      </vt:variant>
      <vt:variant>
        <vt:i4>7209064</vt:i4>
      </vt:variant>
      <vt:variant>
        <vt:i4>3</vt:i4>
      </vt:variant>
      <vt:variant>
        <vt:i4>0</vt:i4>
      </vt:variant>
      <vt:variant>
        <vt:i4>5</vt:i4>
      </vt:variant>
      <vt:variant>
        <vt:lpwstr>https://intranet.dhhs.vic.gov.au/print-and-distribute-communications-materials</vt:lpwstr>
      </vt:variant>
      <vt:variant>
        <vt:lpwstr/>
      </vt:variant>
      <vt:variant>
        <vt:i4>7143443</vt:i4>
      </vt:variant>
      <vt:variant>
        <vt:i4>0</vt:i4>
      </vt:variant>
      <vt:variant>
        <vt:i4>0</vt:i4>
      </vt:variant>
      <vt:variant>
        <vt:i4>5</vt:i4>
      </vt:variant>
      <vt:variant>
        <vt:lpwstr>http://library.intranet.vic.gov.au/client/en_AU/vglsweb-depi/?rm=ISBN0%7C%7C%7C1%7C%7C%7C0%7C%7C%7Ctrue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to reduce the criminalisation of young people in residential care</dc:title>
  <dc:subject>Framework to reduce the criminalisation of young people in residential care</dc:subject>
  <dc:creator>Children and Families Division</dc:creator>
  <cp:keywords>criminalisation of young people, residential care, Victoria, police protocol</cp:keywords>
  <cp:lastModifiedBy>Sarah Luscombe (DHHS)</cp:lastModifiedBy>
  <cp:revision>2</cp:revision>
  <cp:lastPrinted>2020-02-02T23:24:00Z</cp:lastPrinted>
  <dcterms:created xsi:type="dcterms:W3CDTF">2020-02-12T01:26:00Z</dcterms:created>
  <dcterms:modified xsi:type="dcterms:W3CDTF">2020-02-12T01:26:00Z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