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848B4A9" w14:textId="77777777" w:rsidTr="00E042DB">
        <w:trPr>
          <w:trHeight w:val="1075"/>
        </w:trPr>
        <w:tc>
          <w:tcPr>
            <w:tcW w:w="8101" w:type="dxa"/>
            <w:shd w:val="clear" w:color="auto" w:fill="auto"/>
            <w:vAlign w:val="bottom"/>
          </w:tcPr>
          <w:p w14:paraId="30A65647" w14:textId="77777777" w:rsidR="002B7F49" w:rsidRPr="00DE4E5C" w:rsidRDefault="002B7F49" w:rsidP="00E042DB">
            <w:pPr>
              <w:pStyle w:val="DHHSmainheading"/>
              <w:spacing w:line="270" w:lineRule="atLeast"/>
              <w:rPr>
                <w:sz w:val="44"/>
                <w:szCs w:val="44"/>
              </w:rPr>
            </w:pPr>
            <w:r w:rsidRPr="004C75AE">
              <w:rPr>
                <w:noProof/>
                <w:color w:val="FFFFFF" w:themeColor="background1"/>
                <w:sz w:val="44"/>
                <w:szCs w:val="44"/>
                <w:lang w:eastAsia="en-AU"/>
              </w:rPr>
              <w:drawing>
                <wp:anchor distT="0" distB="0" distL="114300" distR="114300" simplePos="0" relativeHeight="251956224" behindDoc="1" locked="1" layoutInCell="0" allowOverlap="1" wp14:anchorId="00AA7813" wp14:editId="4C32A4BD">
                  <wp:simplePos x="0" y="0"/>
                  <wp:positionH relativeFrom="page">
                    <wp:posOffset>-536575</wp:posOffset>
                  </wp:positionH>
                  <wp:positionV relativeFrom="page">
                    <wp:posOffset>-360045</wp:posOffset>
                  </wp:positionV>
                  <wp:extent cx="7563485" cy="2073275"/>
                  <wp:effectExtent l="0" t="0" r="0" b="3175"/>
                  <wp:wrapNone/>
                  <wp:docPr id="292" name="Picture 29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3275"/>
                          </a:xfrm>
                          <a:prstGeom prst="rect">
                            <a:avLst/>
                          </a:prstGeom>
                          <a:noFill/>
                        </pic:spPr>
                      </pic:pic>
                    </a:graphicData>
                  </a:graphic>
                  <wp14:sizeRelH relativeFrom="page">
                    <wp14:pctWidth>0</wp14:pctWidth>
                  </wp14:sizeRelH>
                  <wp14:sizeRelV relativeFrom="page">
                    <wp14:pctHeight>0</wp14:pctHeight>
                  </wp14:sizeRelV>
                </wp:anchor>
              </w:drawing>
            </w:r>
            <w:r w:rsidRPr="004C75AE">
              <w:rPr>
                <w:rFonts w:cs="Arial"/>
                <w:noProof/>
                <w:sz w:val="44"/>
                <w:szCs w:val="44"/>
              </w:rPr>
              <w:t>Forensic Counselling Consultancy Cont Care</w:t>
            </w:r>
            <w:r w:rsidRPr="00A619BF">
              <w:rPr>
                <w:rFonts w:cs="Arial"/>
                <w:sz w:val="40"/>
                <w:szCs w:val="44"/>
              </w:rPr>
              <w:t xml:space="preserve"> </w:t>
            </w:r>
            <w:r w:rsidRPr="00A619BF">
              <w:rPr>
                <w:rFonts w:cs="Arial"/>
                <w:sz w:val="40"/>
                <w:szCs w:val="44"/>
              </w:rPr>
              <w:br/>
            </w:r>
            <w:r w:rsidRPr="004C75AE">
              <w:rPr>
                <w:rFonts w:cs="Arial"/>
                <w:noProof/>
                <w:sz w:val="44"/>
                <w:szCs w:val="44"/>
              </w:rPr>
              <w:t>34208</w:t>
            </w:r>
          </w:p>
        </w:tc>
      </w:tr>
      <w:tr w:rsidR="002B7F49" w14:paraId="124BD888" w14:textId="77777777" w:rsidTr="00E042DB">
        <w:tc>
          <w:tcPr>
            <w:tcW w:w="8101" w:type="dxa"/>
            <w:shd w:val="clear" w:color="auto" w:fill="auto"/>
            <w:tcMar>
              <w:top w:w="170" w:type="dxa"/>
              <w:bottom w:w="510" w:type="dxa"/>
            </w:tcMar>
          </w:tcPr>
          <w:p w14:paraId="1847B38E" w14:textId="77777777" w:rsidR="002B7F49" w:rsidRDefault="002B7F49" w:rsidP="00E042DB">
            <w:pPr>
              <w:pStyle w:val="DHHSmainsubheading"/>
              <w:rPr>
                <w:szCs w:val="28"/>
              </w:rPr>
            </w:pPr>
            <w:r>
              <w:rPr>
                <w:szCs w:val="28"/>
              </w:rPr>
              <w:t xml:space="preserve">Outcome objective: Victorians are healthy and well </w:t>
            </w:r>
          </w:p>
          <w:p w14:paraId="11C00151" w14:textId="77777777" w:rsidR="002B7F49" w:rsidRDefault="002B7F49" w:rsidP="00E042DB">
            <w:pPr>
              <w:pStyle w:val="DHHSmainsubheading"/>
              <w:rPr>
                <w:szCs w:val="28"/>
              </w:rPr>
            </w:pPr>
            <w:r>
              <w:rPr>
                <w:szCs w:val="28"/>
              </w:rPr>
              <w:t xml:space="preserve">Output group: </w:t>
            </w:r>
            <w:r w:rsidRPr="00177619">
              <w:rPr>
                <w:noProof/>
                <w:szCs w:val="28"/>
              </w:rPr>
              <w:t>Drugs Services</w:t>
            </w:r>
          </w:p>
          <w:p w14:paraId="0DFF32C8" w14:textId="77777777" w:rsidR="002B7F49" w:rsidRPr="00AD784C" w:rsidRDefault="002B7F49" w:rsidP="00E042DB">
            <w:pPr>
              <w:pStyle w:val="DHHSmainsubheading"/>
              <w:rPr>
                <w:szCs w:val="28"/>
              </w:rPr>
            </w:pPr>
            <w:r>
              <w:rPr>
                <w:szCs w:val="28"/>
              </w:rPr>
              <w:t xml:space="preserve">Output: </w:t>
            </w:r>
            <w:r w:rsidRPr="00177619">
              <w:rPr>
                <w:noProof/>
                <w:szCs w:val="28"/>
              </w:rPr>
              <w:t>Drug Treatment &amp; Rehabilitation</w:t>
            </w:r>
          </w:p>
        </w:tc>
      </w:tr>
    </w:tbl>
    <w:p w14:paraId="02BEA3E4" w14:textId="77777777" w:rsidR="002B7F49" w:rsidRDefault="00E042DB" w:rsidP="004C75AE">
      <w:pPr>
        <w:pStyle w:val="Heading1"/>
      </w:pPr>
      <w:r>
        <w:br w:type="textWrapping" w:clear="all"/>
      </w:r>
      <w:r w:rsidR="002B7F49" w:rsidRPr="00B70F76">
        <w:t>1.</w:t>
      </w:r>
      <w:r w:rsidR="002B7F49">
        <w:t xml:space="preserve"> Service Objective </w:t>
      </w:r>
    </w:p>
    <w:p w14:paraId="66A20411" w14:textId="77777777" w:rsidR="002B7F49" w:rsidRPr="002C3E1D" w:rsidRDefault="002C3E1D" w:rsidP="006C7A1F">
      <w:pPr>
        <w:pStyle w:val="DHHSbody"/>
        <w:spacing w:beforeLines="40" w:before="96"/>
        <w:rPr>
          <w:rFonts w:eastAsia="MS Gothic"/>
          <w:b/>
          <w:bCs/>
          <w:sz w:val="24"/>
          <w:szCs w:val="26"/>
        </w:rPr>
      </w:pPr>
      <w:r>
        <w:t>Delivery of highly specialized workforce initiatives include training for criminogenic alcohol and other drugs (AOD) programs and specialist and immediate clinical responses to referrals from the Victorian Fixated Threat Assessment Centre.</w:t>
      </w:r>
    </w:p>
    <w:p w14:paraId="708300C1" w14:textId="77777777" w:rsidR="002B7F49" w:rsidRDefault="002B7F49" w:rsidP="004C75AE">
      <w:pPr>
        <w:pStyle w:val="Heading1"/>
      </w:pPr>
      <w:r>
        <w:t>2</w:t>
      </w:r>
      <w:r w:rsidRPr="00B70F76">
        <w:t xml:space="preserve">. </w:t>
      </w:r>
      <w:r>
        <w:t>Description of the service</w:t>
      </w:r>
    </w:p>
    <w:p w14:paraId="6CC0D144" w14:textId="2AD336FB" w:rsidR="002B7F49" w:rsidRPr="00DF6BAF" w:rsidRDefault="002C3E1D" w:rsidP="00AA0F86">
      <w:pPr>
        <w:pStyle w:val="DHHSbody"/>
      </w:pPr>
      <w:r>
        <w:rPr>
          <w:noProof/>
        </w:rPr>
        <w:t>F</w:t>
      </w:r>
      <w:r w:rsidR="006C4113">
        <w:rPr>
          <w:noProof/>
        </w:rPr>
        <w:t>o</w:t>
      </w:r>
      <w:r>
        <w:rPr>
          <w:noProof/>
        </w:rPr>
        <w:t>rensic Consultancy and Cont Care provides specific service system responses and initiatives to enhance</w:t>
      </w:r>
      <w:r w:rsidR="00492E53">
        <w:rPr>
          <w:noProof/>
        </w:rPr>
        <w:t xml:space="preserve"> the alcohol and other drug (AOD</w:t>
      </w:r>
      <w:r>
        <w:rPr>
          <w:noProof/>
        </w:rPr>
        <w:t>) sector’s ability to provide enhanced responses to those presenting with highly complex needs including those referred Victoria’s Fixated Threat Assessment Centre.</w:t>
      </w:r>
    </w:p>
    <w:p w14:paraId="3C28FFEF" w14:textId="77777777" w:rsidR="002B7F49" w:rsidRPr="00B70F76" w:rsidRDefault="002B7F49" w:rsidP="004C75AE">
      <w:pPr>
        <w:pStyle w:val="Heading1"/>
      </w:pPr>
      <w:r>
        <w:t xml:space="preserve">3. </w:t>
      </w:r>
      <w:r w:rsidRPr="00B70F76">
        <w:t>Client group</w:t>
      </w:r>
    </w:p>
    <w:p w14:paraId="0BEF52C3" w14:textId="3FFD1595" w:rsidR="002B7F49" w:rsidRDefault="002B7F49" w:rsidP="004C75AE">
      <w:pPr>
        <w:pStyle w:val="DHHSbody"/>
      </w:pPr>
      <w:r>
        <w:t>The client group</w:t>
      </w:r>
      <w:r w:rsidR="00A05169">
        <w:t xml:space="preserve"> for</w:t>
      </w:r>
      <w:r>
        <w:t xml:space="preserve"> this activity is </w:t>
      </w:r>
      <w:r w:rsidR="00A05169">
        <w:t>those with highly complex AOD treatment needs, incl</w:t>
      </w:r>
      <w:r w:rsidR="00D75EE0">
        <w:t>uding those with a high risk of r</w:t>
      </w:r>
      <w:r w:rsidR="00A05169">
        <w:t>e-offending.</w:t>
      </w:r>
    </w:p>
    <w:p w14:paraId="7746BBA2" w14:textId="77777777" w:rsidR="002B7F49" w:rsidRDefault="002B7F49" w:rsidP="004C75AE">
      <w:pPr>
        <w:pStyle w:val="Heading1"/>
      </w:pPr>
      <w:r>
        <w:t>4. Obligations specific to this activity</w:t>
      </w:r>
    </w:p>
    <w:p w14:paraId="6F9929EA"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61E9DDC8" w14:textId="77777777" w:rsidR="002B7F49" w:rsidRPr="001F3DE2" w:rsidRDefault="002B7F49" w:rsidP="004C75AE">
      <w:pPr>
        <w:pStyle w:val="Heading2"/>
      </w:pPr>
      <w:r w:rsidRPr="001F3DE2">
        <w:t xml:space="preserve">4a.  Registration and Accreditation </w:t>
      </w:r>
    </w:p>
    <w:p w14:paraId="63EE3186" w14:textId="2DE4A221" w:rsidR="002B7F49" w:rsidRPr="00A05169" w:rsidRDefault="00A05169" w:rsidP="004C75AE">
      <w:pPr>
        <w:pStyle w:val="DHHSbullet1"/>
      </w:pPr>
      <w:r>
        <w:rPr>
          <w:rStyle w:val="DHHSbodyChar"/>
        </w:rPr>
        <w:t>Funded AOD treatment services in Victoria must comply with the requirements of any relevant accreditation and standards</w:t>
      </w:r>
      <w:r w:rsidR="000A0AF8">
        <w:rPr>
          <w:rStyle w:val="DHHSbodyChar"/>
        </w:rPr>
        <w:t xml:space="preserve">. They must be, or able to be, accredited within generic accreditation frameworks by a certified entity. More information is available on the department’s </w:t>
      </w:r>
      <w:hyperlink r:id="rId9" w:history="1">
        <w:r w:rsidR="000A0AF8" w:rsidRPr="004C75AE">
          <w:rPr>
            <w:rStyle w:val="Hyperlink"/>
          </w:rPr>
          <w:t>AOD service quality and accreditation</w:t>
        </w:r>
      </w:hyperlink>
      <w:r w:rsidR="000A0AF8">
        <w:rPr>
          <w:rStyle w:val="DHHSbodyChar"/>
        </w:rPr>
        <w:t xml:space="preserve"> webpage</w:t>
      </w:r>
      <w:r w:rsidR="00930555">
        <w:rPr>
          <w:rStyle w:val="DHHSbodyChar"/>
        </w:rPr>
        <w:t>. https://www2.health.vic.gov.au/alcohol-and-drugs/aod-service-standards-guidelines/aod-service-quality-accreditation.</w:t>
      </w:r>
    </w:p>
    <w:p w14:paraId="43EEC2C9" w14:textId="77777777" w:rsidR="002B7F49" w:rsidRDefault="002B7F49" w:rsidP="004C75AE">
      <w:pPr>
        <w:pStyle w:val="Heading2"/>
      </w:pPr>
      <w:r w:rsidRPr="001F3DE2">
        <w:t xml:space="preserve">4b. Program requirements and other policy guidelines </w:t>
      </w:r>
    </w:p>
    <w:p w14:paraId="39B38272" w14:textId="52D17D10" w:rsidR="00C96257" w:rsidRPr="004C75AE" w:rsidRDefault="00616FA3" w:rsidP="004C75AE">
      <w:pPr>
        <w:pStyle w:val="DHHSbullet1"/>
      </w:pPr>
      <w:r w:rsidRPr="004C75AE">
        <w:t xml:space="preserve">All AOD program requirements are contained in the </w:t>
      </w:r>
      <w:hyperlink r:id="rId10" w:history="1">
        <w:r w:rsidRPr="004C75AE">
          <w:rPr>
            <w:rStyle w:val="Hyperlink"/>
          </w:rPr>
          <w:t>AOD program guidelines</w:t>
        </w:r>
      </w:hyperlink>
      <w:r w:rsidRPr="004C75AE">
        <w:t>. These are available on th</w:t>
      </w:r>
      <w:r w:rsidR="00E21365" w:rsidRPr="004C75AE">
        <w:t xml:space="preserve">e </w:t>
      </w:r>
      <w:r w:rsidRPr="004C75AE">
        <w:t>department’s website.</w:t>
      </w:r>
      <w:r w:rsidR="0001084A" w:rsidRPr="004C75AE">
        <w:t xml:space="preserve"> </w:t>
      </w:r>
      <w:r w:rsidR="0001084A" w:rsidRPr="004C75AE">
        <w:rPr>
          <w:rStyle w:val="DHHSbodyChar"/>
        </w:rPr>
        <w:t>https://www2.health.vic.gov.au/alcohol-and-drugs/aod-service-standards-guidelines/aod-</w:t>
      </w:r>
      <w:r w:rsidR="00460F7A" w:rsidRPr="004C75AE">
        <w:rPr>
          <w:rStyle w:val="DHHSbodyChar"/>
        </w:rPr>
        <w:t>program-guidelines.</w:t>
      </w:r>
    </w:p>
    <w:p w14:paraId="36A018B2" w14:textId="77777777" w:rsidR="002B7F49" w:rsidRPr="00575BC9" w:rsidRDefault="002B7F49" w:rsidP="004C75AE">
      <w:pPr>
        <w:pStyle w:val="Heading1"/>
      </w:pPr>
      <w:r>
        <w:t>5. Performance</w:t>
      </w:r>
    </w:p>
    <w:p w14:paraId="36E030DE" w14:textId="77777777" w:rsidR="002B7F49" w:rsidRPr="001F1A17" w:rsidRDefault="002B7F49" w:rsidP="004C75AE">
      <w:pPr>
        <w:pStyle w:val="DHHSbody"/>
      </w:pPr>
      <w:r>
        <w:t>Funding is subject to achieving the</w:t>
      </w:r>
      <w:r w:rsidRPr="00171F04">
        <w:t xml:space="preserve"> </w:t>
      </w:r>
      <w:r>
        <w:t xml:space="preserve">performance targets specified in Schedule 2 of the Service Agreement. Performance is measured as follows:  </w:t>
      </w:r>
    </w:p>
    <w:p w14:paraId="51BF8412" w14:textId="2671B8F8" w:rsidR="002B7F49" w:rsidRPr="00E042DB" w:rsidRDefault="002B7F49" w:rsidP="004C75AE">
      <w:pPr>
        <w:pStyle w:val="Heading2"/>
      </w:pPr>
      <w:r>
        <w:lastRenderedPageBreak/>
        <w:t>Key performance measure</w:t>
      </w:r>
      <w:r w:rsidR="004C75AE">
        <w:t xml:space="preserve"> 1</w:t>
      </w:r>
      <w:r w:rsidRPr="00575BC9">
        <w:t xml:space="preserve">: </w:t>
      </w:r>
      <w:r w:rsidR="008B4BB6">
        <w:t>Number of Drug Treatment Activity Units (DTAU)</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A6243E" w:rsidRPr="00C237A0" w14:paraId="18D41FDC" w14:textId="77777777" w:rsidTr="004C75AE">
        <w:trPr>
          <w:cantSplit/>
          <w:trHeight w:hRule="exact" w:val="607"/>
        </w:trPr>
        <w:tc>
          <w:tcPr>
            <w:tcW w:w="2835" w:type="dxa"/>
          </w:tcPr>
          <w:p w14:paraId="3B3A950F" w14:textId="77777777" w:rsidR="00A6243E" w:rsidRPr="0017293C" w:rsidRDefault="00A6243E" w:rsidP="00A6243E">
            <w:pPr>
              <w:pStyle w:val="DHHStablecolhead"/>
            </w:pPr>
            <w:r w:rsidRPr="00575BC9">
              <w:t>Aim/objective</w:t>
            </w:r>
          </w:p>
        </w:tc>
        <w:tc>
          <w:tcPr>
            <w:tcW w:w="7379" w:type="dxa"/>
          </w:tcPr>
          <w:p w14:paraId="51753737" w14:textId="77777777" w:rsidR="00A6243E" w:rsidRDefault="00A6243E" w:rsidP="004C75AE">
            <w:pPr>
              <w:pStyle w:val="DHHStabletext"/>
              <w:rPr>
                <w:color w:val="7030A0"/>
              </w:rPr>
            </w:pPr>
            <w:r>
              <w:t xml:space="preserve">The aim of this performance measure is to report on the agreed deliverables </w:t>
            </w:r>
          </w:p>
        </w:tc>
      </w:tr>
      <w:tr w:rsidR="00A6243E" w:rsidRPr="00C237A0" w14:paraId="19FA2CFC" w14:textId="77777777" w:rsidTr="004C75AE">
        <w:trPr>
          <w:cantSplit/>
          <w:trHeight w:hRule="exact" w:val="340"/>
        </w:trPr>
        <w:tc>
          <w:tcPr>
            <w:tcW w:w="2835" w:type="dxa"/>
          </w:tcPr>
          <w:p w14:paraId="1CD6FD76" w14:textId="77777777" w:rsidR="00A6243E" w:rsidRPr="0017293C" w:rsidRDefault="00A6243E" w:rsidP="00A6243E">
            <w:pPr>
              <w:pStyle w:val="DHHStablecolhead"/>
            </w:pPr>
            <w:r w:rsidRPr="00575BC9">
              <w:t>Target</w:t>
            </w:r>
          </w:p>
        </w:tc>
        <w:tc>
          <w:tcPr>
            <w:tcW w:w="7379" w:type="dxa"/>
          </w:tcPr>
          <w:p w14:paraId="7EC656BB" w14:textId="77777777" w:rsidR="00A6243E" w:rsidRDefault="00A6243E" w:rsidP="004C75AE">
            <w:pPr>
              <w:pStyle w:val="DHHStabletext"/>
              <w:rPr>
                <w:color w:val="7030A0"/>
              </w:rPr>
            </w:pPr>
            <w:r>
              <w:t>The performance measure target is provided in the Service Agreement.</w:t>
            </w:r>
          </w:p>
        </w:tc>
      </w:tr>
      <w:tr w:rsidR="00A6243E" w:rsidRPr="00C237A0" w14:paraId="0B94ED6A" w14:textId="77777777" w:rsidTr="004C75AE">
        <w:trPr>
          <w:cantSplit/>
          <w:trHeight w:hRule="exact" w:val="340"/>
        </w:trPr>
        <w:tc>
          <w:tcPr>
            <w:tcW w:w="2835" w:type="dxa"/>
          </w:tcPr>
          <w:p w14:paraId="2D9C8C80" w14:textId="77777777" w:rsidR="00A6243E" w:rsidRPr="0017293C" w:rsidRDefault="00A6243E" w:rsidP="00A6243E">
            <w:pPr>
              <w:pStyle w:val="DHHStablecolhead"/>
            </w:pPr>
            <w:r w:rsidRPr="00575BC9">
              <w:t>Type of count</w:t>
            </w:r>
          </w:p>
        </w:tc>
        <w:tc>
          <w:tcPr>
            <w:tcW w:w="7379" w:type="dxa"/>
          </w:tcPr>
          <w:p w14:paraId="69C6D2E1" w14:textId="77777777" w:rsidR="00A6243E" w:rsidRPr="00C237A0" w:rsidRDefault="00A6243E" w:rsidP="004C75AE">
            <w:pPr>
              <w:pStyle w:val="DHHStabletext"/>
            </w:pPr>
            <w:r>
              <w:rPr>
                <w:color w:val="7030A0"/>
              </w:rPr>
              <w:fldChar w:fldCharType="begin">
                <w:ffData>
                  <w:name w:val="Check2"/>
                  <w:enabled/>
                  <w:calcOnExit w:val="0"/>
                  <w:checkBox>
                    <w:sizeAuto/>
                    <w:default w:val="1"/>
                  </w:checkBox>
                </w:ffData>
              </w:fldChar>
            </w:r>
            <w:bookmarkStart w:id="0" w:name="Check2"/>
            <w:r>
              <w:rPr>
                <w:color w:val="7030A0"/>
              </w:rPr>
              <w:instrText xml:space="preserve"> FORMCHECKBOX </w:instrText>
            </w:r>
            <w:r w:rsidR="004F2387">
              <w:rPr>
                <w:color w:val="7030A0"/>
              </w:rPr>
            </w:r>
            <w:r w:rsidR="004F2387">
              <w:rPr>
                <w:color w:val="7030A0"/>
              </w:rPr>
              <w:fldChar w:fldCharType="separate"/>
            </w:r>
            <w:r>
              <w:rPr>
                <w:color w:val="7030A0"/>
              </w:rPr>
              <w:fldChar w:fldCharType="end"/>
            </w:r>
            <w:bookmarkEnd w:id="0"/>
            <w:r>
              <w:rPr>
                <w:color w:val="7030A0"/>
              </w:rPr>
              <w:t xml:space="preserve"> </w:t>
            </w:r>
            <w:r>
              <w:t xml:space="preserve">Cumulative          </w:t>
            </w:r>
            <w:r>
              <w:rPr>
                <w:color w:val="7030A0"/>
              </w:rPr>
              <w:fldChar w:fldCharType="begin">
                <w:ffData>
                  <w:name w:val="Check2"/>
                  <w:enabled/>
                  <w:calcOnExit w:val="0"/>
                  <w:checkBox>
                    <w:sizeAuto/>
                    <w:default w:val="0"/>
                  </w:checkBox>
                </w:ffData>
              </w:fldChar>
            </w:r>
            <w:r>
              <w:rPr>
                <w:color w:val="7030A0"/>
              </w:rPr>
              <w:instrText xml:space="preserve"> FORMCHECKBOX </w:instrText>
            </w:r>
            <w:r w:rsidR="004F2387">
              <w:rPr>
                <w:color w:val="7030A0"/>
              </w:rPr>
            </w:r>
            <w:r w:rsidR="004F2387">
              <w:rPr>
                <w:color w:val="7030A0"/>
              </w:rPr>
              <w:fldChar w:fldCharType="separate"/>
            </w:r>
            <w:r>
              <w:rPr>
                <w:color w:val="7030A0"/>
              </w:rPr>
              <w:fldChar w:fldCharType="end"/>
            </w:r>
            <w:r>
              <w:rPr>
                <w:color w:val="7030A0"/>
              </w:rPr>
              <w:t xml:space="preserve"> </w:t>
            </w:r>
            <w:r>
              <w:t>Non-cumulative</w:t>
            </w:r>
          </w:p>
        </w:tc>
      </w:tr>
      <w:tr w:rsidR="00A6243E" w:rsidRPr="00C237A0" w14:paraId="578FB5D3" w14:textId="77777777" w:rsidTr="004C75AE">
        <w:trPr>
          <w:cantSplit/>
          <w:trHeight w:hRule="exact" w:val="340"/>
        </w:trPr>
        <w:tc>
          <w:tcPr>
            <w:tcW w:w="2835" w:type="dxa"/>
          </w:tcPr>
          <w:p w14:paraId="6B64AFA8" w14:textId="77777777" w:rsidR="00A6243E" w:rsidRPr="0017293C" w:rsidRDefault="00A6243E" w:rsidP="00A6243E">
            <w:pPr>
              <w:pStyle w:val="DHHStablecolhead"/>
            </w:pPr>
            <w:r w:rsidRPr="00575BC9">
              <w:t>Counting rule</w:t>
            </w:r>
          </w:p>
        </w:tc>
        <w:tc>
          <w:tcPr>
            <w:tcW w:w="7379" w:type="dxa"/>
          </w:tcPr>
          <w:p w14:paraId="10B3AA0F" w14:textId="77777777" w:rsidR="00A6243E" w:rsidRPr="00C237A0" w:rsidRDefault="00A6243E" w:rsidP="004C75AE">
            <w:pPr>
              <w:pStyle w:val="DHHStabletext"/>
            </w:pPr>
            <w:r>
              <w:t>Not applicable</w:t>
            </w:r>
          </w:p>
        </w:tc>
      </w:tr>
      <w:tr w:rsidR="00A6243E" w:rsidRPr="00C237A0" w14:paraId="343FAEAA" w14:textId="77777777" w:rsidTr="004C75AE">
        <w:trPr>
          <w:cantSplit/>
          <w:trHeight w:hRule="exact" w:val="611"/>
        </w:trPr>
        <w:tc>
          <w:tcPr>
            <w:tcW w:w="2835" w:type="dxa"/>
          </w:tcPr>
          <w:p w14:paraId="3F3F3838" w14:textId="77777777" w:rsidR="00A6243E" w:rsidRPr="0017293C" w:rsidRDefault="00A6243E" w:rsidP="00A6243E">
            <w:pPr>
              <w:pStyle w:val="DHHStablecolhead"/>
            </w:pPr>
            <w:r w:rsidRPr="00575BC9">
              <w:t>Data source(s) collection</w:t>
            </w:r>
          </w:p>
        </w:tc>
        <w:tc>
          <w:tcPr>
            <w:tcW w:w="7379" w:type="dxa"/>
          </w:tcPr>
          <w:p w14:paraId="775C8AA4" w14:textId="77777777" w:rsidR="00A6243E" w:rsidRPr="002F7C4B" w:rsidRDefault="00A6243E" w:rsidP="004C75AE">
            <w:pPr>
              <w:pStyle w:val="DHHStabletext"/>
              <w:rPr>
                <w:color w:val="7030A0"/>
              </w:rPr>
            </w:pPr>
            <w:r>
              <w:t>Victorian Alcohol and Drug Collection and Australian Community Support Organisation (ACSO) Client Management System (CMS).</w:t>
            </w:r>
          </w:p>
        </w:tc>
      </w:tr>
      <w:tr w:rsidR="00A6243E" w:rsidRPr="00C237A0" w14:paraId="1BF6453F" w14:textId="77777777" w:rsidTr="004C75AE">
        <w:trPr>
          <w:cantSplit/>
          <w:trHeight w:hRule="exact" w:val="719"/>
        </w:trPr>
        <w:tc>
          <w:tcPr>
            <w:tcW w:w="2835" w:type="dxa"/>
          </w:tcPr>
          <w:p w14:paraId="0A1C779E" w14:textId="77777777" w:rsidR="00A6243E" w:rsidRPr="0017293C" w:rsidRDefault="00A6243E" w:rsidP="00A6243E">
            <w:pPr>
              <w:pStyle w:val="DHHStablecolhead"/>
            </w:pPr>
            <w:r w:rsidRPr="00575BC9">
              <w:t>Definition of terms</w:t>
            </w:r>
          </w:p>
        </w:tc>
        <w:tc>
          <w:tcPr>
            <w:tcW w:w="7379" w:type="dxa"/>
          </w:tcPr>
          <w:p w14:paraId="0125A34C" w14:textId="3728B96E" w:rsidR="00A6243E" w:rsidRPr="002F7C4B" w:rsidRDefault="00492E53" w:rsidP="004C75AE">
            <w:pPr>
              <w:pStyle w:val="DHHStabletext"/>
              <w:rPr>
                <w:color w:val="7030A0"/>
              </w:rPr>
            </w:pPr>
            <w:r>
              <w:rPr>
                <w:noProof/>
              </w:rPr>
              <w:t>P</w:t>
            </w:r>
            <w:r w:rsidR="00A6243E">
              <w:rPr>
                <w:noProof/>
              </w:rPr>
              <w:t>rovides specific servi</w:t>
            </w:r>
            <w:r>
              <w:rPr>
                <w:noProof/>
              </w:rPr>
              <w:t>ce system responses to AOD high-</w:t>
            </w:r>
            <w:r w:rsidR="00A6243E">
              <w:rPr>
                <w:noProof/>
              </w:rPr>
              <w:t>risk clients</w:t>
            </w:r>
          </w:p>
        </w:tc>
      </w:tr>
    </w:tbl>
    <w:p w14:paraId="51CB42ED" w14:textId="77777777" w:rsidR="002B7F49" w:rsidRPr="00575BC9" w:rsidRDefault="002B7F49" w:rsidP="004C75AE">
      <w:pPr>
        <w:pStyle w:val="Heading1"/>
      </w:pPr>
      <w:r>
        <w:t>6. Data collection</w:t>
      </w:r>
    </w:p>
    <w:p w14:paraId="7DD3568C" w14:textId="77777777" w:rsidR="002B7F49" w:rsidRDefault="002B7F49" w:rsidP="004C75AE">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14:paraId="12439442" w14:textId="77777777" w:rsidTr="006C7A1F">
        <w:trPr>
          <w:trHeight w:hRule="exact" w:val="340"/>
          <w:tblHeader/>
        </w:trPr>
        <w:tc>
          <w:tcPr>
            <w:tcW w:w="2580" w:type="dxa"/>
            <w:vAlign w:val="center"/>
          </w:tcPr>
          <w:p w14:paraId="2FAC364A" w14:textId="77777777" w:rsidR="002B7F49" w:rsidRPr="00575BC9" w:rsidRDefault="002B7F49" w:rsidP="0017293C">
            <w:pPr>
              <w:pStyle w:val="DHHStablecolhead"/>
              <w:spacing w:before="0" w:after="0"/>
            </w:pPr>
            <w:r w:rsidRPr="00575BC9">
              <w:t>Data collection name</w:t>
            </w:r>
          </w:p>
        </w:tc>
        <w:tc>
          <w:tcPr>
            <w:tcW w:w="2580" w:type="dxa"/>
            <w:vAlign w:val="center"/>
          </w:tcPr>
          <w:p w14:paraId="7CAB916A" w14:textId="77777777" w:rsidR="002B7F49" w:rsidRPr="00575BC9" w:rsidRDefault="002B7F49" w:rsidP="0017293C">
            <w:pPr>
              <w:pStyle w:val="DHHStablecolhead"/>
              <w:spacing w:before="0" w:after="0"/>
            </w:pPr>
            <w:r w:rsidRPr="00575BC9">
              <w:t xml:space="preserve">Data system </w:t>
            </w:r>
          </w:p>
        </w:tc>
        <w:tc>
          <w:tcPr>
            <w:tcW w:w="2580" w:type="dxa"/>
            <w:vAlign w:val="center"/>
          </w:tcPr>
          <w:p w14:paraId="5CF69C39" w14:textId="77777777" w:rsidR="002B7F49" w:rsidRPr="00575BC9" w:rsidRDefault="002B7F49" w:rsidP="0017293C">
            <w:pPr>
              <w:pStyle w:val="DHHStablecolhead"/>
              <w:spacing w:before="0" w:after="0"/>
            </w:pPr>
            <w:r w:rsidRPr="00575BC9">
              <w:t xml:space="preserve">Data set </w:t>
            </w:r>
          </w:p>
        </w:tc>
        <w:tc>
          <w:tcPr>
            <w:tcW w:w="2508" w:type="dxa"/>
            <w:vAlign w:val="center"/>
          </w:tcPr>
          <w:p w14:paraId="7BD41557" w14:textId="77777777" w:rsidR="002B7F49" w:rsidRPr="00575BC9" w:rsidRDefault="002B7F49" w:rsidP="0017293C">
            <w:pPr>
              <w:pStyle w:val="DHHStablecolhead"/>
              <w:spacing w:before="0" w:after="0"/>
            </w:pPr>
            <w:r w:rsidRPr="00575BC9">
              <w:t>Reporting cycle</w:t>
            </w:r>
          </w:p>
        </w:tc>
      </w:tr>
      <w:tr w:rsidR="002B7F49" w:rsidRPr="00C237A0" w14:paraId="0C2AFE6A" w14:textId="77777777" w:rsidTr="004C75AE">
        <w:tc>
          <w:tcPr>
            <w:tcW w:w="2580" w:type="dxa"/>
          </w:tcPr>
          <w:p w14:paraId="459B5FF3" w14:textId="77777777" w:rsidR="002B7F49" w:rsidRPr="002F7C4B" w:rsidRDefault="00E042DB" w:rsidP="004C75AE">
            <w:pPr>
              <w:pStyle w:val="DHHStabletext"/>
              <w:rPr>
                <w:color w:val="7030A0"/>
              </w:rPr>
            </w:pPr>
            <w:r w:rsidRPr="00E042DB">
              <w:t>Victorian Alcohol and Drug Collection / Alcohol and other drug treatment services national minimum dataset</w:t>
            </w:r>
          </w:p>
        </w:tc>
        <w:tc>
          <w:tcPr>
            <w:tcW w:w="2580" w:type="dxa"/>
          </w:tcPr>
          <w:p w14:paraId="74BCBB0D" w14:textId="77777777" w:rsidR="002B7F49" w:rsidRPr="00E02F36" w:rsidRDefault="00E02F36" w:rsidP="004C75AE">
            <w:pPr>
              <w:pStyle w:val="DHHStabletext"/>
            </w:pPr>
            <w:r>
              <w:t>Various – Service providers are required to integrate the VADC into their own client management systems.</w:t>
            </w:r>
          </w:p>
        </w:tc>
        <w:tc>
          <w:tcPr>
            <w:tcW w:w="2580" w:type="dxa"/>
          </w:tcPr>
          <w:p w14:paraId="0760D065" w14:textId="77777777" w:rsidR="002B7F49" w:rsidRPr="002F7C4B" w:rsidRDefault="006B4ABF" w:rsidP="004C75AE">
            <w:pPr>
              <w:pStyle w:val="DHHStabletext"/>
              <w:rPr>
                <w:color w:val="7030A0"/>
              </w:rPr>
            </w:pPr>
            <w:r>
              <w:t>Not applicable</w:t>
            </w:r>
            <w:r w:rsidR="002B7F49" w:rsidRPr="00E02F36" w:rsidDel="00737838">
              <w:t xml:space="preserve"> </w:t>
            </w:r>
          </w:p>
        </w:tc>
        <w:tc>
          <w:tcPr>
            <w:tcW w:w="2508" w:type="dxa"/>
          </w:tcPr>
          <w:p w14:paraId="2827711C" w14:textId="77777777" w:rsidR="002B7F49" w:rsidRPr="002F7C4B" w:rsidRDefault="006B4ABF" w:rsidP="004C75AE">
            <w:pPr>
              <w:pStyle w:val="DHHStabletext"/>
              <w:rPr>
                <w:color w:val="7030A0"/>
              </w:rPr>
            </w:pPr>
            <w:r>
              <w:t>Monthly</w:t>
            </w:r>
            <w:r w:rsidR="002B7F49" w:rsidRPr="006B4ABF" w:rsidDel="00737838">
              <w:t xml:space="preserve"> </w:t>
            </w:r>
          </w:p>
        </w:tc>
      </w:tr>
    </w:tbl>
    <w:p w14:paraId="686EE7AC" w14:textId="77777777" w:rsidR="002B7F49" w:rsidRDefault="002B7F49" w:rsidP="007B7E5D">
      <w:pPr>
        <w:rPr>
          <w:sz w:val="18"/>
          <w:szCs w:val="4"/>
        </w:rPr>
      </w:pPr>
    </w:p>
    <w:p w14:paraId="01BA900C" w14:textId="77777777" w:rsidR="002B7F49" w:rsidRDefault="002B7F49" w:rsidP="007B7E5D">
      <w:pPr>
        <w:rPr>
          <w:sz w:val="18"/>
          <w:szCs w:val="4"/>
        </w:rPr>
      </w:pPr>
    </w:p>
    <w:p w14:paraId="6D34D8AD" w14:textId="77777777" w:rsidR="002B7F49" w:rsidRDefault="002B7F49" w:rsidP="007B7E5D">
      <w:pPr>
        <w:rPr>
          <w:sz w:val="18"/>
          <w:szCs w:val="4"/>
        </w:rPr>
      </w:pPr>
    </w:p>
    <w:p w14:paraId="1F694729"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048DB89"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E08CA4F" w14:textId="77777777" w:rsidR="004F2387" w:rsidRDefault="004F2387" w:rsidP="004F2387">
            <w:pPr>
              <w:pStyle w:val="DHHSaccessibilitypara"/>
            </w:pPr>
            <w:r>
              <w:t xml:space="preserve">To receive this publication in an accessible format </w:t>
            </w:r>
            <w:hyperlink r:id="rId11" w:history="1">
              <w:r>
                <w:rPr>
                  <w:rStyle w:val="Hyperlink"/>
                </w:rPr>
                <w:t>email Service Agreement Policy</w:t>
              </w:r>
            </w:hyperlink>
            <w:r>
              <w:t xml:space="preserve"> &lt;</w:t>
            </w:r>
            <w:hyperlink r:id="rId12" w:history="1">
              <w:r>
                <w:rPr>
                  <w:rStyle w:val="Hyperlink"/>
                </w:rPr>
                <w:t>sapolicy@dhhs.vic.gov.au</w:t>
              </w:r>
            </w:hyperlink>
            <w:r>
              <w:t>&gt;</w:t>
            </w:r>
          </w:p>
          <w:p w14:paraId="12461025" w14:textId="77777777" w:rsidR="004F2387" w:rsidRDefault="004F2387" w:rsidP="004F2387">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38ABC246" w14:textId="24E60DF2" w:rsidR="002B7F49" w:rsidRPr="00CA4422" w:rsidRDefault="004F2387" w:rsidP="004F2387">
            <w:pPr>
              <w:pStyle w:val="DHHSbody"/>
              <w:spacing w:line="240" w:lineRule="auto"/>
            </w:pPr>
            <w:r>
              <w:t xml:space="preserve">Available on the department’s </w:t>
            </w:r>
            <w:hyperlink r:id="rId13" w:history="1">
              <w:r>
                <w:rPr>
                  <w:rStyle w:val="Hyperlink"/>
                </w:rPr>
                <w:t>Health and human services activity search</w:t>
              </w:r>
            </w:hyperlink>
            <w:r>
              <w:t xml:space="preserve"> &lt;</w:t>
            </w:r>
            <w:hyperlink r:id="rId14" w:history="1">
              <w:r w:rsidRPr="004F2387">
                <w:t>http://providers.dhhs.vic.gov.au/health-human-services-activity-search</w:t>
              </w:r>
            </w:hyperlink>
            <w:r w:rsidRPr="004F2387">
              <w:t>&gt;</w:t>
            </w:r>
          </w:p>
        </w:tc>
      </w:tr>
    </w:tbl>
    <w:p w14:paraId="761AE405" w14:textId="77777777" w:rsidR="002B7F49" w:rsidRDefault="002B7F49" w:rsidP="007B7E5D">
      <w:pPr>
        <w:rPr>
          <w:sz w:val="18"/>
          <w:szCs w:val="4"/>
        </w:rPr>
      </w:pPr>
      <w:bookmarkStart w:id="1" w:name="_GoBack"/>
      <w:bookmarkEnd w:id="1"/>
    </w:p>
    <w:sectPr w:rsidR="002B7F49" w:rsidSect="003B5CA4">
      <w:footerReference w:type="default" r:id="rId15"/>
      <w:footerReference w:type="first" r:id="rId16"/>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00C04" w14:textId="77777777" w:rsidR="002B7F49" w:rsidRDefault="002B7F49">
      <w:r>
        <w:separator/>
      </w:r>
    </w:p>
  </w:endnote>
  <w:endnote w:type="continuationSeparator" w:id="0">
    <w:p w14:paraId="2CB8107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63CA" w14:textId="552B78F4" w:rsidR="00FE4946" w:rsidRPr="00A11421" w:rsidRDefault="004F2387" w:rsidP="0051568D">
    <w:pPr>
      <w:pStyle w:val="DHHSfooter"/>
    </w:pPr>
    <w:r w:rsidRPr="004F2387">
      <w:t>Activity description</w:t>
    </w:r>
    <w:r>
      <w:t xml:space="preserve"> (</w:t>
    </w:r>
    <w:r w:rsidRPr="004F2387">
      <w:t>health</w:t>
    </w:r>
    <w:proofErr w:type="gramStart"/>
    <w:r>
      <w:t>):</w:t>
    </w:r>
    <w:r w:rsidRPr="004F2387">
      <w:t>Forensic</w:t>
    </w:r>
    <w:proofErr w:type="gramEnd"/>
    <w:r w:rsidRPr="004F2387">
      <w:t xml:space="preserve"> Counselling Consultancy </w:t>
    </w:r>
    <w:proofErr w:type="spellStart"/>
    <w:r w:rsidRPr="004F2387">
      <w:t>Cont</w:t>
    </w:r>
    <w:proofErr w:type="spellEnd"/>
    <w:r w:rsidRPr="004F2387">
      <w:t xml:space="preserve"> Care</w:t>
    </w:r>
    <w:r>
      <w:t xml:space="preserve"> </w:t>
    </w:r>
    <w:r w:rsidRPr="004F2387">
      <w:t>34208</w:t>
    </w:r>
    <w:r w:rsidR="00E06429">
      <w:tab/>
    </w:r>
    <w:r w:rsidR="00FE4946" w:rsidRPr="00A11421">
      <w:fldChar w:fldCharType="begin"/>
    </w:r>
    <w:r w:rsidR="00FE4946" w:rsidRPr="00A11421">
      <w:instrText xml:space="preserve"> PAGE </w:instrText>
    </w:r>
    <w:r w:rsidR="00FE4946" w:rsidRPr="00A11421">
      <w:fldChar w:fldCharType="separate"/>
    </w:r>
    <w:r w:rsidR="00E042DB">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8A24" w14:textId="77777777" w:rsidR="00FE4946" w:rsidRDefault="00FE4946">
    <w:pPr>
      <w:pStyle w:val="Footer"/>
    </w:pPr>
    <w:r>
      <w:rPr>
        <w:noProof/>
        <w:lang w:eastAsia="en-AU"/>
      </w:rPr>
      <w:drawing>
        <wp:anchor distT="0" distB="0" distL="114300" distR="114300" simplePos="0" relativeHeight="251659264" behindDoc="0" locked="0" layoutInCell="0" allowOverlap="1" wp14:anchorId="438A2EF2" wp14:editId="2737BFC0">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60344" w14:textId="77777777" w:rsidR="002B7F49" w:rsidRDefault="002B7F49" w:rsidP="002862F1">
      <w:pPr>
        <w:spacing w:before="120"/>
      </w:pPr>
      <w:r>
        <w:separator/>
      </w:r>
    </w:p>
  </w:footnote>
  <w:footnote w:type="continuationSeparator" w:id="0">
    <w:p w14:paraId="7470BB2B"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BC13395"/>
    <w:multiLevelType w:val="hybridMultilevel"/>
    <w:tmpl w:val="4BB2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0"/>
  </w:num>
  <w:num w:numId="10">
    <w:abstractNumId w:val="12"/>
  </w:num>
  <w:num w:numId="11">
    <w:abstractNumId w:val="6"/>
  </w:num>
  <w:num w:numId="12">
    <w:abstractNumId w:val="7"/>
  </w:num>
  <w:num w:numId="13">
    <w:abstractNumId w:val="4"/>
  </w:num>
  <w:num w:numId="14">
    <w:abstractNumId w:val="11"/>
  </w:num>
  <w:num w:numId="15">
    <w:abstractNumId w:val="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084A"/>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AF8"/>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196B"/>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4497"/>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C3E1D"/>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22C"/>
    <w:rsid w:val="003459BD"/>
    <w:rsid w:val="00350D38"/>
    <w:rsid w:val="003512C8"/>
    <w:rsid w:val="00351B36"/>
    <w:rsid w:val="00357B4E"/>
    <w:rsid w:val="003744CF"/>
    <w:rsid w:val="00374717"/>
    <w:rsid w:val="003764A8"/>
    <w:rsid w:val="0037676C"/>
    <w:rsid w:val="003829E5"/>
    <w:rsid w:val="00382AFC"/>
    <w:rsid w:val="00383B59"/>
    <w:rsid w:val="003956CC"/>
    <w:rsid w:val="00395C9A"/>
    <w:rsid w:val="003A6B67"/>
    <w:rsid w:val="003B15E6"/>
    <w:rsid w:val="003B5CA4"/>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60F7A"/>
    <w:rsid w:val="0047372D"/>
    <w:rsid w:val="004743DD"/>
    <w:rsid w:val="00474CEA"/>
    <w:rsid w:val="00483968"/>
    <w:rsid w:val="00484F86"/>
    <w:rsid w:val="00490746"/>
    <w:rsid w:val="00490852"/>
    <w:rsid w:val="00492E53"/>
    <w:rsid w:val="00492F30"/>
    <w:rsid w:val="004946F4"/>
    <w:rsid w:val="0049487E"/>
    <w:rsid w:val="00495ADA"/>
    <w:rsid w:val="004A160D"/>
    <w:rsid w:val="004A3E81"/>
    <w:rsid w:val="004A5C62"/>
    <w:rsid w:val="004A707D"/>
    <w:rsid w:val="004C6EEE"/>
    <w:rsid w:val="004C702B"/>
    <w:rsid w:val="004C75AE"/>
    <w:rsid w:val="004D016B"/>
    <w:rsid w:val="004D1B22"/>
    <w:rsid w:val="004D36F2"/>
    <w:rsid w:val="004E138F"/>
    <w:rsid w:val="004E4649"/>
    <w:rsid w:val="004E5C2B"/>
    <w:rsid w:val="004E6F1D"/>
    <w:rsid w:val="004F00DD"/>
    <w:rsid w:val="004F2133"/>
    <w:rsid w:val="004F2387"/>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16FA3"/>
    <w:rsid w:val="0062408D"/>
    <w:rsid w:val="006240CC"/>
    <w:rsid w:val="00627DA7"/>
    <w:rsid w:val="00633A5F"/>
    <w:rsid w:val="006358B4"/>
    <w:rsid w:val="006419AA"/>
    <w:rsid w:val="00643445"/>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4ABF"/>
    <w:rsid w:val="006B6803"/>
    <w:rsid w:val="006C411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BB6"/>
    <w:rsid w:val="008B4D3D"/>
    <w:rsid w:val="008B57C7"/>
    <w:rsid w:val="008C2F92"/>
    <w:rsid w:val="008D2846"/>
    <w:rsid w:val="008D4236"/>
    <w:rsid w:val="008D462F"/>
    <w:rsid w:val="008D6DCF"/>
    <w:rsid w:val="008E32A7"/>
    <w:rsid w:val="008E4376"/>
    <w:rsid w:val="008E7A0A"/>
    <w:rsid w:val="008F2711"/>
    <w:rsid w:val="00900719"/>
    <w:rsid w:val="009017AC"/>
    <w:rsid w:val="00902F40"/>
    <w:rsid w:val="00904A1C"/>
    <w:rsid w:val="00905030"/>
    <w:rsid w:val="00906490"/>
    <w:rsid w:val="009111B2"/>
    <w:rsid w:val="00924AE1"/>
    <w:rsid w:val="009269B1"/>
    <w:rsid w:val="0092724D"/>
    <w:rsid w:val="00930555"/>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E7B"/>
    <w:rsid w:val="009F2F27"/>
    <w:rsid w:val="009F34AA"/>
    <w:rsid w:val="009F6BCB"/>
    <w:rsid w:val="009F7B78"/>
    <w:rsid w:val="00A0057A"/>
    <w:rsid w:val="00A05169"/>
    <w:rsid w:val="00A11421"/>
    <w:rsid w:val="00A11FC5"/>
    <w:rsid w:val="00A157B1"/>
    <w:rsid w:val="00A20D71"/>
    <w:rsid w:val="00A22229"/>
    <w:rsid w:val="00A37A3D"/>
    <w:rsid w:val="00A44882"/>
    <w:rsid w:val="00A541F0"/>
    <w:rsid w:val="00A54715"/>
    <w:rsid w:val="00A55C16"/>
    <w:rsid w:val="00A6061C"/>
    <w:rsid w:val="00A619BF"/>
    <w:rsid w:val="00A6243E"/>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4FC1"/>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E713F"/>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96257"/>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75EE0"/>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36"/>
    <w:rsid w:val="00E042DB"/>
    <w:rsid w:val="00E05E8D"/>
    <w:rsid w:val="00E06429"/>
    <w:rsid w:val="00E170DC"/>
    <w:rsid w:val="00E21365"/>
    <w:rsid w:val="00E26818"/>
    <w:rsid w:val="00E27FFC"/>
    <w:rsid w:val="00E30B15"/>
    <w:rsid w:val="00E327EB"/>
    <w:rsid w:val="00E40181"/>
    <w:rsid w:val="00E53D0C"/>
    <w:rsid w:val="00E56A01"/>
    <w:rsid w:val="00E629A1"/>
    <w:rsid w:val="00E67707"/>
    <w:rsid w:val="00E71591"/>
    <w:rsid w:val="00E82C55"/>
    <w:rsid w:val="00E92AC3"/>
    <w:rsid w:val="00E940E4"/>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68DDB9B"/>
  <w15:docId w15:val="{05108DC6-1040-486F-A2BE-99609F0C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4C75AE"/>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4C75AE"/>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4C75AE"/>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4C75AE"/>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A6243E"/>
    <w:rPr>
      <w:sz w:val="16"/>
      <w:szCs w:val="16"/>
    </w:rPr>
  </w:style>
  <w:style w:type="paragraph" w:styleId="CommentText">
    <w:name w:val="annotation text"/>
    <w:basedOn w:val="Normal"/>
    <w:link w:val="CommentTextChar"/>
    <w:uiPriority w:val="99"/>
    <w:semiHidden/>
    <w:unhideWhenUsed/>
    <w:rsid w:val="00A6243E"/>
    <w:pPr>
      <w:spacing w:line="240" w:lineRule="auto"/>
    </w:pPr>
  </w:style>
  <w:style w:type="character" w:customStyle="1" w:styleId="CommentTextChar">
    <w:name w:val="Comment Text Char"/>
    <w:basedOn w:val="DefaultParagraphFont"/>
    <w:link w:val="CommentText"/>
    <w:uiPriority w:val="99"/>
    <w:semiHidden/>
    <w:rsid w:val="00A6243E"/>
    <w:rPr>
      <w:rFonts w:ascii="Arial" w:hAnsi="Arial"/>
    </w:rPr>
  </w:style>
  <w:style w:type="paragraph" w:styleId="CommentSubject">
    <w:name w:val="annotation subject"/>
    <w:basedOn w:val="CommentText"/>
    <w:next w:val="CommentText"/>
    <w:link w:val="CommentSubjectChar"/>
    <w:uiPriority w:val="99"/>
    <w:semiHidden/>
    <w:unhideWhenUsed/>
    <w:rsid w:val="00A6243E"/>
    <w:rPr>
      <w:b/>
      <w:bCs/>
    </w:rPr>
  </w:style>
  <w:style w:type="character" w:customStyle="1" w:styleId="CommentSubjectChar">
    <w:name w:val="Comment Subject Char"/>
    <w:basedOn w:val="CommentTextChar"/>
    <w:link w:val="CommentSubject"/>
    <w:uiPriority w:val="99"/>
    <w:semiHidden/>
    <w:rsid w:val="00A6243E"/>
    <w:rPr>
      <w:rFonts w:ascii="Arial" w:hAnsi="Arial"/>
      <w:b/>
      <w:bCs/>
    </w:rPr>
  </w:style>
  <w:style w:type="character" w:styleId="UnresolvedMention">
    <w:name w:val="Unresolved Mention"/>
    <w:basedOn w:val="DefaultParagraphFont"/>
    <w:uiPriority w:val="99"/>
    <w:semiHidden/>
    <w:unhideWhenUsed/>
    <w:rsid w:val="004C7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2480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oviders.dhhs.vic.gov.au/health-human-services-activity-search"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olicy@dhhs.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health.vic.gov.au/alcohol-and-drugs/aod-service-standards-guidelines/aod-program-guidelin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2.health.vic.gov.au/alcohol-and-drugs/aod-service-standards-guidelines/aod-program-guidelines" TargetMode="External"/><Relationship Id="rId14" Type="http://schemas.openxmlformats.org/officeDocument/2006/relationships/hyperlink" Target="http://providers.dhhs.vic.gov.au/health-human-services-activity-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19253B2-7071-4E45-A123-FE55F42F11A9}">
  <ds:schemaRefs>
    <ds:schemaRef ds:uri="http://schemas.openxmlformats.org/officeDocument/2006/bibliography"/>
  </ds:schemaRefs>
</ds:datastoreItem>
</file>

<file path=customXml/itemProps2.xml><?xml version="1.0" encoding="utf-8"?>
<ds:datastoreItem xmlns:ds="http://schemas.openxmlformats.org/officeDocument/2006/customXml" ds:itemID="{C9EB837C-405C-4E27-866F-D4ED97E447C2}"/>
</file>

<file path=customXml/itemProps3.xml><?xml version="1.0" encoding="utf-8"?>
<ds:datastoreItem xmlns:ds="http://schemas.openxmlformats.org/officeDocument/2006/customXml" ds:itemID="{81A66B7B-B5E5-4417-84B7-EF72164A8E88}"/>
</file>

<file path=customXml/itemProps4.xml><?xml version="1.0" encoding="utf-8"?>
<ds:datastoreItem xmlns:ds="http://schemas.openxmlformats.org/officeDocument/2006/customXml" ds:itemID="{AF943161-4182-40B5-A700-1B899DB67A1A}"/>
</file>

<file path=docProps/app.xml><?xml version="1.0" encoding="utf-8"?>
<Properties xmlns="http://schemas.openxmlformats.org/officeDocument/2006/extended-properties" xmlns:vt="http://schemas.openxmlformats.org/officeDocument/2006/docPropsVTypes">
  <Template>DHHS Factsheet 01 Navy 2765.dot</Template>
  <TotalTime>2</TotalTime>
  <Pages>2</Pages>
  <Words>465</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Activity description health Forensic Counselling Consultancy Cont Care 34208</vt:lpstr>
    </vt:vector>
  </TitlesOfParts>
  <Company>Department of Health and Human Services</Company>
  <LinksUpToDate>false</LinksUpToDate>
  <CharactersWithSpaces>4129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Forensic Counselling Consultancy Cont Care 34208</dc:title>
  <dc:subject>service agreement activity descriptions</dc:subject>
  <dc:creator>Service Agreement Policy unit</dc:creator>
  <cp:keywords>service agreement;Activity description;health;drug services;Forensic Counselling Consultancy Cont Care;34208</cp:keywords>
  <cp:lastModifiedBy>Louise Crowther (DHHS)</cp:lastModifiedBy>
  <cp:revision>3</cp:revision>
  <cp:lastPrinted>2019-01-08T23:20:00Z</cp:lastPrinted>
  <dcterms:created xsi:type="dcterms:W3CDTF">2019-06-11T06:32:00Z</dcterms:created>
  <dcterms:modified xsi:type="dcterms:W3CDTF">2019-06-11T06:33:00Z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