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E7531" w14:textId="77777777" w:rsidR="0074696E" w:rsidRPr="004C6EEE" w:rsidRDefault="00457807" w:rsidP="00AD784C">
      <w:pPr>
        <w:pStyle w:val="Spacerparatopoffirstpage"/>
      </w:pPr>
      <w:r>
        <w:rPr>
          <w:lang w:eastAsia="en-AU"/>
        </w:rPr>
        <w:drawing>
          <wp:anchor distT="0" distB="0" distL="114300" distR="114300" simplePos="0" relativeHeight="251657728" behindDoc="1" locked="1" layoutInCell="0" allowOverlap="1" wp14:anchorId="01CC28E1" wp14:editId="1048FD08">
            <wp:simplePos x="0" y="0"/>
            <wp:positionH relativeFrom="page">
              <wp:posOffset>0</wp:posOffset>
            </wp:positionH>
            <wp:positionV relativeFrom="page">
              <wp:posOffset>0</wp:posOffset>
            </wp:positionV>
            <wp:extent cx="7564755" cy="2052955"/>
            <wp:effectExtent l="0" t="0" r="0" b="4445"/>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4755" cy="2052955"/>
                    </a:xfrm>
                    <a:prstGeom prst="rect">
                      <a:avLst/>
                    </a:prstGeom>
                    <a:noFill/>
                  </pic:spPr>
                </pic:pic>
              </a:graphicData>
            </a:graphic>
            <wp14:sizeRelH relativeFrom="page">
              <wp14:pctWidth>0</wp14:pctWidth>
            </wp14:sizeRelH>
            <wp14:sizeRelV relativeFrom="page">
              <wp14:pctHeight>0</wp14:pctHeight>
            </wp14:sizeRelV>
          </wp:anchor>
        </w:drawing>
      </w:r>
    </w:p>
    <w:p w14:paraId="07C2847D" w14:textId="77777777" w:rsidR="00A62D44" w:rsidRPr="004C6EEE" w:rsidRDefault="00A62D44" w:rsidP="00D1443D">
      <w:pPr>
        <w:pStyle w:val="Sectionbreakfirstpage"/>
        <w:rPr>
          <w:rFonts w:eastAsia="Times"/>
          <w:noProof/>
          <w:sz w:val="12"/>
        </w:rPr>
        <w:sectPr w:rsidR="00A62D44" w:rsidRPr="004C6EEE" w:rsidSect="00F922BE">
          <w:footerReference w:type="default" r:id="rId9"/>
          <w:pgSz w:w="11906" w:h="16838" w:code="9"/>
          <w:pgMar w:top="426" w:right="851" w:bottom="1418" w:left="851" w:header="510" w:footer="510" w:gutter="0"/>
          <w:cols w:space="708"/>
          <w:docGrid w:linePitch="360"/>
        </w:sectPr>
      </w:pPr>
    </w:p>
    <w:tbl>
      <w:tblPr>
        <w:tblW w:w="0" w:type="auto"/>
        <w:tblLook w:val="04A0" w:firstRow="1" w:lastRow="0" w:firstColumn="1" w:lastColumn="0" w:noHBand="0" w:noVBand="1"/>
      </w:tblPr>
      <w:tblGrid>
        <w:gridCol w:w="8161"/>
      </w:tblGrid>
      <w:tr w:rsidR="00AD784C" w14:paraId="4E8316FE" w14:textId="77777777" w:rsidTr="00FB5815">
        <w:trPr>
          <w:trHeight w:val="903"/>
        </w:trPr>
        <w:tc>
          <w:tcPr>
            <w:tcW w:w="8161" w:type="dxa"/>
            <w:shd w:val="clear" w:color="auto" w:fill="auto"/>
            <w:vAlign w:val="bottom"/>
          </w:tcPr>
          <w:p w14:paraId="4C615EEA" w14:textId="77777777" w:rsidR="00AD784C" w:rsidRPr="00DE4E5C" w:rsidRDefault="00B01076" w:rsidP="00DC21DB">
            <w:pPr>
              <w:pStyle w:val="DHHSmainheading"/>
              <w:spacing w:line="270" w:lineRule="atLeast"/>
              <w:rPr>
                <w:sz w:val="44"/>
                <w:szCs w:val="44"/>
              </w:rPr>
            </w:pPr>
            <w:r w:rsidRPr="00B01076">
              <w:rPr>
                <w:rFonts w:cs="Arial"/>
                <w:sz w:val="44"/>
                <w:szCs w:val="44"/>
              </w:rPr>
              <w:t>Flexible Funding</w:t>
            </w:r>
            <w:r w:rsidR="00F922BE" w:rsidRPr="00803B50">
              <w:rPr>
                <w:rFonts w:cs="Arial"/>
                <w:sz w:val="36"/>
                <w:szCs w:val="36"/>
              </w:rPr>
              <w:br/>
            </w:r>
            <w:r w:rsidR="00BF20D5">
              <w:rPr>
                <w:rFonts w:cs="Arial"/>
                <w:sz w:val="44"/>
                <w:szCs w:val="44"/>
              </w:rPr>
              <w:t>314</w:t>
            </w:r>
            <w:r>
              <w:rPr>
                <w:rFonts w:cs="Arial"/>
                <w:sz w:val="44"/>
                <w:szCs w:val="44"/>
              </w:rPr>
              <w:t>37</w:t>
            </w:r>
          </w:p>
        </w:tc>
      </w:tr>
      <w:tr w:rsidR="00AD784C" w14:paraId="74415B1D" w14:textId="77777777" w:rsidTr="00FB5815">
        <w:trPr>
          <w:trHeight w:hRule="exact" w:val="1181"/>
        </w:trPr>
        <w:tc>
          <w:tcPr>
            <w:tcW w:w="8161" w:type="dxa"/>
            <w:shd w:val="clear" w:color="auto" w:fill="auto"/>
            <w:tcMar>
              <w:top w:w="170" w:type="dxa"/>
              <w:bottom w:w="510" w:type="dxa"/>
            </w:tcMar>
          </w:tcPr>
          <w:p w14:paraId="1615DBE7" w14:textId="77777777" w:rsidR="00803B50" w:rsidRDefault="00F922BE" w:rsidP="005E76EA">
            <w:pPr>
              <w:pStyle w:val="DHHSmainsubheading"/>
              <w:rPr>
                <w:szCs w:val="28"/>
              </w:rPr>
            </w:pPr>
            <w:r>
              <w:rPr>
                <w:szCs w:val="28"/>
              </w:rPr>
              <w:t>Outcome objective</w:t>
            </w:r>
            <w:r w:rsidR="00DE4E5C">
              <w:rPr>
                <w:szCs w:val="28"/>
              </w:rPr>
              <w:t>:</w:t>
            </w:r>
            <w:r>
              <w:rPr>
                <w:szCs w:val="28"/>
              </w:rPr>
              <w:t xml:space="preserve"> </w:t>
            </w:r>
            <w:r w:rsidR="00803B50">
              <w:rPr>
                <w:szCs w:val="28"/>
              </w:rPr>
              <w:t>Victorians are safe and secure</w:t>
            </w:r>
          </w:p>
          <w:p w14:paraId="5FA1E749" w14:textId="77777777" w:rsidR="00DE4E5C" w:rsidRDefault="00F922BE" w:rsidP="005E76EA">
            <w:pPr>
              <w:pStyle w:val="DHHSmainsubheading"/>
              <w:rPr>
                <w:szCs w:val="28"/>
              </w:rPr>
            </w:pPr>
            <w:r>
              <w:rPr>
                <w:szCs w:val="28"/>
              </w:rPr>
              <w:t xml:space="preserve">Output group: </w:t>
            </w:r>
            <w:r w:rsidR="00803B50" w:rsidRPr="00803B50">
              <w:rPr>
                <w:szCs w:val="28"/>
              </w:rPr>
              <w:t>Child protection and family services</w:t>
            </w:r>
          </w:p>
          <w:p w14:paraId="6132C877" w14:textId="77777777" w:rsidR="00F922BE" w:rsidRPr="00AD784C" w:rsidRDefault="00F922BE" w:rsidP="00D1443D">
            <w:pPr>
              <w:pStyle w:val="DHHSmainsubheading"/>
              <w:rPr>
                <w:szCs w:val="28"/>
              </w:rPr>
            </w:pPr>
            <w:r>
              <w:rPr>
                <w:szCs w:val="28"/>
              </w:rPr>
              <w:t xml:space="preserve">Output: </w:t>
            </w:r>
            <w:r w:rsidR="00803B50" w:rsidRPr="00803B50">
              <w:rPr>
                <w:szCs w:val="28"/>
              </w:rPr>
              <w:t>Family and community services</w:t>
            </w:r>
          </w:p>
        </w:tc>
      </w:tr>
    </w:tbl>
    <w:p w14:paraId="0A51583B" w14:textId="77777777" w:rsidR="007173CA" w:rsidRDefault="007173CA" w:rsidP="006C7A1F">
      <w:pPr>
        <w:pStyle w:val="DHHSbody"/>
        <w:spacing w:beforeLines="40" w:before="96"/>
        <w:sectPr w:rsidR="007173CA" w:rsidSect="00F922BE">
          <w:headerReference w:type="default" r:id="rId10"/>
          <w:footerReference w:type="default" r:id="rId11"/>
          <w:type w:val="continuous"/>
          <w:pgSz w:w="11906" w:h="16838" w:code="9"/>
          <w:pgMar w:top="993" w:right="851" w:bottom="1134" w:left="851" w:header="567" w:footer="510" w:gutter="0"/>
          <w:cols w:space="340"/>
          <w:titlePg/>
          <w:docGrid w:linePitch="360"/>
        </w:sectPr>
      </w:pPr>
      <w:bookmarkStart w:id="0" w:name="_Toc440566508"/>
    </w:p>
    <w:bookmarkEnd w:id="0"/>
    <w:p w14:paraId="6DB28A1A" w14:textId="77777777" w:rsidR="00A62D44" w:rsidRDefault="00B70F76" w:rsidP="0045263F">
      <w:pPr>
        <w:pStyle w:val="Heading1"/>
      </w:pPr>
      <w:r w:rsidRPr="00B70F76">
        <w:t>1.</w:t>
      </w:r>
      <w:r>
        <w:t xml:space="preserve"> </w:t>
      </w:r>
      <w:r w:rsidR="00DF6BAF">
        <w:t xml:space="preserve">Service Objective </w:t>
      </w:r>
    </w:p>
    <w:p w14:paraId="7568E9E6" w14:textId="77777777" w:rsidR="00B01076" w:rsidRDefault="00B01076" w:rsidP="00B01076">
      <w:pPr>
        <w:pStyle w:val="DHHSbody"/>
        <w:rPr>
          <w:b/>
          <w:bCs/>
        </w:rPr>
      </w:pPr>
      <w:bookmarkStart w:id="1" w:name="_Toc256778633"/>
      <w:r w:rsidRPr="00B01076">
        <w:t>Flexible Funding is available to children and families receiving support through child and family services. Flexible Funding should enable families to make positive and enduring change that will promote the safety and wellbeing of their children and young people.</w:t>
      </w:r>
    </w:p>
    <w:p w14:paraId="54E21078" w14:textId="77777777" w:rsidR="00DF6BAF" w:rsidRDefault="00DE4E5C" w:rsidP="0045263F">
      <w:pPr>
        <w:pStyle w:val="Heading1"/>
      </w:pPr>
      <w:r>
        <w:t>2</w:t>
      </w:r>
      <w:r w:rsidR="00B70F76" w:rsidRPr="00B70F76">
        <w:t xml:space="preserve">. </w:t>
      </w:r>
      <w:r w:rsidR="00DF6BAF">
        <w:t>Description of the service</w:t>
      </w:r>
    </w:p>
    <w:p w14:paraId="7F9EA56E" w14:textId="77777777" w:rsidR="00B01076" w:rsidRPr="00B01076" w:rsidRDefault="00B01076" w:rsidP="00B01076">
      <w:pPr>
        <w:pStyle w:val="DHHSbody"/>
      </w:pPr>
      <w:r w:rsidRPr="00B01076">
        <w:t>Flexible Funding will support the implementation of individualised case plans for children and families.</w:t>
      </w:r>
    </w:p>
    <w:p w14:paraId="4258642D" w14:textId="17530E89" w:rsidR="00B01076" w:rsidRDefault="00B01076" w:rsidP="00591A79">
      <w:pPr>
        <w:pStyle w:val="DHHSbody"/>
        <w:rPr>
          <w:b/>
          <w:bCs/>
        </w:rPr>
      </w:pPr>
      <w:r w:rsidRPr="00B01076">
        <w:t>Flexible Funding can provide practical support and services to minimise children, young people and families requiring more intensive intervention. Funding should enable families to make positive and enduring change that will increase parenting capacity and promote the safety and wellbeing of their children and young people</w:t>
      </w:r>
    </w:p>
    <w:p w14:paraId="5407EE82" w14:textId="77777777" w:rsidR="00B70F76" w:rsidRPr="00B70F76" w:rsidRDefault="00DF6BAF" w:rsidP="0045263F">
      <w:pPr>
        <w:pStyle w:val="Heading1"/>
      </w:pPr>
      <w:r>
        <w:t xml:space="preserve">3. </w:t>
      </w:r>
      <w:r w:rsidR="00B70F76" w:rsidRPr="00B70F76">
        <w:t>Client group</w:t>
      </w:r>
    </w:p>
    <w:p w14:paraId="4F55DB1A" w14:textId="77777777" w:rsidR="00B01076" w:rsidRDefault="00B01076" w:rsidP="0045263F">
      <w:pPr>
        <w:pStyle w:val="DHHSbody"/>
      </w:pPr>
      <w:r w:rsidRPr="00B01076">
        <w:t>Flexible Funding is available to vulnerable children, young people and their families (inclusive of unborn, infants, children, young people, mothers, fathers, parents, siblings, carers, and carer families) accessing support through Intake and Access, Individual Child and Family Support and Specialised Interventions.</w:t>
      </w:r>
    </w:p>
    <w:p w14:paraId="2BC3412C" w14:textId="77777777" w:rsidR="002D1AA5" w:rsidRDefault="00DF6BAF" w:rsidP="0045263F">
      <w:pPr>
        <w:pStyle w:val="Heading1"/>
      </w:pPr>
      <w:r w:rsidRPr="00803B50">
        <w:t>4</w:t>
      </w:r>
      <w:r w:rsidR="00B70F76" w:rsidRPr="00803B50">
        <w:t xml:space="preserve">. Obligations specific to this </w:t>
      </w:r>
      <w:r w:rsidR="00EC4117" w:rsidRPr="00803B50">
        <w:t>activity</w:t>
      </w:r>
    </w:p>
    <w:p w14:paraId="7CA80ED2" w14:textId="77777777" w:rsidR="00B70F76" w:rsidRDefault="00DF6BAF" w:rsidP="006C7A1F">
      <w:pPr>
        <w:pStyle w:val="DHHSbody"/>
        <w:spacing w:beforeLines="40" w:before="96"/>
      </w:pPr>
      <w:r>
        <w:t>In addition to the obligations listed in the Service Agreement, o</w:t>
      </w:r>
      <w:r w:rsidR="002B3651">
        <w:t xml:space="preserve">rganisations funded to deliver this </w:t>
      </w:r>
      <w:r w:rsidR="00EC4117">
        <w:t xml:space="preserve">activity </w:t>
      </w:r>
      <w:r w:rsidR="002B3651">
        <w:t>must comply with the following:</w:t>
      </w:r>
    </w:p>
    <w:p w14:paraId="564D8653" w14:textId="77777777" w:rsidR="001A15EB" w:rsidRPr="001F3DE2" w:rsidRDefault="001A15EB" w:rsidP="0045263F">
      <w:pPr>
        <w:pStyle w:val="Heading2"/>
      </w:pPr>
      <w:r w:rsidRPr="001F3DE2">
        <w:t xml:space="preserve">4a.  Registration and Accreditation </w:t>
      </w:r>
    </w:p>
    <w:p w14:paraId="7726F7B0" w14:textId="77777777" w:rsidR="001A15EB" w:rsidRPr="0045263F" w:rsidRDefault="001A15EB" w:rsidP="0045263F">
      <w:pPr>
        <w:pStyle w:val="DHHSbullet1"/>
        <w:rPr>
          <w:rStyle w:val="DHHSbodyChar"/>
        </w:rPr>
      </w:pPr>
      <w:r w:rsidRPr="0045263F">
        <w:rPr>
          <w:rStyle w:val="DHHSbodyChar"/>
        </w:rPr>
        <w:t>Independent review and accreditation against the department’s Human Services Standards, unless exempted</w:t>
      </w:r>
    </w:p>
    <w:p w14:paraId="2CF91D77" w14:textId="77777777" w:rsidR="001A15EB" w:rsidRPr="0045263F" w:rsidRDefault="001A15EB" w:rsidP="0045263F">
      <w:pPr>
        <w:pStyle w:val="DHHSbullet1"/>
        <w:rPr>
          <w:rStyle w:val="DHHSbodyChar"/>
        </w:rPr>
      </w:pPr>
      <w:r w:rsidRPr="0045263F">
        <w:rPr>
          <w:rStyle w:val="DHHSbodyChar"/>
        </w:rPr>
        <w:t>Registration under the Children, Youth and Families Act 2005</w:t>
      </w:r>
    </w:p>
    <w:p w14:paraId="6BEC21E3" w14:textId="77777777" w:rsidR="001A15EB" w:rsidRPr="001F3DE2" w:rsidRDefault="001A15EB" w:rsidP="0045263F">
      <w:pPr>
        <w:pStyle w:val="Heading2"/>
      </w:pPr>
      <w:r w:rsidRPr="001F3DE2">
        <w:t xml:space="preserve">4b. Program requirements and other policy guidelines </w:t>
      </w:r>
    </w:p>
    <w:p w14:paraId="61AF9277" w14:textId="77777777" w:rsidR="005271BB" w:rsidRPr="005271BB" w:rsidRDefault="00FB5815" w:rsidP="005A75DD">
      <w:pPr>
        <w:pStyle w:val="DHHSbullet1"/>
        <w:rPr>
          <w:color w:val="3366FF"/>
          <w:u w:val="dotted"/>
        </w:rPr>
      </w:pPr>
      <w:hyperlink r:id="rId12" w:history="1">
        <w:r w:rsidR="00B01076" w:rsidRPr="0045263F">
          <w:rPr>
            <w:rStyle w:val="Hyperlink"/>
            <w:color w:val="7030A0"/>
          </w:rPr>
          <w:t>A strategic framework for Family Services</w:t>
        </w:r>
      </w:hyperlink>
      <w:r w:rsidR="0045263F">
        <w:t xml:space="preserve">  </w:t>
      </w:r>
    </w:p>
    <w:p w14:paraId="18526EB4" w14:textId="7D9BEBBC" w:rsidR="0045263F" w:rsidRPr="0045263F" w:rsidRDefault="0045263F" w:rsidP="005271BB">
      <w:pPr>
        <w:pStyle w:val="DHHSbullet1"/>
        <w:numPr>
          <w:ilvl w:val="0"/>
          <w:numId w:val="0"/>
        </w:numPr>
        <w:ind w:left="284"/>
        <w:rPr>
          <w:color w:val="3366FF"/>
          <w:u w:val="dotted"/>
        </w:rPr>
      </w:pPr>
      <w:r>
        <w:t>&lt;</w:t>
      </w:r>
      <w:r w:rsidRPr="0045263F">
        <w:t>https://providers.dhhs.vic.gov.au/sites/dhhsproviders/files/2017-08/strategic-framework-for-family-services-2007.pdf</w:t>
      </w:r>
      <w:r>
        <w:t>&gt;</w:t>
      </w:r>
      <w:r w:rsidR="00B01076">
        <w:t xml:space="preserve"> </w:t>
      </w:r>
    </w:p>
    <w:p w14:paraId="25B56D86" w14:textId="78F70443" w:rsidR="00B01076" w:rsidRPr="00591A79" w:rsidRDefault="00FB5815" w:rsidP="005A75DD">
      <w:pPr>
        <w:pStyle w:val="DHHSbullet1"/>
        <w:rPr>
          <w:rStyle w:val="Hyperlink"/>
        </w:rPr>
      </w:pPr>
      <w:hyperlink r:id="rId13" w:history="1">
        <w:r w:rsidR="00B01076" w:rsidRPr="0045263F">
          <w:rPr>
            <w:rStyle w:val="Hyperlink"/>
          </w:rPr>
          <w:t>Program requirements for family and early parenting services in Victoria</w:t>
        </w:r>
      </w:hyperlink>
      <w:r w:rsidR="00B01076">
        <w:t xml:space="preserve"> </w:t>
      </w:r>
      <w:r w:rsidR="00B01076" w:rsidRPr="005271BB">
        <w:t>&lt;https://providers.dhhs.vic.gov.au/program-requirements-family-and-early-parenting-services-word&gt;</w:t>
      </w:r>
    </w:p>
    <w:p w14:paraId="44AFAEF4" w14:textId="77777777" w:rsidR="005271BB" w:rsidRPr="005271BB" w:rsidRDefault="00FB5815" w:rsidP="002C5539">
      <w:pPr>
        <w:pStyle w:val="DHHSbullet1"/>
        <w:rPr>
          <w:rStyle w:val="Hyperlink"/>
          <w:color w:val="auto"/>
          <w:u w:val="none"/>
        </w:rPr>
      </w:pPr>
      <w:hyperlink r:id="rId14" w:history="1">
        <w:r w:rsidR="00B01076" w:rsidRPr="005271BB">
          <w:rPr>
            <w:rStyle w:val="Hyperlink"/>
            <w:color w:val="7030A0"/>
          </w:rPr>
          <w:t>The Best Interests framework for vulnerable children and youth</w:t>
        </w:r>
      </w:hyperlink>
      <w:r w:rsidR="005271BB" w:rsidRPr="005271BB">
        <w:rPr>
          <w:rStyle w:val="Hyperlink"/>
          <w:color w:val="7030A0"/>
        </w:rPr>
        <w:t xml:space="preserve"> </w:t>
      </w:r>
    </w:p>
    <w:p w14:paraId="3C3767AD" w14:textId="40D84A85" w:rsidR="00B01076" w:rsidRPr="005271BB" w:rsidRDefault="005271BB" w:rsidP="005271BB">
      <w:pPr>
        <w:pStyle w:val="DHHSbullet1"/>
        <w:numPr>
          <w:ilvl w:val="0"/>
          <w:numId w:val="0"/>
        </w:numPr>
        <w:ind w:left="284"/>
      </w:pPr>
      <w:r w:rsidRPr="005271BB">
        <w:t>&lt;h</w:t>
      </w:r>
      <w:r w:rsidR="00B01076" w:rsidRPr="005271BB">
        <w:t>ttps://providers.dhhs.vic.gov.au/best-interests-framework-vulnerable-children-and-youth-pdf&gt;</w:t>
      </w:r>
    </w:p>
    <w:p w14:paraId="45459F94" w14:textId="77777777" w:rsidR="005271BB" w:rsidRPr="005271BB" w:rsidRDefault="00FB5815" w:rsidP="00B01076">
      <w:pPr>
        <w:pStyle w:val="DHHSbullet1"/>
        <w:rPr>
          <w:u w:val="dotted"/>
        </w:rPr>
      </w:pPr>
      <w:hyperlink r:id="rId15" w:history="1">
        <w:r w:rsidR="00B01076" w:rsidRPr="0045263F">
          <w:rPr>
            <w:rStyle w:val="Hyperlink"/>
            <w:color w:val="7030A0"/>
          </w:rPr>
          <w:t>Best interests case practice model – Summary guide</w:t>
        </w:r>
      </w:hyperlink>
      <w:r w:rsidR="00B01076" w:rsidRPr="0045263F">
        <w:rPr>
          <w:color w:val="7030A0"/>
        </w:rPr>
        <w:t xml:space="preserve"> </w:t>
      </w:r>
    </w:p>
    <w:p w14:paraId="349121F4" w14:textId="71928114" w:rsidR="00B01076" w:rsidRPr="0045263F" w:rsidRDefault="00B01076" w:rsidP="005271BB">
      <w:pPr>
        <w:pStyle w:val="DHHSbullet1"/>
        <w:numPr>
          <w:ilvl w:val="0"/>
          <w:numId w:val="0"/>
        </w:numPr>
        <w:ind w:left="284"/>
        <w:rPr>
          <w:rStyle w:val="Hyperlink"/>
          <w:color w:val="auto"/>
        </w:rPr>
      </w:pPr>
      <w:bookmarkStart w:id="2" w:name="_GoBack"/>
      <w:bookmarkEnd w:id="2"/>
      <w:r w:rsidRPr="00B01076">
        <w:t>&lt;</w:t>
      </w:r>
      <w:r w:rsidR="00F46DEA" w:rsidRPr="00F46DEA">
        <w:t>https://dhhs.vic.gov.au/publications/best-interests-case-practice-model-summary-guide</w:t>
      </w:r>
      <w:r w:rsidRPr="005271BB">
        <w:t>&gt;</w:t>
      </w:r>
    </w:p>
    <w:p w14:paraId="3ED059C5" w14:textId="619DCBAF" w:rsidR="00DC21DB" w:rsidRPr="00DC21DB" w:rsidRDefault="00DC21DB" w:rsidP="0045263F">
      <w:pPr>
        <w:pStyle w:val="Heading1"/>
      </w:pPr>
      <w:r w:rsidRPr="00DC21DB">
        <w:lastRenderedPageBreak/>
        <w:t xml:space="preserve">5. </w:t>
      </w:r>
      <w:r>
        <w:t>Performance</w:t>
      </w:r>
    </w:p>
    <w:p w14:paraId="5A10A305" w14:textId="77777777" w:rsidR="00575BC9" w:rsidRPr="001F1A17" w:rsidRDefault="00E05E8D" w:rsidP="0045263F">
      <w:pPr>
        <w:pStyle w:val="DHHSbody"/>
      </w:pPr>
      <w:r>
        <w:t>Funding is subject to</w:t>
      </w:r>
      <w:r w:rsidR="0017293C">
        <w:t xml:space="preserve"> achieving</w:t>
      </w:r>
      <w:r>
        <w:t xml:space="preserve"> the</w:t>
      </w:r>
      <w:r w:rsidR="00575BC9" w:rsidRPr="00171F04">
        <w:t xml:space="preserve"> </w:t>
      </w:r>
      <w:r w:rsidR="00895643">
        <w:t xml:space="preserve">performance </w:t>
      </w:r>
      <w:r>
        <w:t xml:space="preserve">targets </w:t>
      </w:r>
      <w:r w:rsidR="00895643">
        <w:t xml:space="preserve">specified in </w:t>
      </w:r>
      <w:r w:rsidR="00575BC9">
        <w:t>Schedule 2 of the Service Agreement</w:t>
      </w:r>
      <w:r w:rsidR="00895643">
        <w:t>.</w:t>
      </w:r>
      <w:r w:rsidR="006C7A1F">
        <w:t xml:space="preserve"> </w:t>
      </w:r>
      <w:r>
        <w:t xml:space="preserve">Performance is measured as follows:  </w:t>
      </w:r>
    </w:p>
    <w:p w14:paraId="4B4AE975" w14:textId="77777777" w:rsidR="00575BC9" w:rsidRPr="000E2F2F" w:rsidRDefault="00E05E8D" w:rsidP="0045263F">
      <w:pPr>
        <w:pStyle w:val="Heading2"/>
        <w:rPr>
          <w:color w:val="FF0000"/>
        </w:rPr>
      </w:pPr>
      <w:r>
        <w:t>Key performance measure</w:t>
      </w:r>
      <w:r w:rsidR="00803B50">
        <w:t xml:space="preserve"> 1</w:t>
      </w:r>
      <w:r w:rsidR="00575BC9" w:rsidRPr="00575BC9">
        <w:t xml:space="preserve">: </w:t>
      </w:r>
      <w:r w:rsidR="00B01076" w:rsidRPr="00B01076">
        <w:rPr>
          <w:rStyle w:val="DHHSbodyChar"/>
        </w:rPr>
        <w:t>Amount of Flexible Funding expended in the reporting period.</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B01076" w:rsidRPr="00C237A0" w14:paraId="5FCA41FF" w14:textId="77777777" w:rsidTr="0045263F">
        <w:trPr>
          <w:cantSplit/>
          <w:trHeight w:hRule="exact" w:val="685"/>
        </w:trPr>
        <w:tc>
          <w:tcPr>
            <w:tcW w:w="2835" w:type="dxa"/>
          </w:tcPr>
          <w:p w14:paraId="13EB03E6" w14:textId="77777777" w:rsidR="00B01076" w:rsidRPr="0017293C" w:rsidRDefault="00B01076" w:rsidP="0017293C">
            <w:pPr>
              <w:pStyle w:val="DHHStablecolhead"/>
            </w:pPr>
            <w:r w:rsidRPr="00575BC9">
              <w:t>Aim/objective</w:t>
            </w:r>
          </w:p>
        </w:tc>
        <w:tc>
          <w:tcPr>
            <w:tcW w:w="7379" w:type="dxa"/>
          </w:tcPr>
          <w:p w14:paraId="3A015297" w14:textId="3404C1F3" w:rsidR="00B01076" w:rsidRPr="00FB1B0A" w:rsidRDefault="003F09A2" w:rsidP="006805C7">
            <w:pPr>
              <w:pStyle w:val="DHHStabletext"/>
            </w:pPr>
            <w:r w:rsidRPr="003F09A2">
              <w:t>This performance measure is the amount of Flexible Funding expended in the reporting period.</w:t>
            </w:r>
          </w:p>
        </w:tc>
      </w:tr>
      <w:tr w:rsidR="00B8690F" w:rsidRPr="00C237A0" w14:paraId="3AC65BDA" w14:textId="77777777" w:rsidTr="0045263F">
        <w:trPr>
          <w:cantSplit/>
          <w:trHeight w:hRule="exact" w:val="340"/>
        </w:trPr>
        <w:tc>
          <w:tcPr>
            <w:tcW w:w="2835" w:type="dxa"/>
          </w:tcPr>
          <w:p w14:paraId="6D52B6FD" w14:textId="77777777" w:rsidR="00B8690F" w:rsidRPr="0017293C" w:rsidRDefault="00B8690F" w:rsidP="0017293C">
            <w:pPr>
              <w:pStyle w:val="DHHStablecolhead"/>
            </w:pPr>
            <w:r w:rsidRPr="00575BC9">
              <w:t>Target</w:t>
            </w:r>
          </w:p>
        </w:tc>
        <w:tc>
          <w:tcPr>
            <w:tcW w:w="7379" w:type="dxa"/>
          </w:tcPr>
          <w:p w14:paraId="19430292" w14:textId="77777777" w:rsidR="00B8690F" w:rsidRPr="002F7C4B" w:rsidRDefault="00B8690F" w:rsidP="0017293C">
            <w:pPr>
              <w:pStyle w:val="DHHSbody"/>
              <w:spacing w:after="0"/>
              <w:rPr>
                <w:color w:val="7030A0"/>
              </w:rPr>
            </w:pPr>
            <w:r>
              <w:t>The performance measure target is provided in the Service Agreement.</w:t>
            </w:r>
          </w:p>
        </w:tc>
      </w:tr>
      <w:tr w:rsidR="00B8690F" w:rsidRPr="00C237A0" w14:paraId="1B3FA846" w14:textId="77777777" w:rsidTr="0045263F">
        <w:trPr>
          <w:cantSplit/>
          <w:trHeight w:hRule="exact" w:val="340"/>
        </w:trPr>
        <w:tc>
          <w:tcPr>
            <w:tcW w:w="2835" w:type="dxa"/>
          </w:tcPr>
          <w:p w14:paraId="66BE989A" w14:textId="77777777" w:rsidR="00B8690F" w:rsidRPr="0017293C" w:rsidRDefault="00B8690F" w:rsidP="0017293C">
            <w:pPr>
              <w:pStyle w:val="DHHStablecolhead"/>
            </w:pPr>
            <w:r w:rsidRPr="00575BC9">
              <w:t>Type of count</w:t>
            </w:r>
          </w:p>
        </w:tc>
        <w:tc>
          <w:tcPr>
            <w:tcW w:w="7379" w:type="dxa"/>
          </w:tcPr>
          <w:p w14:paraId="38F1470E" w14:textId="77777777" w:rsidR="00B8690F" w:rsidRPr="00C237A0" w:rsidRDefault="00B01076" w:rsidP="00B01076">
            <w:pPr>
              <w:pStyle w:val="DHHStabletext"/>
              <w:spacing w:before="0" w:after="0"/>
            </w:pPr>
            <w:r>
              <w:rPr>
                <w:color w:val="7030A0"/>
              </w:rPr>
              <w:fldChar w:fldCharType="begin">
                <w:ffData>
                  <w:name w:val="Check2"/>
                  <w:enabled/>
                  <w:calcOnExit w:val="0"/>
                  <w:checkBox>
                    <w:sizeAuto/>
                    <w:default w:val="1"/>
                  </w:checkBox>
                </w:ffData>
              </w:fldChar>
            </w:r>
            <w:bookmarkStart w:id="3" w:name="Check2"/>
            <w:r>
              <w:rPr>
                <w:color w:val="7030A0"/>
              </w:rPr>
              <w:instrText xml:space="preserve"> FORMCHECKBOX </w:instrText>
            </w:r>
            <w:r w:rsidR="00FB5815">
              <w:rPr>
                <w:color w:val="7030A0"/>
              </w:rPr>
            </w:r>
            <w:r w:rsidR="00FB5815">
              <w:rPr>
                <w:color w:val="7030A0"/>
              </w:rPr>
              <w:fldChar w:fldCharType="separate"/>
            </w:r>
            <w:r>
              <w:rPr>
                <w:color w:val="7030A0"/>
              </w:rPr>
              <w:fldChar w:fldCharType="end"/>
            </w:r>
            <w:bookmarkEnd w:id="3"/>
            <w:r w:rsidR="00B8690F">
              <w:rPr>
                <w:color w:val="7030A0"/>
              </w:rPr>
              <w:t xml:space="preserve"> </w:t>
            </w:r>
            <w:r w:rsidR="00B8690F">
              <w:t xml:space="preserve">Cumulative          </w:t>
            </w:r>
            <w:r>
              <w:rPr>
                <w:color w:val="7030A0"/>
              </w:rPr>
              <w:fldChar w:fldCharType="begin">
                <w:ffData>
                  <w:name w:val=""/>
                  <w:enabled/>
                  <w:calcOnExit w:val="0"/>
                  <w:checkBox>
                    <w:sizeAuto/>
                    <w:default w:val="0"/>
                  </w:checkBox>
                </w:ffData>
              </w:fldChar>
            </w:r>
            <w:r>
              <w:rPr>
                <w:color w:val="7030A0"/>
              </w:rPr>
              <w:instrText xml:space="preserve"> FORMCHECKBOX </w:instrText>
            </w:r>
            <w:r w:rsidR="00FB5815">
              <w:rPr>
                <w:color w:val="7030A0"/>
              </w:rPr>
            </w:r>
            <w:r w:rsidR="00FB5815">
              <w:rPr>
                <w:color w:val="7030A0"/>
              </w:rPr>
              <w:fldChar w:fldCharType="separate"/>
            </w:r>
            <w:r>
              <w:rPr>
                <w:color w:val="7030A0"/>
              </w:rPr>
              <w:fldChar w:fldCharType="end"/>
            </w:r>
            <w:r w:rsidR="00B8690F">
              <w:rPr>
                <w:color w:val="7030A0"/>
              </w:rPr>
              <w:t xml:space="preserve"> </w:t>
            </w:r>
            <w:r w:rsidR="00B8690F">
              <w:t>Non-cumulative</w:t>
            </w:r>
          </w:p>
        </w:tc>
      </w:tr>
      <w:tr w:rsidR="00B01076" w:rsidRPr="00C237A0" w14:paraId="7555968B" w14:textId="77777777" w:rsidTr="0045263F">
        <w:trPr>
          <w:cantSplit/>
          <w:trHeight w:hRule="exact" w:val="876"/>
        </w:trPr>
        <w:tc>
          <w:tcPr>
            <w:tcW w:w="2835" w:type="dxa"/>
          </w:tcPr>
          <w:p w14:paraId="74274424" w14:textId="77777777" w:rsidR="00B01076" w:rsidRPr="0017293C" w:rsidRDefault="00B01076" w:rsidP="0017293C">
            <w:pPr>
              <w:pStyle w:val="DHHStablecolhead"/>
            </w:pPr>
            <w:r w:rsidRPr="00575BC9">
              <w:t>Counting rule</w:t>
            </w:r>
          </w:p>
        </w:tc>
        <w:tc>
          <w:tcPr>
            <w:tcW w:w="7379" w:type="dxa"/>
          </w:tcPr>
          <w:p w14:paraId="216E1A8E" w14:textId="77777777" w:rsidR="00B01076" w:rsidRPr="00FB1B0A" w:rsidRDefault="00B01076" w:rsidP="006805C7">
            <w:pPr>
              <w:pStyle w:val="DHHStabletext"/>
              <w:rPr>
                <w:rFonts w:cs="Arial"/>
                <w:lang w:eastAsia="en-AU"/>
              </w:rPr>
            </w:pPr>
            <w:r>
              <w:rPr>
                <w:rFonts w:cs="Arial"/>
                <w:lang w:eastAsia="en-AU"/>
              </w:rPr>
              <w:t>Count the total Flexible F</w:t>
            </w:r>
            <w:r w:rsidRPr="00FB1B0A">
              <w:rPr>
                <w:rFonts w:cs="Arial"/>
                <w:lang w:eastAsia="en-AU"/>
              </w:rPr>
              <w:t xml:space="preserve">unding expended in the reporting period. </w:t>
            </w:r>
          </w:p>
          <w:p w14:paraId="17FD8EA2" w14:textId="77777777" w:rsidR="00B01076" w:rsidRPr="00396DAE" w:rsidRDefault="00B01076" w:rsidP="006805C7">
            <w:pPr>
              <w:pStyle w:val="DHHStabletext"/>
              <w:rPr>
                <w:rFonts w:cs="Arial"/>
                <w:lang w:eastAsia="en-AU"/>
              </w:rPr>
            </w:pPr>
            <w:r>
              <w:rPr>
                <w:rFonts w:cs="Arial"/>
                <w:lang w:eastAsia="en-AU"/>
              </w:rPr>
              <w:t>The total yearly Flexible F</w:t>
            </w:r>
            <w:r w:rsidRPr="00FB1B0A">
              <w:rPr>
                <w:rFonts w:cs="Arial"/>
                <w:lang w:eastAsia="en-AU"/>
              </w:rPr>
              <w:t>unding allocation is divided by 12 to translate to indicative monthly expenditure.</w:t>
            </w:r>
          </w:p>
        </w:tc>
      </w:tr>
      <w:tr w:rsidR="00B01076" w:rsidRPr="00C237A0" w14:paraId="70978E03" w14:textId="77777777" w:rsidTr="0045263F">
        <w:trPr>
          <w:cantSplit/>
          <w:trHeight w:hRule="exact" w:val="705"/>
        </w:trPr>
        <w:tc>
          <w:tcPr>
            <w:tcW w:w="2835" w:type="dxa"/>
          </w:tcPr>
          <w:p w14:paraId="6F7D4D73" w14:textId="77777777" w:rsidR="00B01076" w:rsidRPr="0017293C" w:rsidRDefault="00B01076" w:rsidP="0017293C">
            <w:pPr>
              <w:pStyle w:val="DHHStablecolhead"/>
            </w:pPr>
            <w:r w:rsidRPr="00575BC9">
              <w:t>Data source(s) collection</w:t>
            </w:r>
          </w:p>
        </w:tc>
        <w:tc>
          <w:tcPr>
            <w:tcW w:w="7379" w:type="dxa"/>
          </w:tcPr>
          <w:p w14:paraId="351137D4" w14:textId="77777777" w:rsidR="00B01076" w:rsidRPr="00F72742" w:rsidRDefault="00B01076" w:rsidP="006805C7">
            <w:pPr>
              <w:pStyle w:val="Instructiontext"/>
              <w:rPr>
                <w:color w:val="auto"/>
              </w:rPr>
            </w:pPr>
            <w:r w:rsidRPr="00FB1B0A">
              <w:rPr>
                <w:color w:val="auto"/>
              </w:rPr>
              <w:t>Service Delivery Tracking System (via the Funded Agency Channel)</w:t>
            </w:r>
          </w:p>
        </w:tc>
      </w:tr>
      <w:tr w:rsidR="00B01076" w:rsidRPr="00C237A0" w14:paraId="03BDD4D8" w14:textId="77777777" w:rsidTr="0045263F">
        <w:trPr>
          <w:cantSplit/>
          <w:trHeight w:hRule="exact" w:val="714"/>
        </w:trPr>
        <w:tc>
          <w:tcPr>
            <w:tcW w:w="2835" w:type="dxa"/>
          </w:tcPr>
          <w:p w14:paraId="01300CAB" w14:textId="77777777" w:rsidR="00B01076" w:rsidRPr="0017293C" w:rsidRDefault="00B01076" w:rsidP="0017293C">
            <w:pPr>
              <w:pStyle w:val="DHHStablecolhead"/>
            </w:pPr>
            <w:r w:rsidRPr="00575BC9">
              <w:t>Definition of terms</w:t>
            </w:r>
          </w:p>
        </w:tc>
        <w:tc>
          <w:tcPr>
            <w:tcW w:w="7379" w:type="dxa"/>
          </w:tcPr>
          <w:p w14:paraId="2B62AE1A" w14:textId="77777777" w:rsidR="00B01076" w:rsidRPr="00C55E59" w:rsidRDefault="00B01076" w:rsidP="006805C7">
            <w:pPr>
              <w:pStyle w:val="DHHStabletext"/>
              <w:rPr>
                <w:rFonts w:cs="Arial"/>
                <w:color w:val="000000"/>
                <w:lang w:eastAsia="en-AU"/>
              </w:rPr>
            </w:pPr>
            <w:r w:rsidRPr="00FB1B0A">
              <w:t>‘Expended’</w:t>
            </w:r>
            <w:r>
              <w:t xml:space="preserve"> refers to funds </w:t>
            </w:r>
            <w:proofErr w:type="gramStart"/>
            <w:r>
              <w:t>actually spent</w:t>
            </w:r>
            <w:proofErr w:type="gramEnd"/>
            <w:r w:rsidRPr="00FB1B0A">
              <w:t xml:space="preserve"> and not funds approved for spending.</w:t>
            </w:r>
          </w:p>
        </w:tc>
      </w:tr>
    </w:tbl>
    <w:p w14:paraId="249B26B1" w14:textId="77777777" w:rsidR="00BF20D5" w:rsidRDefault="00BF20D5" w:rsidP="00BF20D5">
      <w:pPr>
        <w:pStyle w:val="DHHStablecaption"/>
        <w:spacing w:before="40"/>
      </w:pPr>
    </w:p>
    <w:p w14:paraId="6F2829AE" w14:textId="77777777" w:rsidR="00B01076" w:rsidRPr="000E2F2F" w:rsidRDefault="00591A79" w:rsidP="0045263F">
      <w:pPr>
        <w:pStyle w:val="Heading2"/>
        <w:rPr>
          <w:color w:val="FF0000"/>
        </w:rPr>
      </w:pPr>
      <w:r>
        <w:t>P</w:t>
      </w:r>
      <w:r w:rsidR="00B01076">
        <w:t>erformance measure 2</w:t>
      </w:r>
      <w:r w:rsidR="00B01076" w:rsidRPr="00575BC9">
        <w:t xml:space="preserve">: </w:t>
      </w:r>
      <w:r w:rsidR="00B01076" w:rsidRPr="00B01076">
        <w:rPr>
          <w:rStyle w:val="DHHSbodyChar"/>
        </w:rPr>
        <w:t>Number of Flexible Funding packages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B01076" w:rsidRPr="00C237A0" w14:paraId="1975EE1F" w14:textId="77777777" w:rsidTr="0045263F">
        <w:trPr>
          <w:cantSplit/>
          <w:trHeight w:hRule="exact" w:val="790"/>
        </w:trPr>
        <w:tc>
          <w:tcPr>
            <w:tcW w:w="2835" w:type="dxa"/>
          </w:tcPr>
          <w:p w14:paraId="72D3E471" w14:textId="77777777" w:rsidR="00B01076" w:rsidRPr="0017293C" w:rsidRDefault="00B01076" w:rsidP="006805C7">
            <w:pPr>
              <w:pStyle w:val="DHHStablecolhead"/>
            </w:pPr>
            <w:r w:rsidRPr="00575BC9">
              <w:t>Aim/objective</w:t>
            </w:r>
          </w:p>
        </w:tc>
        <w:tc>
          <w:tcPr>
            <w:tcW w:w="7379" w:type="dxa"/>
          </w:tcPr>
          <w:p w14:paraId="45EFBEC2" w14:textId="261EA0BA" w:rsidR="00B01076" w:rsidRPr="00FB1B0A" w:rsidRDefault="003F09A2" w:rsidP="006805C7">
            <w:pPr>
              <w:pStyle w:val="DHHStabletext"/>
            </w:pPr>
            <w:r w:rsidRPr="003F09A2">
              <w:t>This performance measure provides information about the total number of Flexible Funding packages provided.</w:t>
            </w:r>
          </w:p>
        </w:tc>
      </w:tr>
      <w:tr w:rsidR="00B01076" w:rsidRPr="00C237A0" w14:paraId="46DBB3D4" w14:textId="77777777" w:rsidTr="0045263F">
        <w:trPr>
          <w:cantSplit/>
          <w:trHeight w:hRule="exact" w:val="340"/>
        </w:trPr>
        <w:tc>
          <w:tcPr>
            <w:tcW w:w="2835" w:type="dxa"/>
          </w:tcPr>
          <w:p w14:paraId="5C3CE657" w14:textId="77777777" w:rsidR="00B01076" w:rsidRPr="0017293C" w:rsidRDefault="00B01076" w:rsidP="006805C7">
            <w:pPr>
              <w:pStyle w:val="DHHStablecolhead"/>
            </w:pPr>
            <w:r w:rsidRPr="00575BC9">
              <w:t>Target</w:t>
            </w:r>
          </w:p>
        </w:tc>
        <w:tc>
          <w:tcPr>
            <w:tcW w:w="7379" w:type="dxa"/>
          </w:tcPr>
          <w:p w14:paraId="275D7199" w14:textId="77777777" w:rsidR="00B01076" w:rsidRPr="002F7C4B" w:rsidRDefault="00B01076" w:rsidP="006805C7">
            <w:pPr>
              <w:pStyle w:val="DHHSbody"/>
              <w:spacing w:after="0"/>
              <w:rPr>
                <w:color w:val="7030A0"/>
              </w:rPr>
            </w:pPr>
            <w:r>
              <w:t>The performance measure target is provided in the Service Agreement.</w:t>
            </w:r>
          </w:p>
        </w:tc>
      </w:tr>
      <w:tr w:rsidR="00B01076" w:rsidRPr="00C237A0" w14:paraId="00C479A9" w14:textId="77777777" w:rsidTr="0045263F">
        <w:trPr>
          <w:cantSplit/>
          <w:trHeight w:hRule="exact" w:val="340"/>
        </w:trPr>
        <w:tc>
          <w:tcPr>
            <w:tcW w:w="2835" w:type="dxa"/>
          </w:tcPr>
          <w:p w14:paraId="758E9D29" w14:textId="77777777" w:rsidR="00B01076" w:rsidRPr="0017293C" w:rsidRDefault="00B01076" w:rsidP="006805C7">
            <w:pPr>
              <w:pStyle w:val="DHHStablecolhead"/>
            </w:pPr>
            <w:r w:rsidRPr="00575BC9">
              <w:t>Type of count</w:t>
            </w:r>
          </w:p>
        </w:tc>
        <w:tc>
          <w:tcPr>
            <w:tcW w:w="7379" w:type="dxa"/>
          </w:tcPr>
          <w:p w14:paraId="7B30233B" w14:textId="77777777" w:rsidR="00B01076" w:rsidRPr="00C237A0" w:rsidRDefault="00B01076" w:rsidP="00B01076">
            <w:pPr>
              <w:pStyle w:val="DHHStabletext"/>
              <w:spacing w:before="0" w:after="0"/>
            </w:pPr>
            <w:r>
              <w:rPr>
                <w:color w:val="7030A0"/>
              </w:rPr>
              <w:fldChar w:fldCharType="begin">
                <w:ffData>
                  <w:name w:val=""/>
                  <w:enabled/>
                  <w:calcOnExit w:val="0"/>
                  <w:checkBox>
                    <w:sizeAuto/>
                    <w:default w:val="1"/>
                  </w:checkBox>
                </w:ffData>
              </w:fldChar>
            </w:r>
            <w:r>
              <w:rPr>
                <w:color w:val="7030A0"/>
              </w:rPr>
              <w:instrText xml:space="preserve"> FORMCHECKBOX </w:instrText>
            </w:r>
            <w:r w:rsidR="00FB5815">
              <w:rPr>
                <w:color w:val="7030A0"/>
              </w:rPr>
            </w:r>
            <w:r w:rsidR="00FB5815">
              <w:rPr>
                <w:color w:val="7030A0"/>
              </w:rPr>
              <w:fldChar w:fldCharType="separate"/>
            </w:r>
            <w:r>
              <w:rPr>
                <w:color w:val="7030A0"/>
              </w:rPr>
              <w:fldChar w:fldCharType="end"/>
            </w:r>
            <w:r>
              <w:rPr>
                <w:color w:val="7030A0"/>
              </w:rPr>
              <w:t xml:space="preserve"> </w:t>
            </w:r>
            <w:r>
              <w:t xml:space="preserve">Cumulative          </w:t>
            </w:r>
            <w:r>
              <w:rPr>
                <w:color w:val="7030A0"/>
              </w:rPr>
              <w:fldChar w:fldCharType="begin">
                <w:ffData>
                  <w:name w:val=""/>
                  <w:enabled/>
                  <w:calcOnExit w:val="0"/>
                  <w:checkBox>
                    <w:sizeAuto/>
                    <w:default w:val="0"/>
                  </w:checkBox>
                </w:ffData>
              </w:fldChar>
            </w:r>
            <w:r>
              <w:rPr>
                <w:color w:val="7030A0"/>
              </w:rPr>
              <w:instrText xml:space="preserve"> FORMCHECKBOX </w:instrText>
            </w:r>
            <w:r w:rsidR="00FB5815">
              <w:rPr>
                <w:color w:val="7030A0"/>
              </w:rPr>
            </w:r>
            <w:r w:rsidR="00FB5815">
              <w:rPr>
                <w:color w:val="7030A0"/>
              </w:rPr>
              <w:fldChar w:fldCharType="separate"/>
            </w:r>
            <w:r>
              <w:rPr>
                <w:color w:val="7030A0"/>
              </w:rPr>
              <w:fldChar w:fldCharType="end"/>
            </w:r>
            <w:r>
              <w:rPr>
                <w:color w:val="7030A0"/>
              </w:rPr>
              <w:t xml:space="preserve"> </w:t>
            </w:r>
            <w:r>
              <w:t>Non-cumulative</w:t>
            </w:r>
          </w:p>
        </w:tc>
      </w:tr>
      <w:tr w:rsidR="00B01076" w:rsidRPr="00C237A0" w14:paraId="709B1966" w14:textId="77777777" w:rsidTr="0045263F">
        <w:trPr>
          <w:cantSplit/>
          <w:trHeight w:hRule="exact" w:val="584"/>
        </w:trPr>
        <w:tc>
          <w:tcPr>
            <w:tcW w:w="2835" w:type="dxa"/>
          </w:tcPr>
          <w:p w14:paraId="0C7BF92D" w14:textId="77777777" w:rsidR="00B01076" w:rsidRPr="0017293C" w:rsidRDefault="00B01076" w:rsidP="006805C7">
            <w:pPr>
              <w:pStyle w:val="DHHStablecolhead"/>
            </w:pPr>
            <w:r w:rsidRPr="00575BC9">
              <w:t>Counting rule</w:t>
            </w:r>
          </w:p>
        </w:tc>
        <w:tc>
          <w:tcPr>
            <w:tcW w:w="7379" w:type="dxa"/>
          </w:tcPr>
          <w:p w14:paraId="0B12F058" w14:textId="77777777" w:rsidR="00B01076" w:rsidRPr="00396DAE" w:rsidRDefault="00B01076" w:rsidP="006805C7">
            <w:pPr>
              <w:pStyle w:val="DHHStabletext"/>
            </w:pPr>
            <w:r w:rsidRPr="00FB1B0A">
              <w:t>Count the number of packag</w:t>
            </w:r>
            <w:r>
              <w:t>es during the reporting period.</w:t>
            </w:r>
          </w:p>
        </w:tc>
      </w:tr>
      <w:tr w:rsidR="00B01076" w:rsidRPr="00C237A0" w14:paraId="559004E2" w14:textId="77777777" w:rsidTr="0045263F">
        <w:trPr>
          <w:cantSplit/>
          <w:trHeight w:hRule="exact" w:val="705"/>
        </w:trPr>
        <w:tc>
          <w:tcPr>
            <w:tcW w:w="2835" w:type="dxa"/>
          </w:tcPr>
          <w:p w14:paraId="092A53CF" w14:textId="77777777" w:rsidR="00B01076" w:rsidRPr="0017293C" w:rsidRDefault="00B01076" w:rsidP="006805C7">
            <w:pPr>
              <w:pStyle w:val="DHHStablecolhead"/>
            </w:pPr>
            <w:r w:rsidRPr="00575BC9">
              <w:t>Data source(s) collection</w:t>
            </w:r>
          </w:p>
        </w:tc>
        <w:tc>
          <w:tcPr>
            <w:tcW w:w="7379" w:type="dxa"/>
          </w:tcPr>
          <w:p w14:paraId="37DDDDBA" w14:textId="77777777" w:rsidR="00B01076" w:rsidRPr="00FB1B0A" w:rsidRDefault="00B01076" w:rsidP="006805C7">
            <w:pPr>
              <w:pStyle w:val="DHHStabletext"/>
            </w:pPr>
            <w:r>
              <w:t>Flexible F</w:t>
            </w:r>
            <w:r w:rsidRPr="00FB1B0A">
              <w:t xml:space="preserve">unding acquittal template </w:t>
            </w:r>
          </w:p>
        </w:tc>
      </w:tr>
      <w:tr w:rsidR="00B01076" w:rsidRPr="00C237A0" w14:paraId="5940A657" w14:textId="77777777" w:rsidTr="0045263F">
        <w:trPr>
          <w:cantSplit/>
          <w:trHeight w:hRule="exact" w:val="714"/>
        </w:trPr>
        <w:tc>
          <w:tcPr>
            <w:tcW w:w="2835" w:type="dxa"/>
          </w:tcPr>
          <w:p w14:paraId="1118238D" w14:textId="77777777" w:rsidR="00B01076" w:rsidRPr="0017293C" w:rsidRDefault="00B01076" w:rsidP="006805C7">
            <w:pPr>
              <w:pStyle w:val="DHHStablecolhead"/>
            </w:pPr>
            <w:r w:rsidRPr="00575BC9">
              <w:t>Definition of terms</w:t>
            </w:r>
          </w:p>
        </w:tc>
        <w:tc>
          <w:tcPr>
            <w:tcW w:w="7379" w:type="dxa"/>
          </w:tcPr>
          <w:p w14:paraId="66189CB5" w14:textId="77777777" w:rsidR="00B01076" w:rsidRPr="00C237A0" w:rsidRDefault="00B01076" w:rsidP="006805C7">
            <w:pPr>
              <w:pStyle w:val="DHHStabletext"/>
            </w:pPr>
          </w:p>
        </w:tc>
      </w:tr>
    </w:tbl>
    <w:p w14:paraId="203A4899" w14:textId="77777777" w:rsidR="00575BC9" w:rsidRPr="00575BC9" w:rsidRDefault="00DF6BAF" w:rsidP="0045263F">
      <w:pPr>
        <w:pStyle w:val="Heading1"/>
      </w:pPr>
      <w:r>
        <w:t>6</w:t>
      </w:r>
      <w:r w:rsidR="00575BC9">
        <w:t>. Data collection</w:t>
      </w:r>
    </w:p>
    <w:p w14:paraId="76FFEC1F" w14:textId="77777777" w:rsidR="00575BC9" w:rsidRDefault="00A11FC5" w:rsidP="0045263F">
      <w:pPr>
        <w:pStyle w:val="DHHSbody"/>
      </w:pPr>
      <w:r>
        <w:t>The r</w:t>
      </w:r>
      <w:r w:rsidR="0087683C">
        <w:t>eporting requirements for this service</w:t>
      </w:r>
      <w:r>
        <w:t xml:space="preserv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575BC9" w:rsidRPr="00045493" w14:paraId="388D2384" w14:textId="77777777" w:rsidTr="006C7A1F">
        <w:trPr>
          <w:trHeight w:hRule="exact" w:val="340"/>
          <w:tblHeader/>
        </w:trPr>
        <w:tc>
          <w:tcPr>
            <w:tcW w:w="2580" w:type="dxa"/>
            <w:vAlign w:val="center"/>
          </w:tcPr>
          <w:p w14:paraId="53125999" w14:textId="77777777" w:rsidR="00575BC9" w:rsidRPr="00575BC9" w:rsidRDefault="00575BC9" w:rsidP="0017293C">
            <w:pPr>
              <w:pStyle w:val="DHHStablecolhead"/>
              <w:spacing w:before="0" w:after="0"/>
            </w:pPr>
            <w:r w:rsidRPr="00575BC9">
              <w:t>Data collection name</w:t>
            </w:r>
          </w:p>
        </w:tc>
        <w:tc>
          <w:tcPr>
            <w:tcW w:w="2580" w:type="dxa"/>
            <w:vAlign w:val="center"/>
          </w:tcPr>
          <w:p w14:paraId="020411A3" w14:textId="77777777" w:rsidR="00575BC9" w:rsidRPr="00575BC9" w:rsidRDefault="00575BC9" w:rsidP="0017293C">
            <w:pPr>
              <w:pStyle w:val="DHHStablecolhead"/>
              <w:spacing w:before="0" w:after="0"/>
            </w:pPr>
            <w:r w:rsidRPr="00575BC9">
              <w:t xml:space="preserve">Data system </w:t>
            </w:r>
          </w:p>
        </w:tc>
        <w:tc>
          <w:tcPr>
            <w:tcW w:w="2580" w:type="dxa"/>
            <w:vAlign w:val="center"/>
          </w:tcPr>
          <w:p w14:paraId="71253F87" w14:textId="77777777" w:rsidR="00575BC9" w:rsidRPr="00575BC9" w:rsidRDefault="00575BC9" w:rsidP="0017293C">
            <w:pPr>
              <w:pStyle w:val="DHHStablecolhead"/>
              <w:spacing w:before="0" w:after="0"/>
            </w:pPr>
            <w:r w:rsidRPr="00575BC9">
              <w:t xml:space="preserve">Data set </w:t>
            </w:r>
          </w:p>
        </w:tc>
        <w:tc>
          <w:tcPr>
            <w:tcW w:w="2508" w:type="dxa"/>
            <w:vAlign w:val="center"/>
          </w:tcPr>
          <w:p w14:paraId="3D03096B" w14:textId="77777777" w:rsidR="00575BC9" w:rsidRPr="00575BC9" w:rsidRDefault="00575BC9" w:rsidP="0017293C">
            <w:pPr>
              <w:pStyle w:val="DHHStablecolhead"/>
              <w:spacing w:before="0" w:after="0"/>
            </w:pPr>
            <w:r w:rsidRPr="00575BC9">
              <w:t>Reporting cycle</w:t>
            </w:r>
          </w:p>
        </w:tc>
      </w:tr>
      <w:tr w:rsidR="00B01076" w:rsidRPr="00C237A0" w14:paraId="3E88D4BD" w14:textId="77777777" w:rsidTr="006805C7">
        <w:trPr>
          <w:trHeight w:val="776"/>
        </w:trPr>
        <w:tc>
          <w:tcPr>
            <w:tcW w:w="2580" w:type="dxa"/>
          </w:tcPr>
          <w:p w14:paraId="19984A09" w14:textId="77777777" w:rsidR="00B01076" w:rsidRPr="00FB1B0A" w:rsidRDefault="00B01076" w:rsidP="006805C7">
            <w:pPr>
              <w:pStyle w:val="DHHStabletext"/>
            </w:pPr>
            <w:r w:rsidRPr="00FB1B0A">
              <w:t>Service Delivery Tracking</w:t>
            </w:r>
          </w:p>
        </w:tc>
        <w:tc>
          <w:tcPr>
            <w:tcW w:w="2580" w:type="dxa"/>
          </w:tcPr>
          <w:p w14:paraId="025CEEE6" w14:textId="77777777" w:rsidR="00B01076" w:rsidRPr="00FB1B0A" w:rsidRDefault="00B01076" w:rsidP="006805C7">
            <w:pPr>
              <w:pStyle w:val="Instructiontext"/>
              <w:rPr>
                <w:color w:val="auto"/>
              </w:rPr>
            </w:pPr>
            <w:r>
              <w:rPr>
                <w:color w:val="auto"/>
              </w:rPr>
              <w:t xml:space="preserve">Funded Agency Channel </w:t>
            </w:r>
            <w:r w:rsidRPr="00FB1B0A">
              <w:rPr>
                <w:color w:val="auto"/>
              </w:rPr>
              <w:t>/</w:t>
            </w:r>
            <w:r>
              <w:rPr>
                <w:color w:val="auto"/>
              </w:rPr>
              <w:t xml:space="preserve"> </w:t>
            </w:r>
            <w:r w:rsidRPr="00FB1B0A">
              <w:rPr>
                <w:color w:val="auto"/>
              </w:rPr>
              <w:t>SAMS2</w:t>
            </w:r>
          </w:p>
        </w:tc>
        <w:tc>
          <w:tcPr>
            <w:tcW w:w="2580" w:type="dxa"/>
          </w:tcPr>
          <w:p w14:paraId="4245A6CD" w14:textId="77777777" w:rsidR="00B01076" w:rsidRPr="00FB1B0A" w:rsidRDefault="00B01076" w:rsidP="006805C7">
            <w:pPr>
              <w:pStyle w:val="DHHStabletext"/>
            </w:pPr>
            <w:r>
              <w:t xml:space="preserve">Funded Agency Channel </w:t>
            </w:r>
            <w:r w:rsidRPr="00FB1B0A">
              <w:t>/</w:t>
            </w:r>
            <w:r>
              <w:t xml:space="preserve"> </w:t>
            </w:r>
            <w:r w:rsidRPr="00FB1B0A">
              <w:t>SAMS2</w:t>
            </w:r>
          </w:p>
        </w:tc>
        <w:tc>
          <w:tcPr>
            <w:tcW w:w="2508" w:type="dxa"/>
          </w:tcPr>
          <w:p w14:paraId="051CD7A0" w14:textId="77777777" w:rsidR="00B01076" w:rsidRPr="00FB1B0A" w:rsidRDefault="00B01076" w:rsidP="006805C7">
            <w:pPr>
              <w:pStyle w:val="DHHStabletext"/>
            </w:pPr>
            <w:r w:rsidRPr="00FB1B0A">
              <w:t>Monthly</w:t>
            </w:r>
          </w:p>
        </w:tc>
      </w:tr>
      <w:tr w:rsidR="00B01076" w:rsidRPr="00C237A0" w14:paraId="78B11A6A" w14:textId="77777777" w:rsidTr="006805C7">
        <w:tblPrEx>
          <w:tblLook w:val="01E0" w:firstRow="1" w:lastRow="1" w:firstColumn="1" w:lastColumn="1" w:noHBand="0" w:noVBand="0"/>
        </w:tblPrEx>
        <w:trPr>
          <w:cantSplit/>
          <w:trHeight w:val="773"/>
        </w:trPr>
        <w:tc>
          <w:tcPr>
            <w:tcW w:w="2580" w:type="dxa"/>
          </w:tcPr>
          <w:p w14:paraId="225638AB" w14:textId="598029A2" w:rsidR="00B01076" w:rsidRPr="00FB1B0A" w:rsidDel="00326E44" w:rsidRDefault="00FB5815" w:rsidP="006805C7">
            <w:pPr>
              <w:pStyle w:val="DHHStabletext"/>
              <w:rPr>
                <w:rFonts w:cs="Arial"/>
                <w:b/>
              </w:rPr>
            </w:pPr>
            <w:hyperlink r:id="rId16" w:history="1">
              <w:r w:rsidR="00B01076" w:rsidRPr="00CB0697">
                <w:rPr>
                  <w:rStyle w:val="Hyperlink"/>
                </w:rPr>
                <w:t>Flexible Funding acquittal template</w:t>
              </w:r>
            </w:hyperlink>
          </w:p>
        </w:tc>
        <w:tc>
          <w:tcPr>
            <w:tcW w:w="2580" w:type="dxa"/>
          </w:tcPr>
          <w:p w14:paraId="60C8C213" w14:textId="77777777" w:rsidR="00B01076" w:rsidRPr="00FB1B0A" w:rsidRDefault="00B01076" w:rsidP="006805C7">
            <w:pPr>
              <w:pStyle w:val="DHHStabletext"/>
              <w:rPr>
                <w:rFonts w:cs="Arial"/>
              </w:rPr>
            </w:pPr>
            <w:r w:rsidRPr="00FB1B0A">
              <w:t xml:space="preserve">Manual </w:t>
            </w:r>
          </w:p>
        </w:tc>
        <w:tc>
          <w:tcPr>
            <w:tcW w:w="2580" w:type="dxa"/>
          </w:tcPr>
          <w:p w14:paraId="10CA3776" w14:textId="77777777" w:rsidR="00B01076" w:rsidRPr="00FB1B0A" w:rsidRDefault="00B01076" w:rsidP="006805C7">
            <w:pPr>
              <w:pStyle w:val="DHHStabletext"/>
            </w:pPr>
            <w:r w:rsidRPr="00FB1B0A">
              <w:t>Acquittal</w:t>
            </w:r>
            <w:r>
              <w:t xml:space="preserve"> to local Advise</w:t>
            </w:r>
            <w:r w:rsidRPr="00FB1B0A">
              <w:t>r</w:t>
            </w:r>
          </w:p>
        </w:tc>
        <w:tc>
          <w:tcPr>
            <w:tcW w:w="2508" w:type="dxa"/>
          </w:tcPr>
          <w:p w14:paraId="38BE5434" w14:textId="77777777" w:rsidR="00B01076" w:rsidRPr="00FB1B0A" w:rsidRDefault="00B01076" w:rsidP="006805C7">
            <w:pPr>
              <w:pStyle w:val="DHHStabletext"/>
            </w:pPr>
            <w:r w:rsidRPr="00FB1B0A">
              <w:t>Bi-annual</w:t>
            </w:r>
          </w:p>
        </w:tc>
      </w:tr>
      <w:bookmarkEnd w:id="1"/>
    </w:tbl>
    <w:p w14:paraId="3D4F584F" w14:textId="77777777" w:rsidR="006C7A1F" w:rsidRDefault="006C7A1F" w:rsidP="00AA3CA8">
      <w:pPr>
        <w:rPr>
          <w:sz w:val="4"/>
          <w:szCs w:val="4"/>
        </w:rPr>
      </w:pPr>
    </w:p>
    <w:p w14:paraId="27FB95A8" w14:textId="77777777" w:rsidR="006C7A1F" w:rsidRDefault="006C7A1F" w:rsidP="00AA3CA8">
      <w:pPr>
        <w:rPr>
          <w:sz w:val="4"/>
          <w:szCs w:val="4"/>
        </w:rPr>
      </w:pPr>
    </w:p>
    <w:p w14:paraId="79A92864" w14:textId="77777777" w:rsidR="006C7A1F" w:rsidRDefault="006C7A1F" w:rsidP="00AA3CA8">
      <w:pPr>
        <w:rPr>
          <w:sz w:val="4"/>
          <w:szCs w:val="4"/>
        </w:rPr>
      </w:pPr>
    </w:p>
    <w:p w14:paraId="697F86C7" w14:textId="77777777" w:rsidR="00DF6BAF" w:rsidRPr="00AA0F86" w:rsidRDefault="00DF6BAF" w:rsidP="00AA3CA8">
      <w:pPr>
        <w:rPr>
          <w:rFonts w:eastAsia="MS Gothic"/>
          <w:b/>
          <w:bCs/>
          <w:sz w:val="24"/>
          <w:szCs w:val="26"/>
          <w:lang w:eastAsia="en-US"/>
        </w:rPr>
      </w:pPr>
    </w:p>
    <w:p w14:paraId="5C626346" w14:textId="77777777" w:rsidR="006C7A1F" w:rsidRDefault="006C7A1F" w:rsidP="00AA3CA8">
      <w:pPr>
        <w:rPr>
          <w:sz w:val="4"/>
          <w:szCs w:val="4"/>
        </w:rPr>
      </w:pPr>
    </w:p>
    <w:p w14:paraId="45874C3F" w14:textId="77777777" w:rsidR="006C7A1F" w:rsidRDefault="006C7A1F" w:rsidP="00AA3CA8">
      <w:pPr>
        <w:rPr>
          <w:sz w:val="4"/>
          <w:szCs w:val="4"/>
        </w:rPr>
      </w:pPr>
    </w:p>
    <w:p w14:paraId="7284E23A" w14:textId="77777777" w:rsidR="006C7A1F" w:rsidRDefault="006C7A1F" w:rsidP="00AA3CA8">
      <w:pPr>
        <w:rPr>
          <w:sz w:val="4"/>
          <w:szCs w:val="4"/>
        </w:rPr>
      </w:pPr>
    </w:p>
    <w:p w14:paraId="6EE7C700" w14:textId="77777777" w:rsidR="000667DA" w:rsidRDefault="000667DA" w:rsidP="00AA3CA8">
      <w:pPr>
        <w:rPr>
          <w:sz w:val="4"/>
          <w:szCs w:val="4"/>
        </w:rPr>
      </w:pPr>
    </w:p>
    <w:p w14:paraId="4CCA359F" w14:textId="77777777" w:rsidR="000667DA" w:rsidRDefault="000667DA" w:rsidP="00AA3CA8">
      <w:pPr>
        <w:rPr>
          <w:sz w:val="4"/>
          <w:szCs w:val="4"/>
        </w:rPr>
      </w:pPr>
    </w:p>
    <w:p w14:paraId="047800E3" w14:textId="77777777" w:rsidR="006C7A1F" w:rsidRDefault="006C7A1F" w:rsidP="00AA3CA8">
      <w:pPr>
        <w:rPr>
          <w:sz w:val="4"/>
          <w:szCs w:val="4"/>
        </w:rPr>
      </w:pPr>
    </w:p>
    <w:p w14:paraId="0AC6BC11" w14:textId="77777777" w:rsidR="006C7A1F" w:rsidRPr="006C7A1F" w:rsidRDefault="006C7A1F" w:rsidP="00AA3CA8">
      <w:pPr>
        <w:rPr>
          <w:sz w:val="4"/>
          <w:szCs w:val="4"/>
        </w:rPr>
      </w:pPr>
    </w:p>
    <w:tbl>
      <w:tblPr>
        <w:tblW w:w="4800" w:type="pct"/>
        <w:tblInd w:w="113" w:type="dxa"/>
        <w:tblCellMar>
          <w:top w:w="113" w:type="dxa"/>
          <w:bottom w:w="57" w:type="dxa"/>
        </w:tblCellMar>
        <w:tblLook w:val="00A0" w:firstRow="1" w:lastRow="0" w:firstColumn="1" w:lastColumn="0" w:noHBand="0" w:noVBand="0"/>
      </w:tblPr>
      <w:tblGrid>
        <w:gridCol w:w="9786"/>
      </w:tblGrid>
      <w:tr w:rsidR="006A7939" w:rsidRPr="002802E3" w14:paraId="5BC0B6BF" w14:textId="77777777" w:rsidTr="00431E46">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60299A20" w14:textId="77777777" w:rsidR="00FB5815" w:rsidRDefault="00FB5815" w:rsidP="00FB5815">
            <w:pPr>
              <w:pStyle w:val="DHHSaccessibilitypara"/>
            </w:pPr>
            <w:r>
              <w:t xml:space="preserve">To receive this publication in an accessible format </w:t>
            </w:r>
            <w:hyperlink r:id="rId17" w:history="1">
              <w:r>
                <w:rPr>
                  <w:rStyle w:val="Hyperlink"/>
                </w:rPr>
                <w:t>email Service Agreement Policy</w:t>
              </w:r>
            </w:hyperlink>
            <w:r>
              <w:t xml:space="preserve"> &lt;</w:t>
            </w:r>
            <w:hyperlink r:id="rId18" w:history="1">
              <w:r>
                <w:rPr>
                  <w:rStyle w:val="Hyperlink"/>
                </w:rPr>
                <w:t>sapolicy@dhhs.vic.gov.au</w:t>
              </w:r>
            </w:hyperlink>
            <w:r>
              <w:t>&gt;</w:t>
            </w:r>
          </w:p>
          <w:p w14:paraId="370A9990" w14:textId="77777777" w:rsidR="00FB5815" w:rsidRDefault="00FB5815" w:rsidP="00FB5815">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14:paraId="68CB5675" w14:textId="2CB1FE48" w:rsidR="006A7939" w:rsidRPr="00CA4422" w:rsidRDefault="00FB5815" w:rsidP="00FB5815">
            <w:pPr>
              <w:pStyle w:val="DHHSbody"/>
              <w:spacing w:line="240" w:lineRule="auto"/>
            </w:pPr>
            <w:r>
              <w:t xml:space="preserve">Available on the department’s </w:t>
            </w:r>
            <w:hyperlink r:id="rId19" w:history="1">
              <w:r>
                <w:rPr>
                  <w:rStyle w:val="Hyperlink"/>
                </w:rPr>
                <w:t>Health and human services activity search</w:t>
              </w:r>
            </w:hyperlink>
            <w:r>
              <w:t xml:space="preserve"> &lt;</w:t>
            </w:r>
            <w:hyperlink r:id="rId20" w:history="1">
              <w:r>
                <w:rPr>
                  <w:rStyle w:val="Hyperlink"/>
                  <w:lang w:eastAsia="en-AU"/>
                </w:rPr>
                <w:t>http://providers.dhhs.vic.gov.au/health-human-services-activity-search</w:t>
              </w:r>
            </w:hyperlink>
            <w:r>
              <w:rPr>
                <w:color w:val="000000"/>
                <w:lang w:eastAsia="en-AU"/>
              </w:rPr>
              <w:t>&gt;</w:t>
            </w:r>
          </w:p>
        </w:tc>
      </w:tr>
    </w:tbl>
    <w:p w14:paraId="0B2F9AFA" w14:textId="77777777" w:rsidR="004433A8" w:rsidRDefault="004433A8" w:rsidP="006C7A1F">
      <w:pPr>
        <w:rPr>
          <w:sz w:val="2"/>
          <w:szCs w:val="2"/>
          <w:lang w:eastAsia="en-US"/>
        </w:rPr>
      </w:pPr>
    </w:p>
    <w:p w14:paraId="3C591747" w14:textId="77777777" w:rsidR="004433A8" w:rsidRPr="004433A8" w:rsidRDefault="004433A8" w:rsidP="004433A8">
      <w:pPr>
        <w:rPr>
          <w:sz w:val="2"/>
          <w:szCs w:val="2"/>
          <w:lang w:eastAsia="en-US"/>
        </w:rPr>
      </w:pPr>
    </w:p>
    <w:p w14:paraId="40DEC9F2" w14:textId="77777777" w:rsidR="004433A8" w:rsidRPr="004433A8" w:rsidRDefault="004433A8" w:rsidP="004433A8">
      <w:pPr>
        <w:rPr>
          <w:sz w:val="2"/>
          <w:szCs w:val="2"/>
          <w:lang w:eastAsia="en-US"/>
        </w:rPr>
      </w:pPr>
    </w:p>
    <w:p w14:paraId="3DF629DF" w14:textId="77777777" w:rsidR="004433A8" w:rsidRPr="004433A8" w:rsidRDefault="004433A8" w:rsidP="004433A8">
      <w:pPr>
        <w:rPr>
          <w:sz w:val="2"/>
          <w:szCs w:val="2"/>
          <w:lang w:eastAsia="en-US"/>
        </w:rPr>
      </w:pPr>
    </w:p>
    <w:p w14:paraId="27B12B80" w14:textId="77777777" w:rsidR="004433A8" w:rsidRPr="004433A8" w:rsidRDefault="004433A8" w:rsidP="004433A8">
      <w:pPr>
        <w:rPr>
          <w:sz w:val="2"/>
          <w:szCs w:val="2"/>
          <w:lang w:eastAsia="en-US"/>
        </w:rPr>
      </w:pPr>
    </w:p>
    <w:p w14:paraId="4031EAD7" w14:textId="77777777" w:rsidR="004433A8" w:rsidRPr="004433A8" w:rsidRDefault="004433A8" w:rsidP="004433A8">
      <w:pPr>
        <w:rPr>
          <w:sz w:val="2"/>
          <w:szCs w:val="2"/>
          <w:lang w:eastAsia="en-US"/>
        </w:rPr>
      </w:pPr>
    </w:p>
    <w:p w14:paraId="560B05B5" w14:textId="77777777" w:rsidR="004433A8" w:rsidRDefault="004433A8" w:rsidP="004433A8">
      <w:pPr>
        <w:rPr>
          <w:sz w:val="2"/>
          <w:szCs w:val="2"/>
          <w:lang w:eastAsia="en-US"/>
        </w:rPr>
      </w:pPr>
    </w:p>
    <w:p w14:paraId="7FE6D527" w14:textId="77777777" w:rsidR="004433A8" w:rsidRDefault="004433A8" w:rsidP="004433A8">
      <w:pPr>
        <w:rPr>
          <w:sz w:val="2"/>
          <w:szCs w:val="2"/>
          <w:lang w:eastAsia="en-US"/>
        </w:rPr>
      </w:pPr>
    </w:p>
    <w:p w14:paraId="558C48A8" w14:textId="77777777" w:rsidR="000918C3" w:rsidRPr="004433A8" w:rsidRDefault="004433A8" w:rsidP="004433A8">
      <w:pPr>
        <w:tabs>
          <w:tab w:val="left" w:pos="1834"/>
        </w:tabs>
        <w:rPr>
          <w:sz w:val="2"/>
          <w:szCs w:val="2"/>
          <w:lang w:eastAsia="en-US"/>
        </w:rPr>
      </w:pPr>
      <w:r>
        <w:rPr>
          <w:sz w:val="2"/>
          <w:szCs w:val="2"/>
          <w:lang w:eastAsia="en-US"/>
        </w:rPr>
        <w:tab/>
      </w:r>
    </w:p>
    <w:sectPr w:rsidR="000918C3" w:rsidRPr="004433A8"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ED7B1" w14:textId="77777777" w:rsidR="000D3756" w:rsidRDefault="000D3756">
      <w:r>
        <w:separator/>
      </w:r>
    </w:p>
  </w:endnote>
  <w:endnote w:type="continuationSeparator" w:id="0">
    <w:p w14:paraId="435E59BD" w14:textId="77777777" w:rsidR="000D3756" w:rsidRDefault="000D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2D1CB" w14:textId="77777777" w:rsidR="009D70A4" w:rsidRPr="00F65AA9" w:rsidRDefault="00457807" w:rsidP="0051568D">
    <w:pPr>
      <w:pStyle w:val="DHHSfooter"/>
    </w:pPr>
    <w:r>
      <w:rPr>
        <w:noProof/>
        <w:lang w:eastAsia="en-AU"/>
      </w:rPr>
      <w:drawing>
        <wp:anchor distT="0" distB="0" distL="114300" distR="114300" simplePos="0" relativeHeight="251657728" behindDoc="0" locked="1" layoutInCell="0" allowOverlap="1" wp14:anchorId="19208457" wp14:editId="0F81B162">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5D858" w14:textId="3B7FEE89" w:rsidR="009D70A4" w:rsidRPr="00A11421" w:rsidRDefault="00574329" w:rsidP="0051568D">
    <w:pPr>
      <w:pStyle w:val="DHHSfooter"/>
    </w:pPr>
    <w:r w:rsidRPr="00574329">
      <w:t>Activity description</w:t>
    </w:r>
    <w:r>
      <w:t xml:space="preserve"> (</w:t>
    </w:r>
    <w:r w:rsidRPr="00574329">
      <w:t>Human Services</w:t>
    </w:r>
    <w:r>
      <w:t xml:space="preserve">) </w:t>
    </w:r>
    <w:r w:rsidRPr="00574329">
      <w:t>Flexible Funding</w:t>
    </w:r>
    <w:r>
      <w:t xml:space="preserve"> </w:t>
    </w:r>
    <w:r w:rsidRPr="00574329">
      <w:t>31437</w:t>
    </w:r>
    <w:r w:rsidR="009D70A4" w:rsidRPr="00A11421">
      <w:tab/>
    </w:r>
    <w:r w:rsidR="009D70A4" w:rsidRPr="00A11421">
      <w:fldChar w:fldCharType="begin"/>
    </w:r>
    <w:r w:rsidR="009D70A4" w:rsidRPr="00A11421">
      <w:instrText xml:space="preserve"> PAGE </w:instrText>
    </w:r>
    <w:r w:rsidR="009D70A4" w:rsidRPr="00A11421">
      <w:fldChar w:fldCharType="separate"/>
    </w:r>
    <w:r w:rsidR="00CB0697">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D3186" w14:textId="77777777" w:rsidR="000D3756" w:rsidRDefault="000D3756" w:rsidP="002862F1">
      <w:pPr>
        <w:spacing w:before="120"/>
      </w:pPr>
      <w:r>
        <w:separator/>
      </w:r>
    </w:p>
  </w:footnote>
  <w:footnote w:type="continuationSeparator" w:id="0">
    <w:p w14:paraId="032FE6EB" w14:textId="77777777" w:rsidR="000D3756" w:rsidRDefault="000D3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054F1"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A366F0F0"/>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 w:ilvl="0">
        <w:start w:val="1"/>
        <w:numFmt w:val="bullet"/>
        <w:pStyle w:val="DHHSbullet1"/>
        <w:lvlText w:val="•"/>
        <w:lvlJc w:val="left"/>
        <w:pPr>
          <w:ind w:left="284" w:hanging="284"/>
        </w:pPr>
        <w:rPr>
          <w:rFonts w:ascii="Calibri" w:hAnsi="Calibri" w:hint="default"/>
          <w:color w:val="auto"/>
        </w:rPr>
      </w:lvl>
    </w:lvlOverride>
  </w:num>
  <w:num w:numId="8">
    <w:abstractNumId w:val="5"/>
  </w:num>
  <w:num w:numId="9">
    <w:abstractNumId w:val="9"/>
  </w:num>
  <w:num w:numId="10">
    <w:abstractNumId w:val="11"/>
  </w:num>
  <w:num w:numId="11">
    <w:abstractNumId w:val="6"/>
  </w:num>
  <w:num w:numId="12">
    <w:abstractNumId w:val="7"/>
  </w:num>
  <w:num w:numId="13">
    <w:abstractNumId w:val="4"/>
  </w:num>
  <w:num w:numId="14">
    <w:abstractNumId w:val="10"/>
  </w:num>
  <w:num w:numId="15">
    <w:abstractNumId w:val="2"/>
  </w:num>
  <w:num w:numId="1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72B6"/>
    <w:rsid w:val="0001021B"/>
    <w:rsid w:val="00011B64"/>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3CC7"/>
    <w:rsid w:val="000E6BD4"/>
    <w:rsid w:val="000F1F1E"/>
    <w:rsid w:val="000F2259"/>
    <w:rsid w:val="0010392D"/>
    <w:rsid w:val="0010447F"/>
    <w:rsid w:val="00104FE3"/>
    <w:rsid w:val="00120AF7"/>
    <w:rsid w:val="00120BD3"/>
    <w:rsid w:val="00121D8F"/>
    <w:rsid w:val="00122FEA"/>
    <w:rsid w:val="001232BD"/>
    <w:rsid w:val="00124ED5"/>
    <w:rsid w:val="001447B3"/>
    <w:rsid w:val="00152073"/>
    <w:rsid w:val="00160D07"/>
    <w:rsid w:val="00161939"/>
    <w:rsid w:val="00161AA0"/>
    <w:rsid w:val="00162093"/>
    <w:rsid w:val="0017293C"/>
    <w:rsid w:val="001771DD"/>
    <w:rsid w:val="00177995"/>
    <w:rsid w:val="00177A8C"/>
    <w:rsid w:val="00186B33"/>
    <w:rsid w:val="00192F9D"/>
    <w:rsid w:val="00196EB8"/>
    <w:rsid w:val="001979FF"/>
    <w:rsid w:val="00197B17"/>
    <w:rsid w:val="001A15EB"/>
    <w:rsid w:val="001A3ACE"/>
    <w:rsid w:val="001C1970"/>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4D1"/>
    <w:rsid w:val="0021053D"/>
    <w:rsid w:val="00210A92"/>
    <w:rsid w:val="00216C03"/>
    <w:rsid w:val="00220C04"/>
    <w:rsid w:val="0022278D"/>
    <w:rsid w:val="00222ECA"/>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337"/>
    <w:rsid w:val="00293D28"/>
    <w:rsid w:val="0029597D"/>
    <w:rsid w:val="002962C3"/>
    <w:rsid w:val="0029752B"/>
    <w:rsid w:val="002A483C"/>
    <w:rsid w:val="002B1729"/>
    <w:rsid w:val="002B3651"/>
    <w:rsid w:val="002B4DD4"/>
    <w:rsid w:val="002B5277"/>
    <w:rsid w:val="002B5375"/>
    <w:rsid w:val="002B77C1"/>
    <w:rsid w:val="002C2728"/>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41EF"/>
    <w:rsid w:val="00357B4E"/>
    <w:rsid w:val="003744CF"/>
    <w:rsid w:val="00374717"/>
    <w:rsid w:val="0037676C"/>
    <w:rsid w:val="003829E5"/>
    <w:rsid w:val="00382AFC"/>
    <w:rsid w:val="003956CC"/>
    <w:rsid w:val="00395C9A"/>
    <w:rsid w:val="00397B91"/>
    <w:rsid w:val="003A6B67"/>
    <w:rsid w:val="003B15E6"/>
    <w:rsid w:val="003C2045"/>
    <w:rsid w:val="003C43A1"/>
    <w:rsid w:val="003C4FC0"/>
    <w:rsid w:val="003C55F4"/>
    <w:rsid w:val="003C7A3F"/>
    <w:rsid w:val="003D2766"/>
    <w:rsid w:val="003D3E8F"/>
    <w:rsid w:val="003D6475"/>
    <w:rsid w:val="003F0445"/>
    <w:rsid w:val="003F09A2"/>
    <w:rsid w:val="003F0CF0"/>
    <w:rsid w:val="003F14B1"/>
    <w:rsid w:val="003F3289"/>
    <w:rsid w:val="00401FCF"/>
    <w:rsid w:val="00406285"/>
    <w:rsid w:val="004148F9"/>
    <w:rsid w:val="0042084E"/>
    <w:rsid w:val="00421EEF"/>
    <w:rsid w:val="00424D65"/>
    <w:rsid w:val="00442C6C"/>
    <w:rsid w:val="004433A8"/>
    <w:rsid w:val="00443CBE"/>
    <w:rsid w:val="00443E8A"/>
    <w:rsid w:val="004441BC"/>
    <w:rsid w:val="004468B4"/>
    <w:rsid w:val="0045230A"/>
    <w:rsid w:val="0045263F"/>
    <w:rsid w:val="00457337"/>
    <w:rsid w:val="00457807"/>
    <w:rsid w:val="0047372D"/>
    <w:rsid w:val="004743DD"/>
    <w:rsid w:val="00474CEA"/>
    <w:rsid w:val="00483968"/>
    <w:rsid w:val="00484F86"/>
    <w:rsid w:val="00490746"/>
    <w:rsid w:val="00490852"/>
    <w:rsid w:val="00492F30"/>
    <w:rsid w:val="004946F4"/>
    <w:rsid w:val="0049487E"/>
    <w:rsid w:val="00497AAB"/>
    <w:rsid w:val="004A160D"/>
    <w:rsid w:val="004A3E81"/>
    <w:rsid w:val="004A5C62"/>
    <w:rsid w:val="004A707D"/>
    <w:rsid w:val="004C6EEE"/>
    <w:rsid w:val="004C702B"/>
    <w:rsid w:val="004D016B"/>
    <w:rsid w:val="004D1B22"/>
    <w:rsid w:val="004D36F2"/>
    <w:rsid w:val="004D5DA5"/>
    <w:rsid w:val="004D7246"/>
    <w:rsid w:val="004E138F"/>
    <w:rsid w:val="004E4649"/>
    <w:rsid w:val="004E5C2B"/>
    <w:rsid w:val="004E6F1D"/>
    <w:rsid w:val="004F00DD"/>
    <w:rsid w:val="004F1D1D"/>
    <w:rsid w:val="004F2133"/>
    <w:rsid w:val="004F4473"/>
    <w:rsid w:val="004F55F1"/>
    <w:rsid w:val="004F5F95"/>
    <w:rsid w:val="004F6936"/>
    <w:rsid w:val="00503DC6"/>
    <w:rsid w:val="00506F5D"/>
    <w:rsid w:val="005126D0"/>
    <w:rsid w:val="0051568D"/>
    <w:rsid w:val="00526C15"/>
    <w:rsid w:val="005271BB"/>
    <w:rsid w:val="00536499"/>
    <w:rsid w:val="005409A4"/>
    <w:rsid w:val="00543903"/>
    <w:rsid w:val="00543F11"/>
    <w:rsid w:val="005472A7"/>
    <w:rsid w:val="00547A95"/>
    <w:rsid w:val="005518EB"/>
    <w:rsid w:val="005620F5"/>
    <w:rsid w:val="00572031"/>
    <w:rsid w:val="00574329"/>
    <w:rsid w:val="00575BC9"/>
    <w:rsid w:val="00576E84"/>
    <w:rsid w:val="00582B8C"/>
    <w:rsid w:val="0058757E"/>
    <w:rsid w:val="00591A79"/>
    <w:rsid w:val="005938E5"/>
    <w:rsid w:val="00596A4B"/>
    <w:rsid w:val="00597507"/>
    <w:rsid w:val="005B040C"/>
    <w:rsid w:val="005B21B6"/>
    <w:rsid w:val="005B384F"/>
    <w:rsid w:val="005B3A08"/>
    <w:rsid w:val="005B7A63"/>
    <w:rsid w:val="005C0955"/>
    <w:rsid w:val="005C49DA"/>
    <w:rsid w:val="005C50F3"/>
    <w:rsid w:val="005C5D91"/>
    <w:rsid w:val="005C7CBC"/>
    <w:rsid w:val="005D07B8"/>
    <w:rsid w:val="005D6597"/>
    <w:rsid w:val="005E14E7"/>
    <w:rsid w:val="005E26A3"/>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64BC1"/>
    <w:rsid w:val="00670597"/>
    <w:rsid w:val="006706D0"/>
    <w:rsid w:val="00673455"/>
    <w:rsid w:val="00677574"/>
    <w:rsid w:val="0068454C"/>
    <w:rsid w:val="00691B62"/>
    <w:rsid w:val="00693D14"/>
    <w:rsid w:val="00697090"/>
    <w:rsid w:val="006A18C2"/>
    <w:rsid w:val="006A7939"/>
    <w:rsid w:val="006B077C"/>
    <w:rsid w:val="006B6803"/>
    <w:rsid w:val="006C5390"/>
    <w:rsid w:val="006C7A1F"/>
    <w:rsid w:val="006D2A3F"/>
    <w:rsid w:val="006D2FBC"/>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C0F0C"/>
    <w:rsid w:val="007C20B9"/>
    <w:rsid w:val="007C7301"/>
    <w:rsid w:val="007C7859"/>
    <w:rsid w:val="007D2932"/>
    <w:rsid w:val="007D2BDE"/>
    <w:rsid w:val="007D2FB6"/>
    <w:rsid w:val="007E0DE2"/>
    <w:rsid w:val="007E3B98"/>
    <w:rsid w:val="007F31B6"/>
    <w:rsid w:val="007F546C"/>
    <w:rsid w:val="007F625F"/>
    <w:rsid w:val="007F665E"/>
    <w:rsid w:val="00800412"/>
    <w:rsid w:val="00803B50"/>
    <w:rsid w:val="0080587B"/>
    <w:rsid w:val="00806468"/>
    <w:rsid w:val="008155F0"/>
    <w:rsid w:val="00816735"/>
    <w:rsid w:val="00820141"/>
    <w:rsid w:val="00820E0C"/>
    <w:rsid w:val="008237E6"/>
    <w:rsid w:val="008338A2"/>
    <w:rsid w:val="00836649"/>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44882"/>
    <w:rsid w:val="00A54715"/>
    <w:rsid w:val="00A6061C"/>
    <w:rsid w:val="00A62D44"/>
    <w:rsid w:val="00A67263"/>
    <w:rsid w:val="00A7161C"/>
    <w:rsid w:val="00A77AA3"/>
    <w:rsid w:val="00A818C9"/>
    <w:rsid w:val="00A842F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076"/>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224D"/>
    <w:rsid w:val="00BA3F8D"/>
    <w:rsid w:val="00BA5A87"/>
    <w:rsid w:val="00BA6D1B"/>
    <w:rsid w:val="00BB7A10"/>
    <w:rsid w:val="00BC7468"/>
    <w:rsid w:val="00BC7D4F"/>
    <w:rsid w:val="00BC7ED7"/>
    <w:rsid w:val="00BD2850"/>
    <w:rsid w:val="00BE28D2"/>
    <w:rsid w:val="00BE4A64"/>
    <w:rsid w:val="00BF1FDA"/>
    <w:rsid w:val="00BF20D5"/>
    <w:rsid w:val="00BF7F58"/>
    <w:rsid w:val="00C01381"/>
    <w:rsid w:val="00C079B8"/>
    <w:rsid w:val="00C123EA"/>
    <w:rsid w:val="00C12A49"/>
    <w:rsid w:val="00C133EE"/>
    <w:rsid w:val="00C27201"/>
    <w:rsid w:val="00C27DE9"/>
    <w:rsid w:val="00C33388"/>
    <w:rsid w:val="00C35484"/>
    <w:rsid w:val="00C4173A"/>
    <w:rsid w:val="00C601D8"/>
    <w:rsid w:val="00C602FF"/>
    <w:rsid w:val="00C61174"/>
    <w:rsid w:val="00C6148F"/>
    <w:rsid w:val="00C62F7A"/>
    <w:rsid w:val="00C63B9C"/>
    <w:rsid w:val="00C6682F"/>
    <w:rsid w:val="00C7275E"/>
    <w:rsid w:val="00C74C5D"/>
    <w:rsid w:val="00C75131"/>
    <w:rsid w:val="00C863C4"/>
    <w:rsid w:val="00C93C3E"/>
    <w:rsid w:val="00CA12E3"/>
    <w:rsid w:val="00CA4422"/>
    <w:rsid w:val="00CA6611"/>
    <w:rsid w:val="00CA6AE6"/>
    <w:rsid w:val="00CA782F"/>
    <w:rsid w:val="00CB0697"/>
    <w:rsid w:val="00CC0C72"/>
    <w:rsid w:val="00CC2BFD"/>
    <w:rsid w:val="00CC3FB0"/>
    <w:rsid w:val="00CD3476"/>
    <w:rsid w:val="00CD64DF"/>
    <w:rsid w:val="00CF2F50"/>
    <w:rsid w:val="00D02919"/>
    <w:rsid w:val="00D036ED"/>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1DB"/>
    <w:rsid w:val="00DC2CF1"/>
    <w:rsid w:val="00DC4FCF"/>
    <w:rsid w:val="00DC50E0"/>
    <w:rsid w:val="00DC6386"/>
    <w:rsid w:val="00DD1130"/>
    <w:rsid w:val="00DD1951"/>
    <w:rsid w:val="00DD6628"/>
    <w:rsid w:val="00DE3250"/>
    <w:rsid w:val="00DE4E5C"/>
    <w:rsid w:val="00DE6028"/>
    <w:rsid w:val="00DE78A3"/>
    <w:rsid w:val="00DF1A71"/>
    <w:rsid w:val="00DF68C7"/>
    <w:rsid w:val="00DF6BAF"/>
    <w:rsid w:val="00DF731A"/>
    <w:rsid w:val="00E05E8D"/>
    <w:rsid w:val="00E170DC"/>
    <w:rsid w:val="00E26818"/>
    <w:rsid w:val="00E27FFC"/>
    <w:rsid w:val="00E30B15"/>
    <w:rsid w:val="00E327EB"/>
    <w:rsid w:val="00E40181"/>
    <w:rsid w:val="00E53D0C"/>
    <w:rsid w:val="00E56A01"/>
    <w:rsid w:val="00E629A1"/>
    <w:rsid w:val="00E71591"/>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25DA"/>
    <w:rsid w:val="00F43A37"/>
    <w:rsid w:val="00F46244"/>
    <w:rsid w:val="00F4641B"/>
    <w:rsid w:val="00F46DEA"/>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A2C46"/>
    <w:rsid w:val="00FA3525"/>
    <w:rsid w:val="00FB4CDA"/>
    <w:rsid w:val="00FB5815"/>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0329BEEE"/>
  <w15:docId w15:val="{FCDF3F9C-CC0B-44D0-A758-73FB5B50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076"/>
    <w:pPr>
      <w:spacing w:before="100" w:line="288" w:lineRule="auto"/>
    </w:pPr>
    <w:rPr>
      <w:rFonts w:ascii="Arial" w:hAnsi="Arial"/>
    </w:rPr>
  </w:style>
  <w:style w:type="paragraph" w:styleId="Heading1">
    <w:name w:val="heading 1"/>
    <w:next w:val="DHHSbody"/>
    <w:link w:val="Heading1Char"/>
    <w:autoRedefine/>
    <w:uiPriority w:val="1"/>
    <w:qFormat/>
    <w:rsid w:val="0045263F"/>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45263F"/>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45263F"/>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45263F"/>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16"/>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PlaceholderText">
    <w:name w:val="Placeholder Text"/>
    <w:uiPriority w:val="99"/>
    <w:semiHidden/>
    <w:rsid w:val="00C75131"/>
    <w:rPr>
      <w:rFonts w:cs="Times New Roman"/>
      <w:color w:val="808080"/>
    </w:rPr>
  </w:style>
  <w:style w:type="character" w:styleId="CommentReference">
    <w:name w:val="annotation reference"/>
    <w:basedOn w:val="DefaultParagraphFont"/>
    <w:uiPriority w:val="99"/>
    <w:semiHidden/>
    <w:unhideWhenUsed/>
    <w:rsid w:val="00BA224D"/>
    <w:rPr>
      <w:sz w:val="16"/>
      <w:szCs w:val="16"/>
    </w:rPr>
  </w:style>
  <w:style w:type="paragraph" w:styleId="CommentText">
    <w:name w:val="annotation text"/>
    <w:basedOn w:val="Normal"/>
    <w:link w:val="CommentTextChar"/>
    <w:uiPriority w:val="99"/>
    <w:semiHidden/>
    <w:unhideWhenUsed/>
    <w:rsid w:val="00BA224D"/>
    <w:pPr>
      <w:spacing w:line="240" w:lineRule="auto"/>
    </w:pPr>
  </w:style>
  <w:style w:type="character" w:customStyle="1" w:styleId="CommentTextChar">
    <w:name w:val="Comment Text Char"/>
    <w:basedOn w:val="DefaultParagraphFont"/>
    <w:link w:val="CommentText"/>
    <w:uiPriority w:val="99"/>
    <w:semiHidden/>
    <w:rsid w:val="00BA224D"/>
    <w:rPr>
      <w:rFonts w:ascii="Arial" w:hAnsi="Arial"/>
    </w:rPr>
  </w:style>
  <w:style w:type="paragraph" w:styleId="CommentSubject">
    <w:name w:val="annotation subject"/>
    <w:basedOn w:val="CommentText"/>
    <w:next w:val="CommentText"/>
    <w:link w:val="CommentSubjectChar"/>
    <w:uiPriority w:val="99"/>
    <w:semiHidden/>
    <w:unhideWhenUsed/>
    <w:rsid w:val="00BA224D"/>
    <w:rPr>
      <w:b/>
      <w:bCs/>
    </w:rPr>
  </w:style>
  <w:style w:type="character" w:customStyle="1" w:styleId="CommentSubjectChar">
    <w:name w:val="Comment Subject Char"/>
    <w:basedOn w:val="CommentTextChar"/>
    <w:link w:val="CommentSubject"/>
    <w:uiPriority w:val="99"/>
    <w:semiHidden/>
    <w:rsid w:val="00BA224D"/>
    <w:rPr>
      <w:rFonts w:ascii="Arial" w:hAnsi="Arial"/>
      <w:b/>
      <w:bCs/>
    </w:rPr>
  </w:style>
  <w:style w:type="character" w:styleId="UnresolvedMention">
    <w:name w:val="Unresolved Mention"/>
    <w:basedOn w:val="DefaultParagraphFont"/>
    <w:uiPriority w:val="99"/>
    <w:semiHidden/>
    <w:unhideWhenUsed/>
    <w:rsid w:val="00452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80892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865443095">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viders.dhhs.vic.gov.au/program-requirements-family-and-early-parenting-services-word" TargetMode="External"/><Relationship Id="rId18" Type="http://schemas.openxmlformats.org/officeDocument/2006/relationships/hyperlink" Target="mailto:sapolicy@dhhs.vic.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roviders.dhhs.vic.gov.au/sites/dhhsproviders/files/2017-08/strategic-framework-for-family-services-2007.pdf" TargetMode="External"/><Relationship Id="rId17" Type="http://schemas.openxmlformats.org/officeDocument/2006/relationships/hyperlink" Target="mailto:sapolicy@dhhs.vic.gov.au" TargetMode="External"/><Relationship Id="rId2" Type="http://schemas.openxmlformats.org/officeDocument/2006/relationships/numbering" Target="numbering.xml"/><Relationship Id="rId16" Type="http://schemas.openxmlformats.org/officeDocument/2006/relationships/hyperlink" Target="https://providers.dhhs.vic.gov.au/family-services-flexible-funding-acquittal-tool-xls" TargetMode="External"/><Relationship Id="rId20" Type="http://schemas.openxmlformats.org/officeDocument/2006/relationships/hyperlink" Target="http://providers.dhhs.vic.gov.au/health-human-services-activity-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hhs.vic.gov.au/publications/best-interests-case-practice-model-summary-guide" TargetMode="External"/><Relationship Id="rId10" Type="http://schemas.openxmlformats.org/officeDocument/2006/relationships/header" Target="header1.xml"/><Relationship Id="rId19" Type="http://schemas.openxmlformats.org/officeDocument/2006/relationships/hyperlink" Target="http://providers.dhhs.vic.gov.au/health-human-services-activity-searc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roviders.dhhs.vic.gov.au/sites/dhhsproviders/files/2017-08/the-best-interests-framework-for-vulnerable-children-and-youth.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86D94-F6BB-4E36-9F3D-7FB487575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01 Navy 2765.dot</Template>
  <TotalTime>19</TotalTime>
  <Pages>3</Pages>
  <Words>579</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Activity description Human Services  Flexible Funding 31437</vt:lpstr>
    </vt:vector>
  </TitlesOfParts>
  <Company>Department of Health and Human Services</Company>
  <LinksUpToDate>false</LinksUpToDate>
  <CharactersWithSpaces>5551</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Human Services  Flexible Funding 31437</dc:title>
  <dc:subject>service agreement activity descriptions</dc:subject>
  <dc:creator>Service Agreement Policy unit</dc:creator>
  <cp:keywords>service agreement;Activity description; Human Services; Child protection and family services; Flexible Funding; 31437</cp:keywords>
  <cp:lastModifiedBy>Louise Crowther (DHHS)</cp:lastModifiedBy>
  <cp:revision>5</cp:revision>
  <cp:lastPrinted>2019-01-08T23:20:00Z</cp:lastPrinted>
  <dcterms:created xsi:type="dcterms:W3CDTF">2019-05-31T02:02:00Z</dcterms:created>
  <dcterms:modified xsi:type="dcterms:W3CDTF">2019-06-18T02:50:00Z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