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90" w:rsidRPr="003072C6" w:rsidRDefault="00204874" w:rsidP="00A55989">
      <w:pPr>
        <w:pStyle w:val="DHHSbodynospace"/>
      </w:pPr>
      <w:r>
        <w:rPr>
          <w:noProof/>
          <w:lang w:eastAsia="en-AU"/>
        </w:rPr>
        <w:drawing>
          <wp:anchor distT="0" distB="0" distL="114300" distR="114300" simplePos="0" relativeHeight="251659264" behindDoc="1" locked="1" layoutInCell="0" allowOverlap="1" wp14:editId="13B894DC">
            <wp:simplePos x="0" y="0"/>
            <wp:positionH relativeFrom="page">
              <wp:align>right</wp:align>
            </wp:positionH>
            <wp:positionV relativeFrom="page">
              <wp:align>top</wp:align>
            </wp:positionV>
            <wp:extent cx="7540625" cy="10668000"/>
            <wp:effectExtent l="0" t="0" r="3175" b="0"/>
            <wp:wrapNone/>
            <wp:docPr id="7" name="Picture 7"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06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8A73BF" w:rsidP="00E91933">
            <w:pPr>
              <w:pStyle w:val="DHHSreportmaintitlewhite"/>
            </w:pPr>
            <w:r>
              <w:t>Fire risk management</w:t>
            </w:r>
            <w:r w:rsidR="000E2F6B">
              <w:t xml:space="preserve"> policy</w:t>
            </w:r>
          </w:p>
          <w:p w:rsidR="00444D82" w:rsidRPr="003072C6" w:rsidRDefault="008A73BF" w:rsidP="00E91933">
            <w:pPr>
              <w:pStyle w:val="DHHSreportsubtitlewhite"/>
            </w:pPr>
            <w:r>
              <w:t>Department of Health and Human Services</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footerReference w:type="even" r:id="rId9"/>
          <w:type w:val="oddPage"/>
          <w:pgSz w:w="11906" w:h="16838"/>
          <w:pgMar w:top="3969" w:right="1304" w:bottom="1134" w:left="1304" w:header="454" w:footer="567" w:gutter="0"/>
          <w:cols w:space="720"/>
          <w:docGrid w:linePitch="360"/>
        </w:sectPr>
      </w:pPr>
    </w:p>
    <w:p w:rsidR="00FA2F0E" w:rsidRPr="003072C6" w:rsidRDefault="00FA2F0E" w:rsidP="00FA2F0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FA2F0E" w:rsidRPr="003072C6" w:rsidTr="004C45A6">
        <w:trPr>
          <w:trHeight w:val="4313"/>
        </w:trPr>
        <w:tc>
          <w:tcPr>
            <w:tcW w:w="9401" w:type="dxa"/>
          </w:tcPr>
          <w:p w:rsidR="00FA2F0E" w:rsidRPr="00605B5B" w:rsidRDefault="00FA2F0E" w:rsidP="004C45A6">
            <w:pPr>
              <w:pStyle w:val="DHHSbody"/>
              <w:rPr>
                <w:i/>
                <w:color w:val="008950"/>
                <w:sz w:val="26"/>
                <w:szCs w:val="26"/>
              </w:rPr>
            </w:pPr>
          </w:p>
        </w:tc>
      </w:tr>
      <w:tr w:rsidR="00FA2F0E" w:rsidRPr="003072C6" w:rsidTr="00305445">
        <w:trPr>
          <w:trHeight w:val="7897"/>
        </w:trPr>
        <w:tc>
          <w:tcPr>
            <w:tcW w:w="9401" w:type="dxa"/>
            <w:vAlign w:val="bottom"/>
          </w:tcPr>
          <w:p w:rsidR="00FA2F0E" w:rsidRDefault="00FA2F0E" w:rsidP="00FA2F0E">
            <w:pPr>
              <w:pStyle w:val="DHHSaccessibilitypara"/>
            </w:pPr>
          </w:p>
          <w:p w:rsidR="00FA2F0E" w:rsidRPr="00D3227F" w:rsidRDefault="00FA2F0E" w:rsidP="00FA2F0E">
            <w:pPr>
              <w:pStyle w:val="DHHSaccessibilitypara"/>
              <w:rPr>
                <w:color w:val="3366FF"/>
                <w:sz w:val="20"/>
                <w:szCs w:val="20"/>
                <w:u w:val="dotted"/>
              </w:rPr>
            </w:pPr>
            <w:r w:rsidRPr="00D3227F">
              <w:rPr>
                <w:sz w:val="20"/>
                <w:szCs w:val="20"/>
              </w:rPr>
              <w:t xml:space="preserve">To receive this publication in an accessible format </w:t>
            </w:r>
            <w:hyperlink r:id="rId10" w:history="1">
              <w:r w:rsidRPr="00D3227F">
                <w:rPr>
                  <w:rStyle w:val="Hyperlink"/>
                  <w:sz w:val="20"/>
                  <w:szCs w:val="20"/>
                </w:rPr>
                <w:t xml:space="preserve">email </w:t>
              </w:r>
              <w:r w:rsidR="008A73BF" w:rsidRPr="00D3227F">
                <w:rPr>
                  <w:rStyle w:val="Hyperlink"/>
                  <w:sz w:val="20"/>
                  <w:szCs w:val="20"/>
                </w:rPr>
                <w:t>Fire Services Team</w:t>
              </w:r>
            </w:hyperlink>
            <w:r w:rsidR="00DC403A" w:rsidRPr="00D3227F">
              <w:rPr>
                <w:rStyle w:val="Hyperlink"/>
                <w:sz w:val="20"/>
                <w:szCs w:val="20"/>
              </w:rPr>
              <w:br/>
            </w:r>
            <w:r w:rsidRPr="00D3227F">
              <w:rPr>
                <w:sz w:val="20"/>
                <w:szCs w:val="20"/>
              </w:rPr>
              <w:t>&lt;</w:t>
            </w:r>
            <w:r w:rsidR="001057AB" w:rsidRPr="00D3227F">
              <w:rPr>
                <w:sz w:val="20"/>
                <w:szCs w:val="20"/>
              </w:rPr>
              <w:t>dhhs-m-fst</w:t>
            </w:r>
            <w:r w:rsidRPr="00D3227F">
              <w:rPr>
                <w:sz w:val="20"/>
                <w:szCs w:val="20"/>
              </w:rPr>
              <w:t>.screening@dhhs.vic.gov.au</w:t>
            </w:r>
            <w:r w:rsidRPr="00D3227F">
              <w:rPr>
                <w:rStyle w:val="Hyperlink"/>
                <w:color w:val="auto"/>
                <w:sz w:val="20"/>
                <w:szCs w:val="20"/>
                <w:u w:val="none"/>
              </w:rPr>
              <w:t>&gt;</w:t>
            </w:r>
            <w:r w:rsidRPr="00D3227F">
              <w:rPr>
                <w:sz w:val="20"/>
                <w:szCs w:val="20"/>
              </w:rPr>
              <w:t xml:space="preserve"> </w:t>
            </w:r>
          </w:p>
          <w:p w:rsidR="00FA2F0E" w:rsidRPr="00D3227F" w:rsidRDefault="00FA2F0E" w:rsidP="00FA2F0E">
            <w:pPr>
              <w:spacing w:after="120" w:line="270" w:lineRule="atLeast"/>
              <w:rPr>
                <w:rFonts w:ascii="Arial" w:eastAsia="Times" w:hAnsi="Arial"/>
              </w:rPr>
            </w:pPr>
            <w:r w:rsidRPr="00D3227F">
              <w:rPr>
                <w:rFonts w:ascii="Arial" w:eastAsia="Times" w:hAnsi="Arial"/>
              </w:rPr>
              <w:t>Authorised and published by the Victorian Government, 1 Treasury Place, Melbourne.</w:t>
            </w:r>
          </w:p>
          <w:p w:rsidR="00FA2F0E" w:rsidRPr="00D3227F" w:rsidRDefault="00FA2F0E" w:rsidP="00FA2F0E">
            <w:pPr>
              <w:spacing w:after="120" w:line="270" w:lineRule="atLeast"/>
              <w:rPr>
                <w:rFonts w:ascii="Arial" w:eastAsia="Times" w:hAnsi="Arial"/>
              </w:rPr>
            </w:pPr>
            <w:r w:rsidRPr="00D3227F">
              <w:rPr>
                <w:rFonts w:ascii="Arial" w:eastAsia="Times" w:hAnsi="Arial"/>
              </w:rPr>
              <w:t xml:space="preserve">© State of Victoria, Department of Health and Human Services, </w:t>
            </w:r>
            <w:r w:rsidR="00385427" w:rsidRPr="00D3227F">
              <w:rPr>
                <w:rFonts w:ascii="Arial" w:eastAsia="Times" w:hAnsi="Arial"/>
              </w:rPr>
              <w:t>January</w:t>
            </w:r>
            <w:r w:rsidRPr="00D3227F">
              <w:rPr>
                <w:rFonts w:ascii="Arial" w:eastAsia="Times" w:hAnsi="Arial"/>
              </w:rPr>
              <w:t xml:space="preserve"> 20</w:t>
            </w:r>
            <w:r w:rsidR="00385427" w:rsidRPr="00D3227F">
              <w:rPr>
                <w:rFonts w:ascii="Arial" w:eastAsia="Times" w:hAnsi="Arial"/>
              </w:rPr>
              <w:t>20</w:t>
            </w:r>
            <w:r w:rsidRPr="00D3227F">
              <w:rPr>
                <w:rFonts w:ascii="Arial" w:eastAsia="Times" w:hAnsi="Arial"/>
              </w:rPr>
              <w:t>.</w:t>
            </w:r>
          </w:p>
          <w:p w:rsidR="00B677E2" w:rsidRDefault="00FA2F0E" w:rsidP="00FA2F0E">
            <w:pPr>
              <w:spacing w:after="120" w:line="270" w:lineRule="atLeast"/>
              <w:rPr>
                <w:rFonts w:ascii="Arial" w:eastAsia="Times" w:hAnsi="Arial"/>
              </w:rPr>
            </w:pPr>
            <w:r w:rsidRPr="00D3227F">
              <w:rPr>
                <w:rFonts w:ascii="Arial" w:eastAsia="Times" w:hAnsi="Arial"/>
              </w:rPr>
              <w:t>Where the term ‘Aboriginal’ is used it refers to both Aboriginal and Torres Strait Islander people. Indigenous is retained when it is part of the title of a report, program or quotation.</w:t>
            </w:r>
          </w:p>
          <w:p w:rsidR="005616A9" w:rsidRPr="00B677E2" w:rsidRDefault="005820C3" w:rsidP="00FA2F0E">
            <w:pPr>
              <w:spacing w:after="120" w:line="270" w:lineRule="atLeast"/>
              <w:rPr>
                <w:rFonts w:ascii="Arial" w:eastAsia="Times" w:hAnsi="Arial"/>
              </w:rPr>
            </w:pPr>
            <w:r w:rsidRPr="00D3227F">
              <w:rPr>
                <w:rFonts w:ascii="Arial" w:hAnsi="Arial" w:cs="Arial"/>
                <w:b/>
                <w:bCs/>
                <w:color w:val="000000"/>
              </w:rPr>
              <w:t xml:space="preserve">ISBN </w:t>
            </w:r>
            <w:r w:rsidRPr="00D3227F">
              <w:rPr>
                <w:rFonts w:ascii="Arial" w:hAnsi="Arial" w:cs="Arial"/>
                <w:color w:val="000000"/>
              </w:rPr>
              <w:t>978-1-76069-140-0</w:t>
            </w:r>
            <w:r w:rsidR="00B766DE" w:rsidRPr="00D3227F">
              <w:rPr>
                <w:rFonts w:ascii="Arial" w:hAnsi="Arial" w:cs="Arial"/>
                <w:color w:val="000000"/>
              </w:rPr>
              <w:t xml:space="preserve">  </w:t>
            </w:r>
            <w:r w:rsidR="00B766DE" w:rsidRPr="00D3227F">
              <w:rPr>
                <w:rFonts w:ascii="Arial" w:hAnsi="Arial" w:cs="Arial"/>
                <w:b/>
                <w:bCs/>
                <w:color w:val="000000"/>
              </w:rPr>
              <w:t xml:space="preserve">(pdf/online/MS </w:t>
            </w:r>
            <w:r w:rsidR="00DC4635">
              <w:rPr>
                <w:rFonts w:ascii="Arial" w:hAnsi="Arial" w:cs="Arial"/>
                <w:b/>
                <w:bCs/>
                <w:color w:val="000000"/>
              </w:rPr>
              <w:t>W</w:t>
            </w:r>
            <w:bookmarkStart w:id="0" w:name="_GoBack"/>
            <w:bookmarkEnd w:id="0"/>
            <w:r w:rsidR="00B766DE" w:rsidRPr="00D3227F">
              <w:rPr>
                <w:rFonts w:ascii="Arial" w:hAnsi="Arial" w:cs="Arial"/>
                <w:b/>
                <w:bCs/>
                <w:color w:val="000000"/>
              </w:rPr>
              <w:t>ord)</w:t>
            </w:r>
          </w:p>
          <w:p w:rsidR="00DE2029" w:rsidRPr="00D3227F" w:rsidRDefault="00DC4635" w:rsidP="00DE2029">
            <w:pPr>
              <w:pStyle w:val="xmsonormal"/>
              <w:rPr>
                <w:rFonts w:ascii="Arial" w:hAnsi="Arial" w:cs="Arial"/>
                <w:sz w:val="20"/>
                <w:szCs w:val="20"/>
              </w:rPr>
            </w:pPr>
            <w:hyperlink r:id="rId11" w:history="1">
              <w:r w:rsidR="00FA2F0E" w:rsidRPr="00D3227F">
                <w:rPr>
                  <w:rStyle w:val="Hyperlink"/>
                  <w:rFonts w:ascii="Arial" w:hAnsi="Arial" w:cs="Arial"/>
                  <w:sz w:val="20"/>
                  <w:szCs w:val="20"/>
                </w:rPr>
                <w:t xml:space="preserve">Available at </w:t>
              </w:r>
              <w:r w:rsidR="00D3227F" w:rsidRPr="00D3227F">
                <w:rPr>
                  <w:rStyle w:val="Hyperlink"/>
                  <w:rFonts w:ascii="Arial" w:hAnsi="Arial" w:cs="Arial"/>
                  <w:sz w:val="20"/>
                  <w:szCs w:val="20"/>
                </w:rPr>
                <w:t>Fire Risk Management Procedures and Guidelines</w:t>
              </w:r>
            </w:hyperlink>
            <w:r w:rsidR="00D3227F" w:rsidRPr="00D3227F">
              <w:rPr>
                <w:rFonts w:ascii="Arial" w:hAnsi="Arial" w:cs="Arial"/>
                <w:sz w:val="20"/>
                <w:szCs w:val="20"/>
              </w:rPr>
              <w:t xml:space="preserve"> &lt;https://providers.dhhs.vic.gov.au/fire-risk-management-procedures-and-guidelines&gt;</w:t>
            </w:r>
          </w:p>
          <w:p w:rsidR="00FA2F0E" w:rsidRPr="003072C6" w:rsidRDefault="00FA2F0E" w:rsidP="00FA2F0E">
            <w:pPr>
              <w:pStyle w:val="DHHSbody"/>
            </w:pPr>
          </w:p>
        </w:tc>
      </w:tr>
      <w:tr w:rsidR="00FA2F0E" w:rsidRPr="003072C6" w:rsidTr="004C45A6">
        <w:tc>
          <w:tcPr>
            <w:tcW w:w="9401" w:type="dxa"/>
            <w:vAlign w:val="bottom"/>
          </w:tcPr>
          <w:p w:rsidR="00FA2F0E" w:rsidRPr="003072C6" w:rsidRDefault="00FA2F0E" w:rsidP="004C45A6">
            <w:pPr>
              <w:pStyle w:val="DHHSbody"/>
            </w:pPr>
          </w:p>
        </w:tc>
      </w:tr>
    </w:tbl>
    <w:p w:rsidR="00FA2F0E" w:rsidRPr="003072C6" w:rsidRDefault="00FA2F0E" w:rsidP="00FA2F0E">
      <w:pPr>
        <w:pStyle w:val="DHHSbody"/>
      </w:pPr>
    </w:p>
    <w:p w:rsidR="00FC5B77" w:rsidRDefault="009208F5" w:rsidP="00FC5B77">
      <w:pPr>
        <w:pStyle w:val="DHHSaccessibilitypara"/>
      </w:pPr>
      <w:r w:rsidRPr="003072C6">
        <w:lastRenderedPageBreak/>
        <w:br w:type="page"/>
      </w:r>
    </w:p>
    <w:p w:rsidR="00AC0C3B" w:rsidRPr="00204874" w:rsidRDefault="00AC0C3B" w:rsidP="00711B0C">
      <w:pPr>
        <w:pStyle w:val="DHHSTOCheadingreport"/>
      </w:pPr>
      <w:r w:rsidRPr="00204874">
        <w:lastRenderedPageBreak/>
        <w:t>Contents</w:t>
      </w:r>
    </w:p>
    <w:p w:rsidR="00B677E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7398675" w:history="1">
        <w:r w:rsidR="00B677E2" w:rsidRPr="00391407">
          <w:rPr>
            <w:rStyle w:val="Hyperlink"/>
          </w:rPr>
          <w:t>Who does this policy apply to?</w:t>
        </w:r>
        <w:r w:rsidR="00B677E2">
          <w:rPr>
            <w:webHidden/>
          </w:rPr>
          <w:tab/>
        </w:r>
        <w:r w:rsidR="00B677E2">
          <w:rPr>
            <w:webHidden/>
          </w:rPr>
          <w:fldChar w:fldCharType="begin"/>
        </w:r>
        <w:r w:rsidR="00B677E2">
          <w:rPr>
            <w:webHidden/>
          </w:rPr>
          <w:instrText xml:space="preserve"> PAGEREF _Toc27398675 \h </w:instrText>
        </w:r>
        <w:r w:rsidR="00B677E2">
          <w:rPr>
            <w:webHidden/>
          </w:rPr>
        </w:r>
        <w:r w:rsidR="00B677E2">
          <w:rPr>
            <w:webHidden/>
          </w:rPr>
          <w:fldChar w:fldCharType="separate"/>
        </w:r>
        <w:r w:rsidR="00B677E2">
          <w:rPr>
            <w:webHidden/>
          </w:rPr>
          <w:t>5</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76" w:history="1">
        <w:r w:rsidR="00B677E2" w:rsidRPr="00391407">
          <w:rPr>
            <w:rStyle w:val="Hyperlink"/>
          </w:rPr>
          <w:t>Policy purpose</w:t>
        </w:r>
        <w:r w:rsidR="00B677E2">
          <w:rPr>
            <w:webHidden/>
          </w:rPr>
          <w:tab/>
        </w:r>
        <w:r w:rsidR="00B677E2">
          <w:rPr>
            <w:webHidden/>
          </w:rPr>
          <w:fldChar w:fldCharType="begin"/>
        </w:r>
        <w:r w:rsidR="00B677E2">
          <w:rPr>
            <w:webHidden/>
          </w:rPr>
          <w:instrText xml:space="preserve"> PAGEREF _Toc27398676 \h </w:instrText>
        </w:r>
        <w:r w:rsidR="00B677E2">
          <w:rPr>
            <w:webHidden/>
          </w:rPr>
        </w:r>
        <w:r w:rsidR="00B677E2">
          <w:rPr>
            <w:webHidden/>
          </w:rPr>
          <w:fldChar w:fldCharType="separate"/>
        </w:r>
        <w:r w:rsidR="00B677E2">
          <w:rPr>
            <w:webHidden/>
          </w:rPr>
          <w:t>5</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77" w:history="1">
        <w:r w:rsidR="00B677E2" w:rsidRPr="00391407">
          <w:rPr>
            <w:rStyle w:val="Hyperlink"/>
          </w:rPr>
          <w:t>Legislation and/or regulation</w:t>
        </w:r>
        <w:r w:rsidR="00B677E2">
          <w:rPr>
            <w:webHidden/>
          </w:rPr>
          <w:tab/>
        </w:r>
        <w:r w:rsidR="00B677E2">
          <w:rPr>
            <w:webHidden/>
          </w:rPr>
          <w:fldChar w:fldCharType="begin"/>
        </w:r>
        <w:r w:rsidR="00B677E2">
          <w:rPr>
            <w:webHidden/>
          </w:rPr>
          <w:instrText xml:space="preserve"> PAGEREF _Toc27398677 \h </w:instrText>
        </w:r>
        <w:r w:rsidR="00B677E2">
          <w:rPr>
            <w:webHidden/>
          </w:rPr>
        </w:r>
        <w:r w:rsidR="00B677E2">
          <w:rPr>
            <w:webHidden/>
          </w:rPr>
          <w:fldChar w:fldCharType="separate"/>
        </w:r>
        <w:r w:rsidR="00B677E2">
          <w:rPr>
            <w:webHidden/>
          </w:rPr>
          <w:t>5</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78" w:history="1">
        <w:r w:rsidR="00B677E2" w:rsidRPr="00391407">
          <w:rPr>
            <w:rStyle w:val="Hyperlink"/>
          </w:rPr>
          <w:t>Organisation requirements</w:t>
        </w:r>
        <w:r w:rsidR="00B677E2">
          <w:rPr>
            <w:webHidden/>
          </w:rPr>
          <w:tab/>
        </w:r>
        <w:r w:rsidR="00B677E2">
          <w:rPr>
            <w:webHidden/>
          </w:rPr>
          <w:fldChar w:fldCharType="begin"/>
        </w:r>
        <w:r w:rsidR="00B677E2">
          <w:rPr>
            <w:webHidden/>
          </w:rPr>
          <w:instrText xml:space="preserve"> PAGEREF _Toc27398678 \h </w:instrText>
        </w:r>
        <w:r w:rsidR="00B677E2">
          <w:rPr>
            <w:webHidden/>
          </w:rPr>
        </w:r>
        <w:r w:rsidR="00B677E2">
          <w:rPr>
            <w:webHidden/>
          </w:rPr>
          <w:fldChar w:fldCharType="separate"/>
        </w:r>
        <w:r w:rsidR="00B677E2">
          <w:rPr>
            <w:webHidden/>
          </w:rPr>
          <w:t>5</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79" w:history="1">
        <w:r w:rsidR="00B677E2" w:rsidRPr="00391407">
          <w:rPr>
            <w:rStyle w:val="Hyperlink"/>
          </w:rPr>
          <w:t>Protecting clients</w:t>
        </w:r>
        <w:r w:rsidR="00B677E2">
          <w:rPr>
            <w:webHidden/>
          </w:rPr>
          <w:tab/>
        </w:r>
        <w:r w:rsidR="00B677E2">
          <w:rPr>
            <w:webHidden/>
          </w:rPr>
          <w:fldChar w:fldCharType="begin"/>
        </w:r>
        <w:r w:rsidR="00B677E2">
          <w:rPr>
            <w:webHidden/>
          </w:rPr>
          <w:instrText xml:space="preserve"> PAGEREF _Toc27398679 \h </w:instrText>
        </w:r>
        <w:r w:rsidR="00B677E2">
          <w:rPr>
            <w:webHidden/>
          </w:rPr>
        </w:r>
        <w:r w:rsidR="00B677E2">
          <w:rPr>
            <w:webHidden/>
          </w:rPr>
          <w:fldChar w:fldCharType="separate"/>
        </w:r>
        <w:r w:rsidR="00B677E2">
          <w:rPr>
            <w:webHidden/>
          </w:rPr>
          <w:t>5</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0" w:history="1">
        <w:r w:rsidR="00B677E2" w:rsidRPr="00391407">
          <w:rPr>
            <w:rStyle w:val="Hyperlink"/>
          </w:rPr>
          <w:t>Fire safety audit</w:t>
        </w:r>
        <w:r w:rsidR="00B677E2">
          <w:rPr>
            <w:webHidden/>
          </w:rPr>
          <w:tab/>
        </w:r>
        <w:r w:rsidR="00B677E2">
          <w:rPr>
            <w:webHidden/>
          </w:rPr>
          <w:fldChar w:fldCharType="begin"/>
        </w:r>
        <w:r w:rsidR="00B677E2">
          <w:rPr>
            <w:webHidden/>
          </w:rPr>
          <w:instrText xml:space="preserve"> PAGEREF _Toc27398680 \h </w:instrText>
        </w:r>
        <w:r w:rsidR="00B677E2">
          <w:rPr>
            <w:webHidden/>
          </w:rPr>
        </w:r>
        <w:r w:rsidR="00B677E2">
          <w:rPr>
            <w:webHidden/>
          </w:rPr>
          <w:fldChar w:fldCharType="separate"/>
        </w:r>
        <w:r w:rsidR="00B677E2">
          <w:rPr>
            <w:webHidden/>
          </w:rPr>
          <w:t>6</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1" w:history="1">
        <w:r w:rsidR="00B677E2" w:rsidRPr="00391407">
          <w:rPr>
            <w:rStyle w:val="Hyperlink"/>
          </w:rPr>
          <w:t>Fire safety handbook</w:t>
        </w:r>
        <w:r w:rsidR="00B677E2">
          <w:rPr>
            <w:webHidden/>
          </w:rPr>
          <w:tab/>
        </w:r>
        <w:r w:rsidR="00B677E2">
          <w:rPr>
            <w:webHidden/>
          </w:rPr>
          <w:fldChar w:fldCharType="begin"/>
        </w:r>
        <w:r w:rsidR="00B677E2">
          <w:rPr>
            <w:webHidden/>
          </w:rPr>
          <w:instrText xml:space="preserve"> PAGEREF _Toc27398681 \h </w:instrText>
        </w:r>
        <w:r w:rsidR="00B677E2">
          <w:rPr>
            <w:webHidden/>
          </w:rPr>
        </w:r>
        <w:r w:rsidR="00B677E2">
          <w:rPr>
            <w:webHidden/>
          </w:rPr>
          <w:fldChar w:fldCharType="separate"/>
        </w:r>
        <w:r w:rsidR="00B677E2">
          <w:rPr>
            <w:webHidden/>
          </w:rPr>
          <w:t>6</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2" w:history="1">
        <w:r w:rsidR="00B677E2" w:rsidRPr="00391407">
          <w:rPr>
            <w:rStyle w:val="Hyperlink"/>
          </w:rPr>
          <w:t>Services provided in own home</w:t>
        </w:r>
        <w:r w:rsidR="00B677E2">
          <w:rPr>
            <w:webHidden/>
          </w:rPr>
          <w:tab/>
        </w:r>
        <w:r w:rsidR="00B677E2">
          <w:rPr>
            <w:webHidden/>
          </w:rPr>
          <w:fldChar w:fldCharType="begin"/>
        </w:r>
        <w:r w:rsidR="00B677E2">
          <w:rPr>
            <w:webHidden/>
          </w:rPr>
          <w:instrText xml:space="preserve"> PAGEREF _Toc27398682 \h </w:instrText>
        </w:r>
        <w:r w:rsidR="00B677E2">
          <w:rPr>
            <w:webHidden/>
          </w:rPr>
        </w:r>
        <w:r w:rsidR="00B677E2">
          <w:rPr>
            <w:webHidden/>
          </w:rPr>
          <w:fldChar w:fldCharType="separate"/>
        </w:r>
        <w:r w:rsidR="00B677E2">
          <w:rPr>
            <w:webHidden/>
          </w:rPr>
          <w:t>6</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3" w:history="1">
        <w:r w:rsidR="00B677E2" w:rsidRPr="00391407">
          <w:rPr>
            <w:rStyle w:val="Hyperlink"/>
          </w:rPr>
          <w:t>Other services</w:t>
        </w:r>
        <w:r w:rsidR="00B677E2">
          <w:rPr>
            <w:webHidden/>
          </w:rPr>
          <w:tab/>
        </w:r>
        <w:r w:rsidR="00B677E2">
          <w:rPr>
            <w:webHidden/>
          </w:rPr>
          <w:fldChar w:fldCharType="begin"/>
        </w:r>
        <w:r w:rsidR="00B677E2">
          <w:rPr>
            <w:webHidden/>
          </w:rPr>
          <w:instrText xml:space="preserve"> PAGEREF _Toc27398683 \h </w:instrText>
        </w:r>
        <w:r w:rsidR="00B677E2">
          <w:rPr>
            <w:webHidden/>
          </w:rPr>
        </w:r>
        <w:r w:rsidR="00B677E2">
          <w:rPr>
            <w:webHidden/>
          </w:rPr>
          <w:fldChar w:fldCharType="separate"/>
        </w:r>
        <w:r w:rsidR="00B677E2">
          <w:rPr>
            <w:webHidden/>
          </w:rPr>
          <w:t>7</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4" w:history="1">
        <w:r w:rsidR="00B677E2" w:rsidRPr="00391407">
          <w:rPr>
            <w:rStyle w:val="Hyperlink"/>
          </w:rPr>
          <w:t>Premises</w:t>
        </w:r>
        <w:r w:rsidR="00B677E2">
          <w:rPr>
            <w:webHidden/>
          </w:rPr>
          <w:tab/>
        </w:r>
        <w:r w:rsidR="00B677E2">
          <w:rPr>
            <w:webHidden/>
          </w:rPr>
          <w:fldChar w:fldCharType="begin"/>
        </w:r>
        <w:r w:rsidR="00B677E2">
          <w:rPr>
            <w:webHidden/>
          </w:rPr>
          <w:instrText xml:space="preserve"> PAGEREF _Toc27398684 \h </w:instrText>
        </w:r>
        <w:r w:rsidR="00B677E2">
          <w:rPr>
            <w:webHidden/>
          </w:rPr>
        </w:r>
        <w:r w:rsidR="00B677E2">
          <w:rPr>
            <w:webHidden/>
          </w:rPr>
          <w:fldChar w:fldCharType="separate"/>
        </w:r>
        <w:r w:rsidR="00B677E2">
          <w:rPr>
            <w:webHidden/>
          </w:rPr>
          <w:t>7</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5" w:history="1">
        <w:r w:rsidR="00B677E2" w:rsidRPr="00391407">
          <w:rPr>
            <w:rStyle w:val="Hyperlink"/>
          </w:rPr>
          <w:t>Operational readiness</w:t>
        </w:r>
        <w:r w:rsidR="00B677E2">
          <w:rPr>
            <w:webHidden/>
          </w:rPr>
          <w:tab/>
        </w:r>
        <w:r w:rsidR="00B677E2">
          <w:rPr>
            <w:webHidden/>
          </w:rPr>
          <w:fldChar w:fldCharType="begin"/>
        </w:r>
        <w:r w:rsidR="00B677E2">
          <w:rPr>
            <w:webHidden/>
          </w:rPr>
          <w:instrText xml:space="preserve"> PAGEREF _Toc27398685 \h </w:instrText>
        </w:r>
        <w:r w:rsidR="00B677E2">
          <w:rPr>
            <w:webHidden/>
          </w:rPr>
        </w:r>
        <w:r w:rsidR="00B677E2">
          <w:rPr>
            <w:webHidden/>
          </w:rPr>
          <w:fldChar w:fldCharType="separate"/>
        </w:r>
        <w:r w:rsidR="00B677E2">
          <w:rPr>
            <w:webHidden/>
          </w:rPr>
          <w:t>7</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6" w:history="1">
        <w:r w:rsidR="00B677E2" w:rsidRPr="00391407">
          <w:rPr>
            <w:rStyle w:val="Hyperlink"/>
          </w:rPr>
          <w:t>Management tasks</w:t>
        </w:r>
        <w:r w:rsidR="00B677E2">
          <w:rPr>
            <w:webHidden/>
          </w:rPr>
          <w:tab/>
        </w:r>
        <w:r w:rsidR="00B677E2">
          <w:rPr>
            <w:webHidden/>
          </w:rPr>
          <w:fldChar w:fldCharType="begin"/>
        </w:r>
        <w:r w:rsidR="00B677E2">
          <w:rPr>
            <w:webHidden/>
          </w:rPr>
          <w:instrText xml:space="preserve"> PAGEREF _Toc27398686 \h </w:instrText>
        </w:r>
        <w:r w:rsidR="00B677E2">
          <w:rPr>
            <w:webHidden/>
          </w:rPr>
        </w:r>
        <w:r w:rsidR="00B677E2">
          <w:rPr>
            <w:webHidden/>
          </w:rPr>
          <w:fldChar w:fldCharType="separate"/>
        </w:r>
        <w:r w:rsidR="00B677E2">
          <w:rPr>
            <w:webHidden/>
          </w:rPr>
          <w:t>7</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7" w:history="1">
        <w:r w:rsidR="00B677E2" w:rsidRPr="00391407">
          <w:rPr>
            <w:rStyle w:val="Hyperlink"/>
          </w:rPr>
          <w:t>Emergency procedures</w:t>
        </w:r>
        <w:r w:rsidR="00B677E2">
          <w:rPr>
            <w:webHidden/>
          </w:rPr>
          <w:tab/>
        </w:r>
        <w:r w:rsidR="00B677E2">
          <w:rPr>
            <w:webHidden/>
          </w:rPr>
          <w:fldChar w:fldCharType="begin"/>
        </w:r>
        <w:r w:rsidR="00B677E2">
          <w:rPr>
            <w:webHidden/>
          </w:rPr>
          <w:instrText xml:space="preserve"> PAGEREF _Toc27398687 \h </w:instrText>
        </w:r>
        <w:r w:rsidR="00B677E2">
          <w:rPr>
            <w:webHidden/>
          </w:rPr>
        </w:r>
        <w:r w:rsidR="00B677E2">
          <w:rPr>
            <w:webHidden/>
          </w:rPr>
          <w:fldChar w:fldCharType="separate"/>
        </w:r>
        <w:r w:rsidR="00B677E2">
          <w:rPr>
            <w:webHidden/>
          </w:rPr>
          <w:t>7</w:t>
        </w:r>
        <w:r w:rsidR="00B677E2">
          <w:rPr>
            <w:webHidden/>
          </w:rPr>
          <w:fldChar w:fldCharType="end"/>
        </w:r>
      </w:hyperlink>
    </w:p>
    <w:p w:rsidR="00B677E2" w:rsidRDefault="00DC4635">
      <w:pPr>
        <w:pStyle w:val="TOC2"/>
        <w:rPr>
          <w:rFonts w:asciiTheme="minorHAnsi" w:eastAsiaTheme="minorEastAsia" w:hAnsiTheme="minorHAnsi" w:cstheme="minorBidi"/>
          <w:sz w:val="22"/>
          <w:szCs w:val="22"/>
          <w:lang w:eastAsia="en-AU"/>
        </w:rPr>
      </w:pPr>
      <w:hyperlink w:anchor="_Toc27398688" w:history="1">
        <w:r w:rsidR="00B677E2" w:rsidRPr="00391407">
          <w:rPr>
            <w:rStyle w:val="Hyperlink"/>
          </w:rPr>
          <w:t>Fire Safety Certification Matrix</w:t>
        </w:r>
        <w:r w:rsidR="00B677E2">
          <w:rPr>
            <w:webHidden/>
          </w:rPr>
          <w:tab/>
        </w:r>
        <w:r w:rsidR="00B677E2">
          <w:rPr>
            <w:webHidden/>
          </w:rPr>
          <w:fldChar w:fldCharType="begin"/>
        </w:r>
        <w:r w:rsidR="00B677E2">
          <w:rPr>
            <w:webHidden/>
          </w:rPr>
          <w:instrText xml:space="preserve"> PAGEREF _Toc27398688 \h </w:instrText>
        </w:r>
        <w:r w:rsidR="00B677E2">
          <w:rPr>
            <w:webHidden/>
          </w:rPr>
        </w:r>
        <w:r w:rsidR="00B677E2">
          <w:rPr>
            <w:webHidden/>
          </w:rPr>
          <w:fldChar w:fldCharType="separate"/>
        </w:r>
        <w:r w:rsidR="00B677E2">
          <w:rPr>
            <w:webHidden/>
          </w:rPr>
          <w:t>11</w:t>
        </w:r>
        <w:r w:rsidR="00B677E2">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sectPr w:rsidR="00AC0C3B" w:rsidRPr="003072C6" w:rsidSect="00C51B1C">
          <w:pgSz w:w="11906" w:h="16838"/>
          <w:pgMar w:top="1701" w:right="1304" w:bottom="1134" w:left="1304" w:header="454" w:footer="567" w:gutter="0"/>
          <w:cols w:space="720"/>
          <w:docGrid w:linePitch="360"/>
        </w:sectPr>
      </w:pPr>
      <w:r w:rsidRPr="003072C6">
        <w:br w:type="page"/>
      </w:r>
    </w:p>
    <w:p w:rsidR="00E30414" w:rsidRPr="0095521D" w:rsidRDefault="0095521D" w:rsidP="0095521D">
      <w:pPr>
        <w:pStyle w:val="Heading1"/>
      </w:pPr>
      <w:bookmarkStart w:id="1" w:name="_Toc27398675"/>
      <w:r w:rsidRPr="0095521D">
        <w:lastRenderedPageBreak/>
        <w:t>Who does this policy apply to?</w:t>
      </w:r>
      <w:bookmarkEnd w:id="1"/>
    </w:p>
    <w:p w:rsidR="0095521D" w:rsidRPr="00276391" w:rsidRDefault="0095521D" w:rsidP="0095521D">
      <w:pPr>
        <w:pStyle w:val="DHHSbody"/>
        <w:rPr>
          <w:lang w:eastAsia="en-AU"/>
        </w:rPr>
      </w:pPr>
      <w:r w:rsidRPr="00B24C02">
        <w:rPr>
          <w:rFonts w:cs="Arial"/>
          <w:color w:val="000000"/>
          <w:szCs w:val="19"/>
          <w:lang w:eastAsia="en-AU"/>
        </w:rPr>
        <w:t xml:space="preserve">This policy applies to all facilities in which the Department Health and Human Services owns, operates or funds which provide bed-based care, support or sleeping accommodation for clients under its care, but does not include typical domestic style dwelling and </w:t>
      </w:r>
      <w:r>
        <w:rPr>
          <w:rFonts w:cs="Arial"/>
          <w:color w:val="000000"/>
          <w:szCs w:val="19"/>
          <w:lang w:eastAsia="en-AU"/>
        </w:rPr>
        <w:t>l</w:t>
      </w:r>
      <w:r w:rsidRPr="00B24C02">
        <w:rPr>
          <w:rFonts w:cs="Arial"/>
          <w:color w:val="000000"/>
          <w:szCs w:val="19"/>
          <w:lang w:eastAsia="en-AU"/>
        </w:rPr>
        <w:t xml:space="preserve">ow, medium </w:t>
      </w:r>
      <w:r>
        <w:rPr>
          <w:rFonts w:cs="Arial"/>
          <w:color w:val="000000"/>
          <w:szCs w:val="19"/>
          <w:lang w:eastAsia="en-AU"/>
        </w:rPr>
        <w:t>or</w:t>
      </w:r>
      <w:r w:rsidRPr="00B24C02">
        <w:rPr>
          <w:rFonts w:cs="Arial"/>
          <w:color w:val="000000"/>
          <w:szCs w:val="19"/>
          <w:lang w:eastAsia="en-AU"/>
        </w:rPr>
        <w:t xml:space="preserve"> high rise multi-dwelling facilities used for public housing stock for individual rental agreements with tenants or </w:t>
      </w:r>
      <w:r>
        <w:rPr>
          <w:rFonts w:cs="Arial"/>
          <w:color w:val="000000"/>
          <w:szCs w:val="19"/>
          <w:lang w:eastAsia="en-AU"/>
        </w:rPr>
        <w:t>a</w:t>
      </w:r>
      <w:r w:rsidRPr="00B24C02">
        <w:rPr>
          <w:rFonts w:cs="Arial"/>
          <w:color w:val="000000"/>
          <w:szCs w:val="19"/>
          <w:lang w:eastAsia="en-AU"/>
        </w:rPr>
        <w:t xml:space="preserve">ccommodation facilities used as boarding facilities, guest facilities, hostels or the like, </w:t>
      </w:r>
      <w:r>
        <w:rPr>
          <w:rFonts w:cs="Arial"/>
          <w:color w:val="000000"/>
          <w:szCs w:val="19"/>
          <w:lang w:eastAsia="en-AU"/>
        </w:rPr>
        <w:t xml:space="preserve">or </w:t>
      </w:r>
      <w:r w:rsidRPr="00B24C02">
        <w:rPr>
          <w:rFonts w:cs="Arial"/>
          <w:color w:val="000000"/>
          <w:szCs w:val="19"/>
          <w:lang w:eastAsia="en-AU"/>
        </w:rPr>
        <w:t>rooming facilities as defined in the Residential Tenancies Act 1997</w:t>
      </w:r>
      <w:r>
        <w:rPr>
          <w:rFonts w:cs="Arial"/>
          <w:color w:val="000000"/>
          <w:szCs w:val="19"/>
          <w:lang w:eastAsia="en-AU"/>
        </w:rPr>
        <w:t>,</w:t>
      </w:r>
      <w:r w:rsidRPr="00B24C02">
        <w:rPr>
          <w:rFonts w:cs="Arial"/>
          <w:color w:val="000000"/>
          <w:szCs w:val="19"/>
          <w:lang w:eastAsia="en-AU"/>
        </w:rPr>
        <w:t xml:space="preserve"> and crisis accommodation.</w:t>
      </w:r>
    </w:p>
    <w:p w:rsidR="0095521D" w:rsidRPr="0095521D" w:rsidRDefault="0095521D" w:rsidP="0095521D">
      <w:pPr>
        <w:pStyle w:val="Heading2"/>
      </w:pPr>
      <w:bookmarkStart w:id="2" w:name="_Toc27398676"/>
      <w:r>
        <w:t>Policy purpose</w:t>
      </w:r>
      <w:bookmarkEnd w:id="2"/>
    </w:p>
    <w:p w:rsidR="0095521D" w:rsidRPr="00276391" w:rsidRDefault="0095521D" w:rsidP="0095521D">
      <w:pPr>
        <w:pStyle w:val="DHHSbullet1"/>
        <w:numPr>
          <w:ilvl w:val="0"/>
          <w:numId w:val="33"/>
        </w:numPr>
        <w:spacing w:after="120"/>
        <w:contextualSpacing/>
        <w:rPr>
          <w:rFonts w:cs="Arial"/>
          <w:lang w:eastAsia="en-AU"/>
        </w:rPr>
      </w:pPr>
      <w:r w:rsidRPr="00276391">
        <w:rPr>
          <w:rFonts w:cs="Arial"/>
          <w:lang w:eastAsia="en-AU"/>
        </w:rPr>
        <w:t xml:space="preserve">The purpose of this policy is to set minimum standards for documenting and compliance reporting with </w:t>
      </w:r>
      <w:r>
        <w:rPr>
          <w:rFonts w:cs="Arial"/>
          <w:lang w:eastAsia="en-AU"/>
        </w:rPr>
        <w:t>s</w:t>
      </w:r>
      <w:r w:rsidRPr="00276391">
        <w:rPr>
          <w:rFonts w:cs="Arial"/>
          <w:lang w:eastAsia="en-AU"/>
        </w:rPr>
        <w:t xml:space="preserve">tatutory and Guideline requirements; it also ensures that </w:t>
      </w:r>
      <w:r>
        <w:rPr>
          <w:rFonts w:cs="Arial"/>
          <w:lang w:eastAsia="en-AU"/>
        </w:rPr>
        <w:t xml:space="preserve">appropriate </w:t>
      </w:r>
      <w:r w:rsidRPr="00276391">
        <w:rPr>
          <w:rFonts w:cs="Arial"/>
          <w:lang w:eastAsia="en-AU"/>
        </w:rPr>
        <w:t xml:space="preserve">fire and emergency response procedures </w:t>
      </w:r>
      <w:r>
        <w:rPr>
          <w:rFonts w:cs="Arial"/>
          <w:lang w:eastAsia="en-AU"/>
        </w:rPr>
        <w:t xml:space="preserve">will </w:t>
      </w:r>
      <w:r w:rsidRPr="00276391">
        <w:rPr>
          <w:rFonts w:cs="Arial"/>
          <w:lang w:eastAsia="en-AU"/>
        </w:rPr>
        <w:t xml:space="preserve">be in place. </w:t>
      </w:r>
    </w:p>
    <w:p w:rsidR="0095521D" w:rsidRPr="0095521D" w:rsidRDefault="0095521D" w:rsidP="0095521D">
      <w:pPr>
        <w:pStyle w:val="DHHSbullet1"/>
        <w:numPr>
          <w:ilvl w:val="0"/>
          <w:numId w:val="33"/>
        </w:numPr>
        <w:spacing w:after="120"/>
        <w:contextualSpacing/>
        <w:rPr>
          <w:rFonts w:cs="Arial"/>
          <w:lang w:eastAsia="en-AU"/>
        </w:rPr>
      </w:pPr>
      <w:r w:rsidRPr="00276391">
        <w:rPr>
          <w:rFonts w:cs="Arial"/>
          <w:lang w:eastAsia="en-AU"/>
        </w:rPr>
        <w:t xml:space="preserve">To manage the risk to life due to fire in certain types of buildings which are owned, operated or funded by the department. </w:t>
      </w:r>
    </w:p>
    <w:p w:rsidR="0095521D" w:rsidRDefault="0095521D" w:rsidP="0095521D">
      <w:pPr>
        <w:pStyle w:val="Heading2"/>
      </w:pPr>
      <w:bookmarkStart w:id="3" w:name="_Toc27398677"/>
      <w:r>
        <w:t>Legislation and/or regulation</w:t>
      </w:r>
      <w:bookmarkEnd w:id="3"/>
      <w:r>
        <w:t xml:space="preserve"> </w:t>
      </w:r>
    </w:p>
    <w:p w:rsidR="0095521D" w:rsidRPr="00053D8A" w:rsidRDefault="00DC4635" w:rsidP="0095521D">
      <w:pPr>
        <w:pStyle w:val="DHHSbullet1"/>
        <w:numPr>
          <w:ilvl w:val="0"/>
          <w:numId w:val="33"/>
        </w:numPr>
        <w:spacing w:after="120"/>
        <w:contextualSpacing/>
        <w:rPr>
          <w:rFonts w:cs="Arial"/>
          <w:lang w:eastAsia="en-AU"/>
        </w:rPr>
      </w:pPr>
      <w:hyperlink r:id="rId12" w:history="1">
        <w:r w:rsidR="0095521D" w:rsidRPr="007169F9">
          <w:rPr>
            <w:rStyle w:val="Hyperlink"/>
          </w:rPr>
          <w:t>Building Act 1993 as amended</w:t>
        </w:r>
      </w:hyperlink>
      <w:r w:rsidR="0095521D" w:rsidRPr="00053D8A">
        <w:rPr>
          <w:rFonts w:cs="Arial"/>
          <w:color w:val="000000"/>
          <w:szCs w:val="19"/>
          <w:lang w:eastAsia="en-AU"/>
        </w:rPr>
        <w:t xml:space="preserve"> </w:t>
      </w:r>
      <w:r w:rsidR="007169F9">
        <w:rPr>
          <w:rFonts w:cs="Arial"/>
          <w:color w:val="000000"/>
          <w:szCs w:val="19"/>
          <w:lang w:eastAsia="en-AU"/>
        </w:rPr>
        <w:t>&lt;</w:t>
      </w:r>
      <w:r w:rsidR="007169F9" w:rsidRPr="007169F9">
        <w:rPr>
          <w:rFonts w:cs="Arial"/>
          <w:color w:val="000000"/>
          <w:szCs w:val="19"/>
          <w:lang w:eastAsia="en-AU"/>
        </w:rPr>
        <w:t>http://www.legislation.vic.gov.au/Domino/Web_Notes/LDMS/PubLawToday.nsf/2184e627479f8392ca256da50082bf3e/76fb6fc121677e38ca257624001fb276!OpenDocument</w:t>
      </w:r>
      <w:r w:rsidR="007169F9">
        <w:rPr>
          <w:rFonts w:cs="Arial"/>
          <w:color w:val="000000"/>
          <w:szCs w:val="19"/>
          <w:lang w:eastAsia="en-AU"/>
        </w:rPr>
        <w:t>&gt;</w:t>
      </w:r>
    </w:p>
    <w:p w:rsidR="0095521D" w:rsidRPr="00100E67" w:rsidRDefault="00DC4635" w:rsidP="0095521D">
      <w:pPr>
        <w:pStyle w:val="DHHSbullet1"/>
        <w:numPr>
          <w:ilvl w:val="0"/>
          <w:numId w:val="33"/>
        </w:numPr>
        <w:spacing w:after="120"/>
        <w:contextualSpacing/>
        <w:rPr>
          <w:rFonts w:cs="Arial"/>
          <w:lang w:eastAsia="en-AU"/>
        </w:rPr>
      </w:pPr>
      <w:hyperlink r:id="rId13" w:tgtFrame="_blank" w:history="1">
        <w:r w:rsidR="0095521D" w:rsidRPr="00986D1E">
          <w:rPr>
            <w:rStyle w:val="Hyperlink"/>
          </w:rPr>
          <w:t xml:space="preserve">Building </w:t>
        </w:r>
        <w:r w:rsidR="0095521D">
          <w:rPr>
            <w:rStyle w:val="Hyperlink"/>
          </w:rPr>
          <w:t xml:space="preserve">Interim </w:t>
        </w:r>
        <w:r w:rsidR="0095521D" w:rsidRPr="00986D1E">
          <w:rPr>
            <w:rStyle w:val="Hyperlink"/>
          </w:rPr>
          <w:t>Regulations 20</w:t>
        </w:r>
        <w:r w:rsidR="0095521D">
          <w:rPr>
            <w:rStyle w:val="Hyperlink"/>
          </w:rPr>
          <w:t>17</w:t>
        </w:r>
        <w:r w:rsidR="0095521D" w:rsidRPr="00986D1E">
          <w:rPr>
            <w:rStyle w:val="Hyperlink"/>
          </w:rPr>
          <w:t xml:space="preserve"> as amended</w:t>
        </w:r>
      </w:hyperlink>
      <w:r w:rsidR="0095521D" w:rsidRPr="00100E67">
        <w:rPr>
          <w:rFonts w:cs="Arial"/>
          <w:lang w:eastAsia="en-AU"/>
        </w:rPr>
        <w:t xml:space="preserve"> </w:t>
      </w:r>
      <w:r w:rsidR="007169F9">
        <w:rPr>
          <w:rFonts w:cs="Arial"/>
          <w:lang w:eastAsia="en-AU"/>
        </w:rPr>
        <w:t>&lt;</w:t>
      </w:r>
      <w:r w:rsidR="007169F9" w:rsidRPr="007169F9">
        <w:t xml:space="preserve"> </w:t>
      </w:r>
      <w:r w:rsidR="007169F9" w:rsidRPr="007169F9">
        <w:rPr>
          <w:rFonts w:cs="Arial"/>
          <w:lang w:eastAsia="en-AU"/>
        </w:rPr>
        <w:t>http://www.legislation.vic.gov.au/domino/Web_notes/LDMS/PubLawToday.nsf/7e27929611f1d5c2ca256dac00186f32/46165cd76bc0dbefca2578c00019c553!OpenDocument</w:t>
      </w:r>
      <w:r w:rsidR="007169F9">
        <w:rPr>
          <w:rFonts w:cs="Arial"/>
          <w:lang w:eastAsia="en-AU"/>
        </w:rPr>
        <w:t>&gt;</w:t>
      </w:r>
    </w:p>
    <w:p w:rsidR="0095521D" w:rsidRPr="00100E67" w:rsidRDefault="00DC4635" w:rsidP="0095521D">
      <w:pPr>
        <w:pStyle w:val="DHHSbullet1"/>
        <w:numPr>
          <w:ilvl w:val="0"/>
          <w:numId w:val="33"/>
        </w:numPr>
        <w:spacing w:after="120"/>
        <w:contextualSpacing/>
        <w:rPr>
          <w:rFonts w:cs="Arial"/>
          <w:lang w:eastAsia="en-AU"/>
        </w:rPr>
      </w:pPr>
      <w:hyperlink r:id="rId14" w:history="1">
        <w:r w:rsidR="0095521D" w:rsidRPr="006C1D10">
          <w:rPr>
            <w:rStyle w:val="Hyperlink"/>
          </w:rPr>
          <w:t>Building Code of Australia</w:t>
        </w:r>
      </w:hyperlink>
      <w:r w:rsidR="0095521D" w:rsidRPr="00100E67">
        <w:rPr>
          <w:rFonts w:cs="Arial"/>
          <w:lang w:eastAsia="en-AU"/>
        </w:rPr>
        <w:t xml:space="preserve"> </w:t>
      </w:r>
      <w:r w:rsidR="007169F9">
        <w:rPr>
          <w:rFonts w:cs="Arial"/>
          <w:lang w:eastAsia="en-AU"/>
        </w:rPr>
        <w:t>&lt;</w:t>
      </w:r>
      <w:r w:rsidR="007169F9" w:rsidRPr="007169F9">
        <w:t xml:space="preserve"> </w:t>
      </w:r>
      <w:r w:rsidR="00794BD0" w:rsidRPr="00794BD0">
        <w:t>https://www.abcb.gov.au/</w:t>
      </w:r>
      <w:r w:rsidR="007169F9">
        <w:rPr>
          <w:rFonts w:cs="Arial"/>
          <w:lang w:eastAsia="en-AU"/>
        </w:rPr>
        <w:t xml:space="preserve">&gt; </w:t>
      </w:r>
    </w:p>
    <w:p w:rsidR="0095521D" w:rsidRDefault="0095521D" w:rsidP="0095521D">
      <w:pPr>
        <w:pStyle w:val="DHHSbullet1"/>
        <w:numPr>
          <w:ilvl w:val="0"/>
          <w:numId w:val="33"/>
        </w:numPr>
        <w:spacing w:after="120"/>
        <w:contextualSpacing/>
        <w:rPr>
          <w:rFonts w:cs="Arial"/>
          <w:lang w:eastAsia="en-AU"/>
        </w:rPr>
      </w:pPr>
      <w:r w:rsidRPr="00276391">
        <w:rPr>
          <w:rFonts w:cs="Arial"/>
          <w:lang w:eastAsia="en-AU"/>
        </w:rPr>
        <w:t>Australian Standard AS3745 – 2010</w:t>
      </w:r>
      <w:r>
        <w:rPr>
          <w:rFonts w:cs="Arial"/>
          <w:lang w:eastAsia="en-AU"/>
        </w:rPr>
        <w:t xml:space="preserve"> (</w:t>
      </w:r>
      <w:r w:rsidRPr="008702B8">
        <w:rPr>
          <w:rFonts w:cs="Arial"/>
          <w:lang w:eastAsia="en-AU"/>
        </w:rPr>
        <w:t>Planning for emergencies in facilities)</w:t>
      </w:r>
      <w:r w:rsidRPr="00276391">
        <w:rPr>
          <w:rFonts w:cs="Arial"/>
          <w:lang w:eastAsia="en-AU"/>
        </w:rPr>
        <w:t xml:space="preserve"> </w:t>
      </w:r>
    </w:p>
    <w:p w:rsidR="0095521D" w:rsidRPr="0095521D" w:rsidRDefault="0095521D" w:rsidP="0095521D">
      <w:pPr>
        <w:pStyle w:val="DHHSbullet1"/>
        <w:numPr>
          <w:ilvl w:val="0"/>
          <w:numId w:val="33"/>
        </w:numPr>
        <w:spacing w:after="120"/>
        <w:contextualSpacing/>
        <w:rPr>
          <w:rFonts w:cs="Arial"/>
          <w:lang w:eastAsia="en-AU"/>
        </w:rPr>
      </w:pPr>
      <w:r w:rsidRPr="00276391">
        <w:rPr>
          <w:rFonts w:cs="Arial"/>
          <w:lang w:eastAsia="en-AU"/>
        </w:rPr>
        <w:t>Australia Standard AS4083 – 2010</w:t>
      </w:r>
      <w:r>
        <w:rPr>
          <w:rFonts w:cs="Arial"/>
          <w:lang w:eastAsia="en-AU"/>
        </w:rPr>
        <w:t xml:space="preserve"> (</w:t>
      </w:r>
      <w:r w:rsidRPr="008702B8">
        <w:rPr>
          <w:rFonts w:cs="Arial"/>
          <w:lang w:eastAsia="en-AU"/>
        </w:rPr>
        <w:t xml:space="preserve">Planning </w:t>
      </w:r>
      <w:r w:rsidR="0016367A">
        <w:rPr>
          <w:rFonts w:cs="Arial"/>
          <w:lang w:eastAsia="en-AU"/>
        </w:rPr>
        <w:t>f</w:t>
      </w:r>
      <w:r w:rsidRPr="008702B8">
        <w:rPr>
          <w:rFonts w:cs="Arial"/>
          <w:lang w:eastAsia="en-AU"/>
        </w:rPr>
        <w:t xml:space="preserve">or </w:t>
      </w:r>
      <w:r w:rsidR="0016367A">
        <w:rPr>
          <w:rFonts w:cs="Arial"/>
          <w:lang w:eastAsia="en-AU"/>
        </w:rPr>
        <w:t>e</w:t>
      </w:r>
      <w:r w:rsidRPr="008702B8">
        <w:rPr>
          <w:rFonts w:cs="Arial"/>
          <w:lang w:eastAsia="en-AU"/>
        </w:rPr>
        <w:t xml:space="preserve">mergencies - Health </w:t>
      </w:r>
      <w:r w:rsidR="0016367A">
        <w:rPr>
          <w:rFonts w:cs="Arial"/>
          <w:lang w:eastAsia="en-AU"/>
        </w:rPr>
        <w:t>c</w:t>
      </w:r>
      <w:r w:rsidRPr="008702B8">
        <w:rPr>
          <w:rFonts w:cs="Arial"/>
          <w:lang w:eastAsia="en-AU"/>
        </w:rPr>
        <w:t xml:space="preserve">are </w:t>
      </w:r>
      <w:r w:rsidR="0016367A">
        <w:rPr>
          <w:rFonts w:cs="Arial"/>
          <w:lang w:eastAsia="en-AU"/>
        </w:rPr>
        <w:t>f</w:t>
      </w:r>
      <w:r w:rsidRPr="008702B8">
        <w:rPr>
          <w:rFonts w:cs="Arial"/>
          <w:lang w:eastAsia="en-AU"/>
        </w:rPr>
        <w:t>acilities</w:t>
      </w:r>
      <w:r>
        <w:rPr>
          <w:rFonts w:cs="Arial"/>
          <w:lang w:eastAsia="en-AU"/>
        </w:rPr>
        <w:t>)</w:t>
      </w:r>
    </w:p>
    <w:p w:rsidR="0095521D" w:rsidRDefault="0095521D" w:rsidP="0095521D">
      <w:pPr>
        <w:pStyle w:val="Heading2"/>
      </w:pPr>
      <w:bookmarkStart w:id="4" w:name="_Toc27398678"/>
      <w:r>
        <w:t>Organisation requirements</w:t>
      </w:r>
      <w:bookmarkEnd w:id="4"/>
      <w:r>
        <w:t xml:space="preserve"> </w:t>
      </w:r>
    </w:p>
    <w:p w:rsidR="0095521D" w:rsidRDefault="0095521D" w:rsidP="0095521D">
      <w:pPr>
        <w:pStyle w:val="DHHSbody"/>
        <w:rPr>
          <w:lang w:eastAsia="en-AU"/>
        </w:rPr>
      </w:pPr>
      <w:r w:rsidRPr="00B24C02">
        <w:rPr>
          <w:rFonts w:cs="Arial"/>
          <w:color w:val="000000"/>
          <w:szCs w:val="19"/>
          <w:lang w:eastAsia="en-AU"/>
        </w:rPr>
        <w:t>Chief executives and general managers of services, agencies, networks and other facilities are responsible for ensuring the implementation of appropriate fire risk management measures required to satisfy statutory requirements and the appropriate</w:t>
      </w:r>
      <w:r>
        <w:rPr>
          <w:rFonts w:cs="Arial"/>
          <w:color w:val="000000"/>
          <w:szCs w:val="19"/>
          <w:lang w:eastAsia="en-AU"/>
        </w:rPr>
        <w:t xml:space="preserve"> departmental</w:t>
      </w:r>
      <w:r w:rsidRPr="00B24C02">
        <w:rPr>
          <w:rFonts w:cs="Arial"/>
          <w:color w:val="000000"/>
          <w:szCs w:val="19"/>
          <w:lang w:eastAsia="en-AU"/>
        </w:rPr>
        <w:t xml:space="preserve"> guidelines.</w:t>
      </w:r>
    </w:p>
    <w:p w:rsidR="0095521D" w:rsidRDefault="0095521D" w:rsidP="0095521D">
      <w:pPr>
        <w:pStyle w:val="Heading2"/>
      </w:pPr>
      <w:bookmarkStart w:id="5" w:name="_Toc27398679"/>
      <w:r>
        <w:t>Protecting clients</w:t>
      </w:r>
      <w:bookmarkEnd w:id="5"/>
    </w:p>
    <w:p w:rsidR="0095521D" w:rsidRDefault="0095521D" w:rsidP="0095521D">
      <w:pPr>
        <w:pStyle w:val="DHHSbody"/>
        <w:rPr>
          <w:rFonts w:cs="Arial"/>
          <w:color w:val="000000"/>
          <w:szCs w:val="19"/>
          <w:lang w:eastAsia="en-AU"/>
        </w:rPr>
      </w:pPr>
      <w:r w:rsidRPr="00B24C02">
        <w:rPr>
          <w:rFonts w:cs="Arial"/>
          <w:color w:val="000000"/>
          <w:szCs w:val="19"/>
          <w:lang w:eastAsia="en-AU"/>
        </w:rPr>
        <w:t xml:space="preserve">Protecting clients from fire risk is an important part of their care and of paramount importance to the department. The </w:t>
      </w:r>
      <w:r>
        <w:rPr>
          <w:rFonts w:cs="Arial"/>
          <w:color w:val="000000"/>
          <w:szCs w:val="19"/>
          <w:lang w:eastAsia="en-AU"/>
        </w:rPr>
        <w:t>Service agreement</w:t>
      </w:r>
      <w:r w:rsidRPr="00B24C02">
        <w:rPr>
          <w:rFonts w:cs="Arial"/>
          <w:color w:val="000000"/>
          <w:szCs w:val="19"/>
          <w:lang w:eastAsia="en-AU"/>
        </w:rPr>
        <w:t xml:space="preserve"> acknowledges that an organisation is responsible for complying with all laws, mandatory standards relating to fire protection, safety, health and general safety that apply to any premises from which the organisation owns or operates, irrespective of whether the relevant regulatory requirements place the obligation on the owner or occupier of those premises.</w:t>
      </w:r>
    </w:p>
    <w:p w:rsidR="0095521D" w:rsidRDefault="0095521D" w:rsidP="0095521D">
      <w:pPr>
        <w:pStyle w:val="DHHSbody"/>
        <w:rPr>
          <w:rFonts w:cs="Arial"/>
          <w:color w:val="000000"/>
          <w:szCs w:val="19"/>
          <w:lang w:eastAsia="en-AU"/>
        </w:rPr>
      </w:pPr>
      <w:r w:rsidRPr="00B24C02">
        <w:rPr>
          <w:rFonts w:cs="Arial"/>
          <w:color w:val="000000"/>
          <w:szCs w:val="19"/>
          <w:lang w:eastAsia="en-AU"/>
        </w:rPr>
        <w:t xml:space="preserve">The applicable guidelines for fire risk for department owned, operated or funded buildings/services are the </w:t>
      </w:r>
      <w:hyperlink r:id="rId15" w:tgtFrame="_blank" w:history="1">
        <w:r w:rsidRPr="00390713">
          <w:rPr>
            <w:rStyle w:val="Hyperlink"/>
          </w:rPr>
          <w:t>Capital Development Guidelines, Series 7, Fire Risk Management, August 2013</w:t>
        </w:r>
      </w:hyperlink>
      <w:r w:rsidR="00B677E2">
        <w:rPr>
          <w:rFonts w:cs="Arial"/>
          <w:color w:val="000000"/>
          <w:szCs w:val="19"/>
          <w:lang w:eastAsia="en-AU"/>
        </w:rPr>
        <w:t>.</w:t>
      </w:r>
      <w:r w:rsidR="001A264A">
        <w:rPr>
          <w:rFonts w:cs="Arial"/>
          <w:color w:val="000000"/>
          <w:szCs w:val="19"/>
          <w:lang w:eastAsia="en-AU"/>
        </w:rPr>
        <w:br/>
      </w:r>
      <w:r w:rsidR="001C4CE2">
        <w:rPr>
          <w:rFonts w:cs="Arial"/>
          <w:color w:val="000000"/>
          <w:szCs w:val="19"/>
          <w:lang w:eastAsia="en-AU"/>
        </w:rPr>
        <w:t>&lt;</w:t>
      </w:r>
      <w:r w:rsidR="001C4CE2" w:rsidRPr="001C4CE2">
        <w:rPr>
          <w:rFonts w:cs="Arial"/>
          <w:color w:val="000000"/>
          <w:szCs w:val="19"/>
          <w:lang w:eastAsia="en-AU"/>
        </w:rPr>
        <w:t>https://providers.dhhs.vic.gov.au/capital-development-guidelines-series-7</w:t>
      </w:r>
      <w:r w:rsidR="001C4CE2">
        <w:rPr>
          <w:rFonts w:cs="Arial"/>
          <w:color w:val="000000"/>
          <w:szCs w:val="19"/>
          <w:lang w:eastAsia="en-AU"/>
        </w:rPr>
        <w:t>&gt;</w:t>
      </w:r>
    </w:p>
    <w:p w:rsidR="0095521D" w:rsidRPr="00276391" w:rsidRDefault="00DC4635" w:rsidP="0095521D">
      <w:pPr>
        <w:pStyle w:val="DHHSbody"/>
        <w:rPr>
          <w:lang w:eastAsia="en-AU"/>
        </w:rPr>
      </w:pPr>
      <w:hyperlink r:id="rId16" w:history="1">
        <w:r w:rsidR="0095521D" w:rsidRPr="001C4CE2">
          <w:rPr>
            <w:rStyle w:val="Hyperlink"/>
            <w:rFonts w:cs="Arial"/>
            <w:szCs w:val="19"/>
            <w:lang w:eastAsia="en-AU"/>
          </w:rPr>
          <w:t xml:space="preserve">Available at </w:t>
        </w:r>
        <w:r w:rsidR="001C4CE2" w:rsidRPr="001C4CE2">
          <w:rPr>
            <w:rStyle w:val="Hyperlink"/>
            <w:rFonts w:cs="Arial"/>
            <w:szCs w:val="19"/>
            <w:lang w:eastAsia="en-AU"/>
          </w:rPr>
          <w:t>Capital development guidelines – series 7</w:t>
        </w:r>
      </w:hyperlink>
      <w:r w:rsidR="001C4CE2">
        <w:rPr>
          <w:rFonts w:cs="Arial"/>
          <w:color w:val="000000"/>
          <w:szCs w:val="19"/>
          <w:lang w:eastAsia="en-AU"/>
        </w:rPr>
        <w:t xml:space="preserve"> </w:t>
      </w:r>
      <w:r w:rsidR="0095521D">
        <w:rPr>
          <w:rFonts w:cs="Arial"/>
          <w:color w:val="000000"/>
          <w:szCs w:val="19"/>
          <w:lang w:eastAsia="en-AU"/>
        </w:rPr>
        <w:t>&lt;</w:t>
      </w:r>
      <w:r w:rsidR="0095521D" w:rsidRPr="00390713">
        <w:rPr>
          <w:rFonts w:cs="Arial"/>
          <w:color w:val="000000"/>
          <w:szCs w:val="19"/>
          <w:lang w:eastAsia="en-AU"/>
        </w:rPr>
        <w:t>https://providers.dhhs.vic.gov.au/capital-development-guidelines-series-7</w:t>
      </w:r>
      <w:r w:rsidR="0095521D">
        <w:rPr>
          <w:rFonts w:cs="Arial"/>
          <w:color w:val="000000"/>
          <w:szCs w:val="19"/>
          <w:lang w:eastAsia="en-AU"/>
        </w:rPr>
        <w:t>&gt;</w:t>
      </w:r>
      <w:r w:rsidR="00B677E2">
        <w:rPr>
          <w:rFonts w:cs="Arial"/>
          <w:color w:val="000000"/>
          <w:szCs w:val="19"/>
          <w:lang w:eastAsia="en-AU"/>
        </w:rPr>
        <w:t>.</w:t>
      </w:r>
    </w:p>
    <w:p w:rsidR="0095521D" w:rsidRDefault="0095521D" w:rsidP="0095521D">
      <w:pPr>
        <w:pStyle w:val="DHHSbody"/>
        <w:rPr>
          <w:lang w:eastAsia="en-AU"/>
        </w:rPr>
      </w:pPr>
      <w:r w:rsidRPr="00276391">
        <w:rPr>
          <w:lang w:eastAsia="en-AU"/>
        </w:rPr>
        <w:lastRenderedPageBreak/>
        <w:t xml:space="preserve">An organisation entering into a </w:t>
      </w:r>
      <w:r>
        <w:rPr>
          <w:lang w:eastAsia="en-AU"/>
        </w:rPr>
        <w:t>Service agreement</w:t>
      </w:r>
      <w:r w:rsidRPr="00276391">
        <w:rPr>
          <w:lang w:eastAsia="en-AU"/>
        </w:rPr>
        <w:t xml:space="preserve"> must have in place an appropriate system to protect people under its care. For this reason, the </w:t>
      </w:r>
      <w:r>
        <w:rPr>
          <w:lang w:eastAsia="en-AU"/>
        </w:rPr>
        <w:t>d</w:t>
      </w:r>
      <w:r w:rsidRPr="00276391">
        <w:rPr>
          <w:lang w:eastAsia="en-AU"/>
        </w:rPr>
        <w:t xml:space="preserve">epartment is keen to clarify its role and the role of the organisation in protecting the </w:t>
      </w:r>
      <w:r>
        <w:rPr>
          <w:lang w:eastAsia="en-AU"/>
        </w:rPr>
        <w:t>d</w:t>
      </w:r>
      <w:r w:rsidRPr="00276391">
        <w:rPr>
          <w:lang w:eastAsia="en-AU"/>
        </w:rPr>
        <w:t>epartment's clients from fire risk.</w:t>
      </w:r>
    </w:p>
    <w:p w:rsidR="005C4683" w:rsidRDefault="0095521D" w:rsidP="005C4683">
      <w:pPr>
        <w:pStyle w:val="Heading2"/>
      </w:pPr>
      <w:bookmarkStart w:id="6" w:name="_Toc27398680"/>
      <w:r>
        <w:t>Fire safety audit</w:t>
      </w:r>
      <w:bookmarkEnd w:id="6"/>
    </w:p>
    <w:p w:rsidR="005C4683" w:rsidRDefault="005C4683" w:rsidP="005C4683">
      <w:pPr>
        <w:pStyle w:val="DHHSbody"/>
        <w:rPr>
          <w:rFonts w:cs="Arial"/>
          <w:color w:val="000000"/>
          <w:szCs w:val="19"/>
          <w:lang w:eastAsia="en-AU"/>
        </w:rPr>
      </w:pPr>
      <w:r w:rsidRPr="00B24C02">
        <w:rPr>
          <w:rFonts w:cs="Arial"/>
          <w:color w:val="000000"/>
          <w:szCs w:val="19"/>
          <w:lang w:eastAsia="en-AU"/>
        </w:rPr>
        <w:t xml:space="preserve">Every facilities </w:t>
      </w:r>
      <w:r w:rsidR="00D14AB7" w:rsidRPr="00593776">
        <w:rPr>
          <w:rFonts w:cs="Arial"/>
          <w:color w:val="000000"/>
          <w:szCs w:val="19"/>
          <w:lang w:eastAsia="en-AU"/>
        </w:rPr>
        <w:t>should</w:t>
      </w:r>
      <w:r>
        <w:rPr>
          <w:rFonts w:cs="Arial"/>
          <w:color w:val="000000"/>
          <w:szCs w:val="19"/>
          <w:lang w:eastAsia="en-AU"/>
        </w:rPr>
        <w:t xml:space="preserve"> </w:t>
      </w:r>
      <w:r w:rsidRPr="005310C8">
        <w:rPr>
          <w:rFonts w:cs="Arial"/>
          <w:color w:val="000000"/>
          <w:szCs w:val="19"/>
          <w:lang w:eastAsia="en-AU"/>
        </w:rPr>
        <w:t>be audited every 5 years</w:t>
      </w:r>
      <w:r>
        <w:rPr>
          <w:rFonts w:cs="Arial"/>
          <w:color w:val="000000"/>
          <w:szCs w:val="19"/>
          <w:lang w:eastAsia="en-AU"/>
        </w:rPr>
        <w:t xml:space="preserve"> </w:t>
      </w:r>
      <w:r w:rsidRPr="00B24C02">
        <w:rPr>
          <w:rFonts w:cs="Arial"/>
          <w:color w:val="000000"/>
          <w:szCs w:val="19"/>
          <w:lang w:eastAsia="en-AU"/>
        </w:rPr>
        <w:t xml:space="preserve">in accordance with the </w:t>
      </w:r>
      <w:r w:rsidRPr="009826E8">
        <w:t xml:space="preserve">Capital Development Guidelines, Series 7, Fire </w:t>
      </w:r>
      <w:r w:rsidRPr="00515471">
        <w:t xml:space="preserve">Risk Management, August 2013 </w:t>
      </w:r>
      <w:r w:rsidRPr="00515471">
        <w:rPr>
          <w:rFonts w:cs="Arial"/>
          <w:color w:val="000000"/>
          <w:szCs w:val="19"/>
          <w:lang w:eastAsia="en-AU"/>
        </w:rPr>
        <w:t>or as required by the Fire Services Team to monitor ongoing compliance, and whenever a modification or addition is proposed to be made to the building. A fire safety audit can only be undertaken by a DHHS</w:t>
      </w:r>
      <w:r w:rsidRPr="00B24C02">
        <w:rPr>
          <w:rFonts w:cs="Arial"/>
          <w:color w:val="000000"/>
          <w:szCs w:val="19"/>
          <w:lang w:eastAsia="en-AU"/>
        </w:rPr>
        <w:t xml:space="preserve"> accredited practitioner</w:t>
      </w:r>
    </w:p>
    <w:p w:rsidR="00ED4BD5" w:rsidRPr="001A264A" w:rsidRDefault="005C4683" w:rsidP="005C4683">
      <w:pPr>
        <w:pStyle w:val="DHHSbody"/>
        <w:rPr>
          <w:rFonts w:cs="Arial"/>
          <w:color w:val="000000" w:themeColor="text1"/>
          <w:szCs w:val="19"/>
          <w:lang w:eastAsia="en-AU"/>
        </w:rPr>
      </w:pPr>
      <w:r w:rsidRPr="00A43611">
        <w:rPr>
          <w:rFonts w:cs="Arial"/>
          <w:color w:val="000000" w:themeColor="text1"/>
          <w:szCs w:val="19"/>
          <w:lang w:eastAsia="en-AU"/>
        </w:rPr>
        <w:t xml:space="preserve">For further information on responsibilities for fire safety audits </w:t>
      </w:r>
      <w:hyperlink r:id="rId17" w:history="1">
        <w:r w:rsidRPr="00D77210">
          <w:rPr>
            <w:rStyle w:val="Hyperlink"/>
            <w:rFonts w:cs="Arial"/>
            <w:szCs w:val="19"/>
            <w:lang w:eastAsia="en-AU"/>
          </w:rPr>
          <w:t>contact your Fire Service Coordinator</w:t>
        </w:r>
      </w:hyperlink>
      <w:r w:rsidRPr="00A43611">
        <w:rPr>
          <w:rFonts w:cs="Arial"/>
          <w:color w:val="000000" w:themeColor="text1"/>
          <w:szCs w:val="19"/>
          <w:lang w:eastAsia="en-AU"/>
        </w:rPr>
        <w:t xml:space="preserve"> </w:t>
      </w:r>
      <w:r w:rsidR="001A264A">
        <w:rPr>
          <w:rFonts w:cs="Arial"/>
          <w:color w:val="000000" w:themeColor="text1"/>
          <w:szCs w:val="19"/>
          <w:lang w:eastAsia="en-AU"/>
        </w:rPr>
        <w:br/>
      </w:r>
      <w:r w:rsidR="00D77210">
        <w:rPr>
          <w:rFonts w:cs="Arial"/>
          <w:color w:val="000000" w:themeColor="text1"/>
          <w:szCs w:val="19"/>
          <w:lang w:eastAsia="en-AU"/>
        </w:rPr>
        <w:t>&lt;</w:t>
      </w:r>
      <w:r w:rsidRPr="00A43611">
        <w:rPr>
          <w:rFonts w:cs="Arial"/>
          <w:color w:val="000000" w:themeColor="text1"/>
          <w:szCs w:val="19"/>
          <w:lang w:eastAsia="en-AU"/>
        </w:rPr>
        <w:t>dhs-m-frmuco-ordinators@dhhs.vic.gov.au&gt;</w:t>
      </w:r>
      <w:r w:rsidR="00B677E2">
        <w:rPr>
          <w:rFonts w:cs="Arial"/>
          <w:color w:val="000000" w:themeColor="text1"/>
          <w:szCs w:val="19"/>
          <w:lang w:eastAsia="en-AU"/>
        </w:rPr>
        <w:t>.</w:t>
      </w:r>
    </w:p>
    <w:p w:rsidR="00ED4BD5" w:rsidRDefault="00ED4BD5" w:rsidP="00ED4BD5">
      <w:pPr>
        <w:pStyle w:val="Heading2"/>
      </w:pPr>
      <w:bookmarkStart w:id="7" w:name="_Toc27398681"/>
      <w:r>
        <w:t>Fire safety handbook</w:t>
      </w:r>
      <w:bookmarkEnd w:id="7"/>
    </w:p>
    <w:p w:rsidR="00D14AB7" w:rsidRDefault="00ED4BD5" w:rsidP="00ED4BD5">
      <w:pPr>
        <w:pStyle w:val="DHHSbody"/>
        <w:rPr>
          <w:rFonts w:cs="Arial"/>
          <w:color w:val="000000"/>
          <w:szCs w:val="19"/>
          <w:lang w:eastAsia="en-AU"/>
        </w:rPr>
      </w:pPr>
      <w:r w:rsidRPr="00B24C02">
        <w:rPr>
          <w:rFonts w:cs="Arial"/>
          <w:color w:val="000000"/>
          <w:szCs w:val="19"/>
          <w:lang w:eastAsia="en-AU"/>
        </w:rPr>
        <w:t xml:space="preserve">Every facility </w:t>
      </w:r>
      <w:r w:rsidR="00D14AB7" w:rsidRPr="00593776">
        <w:rPr>
          <w:rFonts w:cs="Arial"/>
          <w:color w:val="000000"/>
          <w:szCs w:val="19"/>
          <w:lang w:eastAsia="en-AU"/>
        </w:rPr>
        <w:t>should</w:t>
      </w:r>
      <w:r w:rsidR="00D14AB7">
        <w:rPr>
          <w:rFonts w:cs="Arial"/>
          <w:color w:val="000000"/>
          <w:szCs w:val="19"/>
          <w:lang w:eastAsia="en-AU"/>
        </w:rPr>
        <w:t xml:space="preserve"> </w:t>
      </w:r>
      <w:r w:rsidRPr="00B24C02">
        <w:rPr>
          <w:rFonts w:cs="Arial"/>
          <w:color w:val="000000"/>
          <w:szCs w:val="19"/>
          <w:lang w:eastAsia="en-AU"/>
        </w:rPr>
        <w:t xml:space="preserve">have a fire safety handbook which is a unique document for each building or facility that defines the fire safety strategy for that building in terms of the required levels of compliance, performance, design parameters and maintenance requirements for each physical or human measure/factor. </w:t>
      </w:r>
      <w:r>
        <w:rPr>
          <w:rFonts w:cs="Arial"/>
          <w:color w:val="000000"/>
          <w:szCs w:val="19"/>
          <w:lang w:eastAsia="en-AU"/>
        </w:rPr>
        <w:t>The department’s website has t</w:t>
      </w:r>
      <w:r w:rsidRPr="00B24C02">
        <w:rPr>
          <w:rFonts w:cs="Arial"/>
          <w:color w:val="000000"/>
          <w:szCs w:val="19"/>
          <w:lang w:eastAsia="en-AU"/>
        </w:rPr>
        <w:t xml:space="preserve">he required template for the </w:t>
      </w:r>
      <w:hyperlink r:id="rId18" w:history="1">
        <w:r w:rsidRPr="00D30093">
          <w:rPr>
            <w:rStyle w:val="Hyperlink"/>
            <w:rFonts w:cs="Arial"/>
            <w:szCs w:val="19"/>
            <w:lang w:eastAsia="en-AU"/>
          </w:rPr>
          <w:t>Fire Safety Handbook</w:t>
        </w:r>
      </w:hyperlink>
      <w:r>
        <w:rPr>
          <w:rFonts w:cs="Arial"/>
          <w:color w:val="000000"/>
          <w:szCs w:val="19"/>
          <w:lang w:eastAsia="en-AU"/>
        </w:rPr>
        <w:t xml:space="preserve"> &lt;</w:t>
      </w:r>
      <w:r w:rsidRPr="00D30093">
        <w:rPr>
          <w:rFonts w:cs="Arial"/>
          <w:color w:val="000000"/>
          <w:szCs w:val="19"/>
          <w:lang w:eastAsia="en-AU"/>
        </w:rPr>
        <w:t>https://providers.dhhs.vic.gov.au/fire-safety-handbook</w:t>
      </w:r>
      <w:r w:rsidR="00B677E2">
        <w:rPr>
          <w:rFonts w:cs="Arial"/>
          <w:color w:val="000000"/>
          <w:szCs w:val="19"/>
          <w:lang w:eastAsia="en-AU"/>
        </w:rPr>
        <w:t>&gt;.</w:t>
      </w:r>
    </w:p>
    <w:p w:rsidR="00D14AB7" w:rsidRPr="00D14AB7" w:rsidRDefault="00D14AB7" w:rsidP="00ED4BD5">
      <w:pPr>
        <w:pStyle w:val="DHHSbody"/>
        <w:rPr>
          <w:b/>
          <w:sz w:val="28"/>
          <w:szCs w:val="28"/>
          <w:lang w:eastAsia="en-AU"/>
        </w:rPr>
      </w:pPr>
      <w:r w:rsidRPr="00593776">
        <w:rPr>
          <w:rFonts w:cs="Arial"/>
          <w:b/>
          <w:color w:val="000000"/>
          <w:sz w:val="28"/>
          <w:szCs w:val="28"/>
          <w:lang w:eastAsia="en-AU"/>
        </w:rPr>
        <w:t>Occupational Health and Safety</w:t>
      </w:r>
    </w:p>
    <w:p w:rsidR="00ED4BD5" w:rsidRPr="00276391" w:rsidRDefault="00ED4BD5" w:rsidP="00ED4BD5">
      <w:pPr>
        <w:pStyle w:val="DHHSbody"/>
        <w:rPr>
          <w:lang w:eastAsia="en-AU"/>
        </w:rPr>
      </w:pPr>
      <w:r w:rsidRPr="001A0795">
        <w:rPr>
          <w:lang w:eastAsia="en-AU"/>
        </w:rPr>
        <w:t xml:space="preserve">The </w:t>
      </w:r>
      <w:hyperlink r:id="rId19" w:tgtFrame="_blank" w:history="1">
        <w:r w:rsidRPr="00986D1E">
          <w:rPr>
            <w:rStyle w:val="Hyperlink"/>
          </w:rPr>
          <w:t xml:space="preserve">Occupational Health </w:t>
        </w:r>
        <w:r>
          <w:rPr>
            <w:rStyle w:val="Hyperlink"/>
          </w:rPr>
          <w:t>and</w:t>
        </w:r>
        <w:r w:rsidRPr="00986D1E">
          <w:rPr>
            <w:rStyle w:val="Hyperlink"/>
          </w:rPr>
          <w:t xml:space="preserve"> Safety Act 2004</w:t>
        </w:r>
      </w:hyperlink>
      <w:r w:rsidRPr="001A0795">
        <w:rPr>
          <w:lang w:eastAsia="en-AU"/>
        </w:rPr>
        <w:t xml:space="preserve"> </w:t>
      </w:r>
      <w:r w:rsidR="001A264A">
        <w:rPr>
          <w:lang w:eastAsia="en-AU"/>
        </w:rPr>
        <w:t>&lt;</w:t>
      </w:r>
      <w:r w:rsidR="001A264A" w:rsidRPr="001A264A">
        <w:rPr>
          <w:lang w:eastAsia="en-AU"/>
        </w:rPr>
        <w:t>http://www6.austlii.edu.au/cgi-bin/viewdb/au/legis/vic/consol_act/ohasa2004273/</w:t>
      </w:r>
      <w:r w:rsidR="001A264A">
        <w:rPr>
          <w:lang w:eastAsia="en-AU"/>
        </w:rPr>
        <w:t xml:space="preserve">&gt; </w:t>
      </w:r>
      <w:r w:rsidRPr="001A0795">
        <w:rPr>
          <w:lang w:eastAsia="en-AU"/>
        </w:rPr>
        <w:t>as amended</w:t>
      </w:r>
      <w:r w:rsidRPr="00276391">
        <w:rPr>
          <w:lang w:eastAsia="en-AU"/>
        </w:rPr>
        <w:t xml:space="preserve"> (OHSA) and case law provide that what is ‘reasonably practicable’ is that which is reasonably able to be done at the particular time and in a particular circumstance. This is to be determined by taking into consideration all relevant matters including the following:</w:t>
      </w:r>
    </w:p>
    <w:p w:rsidR="00ED4BD5" w:rsidRPr="00276391" w:rsidRDefault="00ED4BD5" w:rsidP="00ED4BD5">
      <w:pPr>
        <w:pStyle w:val="DHHSbullet1"/>
        <w:numPr>
          <w:ilvl w:val="0"/>
          <w:numId w:val="0"/>
        </w:numPr>
        <w:ind w:left="284" w:hanging="284"/>
        <w:rPr>
          <w:rFonts w:cs="Arial"/>
          <w:lang w:eastAsia="en-AU"/>
        </w:rPr>
      </w:pPr>
      <w:r w:rsidRPr="00276391">
        <w:rPr>
          <w:rFonts w:cs="Arial"/>
          <w:lang w:eastAsia="en-AU"/>
        </w:rPr>
        <w:t>(a) likelihood of the hazard or risk eventuating</w:t>
      </w:r>
    </w:p>
    <w:p w:rsidR="00ED4BD5" w:rsidRPr="00276391" w:rsidRDefault="00ED4BD5" w:rsidP="00ED4BD5">
      <w:pPr>
        <w:pStyle w:val="DHHSbullet1"/>
        <w:numPr>
          <w:ilvl w:val="0"/>
          <w:numId w:val="0"/>
        </w:numPr>
        <w:ind w:left="284" w:hanging="284"/>
        <w:rPr>
          <w:rFonts w:cs="Arial"/>
          <w:lang w:eastAsia="en-AU"/>
        </w:rPr>
      </w:pPr>
      <w:r w:rsidRPr="00276391">
        <w:rPr>
          <w:rFonts w:cs="Arial"/>
          <w:lang w:eastAsia="en-AU"/>
        </w:rPr>
        <w:t>(b) degree of harm that would result if the hazard or risk eventuated</w:t>
      </w:r>
    </w:p>
    <w:p w:rsidR="00ED4BD5" w:rsidRPr="00276391" w:rsidRDefault="00ED4BD5" w:rsidP="00ED4BD5">
      <w:pPr>
        <w:pStyle w:val="DHHSbullet1"/>
        <w:numPr>
          <w:ilvl w:val="0"/>
          <w:numId w:val="0"/>
        </w:numPr>
        <w:ind w:left="284" w:hanging="284"/>
        <w:rPr>
          <w:rFonts w:cs="Arial"/>
          <w:lang w:eastAsia="en-AU"/>
        </w:rPr>
      </w:pPr>
      <w:r>
        <w:rPr>
          <w:rFonts w:cs="Arial"/>
          <w:lang w:eastAsia="en-AU"/>
        </w:rPr>
        <w:t>(c) knowledge,</w:t>
      </w:r>
      <w:r w:rsidRPr="00276391">
        <w:rPr>
          <w:rFonts w:cs="Arial"/>
          <w:lang w:eastAsia="en-AU"/>
        </w:rPr>
        <w:t xml:space="preserve"> includin</w:t>
      </w:r>
      <w:r>
        <w:rPr>
          <w:rFonts w:cs="Arial"/>
          <w:lang w:eastAsia="en-AU"/>
        </w:rPr>
        <w:t xml:space="preserve">g what a person ought to know, </w:t>
      </w:r>
      <w:r w:rsidRPr="00276391">
        <w:rPr>
          <w:rFonts w:cs="Arial"/>
          <w:lang w:eastAsia="en-AU"/>
        </w:rPr>
        <w:t>about the hazard or risk and any ways of eliminating or reducing the hazard or risk</w:t>
      </w:r>
    </w:p>
    <w:p w:rsidR="00ED4BD5" w:rsidRPr="00276391" w:rsidRDefault="00ED4BD5" w:rsidP="00ED4BD5">
      <w:pPr>
        <w:pStyle w:val="DHHSbullet1"/>
        <w:numPr>
          <w:ilvl w:val="0"/>
          <w:numId w:val="0"/>
        </w:numPr>
        <w:ind w:left="284" w:hanging="284"/>
        <w:rPr>
          <w:rFonts w:cs="Arial"/>
          <w:lang w:eastAsia="en-AU"/>
        </w:rPr>
      </w:pPr>
      <w:r w:rsidRPr="00276391">
        <w:rPr>
          <w:rFonts w:cs="Arial"/>
          <w:lang w:eastAsia="en-AU"/>
        </w:rPr>
        <w:t>(d) availability and suitability of ways to eliminate or reduce the hazard or risk</w:t>
      </w:r>
    </w:p>
    <w:p w:rsidR="00ED4BD5" w:rsidRPr="00276391" w:rsidRDefault="00ED4BD5" w:rsidP="00ED4BD5">
      <w:pPr>
        <w:pStyle w:val="DHHSbullet1"/>
        <w:numPr>
          <w:ilvl w:val="0"/>
          <w:numId w:val="0"/>
        </w:numPr>
        <w:ind w:left="284" w:hanging="284"/>
        <w:rPr>
          <w:rFonts w:cs="Arial"/>
          <w:lang w:eastAsia="en-AU"/>
        </w:rPr>
      </w:pPr>
      <w:r w:rsidRPr="00276391">
        <w:rPr>
          <w:rFonts w:cs="Arial"/>
          <w:lang w:eastAsia="en-AU"/>
        </w:rPr>
        <w:t>(e) cost of eliminating or reducing that hazard or risk.</w:t>
      </w:r>
    </w:p>
    <w:p w:rsidR="00B56280" w:rsidRDefault="00ED4BD5" w:rsidP="00B56280">
      <w:pPr>
        <w:pStyle w:val="DHHSbody"/>
      </w:pPr>
      <w:r w:rsidRPr="00B24C02">
        <w:rPr>
          <w:rFonts w:cs="Arial"/>
          <w:color w:val="000000"/>
          <w:szCs w:val="19"/>
          <w:lang w:eastAsia="en-AU"/>
        </w:rPr>
        <w:t>The severest degree of harm that may result from a fire can be multiple fatalities. In light of this, considerable efforts should be made to eliminate or minimise the likelihood of a fire occurring (for example, through choice of building materials and regulation of activities within buildings) and to eliminate or minimise harm to the health and safety of people from the fire (for example, through fire suppression and timely evacuation).</w:t>
      </w:r>
    </w:p>
    <w:p w:rsidR="00B56280" w:rsidRDefault="00ED4BD5" w:rsidP="00B56280">
      <w:pPr>
        <w:pStyle w:val="Heading2"/>
      </w:pPr>
      <w:bookmarkStart w:id="8" w:name="_Toc27398682"/>
      <w:r>
        <w:t>Services provided in own home</w:t>
      </w:r>
      <w:bookmarkEnd w:id="8"/>
      <w:r>
        <w:t xml:space="preserve"> </w:t>
      </w:r>
    </w:p>
    <w:p w:rsidR="00B56280" w:rsidRPr="00276391" w:rsidRDefault="00B56280" w:rsidP="00B56280">
      <w:pPr>
        <w:pStyle w:val="DHHSbody"/>
        <w:rPr>
          <w:lang w:eastAsia="en-AU"/>
        </w:rPr>
      </w:pPr>
      <w:r w:rsidRPr="00276391">
        <w:rPr>
          <w:lang w:eastAsia="en-AU"/>
        </w:rPr>
        <w:t>For services provided to a client in their own primary residence (whether leased or owned by the client), the department expects that the client (and where appropriate, the owner of the premises) will have responsibility for their own fire safety and ensure that the premises meet all relevant building local laws and regulations or legislation, including retrospective obligations.</w:t>
      </w:r>
    </w:p>
    <w:p w:rsidR="00B56280" w:rsidRPr="00276391" w:rsidRDefault="00B56280" w:rsidP="00B56280">
      <w:pPr>
        <w:pStyle w:val="DHHSbody"/>
        <w:rPr>
          <w:lang w:eastAsia="en-AU"/>
        </w:rPr>
      </w:pPr>
      <w:r w:rsidRPr="00276391">
        <w:rPr>
          <w:lang w:eastAsia="en-AU"/>
        </w:rPr>
        <w:t>The department notes that the relevant authorities (for example, local councils and fire authorities, Metropolitan Fire and Emergency Services Board and Country Fire Authority) are responsible for enforcement of fire safety provisions.</w:t>
      </w:r>
    </w:p>
    <w:p w:rsidR="00B56280" w:rsidRDefault="00B56280" w:rsidP="00B56280">
      <w:pPr>
        <w:pStyle w:val="DHHSbody"/>
        <w:rPr>
          <w:lang w:eastAsia="en-AU"/>
        </w:rPr>
      </w:pPr>
      <w:r w:rsidRPr="00276391">
        <w:rPr>
          <w:lang w:eastAsia="en-AU"/>
        </w:rPr>
        <w:t>Responsibility for a client's fire safety is not specifically part of the funded service but is implied through common law or other duty of care requirements.</w:t>
      </w:r>
    </w:p>
    <w:p w:rsidR="00B56280" w:rsidRDefault="00B56280" w:rsidP="00B56280">
      <w:pPr>
        <w:pStyle w:val="Heading2"/>
      </w:pPr>
      <w:bookmarkStart w:id="9" w:name="_Toc27398683"/>
      <w:r>
        <w:lastRenderedPageBreak/>
        <w:t>Other services</w:t>
      </w:r>
      <w:bookmarkEnd w:id="9"/>
    </w:p>
    <w:p w:rsidR="00B56280" w:rsidRDefault="00B56280" w:rsidP="00B56280">
      <w:pPr>
        <w:pStyle w:val="DHHSbody"/>
        <w:rPr>
          <w:lang w:eastAsia="en-AU"/>
        </w:rPr>
      </w:pPr>
      <w:r w:rsidRPr="00276391">
        <w:rPr>
          <w:lang w:eastAsia="en-AU"/>
        </w:rPr>
        <w:t>For services other than in the client's home, the organisation is required to ensure that the people in its care are appropriately protected from fire risk. This includes premises, operational readiness and client placement.</w:t>
      </w:r>
    </w:p>
    <w:p w:rsidR="00B56280" w:rsidRDefault="00B56280" w:rsidP="00B56280">
      <w:pPr>
        <w:pStyle w:val="Heading2"/>
      </w:pPr>
      <w:bookmarkStart w:id="10" w:name="_Toc27398684"/>
      <w:r>
        <w:t>Premises</w:t>
      </w:r>
      <w:bookmarkEnd w:id="10"/>
    </w:p>
    <w:p w:rsidR="00B56280" w:rsidRPr="00276391" w:rsidRDefault="00B56280" w:rsidP="00B56280">
      <w:pPr>
        <w:pStyle w:val="DHHSbody"/>
        <w:rPr>
          <w:lang w:eastAsia="en-AU"/>
        </w:rPr>
      </w:pPr>
      <w:r w:rsidRPr="00276391">
        <w:rPr>
          <w:lang w:eastAsia="en-AU"/>
        </w:rPr>
        <w:t>The department expects that the premises meet the relevant building local laws, regulations or legislation in force at the time of construction, including provisions that apply retrospectively (for example, requirement for smoke alarms</w:t>
      </w:r>
      <w:r>
        <w:rPr>
          <w:lang w:eastAsia="en-AU"/>
        </w:rPr>
        <w:t xml:space="preserve"> and fire sprinklers</w:t>
      </w:r>
      <w:r w:rsidRPr="00276391">
        <w:rPr>
          <w:lang w:eastAsia="en-AU"/>
        </w:rPr>
        <w:t xml:space="preserve">). Any subsequent building works </w:t>
      </w:r>
      <w:r>
        <w:rPr>
          <w:lang w:eastAsia="en-AU"/>
        </w:rPr>
        <w:t>must</w:t>
      </w:r>
      <w:r w:rsidRPr="00276391">
        <w:rPr>
          <w:lang w:eastAsia="en-AU"/>
        </w:rPr>
        <w:t xml:space="preserve"> meet the relevant building </w:t>
      </w:r>
      <w:r>
        <w:rPr>
          <w:lang w:eastAsia="en-AU"/>
        </w:rPr>
        <w:t>permit</w:t>
      </w:r>
      <w:r w:rsidRPr="00276391">
        <w:rPr>
          <w:lang w:eastAsia="en-AU"/>
        </w:rPr>
        <w:t xml:space="preserve"> provisions at the corresponding time.</w:t>
      </w:r>
    </w:p>
    <w:p w:rsidR="00B56280" w:rsidRDefault="00B56280" w:rsidP="00180173">
      <w:pPr>
        <w:pStyle w:val="DHHSbody"/>
        <w:rPr>
          <w:lang w:eastAsia="en-AU"/>
        </w:rPr>
      </w:pPr>
      <w:r w:rsidRPr="00276391">
        <w:rPr>
          <w:lang w:eastAsia="en-AU"/>
        </w:rPr>
        <w:t xml:space="preserve">Where this is not the case, or where the organisation determines that the premises do not provide an appropriate level of fire safety, the organisation is expected to ensure that the premises are brought up to minimum regulatory standard and in compliance with the </w:t>
      </w:r>
      <w:hyperlink r:id="rId20" w:tgtFrame="_blank" w:history="1">
        <w:r w:rsidRPr="00986D1E">
          <w:rPr>
            <w:rStyle w:val="Hyperlink"/>
          </w:rPr>
          <w:t>Capital Development Guidelines, Series 7, Fire Risk Management, August 2013</w:t>
        </w:r>
      </w:hyperlink>
      <w:r w:rsidRPr="00276391">
        <w:rPr>
          <w:lang w:eastAsia="en-AU"/>
        </w:rPr>
        <w:t xml:space="preserve"> </w:t>
      </w:r>
      <w:r w:rsidRPr="00E25D14">
        <w:rPr>
          <w:color w:val="000000" w:themeColor="text1"/>
          <w:lang w:eastAsia="en-AU"/>
        </w:rPr>
        <w:t>&lt;</w:t>
      </w:r>
      <w:r w:rsidRPr="00E25D14">
        <w:rPr>
          <w:rFonts w:cs="Arial"/>
          <w:color w:val="000000" w:themeColor="text1"/>
          <w:szCs w:val="19"/>
          <w:lang w:eastAsia="en-AU"/>
        </w:rPr>
        <w:t>https://providers.dhhs.vic.gov.au/capital-development-guidelines-series-7</w:t>
      </w:r>
      <w:r w:rsidRPr="00E25D14">
        <w:rPr>
          <w:color w:val="000000" w:themeColor="text1"/>
          <w:lang w:eastAsia="en-AU"/>
        </w:rPr>
        <w:t>&gt;</w:t>
      </w:r>
      <w:r w:rsidR="00B677E2">
        <w:rPr>
          <w:lang w:eastAsia="en-AU"/>
        </w:rPr>
        <w:t>.</w:t>
      </w:r>
    </w:p>
    <w:p w:rsidR="00180173" w:rsidRDefault="00180173" w:rsidP="00180173">
      <w:pPr>
        <w:pStyle w:val="Heading2"/>
      </w:pPr>
      <w:bookmarkStart w:id="11" w:name="_Toc27398685"/>
      <w:r>
        <w:t>Operational readiness</w:t>
      </w:r>
      <w:bookmarkEnd w:id="11"/>
    </w:p>
    <w:p w:rsidR="00180173" w:rsidRDefault="00180173" w:rsidP="00180173">
      <w:pPr>
        <w:pStyle w:val="DHHSbody"/>
        <w:rPr>
          <w:lang w:eastAsia="en-AU"/>
        </w:rPr>
      </w:pPr>
      <w:r w:rsidRPr="00276391">
        <w:rPr>
          <w:lang w:eastAsia="en-AU"/>
        </w:rPr>
        <w:t>The organisation must ensure that appropriate operational readiness measures are developed, implemented and reviewed. This includes (but is not limited to) fire emergency management and evacuation procedures, training of staff to implement the procedures developed, and maintenance of fire safety systems.</w:t>
      </w:r>
    </w:p>
    <w:p w:rsidR="00180173" w:rsidRDefault="00180173" w:rsidP="00180173">
      <w:pPr>
        <w:pStyle w:val="Heading2"/>
      </w:pPr>
      <w:bookmarkStart w:id="12" w:name="_Toc27398686"/>
      <w:r>
        <w:t>Management tasks</w:t>
      </w:r>
      <w:bookmarkEnd w:id="12"/>
    </w:p>
    <w:p w:rsidR="00180173" w:rsidRDefault="00180173" w:rsidP="00180173">
      <w:pPr>
        <w:pStyle w:val="DHHSbullet1"/>
        <w:numPr>
          <w:ilvl w:val="0"/>
          <w:numId w:val="0"/>
        </w:numPr>
        <w:rPr>
          <w:rFonts w:cs="Arial"/>
          <w:lang w:eastAsia="en-AU"/>
        </w:rPr>
      </w:pPr>
      <w:r w:rsidRPr="00044CF8">
        <w:rPr>
          <w:rFonts w:cs="Arial"/>
          <w:lang w:eastAsia="en-AU"/>
        </w:rPr>
        <w:t xml:space="preserve">Organisation must ensure that appropriate fire safety readiness measures are developed, implemented and reviewed. </w:t>
      </w:r>
      <w:r>
        <w:rPr>
          <w:rFonts w:cs="Arial"/>
          <w:lang w:eastAsia="en-AU"/>
        </w:rPr>
        <w:t>This i</w:t>
      </w:r>
      <w:r w:rsidRPr="00044CF8">
        <w:rPr>
          <w:rFonts w:cs="Arial"/>
          <w:lang w:eastAsia="en-AU"/>
        </w:rPr>
        <w:t>ncludes:</w:t>
      </w:r>
    </w:p>
    <w:p w:rsidR="00180173" w:rsidRDefault="00180173" w:rsidP="00B677E2">
      <w:pPr>
        <w:pStyle w:val="DHHSbullet1lastline"/>
        <w:rPr>
          <w:lang w:eastAsia="en-AU"/>
        </w:rPr>
      </w:pPr>
      <w:r>
        <w:rPr>
          <w:lang w:eastAsia="en-AU"/>
        </w:rPr>
        <w:t>Emergency Planning Committee</w:t>
      </w:r>
    </w:p>
    <w:p w:rsidR="00180173" w:rsidRDefault="00180173" w:rsidP="00B677E2">
      <w:pPr>
        <w:pStyle w:val="DHHSbullet1lastline"/>
        <w:rPr>
          <w:lang w:eastAsia="en-AU"/>
        </w:rPr>
      </w:pPr>
      <w:r>
        <w:rPr>
          <w:lang w:eastAsia="en-AU"/>
        </w:rPr>
        <w:t>a fire risk audit less than 5</w:t>
      </w:r>
      <w:r w:rsidR="00526EB2">
        <w:rPr>
          <w:lang w:eastAsia="en-AU"/>
        </w:rPr>
        <w:t>-</w:t>
      </w:r>
      <w:r>
        <w:rPr>
          <w:lang w:eastAsia="en-AU"/>
        </w:rPr>
        <w:t>year</w:t>
      </w:r>
      <w:r w:rsidR="00526EB2">
        <w:rPr>
          <w:lang w:eastAsia="en-AU"/>
        </w:rPr>
        <w:t>-</w:t>
      </w:r>
      <w:r>
        <w:rPr>
          <w:lang w:eastAsia="en-AU"/>
        </w:rPr>
        <w:t>old</w:t>
      </w:r>
    </w:p>
    <w:p w:rsidR="00180173" w:rsidRDefault="00180173" w:rsidP="00B677E2">
      <w:pPr>
        <w:pStyle w:val="DHHSbullet1lastline"/>
        <w:rPr>
          <w:lang w:eastAsia="en-AU"/>
        </w:rPr>
      </w:pPr>
      <w:r w:rsidRPr="00432F45">
        <w:rPr>
          <w:lang w:eastAsia="en-AU"/>
        </w:rPr>
        <w:t>fire emergency management and evacuation procedures</w:t>
      </w:r>
    </w:p>
    <w:p w:rsidR="00180173" w:rsidRDefault="00180173" w:rsidP="00B677E2">
      <w:pPr>
        <w:pStyle w:val="DHHSbullet1lastline"/>
        <w:rPr>
          <w:lang w:eastAsia="en-AU"/>
        </w:rPr>
      </w:pPr>
      <w:r w:rsidRPr="00432F45">
        <w:rPr>
          <w:lang w:eastAsia="en-AU"/>
        </w:rPr>
        <w:t xml:space="preserve">training of staff to implement the procedures </w:t>
      </w:r>
      <w:r w:rsidR="00453CDD" w:rsidRPr="00432F45">
        <w:rPr>
          <w:lang w:eastAsia="en-AU"/>
        </w:rPr>
        <w:t>developed</w:t>
      </w:r>
    </w:p>
    <w:p w:rsidR="00D14AB7" w:rsidRPr="00432F45" w:rsidRDefault="00D14AB7" w:rsidP="00B677E2">
      <w:pPr>
        <w:pStyle w:val="DHHSbullet1lastline"/>
        <w:rPr>
          <w:lang w:eastAsia="en-AU"/>
        </w:rPr>
      </w:pPr>
      <w:r w:rsidRPr="00593776">
        <w:rPr>
          <w:lang w:eastAsia="en-AU"/>
        </w:rPr>
        <w:t>undertake regular evacuation drills and exercises</w:t>
      </w:r>
    </w:p>
    <w:p w:rsidR="00180173" w:rsidRDefault="00180173" w:rsidP="00B677E2">
      <w:pPr>
        <w:pStyle w:val="DHHSbullet1lastline"/>
        <w:rPr>
          <w:lang w:eastAsia="en-AU"/>
        </w:rPr>
      </w:pPr>
      <w:r>
        <w:rPr>
          <w:lang w:eastAsia="en-AU"/>
        </w:rPr>
        <w:t>maintenance of all the fire safety systems and any deviations through alternative solutions</w:t>
      </w:r>
    </w:p>
    <w:p w:rsidR="00180173" w:rsidRDefault="00180173" w:rsidP="00B677E2">
      <w:pPr>
        <w:pStyle w:val="DHHSbullet1lastline"/>
        <w:rPr>
          <w:lang w:eastAsia="en-AU"/>
        </w:rPr>
      </w:pPr>
      <w:r>
        <w:rPr>
          <w:lang w:eastAsia="en-AU"/>
        </w:rPr>
        <w:t xml:space="preserve">having access to a Fire Safety Handbook </w:t>
      </w:r>
    </w:p>
    <w:p w:rsidR="00180173" w:rsidRDefault="00180173" w:rsidP="00B677E2">
      <w:pPr>
        <w:pStyle w:val="DHHSbullet1lastline"/>
        <w:rPr>
          <w:lang w:eastAsia="en-AU"/>
        </w:rPr>
      </w:pPr>
      <w:r>
        <w:rPr>
          <w:lang w:eastAsia="en-AU"/>
        </w:rPr>
        <w:t>completing weekly safety checks</w:t>
      </w:r>
    </w:p>
    <w:p w:rsidR="00180173" w:rsidRDefault="00180173" w:rsidP="00B677E2">
      <w:pPr>
        <w:pStyle w:val="DHHSbullet1lastline"/>
        <w:rPr>
          <w:lang w:eastAsia="en-AU"/>
        </w:rPr>
      </w:pPr>
      <w:r>
        <w:rPr>
          <w:lang w:eastAsia="en-AU"/>
        </w:rPr>
        <w:t>orientation of new staff</w:t>
      </w:r>
      <w:r w:rsidR="00B677E2">
        <w:rPr>
          <w:lang w:eastAsia="en-AU"/>
        </w:rPr>
        <w:t>.</w:t>
      </w:r>
    </w:p>
    <w:p w:rsidR="00180173" w:rsidRDefault="00180173" w:rsidP="00180173">
      <w:pPr>
        <w:pStyle w:val="Heading2"/>
      </w:pPr>
      <w:bookmarkStart w:id="13" w:name="_Toc27398687"/>
      <w:r>
        <w:t>Emergency procedures</w:t>
      </w:r>
      <w:bookmarkEnd w:id="13"/>
    </w:p>
    <w:p w:rsidR="00180173" w:rsidRDefault="00180173" w:rsidP="00180173">
      <w:pPr>
        <w:pStyle w:val="DHHSbody"/>
        <w:rPr>
          <w:lang w:eastAsia="en-AU"/>
        </w:rPr>
      </w:pPr>
      <w:r>
        <w:rPr>
          <w:b/>
          <w:lang w:eastAsia="en-AU"/>
        </w:rPr>
        <w:t xml:space="preserve">DHHS Fire and emergency preparedness and response procedures and training framework 2018 </w:t>
      </w:r>
      <w:r w:rsidRPr="005B0E0E">
        <w:rPr>
          <w:lang w:eastAsia="en-AU"/>
        </w:rPr>
        <w:t>has been prepared to provide a generic framework for the management of fire and other potential emergencies.</w:t>
      </w:r>
      <w:r>
        <w:rPr>
          <w:lang w:eastAsia="en-AU"/>
        </w:rPr>
        <w:t xml:space="preserve"> And is a mandatory requirement for Children Youth and Families Out of Home Care Facilities.</w:t>
      </w:r>
    </w:p>
    <w:p w:rsidR="00180173" w:rsidRDefault="00DC4635" w:rsidP="00180173">
      <w:pPr>
        <w:pStyle w:val="DHHSbody"/>
        <w:rPr>
          <w:b/>
          <w:i/>
          <w:lang w:eastAsia="en-AU"/>
        </w:rPr>
      </w:pPr>
      <w:hyperlink r:id="rId21" w:history="1">
        <w:r w:rsidR="00180173" w:rsidRPr="00077C41">
          <w:rPr>
            <w:rStyle w:val="Hyperlink"/>
            <w:lang w:eastAsia="en-AU"/>
          </w:rPr>
          <w:t xml:space="preserve">The </w:t>
        </w:r>
        <w:r w:rsidR="00077C41" w:rsidRPr="00077C41">
          <w:rPr>
            <w:rStyle w:val="Hyperlink"/>
            <w:lang w:eastAsia="en-AU"/>
          </w:rPr>
          <w:t>fire and emergency preparedness and response procedures and training framework is available</w:t>
        </w:r>
      </w:hyperlink>
      <w:r w:rsidR="00077C41">
        <w:rPr>
          <w:lang w:eastAsia="en-AU"/>
        </w:rPr>
        <w:t xml:space="preserve"> at </w:t>
      </w:r>
      <w:r w:rsidR="00077C41">
        <w:rPr>
          <w:lang w:eastAsia="en-AU"/>
        </w:rPr>
        <w:br/>
        <w:t>&lt;</w:t>
      </w:r>
      <w:r w:rsidR="00077C41" w:rsidRPr="00077C41">
        <w:rPr>
          <w:lang w:eastAsia="en-AU"/>
        </w:rPr>
        <w:t>http://www6.austlii.edu.au/cgi-bin/viewdb/au/legis/vic/consol_act/ohasa2004273/</w:t>
      </w:r>
      <w:r w:rsidR="00077C41">
        <w:rPr>
          <w:lang w:eastAsia="en-AU"/>
        </w:rPr>
        <w:t>&gt;</w:t>
      </w:r>
      <w:r w:rsidR="00B677E2">
        <w:rPr>
          <w:lang w:eastAsia="en-AU"/>
        </w:rPr>
        <w:t>.</w:t>
      </w:r>
    </w:p>
    <w:p w:rsidR="00437DF3" w:rsidRDefault="00437DF3" w:rsidP="00437DF3">
      <w:pPr>
        <w:pStyle w:val="DHHSbody"/>
        <w:rPr>
          <w:lang w:eastAsia="en-AU"/>
        </w:rPr>
      </w:pPr>
      <w:r>
        <w:rPr>
          <w:lang w:eastAsia="en-AU"/>
        </w:rPr>
        <w:lastRenderedPageBreak/>
        <w:t xml:space="preserve">It is expected that an organisation prepares for, and recovers from, emergencies in accordance with the ‘all hazards’ approach. This includes but is not limited to, fire, bushfire, flood, relocation, evacuation and prolonged service interruption </w:t>
      </w:r>
    </w:p>
    <w:p w:rsidR="00437DF3" w:rsidRDefault="00437DF3" w:rsidP="00437DF3">
      <w:pPr>
        <w:pStyle w:val="DHHSbody"/>
        <w:rPr>
          <w:lang w:eastAsia="en-AU"/>
        </w:rPr>
      </w:pPr>
      <w:r>
        <w:rPr>
          <w:lang w:eastAsia="en-AU"/>
        </w:rPr>
        <w:t>Additionally, the</w:t>
      </w:r>
      <w:r w:rsidRPr="00432F45">
        <w:rPr>
          <w:lang w:eastAsia="en-AU"/>
        </w:rPr>
        <w:t xml:space="preserve"> organisation</w:t>
      </w:r>
      <w:r>
        <w:rPr>
          <w:lang w:eastAsia="en-AU"/>
        </w:rPr>
        <w:t xml:space="preserve"> must ensure essential safety measures (as defined in the Building regulations) are adequately maintained, and an annual essential safety measure report is prepared each anniversary after the date of the relevant occupancy permit for the building.</w:t>
      </w:r>
    </w:p>
    <w:p w:rsidR="005B7DCC" w:rsidRDefault="00437DF3" w:rsidP="00437DF3">
      <w:pPr>
        <w:pStyle w:val="DHHSbody"/>
        <w:rPr>
          <w:lang w:eastAsia="en-AU"/>
        </w:rPr>
      </w:pPr>
      <w:r>
        <w:rPr>
          <w:b/>
          <w:bCs/>
          <w:lang w:eastAsia="en-AU"/>
        </w:rPr>
        <w:t>O</w:t>
      </w:r>
      <w:r w:rsidRPr="007041C6">
        <w:rPr>
          <w:lang w:eastAsia="en-AU"/>
        </w:rPr>
        <w:t>rganisation must determine whether the premises are suitable for the client to b</w:t>
      </w:r>
      <w:r>
        <w:rPr>
          <w:lang w:eastAsia="en-AU"/>
        </w:rPr>
        <w:t xml:space="preserve">e evacuated safely, taking into </w:t>
      </w:r>
      <w:r w:rsidRPr="007041C6">
        <w:rPr>
          <w:lang w:eastAsia="en-AU"/>
        </w:rPr>
        <w:t>account any fire safety systems installed and the evacuation capacities of the client</w:t>
      </w:r>
      <w:r>
        <w:rPr>
          <w:lang w:eastAsia="en-AU"/>
        </w:rPr>
        <w:t xml:space="preserve">. Where any relevant change may </w:t>
      </w:r>
      <w:r w:rsidRPr="007041C6">
        <w:rPr>
          <w:lang w:eastAsia="en-AU"/>
        </w:rPr>
        <w:t>affect the client's ongoing ability to evacuate safely, the suitability of the placement</w:t>
      </w:r>
      <w:r>
        <w:rPr>
          <w:lang w:eastAsia="en-AU"/>
        </w:rPr>
        <w:t xml:space="preserve"> must be reassessed immediately </w:t>
      </w:r>
      <w:r w:rsidRPr="007041C6">
        <w:rPr>
          <w:lang w:eastAsia="en-AU"/>
        </w:rPr>
        <w:t>and appropriate action taken as soon as possible</w:t>
      </w:r>
      <w:r>
        <w:rPr>
          <w:lang w:eastAsia="en-AU"/>
        </w:rPr>
        <w:t xml:space="preserve">. </w:t>
      </w:r>
    </w:p>
    <w:p w:rsidR="00B677E2" w:rsidRDefault="005B7DCC" w:rsidP="00B677E2">
      <w:pPr>
        <w:pStyle w:val="DHHSbody"/>
        <w:rPr>
          <w:lang w:eastAsia="en-AU"/>
        </w:rPr>
      </w:pPr>
      <w:r w:rsidRPr="007041C6">
        <w:rPr>
          <w:b/>
          <w:bCs/>
          <w:lang w:eastAsia="en-AU"/>
        </w:rPr>
        <w:t>Maintenance of Essential Safety Measures</w:t>
      </w:r>
      <w:r w:rsidRPr="007041C6">
        <w:rPr>
          <w:lang w:eastAsia="en-AU"/>
        </w:rPr>
        <w:t xml:space="preserve"> - the department will fulfil its responsibilities as owner of the premises by maintaining fire safety systems. The organisation must ensure that any factor that may affect the performance or operation of fire safety equipment, fire safety fittings, fire safety measures, exits and essential services that it becomes aware of is reported to the building owner. </w:t>
      </w:r>
    </w:p>
    <w:p w:rsidR="005B7DCC" w:rsidRPr="00B677E2" w:rsidRDefault="005B7DCC" w:rsidP="00B677E2">
      <w:pPr>
        <w:pStyle w:val="Heading3"/>
        <w:rPr>
          <w:rFonts w:cs="Arial"/>
          <w:lang w:eastAsia="en-AU"/>
        </w:rPr>
      </w:pPr>
      <w:r w:rsidRPr="00276391">
        <w:rPr>
          <w:lang w:eastAsia="en-AU"/>
        </w:rPr>
        <w:t>Client placement</w:t>
      </w:r>
    </w:p>
    <w:p w:rsidR="005B7DCC" w:rsidRDefault="005B7DCC" w:rsidP="005B7DCC">
      <w:pPr>
        <w:pStyle w:val="DHHSbodyBold"/>
        <w:rPr>
          <w:b w:val="0"/>
          <w:lang w:eastAsia="en-AU"/>
        </w:rPr>
      </w:pPr>
      <w:r>
        <w:rPr>
          <w:b w:val="0"/>
          <w:lang w:eastAsia="en-AU"/>
        </w:rPr>
        <w:t xml:space="preserve">Organisations must </w:t>
      </w:r>
      <w:r w:rsidRPr="009826E8">
        <w:rPr>
          <w:b w:val="0"/>
          <w:lang w:eastAsia="en-AU"/>
        </w:rPr>
        <w:t xml:space="preserve">determine whether the premises are suitable for the client to be evacuated safely, </w:t>
      </w:r>
      <w:proofErr w:type="gramStart"/>
      <w:r w:rsidRPr="009826E8">
        <w:rPr>
          <w:b w:val="0"/>
          <w:lang w:eastAsia="en-AU"/>
        </w:rPr>
        <w:t>taking into account</w:t>
      </w:r>
      <w:proofErr w:type="gramEnd"/>
      <w:r w:rsidRPr="009826E8">
        <w:rPr>
          <w:b w:val="0"/>
          <w:lang w:eastAsia="en-AU"/>
        </w:rPr>
        <w:t xml:space="preserve"> the fire systems installed and the capacity of the client to evacuate. Where changes occur that may affect the client's ongoing ability to evacuate safely, the suitability of the placement must be reassessed immediately and appropriate action taken as soon as possible.</w:t>
      </w:r>
    </w:p>
    <w:p w:rsidR="005B7DCC" w:rsidRDefault="005B7DCC" w:rsidP="00B677E2">
      <w:pPr>
        <w:pStyle w:val="Heading3"/>
        <w:rPr>
          <w:lang w:eastAsia="en-AU"/>
        </w:rPr>
      </w:pPr>
      <w:r w:rsidRPr="007041C6">
        <w:rPr>
          <w:lang w:eastAsia="en-AU"/>
        </w:rPr>
        <w:t>Fire Safety Certification</w:t>
      </w:r>
      <w:r>
        <w:rPr>
          <w:lang w:eastAsia="en-AU"/>
        </w:rPr>
        <w:t xml:space="preserve"> – </w:t>
      </w:r>
      <w:r w:rsidR="00100FB2">
        <w:rPr>
          <w:lang w:eastAsia="en-AU"/>
        </w:rPr>
        <w:t>c</w:t>
      </w:r>
      <w:r>
        <w:rPr>
          <w:lang w:eastAsia="en-AU"/>
        </w:rPr>
        <w:t xml:space="preserve">ompliance </w:t>
      </w:r>
      <w:r w:rsidR="00100FB2">
        <w:rPr>
          <w:lang w:eastAsia="en-AU"/>
        </w:rPr>
        <w:t>p</w:t>
      </w:r>
      <w:r>
        <w:rPr>
          <w:lang w:eastAsia="en-AU"/>
        </w:rPr>
        <w:t>rocess</w:t>
      </w:r>
    </w:p>
    <w:p w:rsidR="005B7DCC" w:rsidRDefault="005B7DCC" w:rsidP="005B7DCC">
      <w:pPr>
        <w:pStyle w:val="DHHSbody"/>
        <w:rPr>
          <w:szCs w:val="19"/>
          <w:lang w:eastAsia="en-AU"/>
        </w:rPr>
      </w:pPr>
      <w:r w:rsidRPr="00B24C02">
        <w:rPr>
          <w:szCs w:val="19"/>
          <w:lang w:eastAsia="en-AU"/>
        </w:rPr>
        <w:t xml:space="preserve">The CEO (or equivalent) of an organisation that provides </w:t>
      </w:r>
      <w:r w:rsidR="00404CEE" w:rsidRPr="00B24C02">
        <w:rPr>
          <w:szCs w:val="19"/>
          <w:lang w:eastAsia="en-AU"/>
        </w:rPr>
        <w:t>bed-based</w:t>
      </w:r>
      <w:r w:rsidRPr="00B24C02">
        <w:rPr>
          <w:szCs w:val="19"/>
          <w:lang w:eastAsia="en-AU"/>
        </w:rPr>
        <w:t xml:space="preserve"> services (</w:t>
      </w:r>
      <w:r>
        <w:rPr>
          <w:szCs w:val="19"/>
          <w:lang w:eastAsia="en-AU"/>
        </w:rPr>
        <w:t xml:space="preserve">Service Types </w:t>
      </w:r>
      <w:r w:rsidRPr="00B24C02">
        <w:rPr>
          <w:szCs w:val="19"/>
          <w:lang w:eastAsia="en-AU"/>
        </w:rPr>
        <w:t xml:space="preserve">3, 4, 5 and 6 see table 1) is required to complete and provide the department with the relevant fire safety certificates as part of the </w:t>
      </w:r>
      <w:r>
        <w:rPr>
          <w:szCs w:val="19"/>
          <w:lang w:eastAsia="en-AU"/>
        </w:rPr>
        <w:t>Service agreement</w:t>
      </w:r>
      <w:r w:rsidRPr="00B24C02">
        <w:rPr>
          <w:szCs w:val="19"/>
          <w:lang w:eastAsia="en-AU"/>
        </w:rPr>
        <w:t xml:space="preserve"> process.</w:t>
      </w:r>
    </w:p>
    <w:p w:rsidR="005B7DCC" w:rsidRDefault="005B7DCC" w:rsidP="005B7DCC">
      <w:pPr>
        <w:pStyle w:val="DHHSbody"/>
        <w:rPr>
          <w:szCs w:val="19"/>
          <w:lang w:eastAsia="en-AU"/>
        </w:rPr>
      </w:pPr>
      <w:r w:rsidRPr="00B24C02">
        <w:rPr>
          <w:szCs w:val="19"/>
          <w:lang w:eastAsia="en-AU"/>
        </w:rPr>
        <w:t xml:space="preserve">Even though the </w:t>
      </w:r>
      <w:r>
        <w:rPr>
          <w:szCs w:val="19"/>
          <w:lang w:eastAsia="en-AU"/>
        </w:rPr>
        <w:t>Service agreement</w:t>
      </w:r>
      <w:r w:rsidRPr="00B24C02">
        <w:rPr>
          <w:szCs w:val="19"/>
          <w:lang w:eastAsia="en-AU"/>
        </w:rPr>
        <w:t xml:space="preserve"> is for a </w:t>
      </w:r>
      <w:r w:rsidR="00404CEE" w:rsidRPr="00B24C02">
        <w:rPr>
          <w:szCs w:val="19"/>
          <w:lang w:eastAsia="en-AU"/>
        </w:rPr>
        <w:t>three-year</w:t>
      </w:r>
      <w:r w:rsidRPr="00B24C02">
        <w:rPr>
          <w:szCs w:val="19"/>
          <w:lang w:eastAsia="en-AU"/>
        </w:rPr>
        <w:t xml:space="preserve"> period, the certificates must be completed annually. This ensures that the organisation provides certification to the department that they have checked all relevant services and that they meet, and will continue to meet, the department's fire safety requirements. The CEO must have appropriate procedures in place to ensure ongoing maintenance and reporting.</w:t>
      </w:r>
    </w:p>
    <w:p w:rsidR="005B7DCC" w:rsidRPr="00B24C02" w:rsidRDefault="005B7DCC" w:rsidP="005B7DCC">
      <w:pPr>
        <w:pStyle w:val="DHHSbody"/>
        <w:rPr>
          <w:szCs w:val="19"/>
          <w:lang w:eastAsia="en-AU"/>
        </w:rPr>
      </w:pPr>
      <w:r w:rsidRPr="00B24C02">
        <w:rPr>
          <w:szCs w:val="19"/>
          <w:lang w:eastAsia="en-AU"/>
        </w:rPr>
        <w:t xml:space="preserve">The annual certificates to be used are included on the forms and certificates page </w:t>
      </w:r>
      <w:r>
        <w:rPr>
          <w:szCs w:val="19"/>
          <w:lang w:eastAsia="en-AU"/>
        </w:rPr>
        <w:t>(see above)</w:t>
      </w:r>
      <w:r w:rsidRPr="00B24C02">
        <w:rPr>
          <w:szCs w:val="19"/>
          <w:lang w:eastAsia="en-AU"/>
        </w:rPr>
        <w:t>.</w:t>
      </w:r>
    </w:p>
    <w:p w:rsidR="00B677E2" w:rsidRDefault="005B7DCC" w:rsidP="00B677E2">
      <w:pPr>
        <w:pStyle w:val="DHHSbody"/>
        <w:rPr>
          <w:szCs w:val="19"/>
          <w:lang w:eastAsia="en-AU"/>
        </w:rPr>
      </w:pPr>
      <w:r w:rsidRPr="00B24C02">
        <w:rPr>
          <w:szCs w:val="19"/>
          <w:lang w:eastAsia="en-AU"/>
        </w:rPr>
        <w:t xml:space="preserve">Certificates covering each financial year (1 July to 30 June) must be received by </w:t>
      </w:r>
      <w:r>
        <w:rPr>
          <w:szCs w:val="19"/>
          <w:lang w:eastAsia="en-AU"/>
        </w:rPr>
        <w:t xml:space="preserve">Fire Service Team by </w:t>
      </w:r>
      <w:r w:rsidRPr="00B24C02">
        <w:rPr>
          <w:b/>
          <w:bCs/>
          <w:szCs w:val="19"/>
          <w:lang w:eastAsia="en-AU"/>
        </w:rPr>
        <w:t>1 September</w:t>
      </w:r>
      <w:r w:rsidRPr="00B24C02">
        <w:rPr>
          <w:szCs w:val="19"/>
          <w:lang w:eastAsia="en-AU"/>
        </w:rPr>
        <w:t xml:space="preserve"> in the following financial year or at a date agreed in writing with the department.</w:t>
      </w:r>
    </w:p>
    <w:p w:rsidR="005B7DCC" w:rsidRPr="00B677E2" w:rsidRDefault="005B7DCC" w:rsidP="00B677E2">
      <w:pPr>
        <w:pStyle w:val="DHHStablecaption"/>
        <w:rPr>
          <w:szCs w:val="19"/>
          <w:lang w:eastAsia="en-AU"/>
        </w:rPr>
      </w:pPr>
      <w:r>
        <w:rPr>
          <w:lang w:eastAsia="en-AU"/>
        </w:rPr>
        <w:t>Service type, Capital Development Guideline and fire safety certificates</w:t>
      </w:r>
    </w:p>
    <w:tbl>
      <w:tblPr>
        <w:tblW w:w="9497" w:type="dxa"/>
        <w:tblInd w:w="262"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3686"/>
        <w:gridCol w:w="2835"/>
        <w:gridCol w:w="2976"/>
      </w:tblGrid>
      <w:tr w:rsidR="005B7DCC" w:rsidRPr="00276391" w:rsidTr="00B45CDA">
        <w:trPr>
          <w:tblHeader/>
        </w:trPr>
        <w:tc>
          <w:tcPr>
            <w:tcW w:w="3686"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rsidR="005B7DCC" w:rsidRPr="00B677E2" w:rsidRDefault="005B7DCC" w:rsidP="00B45CDA">
            <w:pPr>
              <w:pStyle w:val="DHHStablecolhead"/>
              <w:rPr>
                <w:color w:val="002060"/>
                <w:lang w:eastAsia="en-AU"/>
              </w:rPr>
            </w:pPr>
            <w:r w:rsidRPr="00B677E2">
              <w:rPr>
                <w:color w:val="002060"/>
                <w:lang w:eastAsia="en-AU"/>
              </w:rPr>
              <w:t>Service Type</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rsidR="005B7DCC" w:rsidRPr="00B677E2" w:rsidRDefault="005B7DCC" w:rsidP="00B45CDA">
            <w:pPr>
              <w:pStyle w:val="DHHStablecolhead"/>
              <w:rPr>
                <w:color w:val="002060"/>
                <w:lang w:eastAsia="en-AU"/>
              </w:rPr>
            </w:pPr>
            <w:r w:rsidRPr="00B677E2">
              <w:rPr>
                <w:rFonts w:eastAsia="Times" w:cs="Arial"/>
                <w:bCs/>
                <w:color w:val="002060"/>
                <w:lang w:eastAsia="en-AU"/>
              </w:rPr>
              <w:t>Capital Departmental Guideline (CDG) or Fire Services Practice Notes</w:t>
            </w:r>
          </w:p>
        </w:tc>
        <w:tc>
          <w:tcPr>
            <w:tcW w:w="2976"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rsidR="005B7DCC" w:rsidRPr="00B677E2" w:rsidRDefault="005B7DCC" w:rsidP="00B45CDA">
            <w:pPr>
              <w:pStyle w:val="DHHStablecolhead"/>
              <w:rPr>
                <w:color w:val="002060"/>
                <w:lang w:eastAsia="en-AU"/>
              </w:rPr>
            </w:pPr>
            <w:r w:rsidRPr="00B677E2">
              <w:rPr>
                <w:rFonts w:eastAsia="Times" w:cs="Arial"/>
                <w:bCs/>
                <w:color w:val="002060"/>
                <w:lang w:eastAsia="en-AU"/>
              </w:rPr>
              <w:t>Fire Safety Certificate No.</w:t>
            </w:r>
          </w:p>
        </w:tc>
      </w:tr>
      <w:tr w:rsidR="005B7DCC" w:rsidRPr="00276391" w:rsidTr="00B45CDA">
        <w:tc>
          <w:tcPr>
            <w:tcW w:w="3686"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B677E2" w:rsidRDefault="005B7DCC" w:rsidP="00B45CDA">
            <w:pPr>
              <w:pStyle w:val="DHHStabletext"/>
              <w:rPr>
                <w:strike/>
                <w:lang w:eastAsia="en-AU"/>
              </w:rPr>
            </w:pPr>
            <w:r w:rsidRPr="003555E9">
              <w:rPr>
                <w:rFonts w:cs="Arial"/>
                <w:color w:val="000000"/>
                <w:szCs w:val="19"/>
                <w:lang w:eastAsia="en-AU"/>
              </w:rPr>
              <w:t xml:space="preserve">Lead tenant services - </w:t>
            </w:r>
          </w:p>
          <w:p w:rsidR="005B7DCC" w:rsidRPr="003555E9" w:rsidRDefault="005B7DCC" w:rsidP="00B45CDA">
            <w:pPr>
              <w:pStyle w:val="DHHStabletext"/>
              <w:rPr>
                <w:lang w:eastAsia="en-AU"/>
              </w:rPr>
            </w:pPr>
            <w:r w:rsidRPr="003555E9">
              <w:rPr>
                <w:lang w:eastAsia="en-AU"/>
              </w:rPr>
              <w:t xml:space="preserve">Bed based service not providing direct care support </w:t>
            </w:r>
            <w:r w:rsidR="00B677E2">
              <w:rPr>
                <w:lang w:eastAsia="en-AU"/>
              </w:rPr>
              <w:t>and</w:t>
            </w:r>
            <w:r w:rsidRPr="003555E9">
              <w:rPr>
                <w:lang w:eastAsia="en-AU"/>
              </w:rPr>
              <w:t xml:space="preserve"> supervision. Lead Tenant staff provide mentoring and/or counselling only. </w:t>
            </w:r>
          </w:p>
        </w:tc>
        <w:tc>
          <w:tcPr>
            <w:tcW w:w="2835"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Default="005B7DCC" w:rsidP="00B45CDA">
            <w:pPr>
              <w:pStyle w:val="DHHStabletext"/>
              <w:rPr>
                <w:rFonts w:cs="Arial"/>
                <w:color w:val="000000"/>
                <w:szCs w:val="19"/>
                <w:lang w:eastAsia="en-AU"/>
              </w:rPr>
            </w:pPr>
            <w:r>
              <w:rPr>
                <w:rFonts w:cs="Arial"/>
                <w:color w:val="000000"/>
                <w:szCs w:val="19"/>
                <w:lang w:eastAsia="en-AU"/>
              </w:rPr>
              <w:t>Refer to fire services practice note applicable for:</w:t>
            </w:r>
          </w:p>
          <w:p w:rsidR="005B7DCC" w:rsidRDefault="005B7DCC" w:rsidP="00B677E2">
            <w:pPr>
              <w:pStyle w:val="DHHStablebullet"/>
              <w:rPr>
                <w:lang w:eastAsia="en-AU"/>
              </w:rPr>
            </w:pPr>
            <w:r>
              <w:rPr>
                <w:lang w:eastAsia="en-AU"/>
              </w:rPr>
              <w:t>1 client 1 staff (LT)</w:t>
            </w:r>
          </w:p>
          <w:p w:rsidR="005B7DCC" w:rsidRPr="003555E9" w:rsidRDefault="005B7DCC" w:rsidP="00B677E2">
            <w:pPr>
              <w:pStyle w:val="DHHStablebullet"/>
              <w:rPr>
                <w:lang w:eastAsia="en-AU"/>
              </w:rPr>
            </w:pPr>
            <w:r>
              <w:rPr>
                <w:lang w:eastAsia="en-AU"/>
              </w:rPr>
              <w:t>2 clients 2 staff (LT)</w:t>
            </w:r>
          </w:p>
          <w:p w:rsidR="005B7DCC" w:rsidRPr="00677E90" w:rsidRDefault="005B7DCC" w:rsidP="00B45CDA">
            <w:pPr>
              <w:pStyle w:val="DHHStabletext"/>
              <w:rPr>
                <w:rFonts w:cs="Arial"/>
                <w:color w:val="000000"/>
                <w:szCs w:val="19"/>
                <w:lang w:eastAsia="en-AU"/>
              </w:rPr>
            </w:pPr>
          </w:p>
        </w:tc>
        <w:tc>
          <w:tcPr>
            <w:tcW w:w="2976"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5B7DCC" w:rsidP="00B45CDA">
            <w:pPr>
              <w:pStyle w:val="DHHStabletext"/>
              <w:rPr>
                <w:lang w:eastAsia="en-AU"/>
              </w:rPr>
            </w:pPr>
            <w:r w:rsidRPr="00B24C02">
              <w:rPr>
                <w:rFonts w:cs="Arial"/>
                <w:color w:val="000000"/>
                <w:szCs w:val="19"/>
                <w:lang w:eastAsia="en-AU"/>
              </w:rPr>
              <w:t>Not required</w:t>
            </w:r>
          </w:p>
        </w:tc>
      </w:tr>
      <w:tr w:rsidR="005B7DCC" w:rsidRPr="00276391" w:rsidTr="00B45CDA">
        <w:tc>
          <w:tcPr>
            <w:tcW w:w="368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F6DC5" w:rsidRDefault="005B7DCC" w:rsidP="00B45CDA">
            <w:pPr>
              <w:pStyle w:val="DHHStabletext"/>
              <w:rPr>
                <w:strike/>
                <w:lang w:eastAsia="en-AU"/>
              </w:rPr>
            </w:pPr>
            <w:r>
              <w:rPr>
                <w:rFonts w:cs="Arial"/>
                <w:color w:val="000000"/>
                <w:szCs w:val="19"/>
                <w:lang w:eastAsia="en-AU"/>
              </w:rPr>
              <w:t xml:space="preserve">Service provided to adult </w:t>
            </w:r>
            <w:r w:rsidRPr="00B24C02">
              <w:rPr>
                <w:rFonts w:cs="Arial"/>
                <w:color w:val="000000"/>
                <w:szCs w:val="19"/>
                <w:lang w:eastAsia="en-AU"/>
              </w:rPr>
              <w:t>person</w:t>
            </w:r>
            <w:r>
              <w:rPr>
                <w:rFonts w:cs="Arial"/>
                <w:color w:val="000000"/>
                <w:szCs w:val="19"/>
                <w:lang w:eastAsia="en-AU"/>
              </w:rPr>
              <w:t>s</w:t>
            </w:r>
            <w:r w:rsidRPr="00B24C02">
              <w:rPr>
                <w:rFonts w:cs="Arial"/>
                <w:color w:val="000000"/>
                <w:szCs w:val="19"/>
                <w:lang w:eastAsia="en-AU"/>
              </w:rPr>
              <w:t xml:space="preserve"> in their private home (owned or leased) </w:t>
            </w:r>
            <w:r w:rsidRPr="00B24C02">
              <w:rPr>
                <w:rFonts w:cs="Arial"/>
                <w:color w:val="000000"/>
                <w:szCs w:val="19"/>
                <w:lang w:eastAsia="en-AU"/>
              </w:rPr>
              <w:lastRenderedPageBreak/>
              <w:t xml:space="preserve">and excludes shared accommodation by unrelated clients </w:t>
            </w:r>
          </w:p>
        </w:tc>
        <w:tc>
          <w:tcPr>
            <w:tcW w:w="2835"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F6DC5" w:rsidRDefault="005B7DCC" w:rsidP="00B45CDA">
            <w:pPr>
              <w:pStyle w:val="DHHStabletext"/>
              <w:rPr>
                <w:color w:val="FF0000"/>
                <w:lang w:eastAsia="en-AU"/>
              </w:rPr>
            </w:pPr>
            <w:r w:rsidRPr="003555E9">
              <w:rPr>
                <w:rFonts w:cs="Arial"/>
                <w:color w:val="000000" w:themeColor="text1"/>
                <w:szCs w:val="19"/>
                <w:lang w:eastAsia="en-AU"/>
              </w:rPr>
              <w:lastRenderedPageBreak/>
              <w:t xml:space="preserve">CDG </w:t>
            </w:r>
            <w:r w:rsidRPr="003555E9">
              <w:rPr>
                <w:rFonts w:cs="Arial"/>
                <w:szCs w:val="19"/>
                <w:lang w:eastAsia="en-AU"/>
              </w:rPr>
              <w:t>7.8</w:t>
            </w:r>
          </w:p>
        </w:tc>
        <w:tc>
          <w:tcPr>
            <w:tcW w:w="297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5B7DCC" w:rsidP="00B45CDA">
            <w:pPr>
              <w:pStyle w:val="DHHStabletext"/>
              <w:rPr>
                <w:lang w:eastAsia="en-AU"/>
              </w:rPr>
            </w:pPr>
            <w:r w:rsidRPr="00B24C02">
              <w:rPr>
                <w:rFonts w:cs="Arial"/>
                <w:color w:val="000000"/>
                <w:szCs w:val="19"/>
                <w:lang w:eastAsia="en-AU"/>
              </w:rPr>
              <w:t>Not required</w:t>
            </w:r>
          </w:p>
        </w:tc>
      </w:tr>
      <w:tr w:rsidR="005B7DCC" w:rsidRPr="00276391" w:rsidTr="00B45CDA">
        <w:tc>
          <w:tcPr>
            <w:tcW w:w="368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5B7DCC" w:rsidP="00B45CDA">
            <w:pPr>
              <w:pStyle w:val="DHHStabletext"/>
              <w:rPr>
                <w:lang w:eastAsia="en-AU"/>
              </w:rPr>
            </w:pPr>
            <w:r w:rsidRPr="00B24C02">
              <w:rPr>
                <w:rFonts w:cs="Arial"/>
                <w:color w:val="000000"/>
                <w:szCs w:val="19"/>
                <w:lang w:eastAsia="en-AU"/>
              </w:rPr>
              <w:t>Bed based service intended for non-statutory clients non-government owned premise, either with or without 24 hour rostered/live in staff support or supervision.</w:t>
            </w:r>
          </w:p>
        </w:tc>
        <w:tc>
          <w:tcPr>
            <w:tcW w:w="2835"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Default="005B7DCC" w:rsidP="00B45CDA">
            <w:pPr>
              <w:pStyle w:val="DHHStabletext"/>
              <w:rPr>
                <w:rFonts w:cs="Arial"/>
                <w:color w:val="000000"/>
                <w:szCs w:val="19"/>
                <w:lang w:eastAsia="en-AU"/>
              </w:rPr>
            </w:pPr>
            <w:r>
              <w:rPr>
                <w:rFonts w:cs="Arial"/>
                <w:color w:val="000000"/>
                <w:szCs w:val="19"/>
                <w:lang w:eastAsia="en-AU"/>
              </w:rPr>
              <w:t>Refer to fire services practice note:</w:t>
            </w:r>
          </w:p>
          <w:p w:rsidR="005B7DCC" w:rsidRPr="00276391" w:rsidRDefault="005B7DCC" w:rsidP="00B45CDA">
            <w:pPr>
              <w:pStyle w:val="DHHStabletext"/>
              <w:rPr>
                <w:lang w:eastAsia="en-AU"/>
              </w:rPr>
            </w:pPr>
          </w:p>
        </w:tc>
        <w:tc>
          <w:tcPr>
            <w:tcW w:w="297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DC4635" w:rsidP="00B45CDA">
            <w:pPr>
              <w:pStyle w:val="DHHStabletext"/>
              <w:rPr>
                <w:lang w:eastAsia="en-AU"/>
              </w:rPr>
            </w:pPr>
            <w:hyperlink r:id="rId22" w:tgtFrame="_blank" w:history="1">
              <w:r w:rsidR="005B7DCC" w:rsidRPr="00BB2C54">
                <w:rPr>
                  <w:rStyle w:val="Hyperlink"/>
                </w:rPr>
                <w:t>Fire Safety Compliance - Certificate No. 3</w:t>
              </w:r>
            </w:hyperlink>
            <w:r w:rsidR="00BB2C54">
              <w:br/>
              <w:t>&lt;</w:t>
            </w:r>
            <w:r w:rsidR="00BB2C54" w:rsidRPr="00BB2C54">
              <w:t>https://providers.dhhs.vic.gov.au/fire-safety-compliance-certificate-no-3-word</w:t>
            </w:r>
            <w:r w:rsidR="00BB2C54">
              <w:t>&gt;</w:t>
            </w:r>
            <w:r w:rsidR="005B7DCC" w:rsidRPr="00B24C02">
              <w:rPr>
                <w:rFonts w:cs="Arial"/>
                <w:color w:val="000000"/>
                <w:szCs w:val="19"/>
                <w:lang w:eastAsia="en-AU"/>
              </w:rPr>
              <w:t xml:space="preserve"> </w:t>
            </w:r>
          </w:p>
        </w:tc>
      </w:tr>
      <w:tr w:rsidR="005B7DCC" w:rsidRPr="00276391" w:rsidTr="00B45CDA">
        <w:tc>
          <w:tcPr>
            <w:tcW w:w="368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5B7DCC" w:rsidP="00B45CDA">
            <w:pPr>
              <w:pStyle w:val="DHHStabletext"/>
              <w:rPr>
                <w:lang w:eastAsia="en-AU"/>
              </w:rPr>
            </w:pPr>
            <w:r w:rsidRPr="00B24C02">
              <w:rPr>
                <w:rFonts w:cs="Arial"/>
                <w:color w:val="000000"/>
                <w:szCs w:val="19"/>
                <w:lang w:eastAsia="en-AU"/>
              </w:rPr>
              <w:t xml:space="preserve">Premises owned or leased by the State Government provided with </w:t>
            </w:r>
            <w:r w:rsidR="008B0C9D" w:rsidRPr="00B24C02">
              <w:rPr>
                <w:rFonts w:cs="Arial"/>
                <w:color w:val="000000"/>
                <w:szCs w:val="19"/>
                <w:lang w:eastAsia="en-AU"/>
              </w:rPr>
              <w:t>bed-based</w:t>
            </w:r>
            <w:r w:rsidRPr="00B24C02">
              <w:rPr>
                <w:rFonts w:cs="Arial"/>
                <w:color w:val="000000"/>
                <w:szCs w:val="19"/>
                <w:lang w:eastAsia="en-AU"/>
              </w:rPr>
              <w:t xml:space="preserve"> </w:t>
            </w:r>
            <w:r w:rsidRPr="002222FE">
              <w:rPr>
                <w:rFonts w:cs="Arial"/>
                <w:szCs w:val="19"/>
                <w:lang w:eastAsia="en-AU"/>
              </w:rPr>
              <w:t>services</w:t>
            </w:r>
            <w:r w:rsidRPr="00B24C02">
              <w:rPr>
                <w:rFonts w:cs="Arial"/>
                <w:color w:val="000000"/>
                <w:szCs w:val="19"/>
                <w:lang w:eastAsia="en-AU"/>
              </w:rPr>
              <w:t xml:space="preserve"> receiving rostered/live-in staff support or supervision.</w:t>
            </w:r>
          </w:p>
        </w:tc>
        <w:tc>
          <w:tcPr>
            <w:tcW w:w="2835"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222FE" w:rsidRDefault="005B7DCC" w:rsidP="00B45CDA">
            <w:pPr>
              <w:pStyle w:val="DHHStabletext"/>
              <w:rPr>
                <w:lang w:eastAsia="en-AU"/>
              </w:rPr>
            </w:pPr>
            <w:r w:rsidRPr="003555E9">
              <w:rPr>
                <w:rFonts w:cs="Arial"/>
                <w:szCs w:val="19"/>
                <w:lang w:eastAsia="en-AU"/>
              </w:rPr>
              <w:t>CDG 7.4</w:t>
            </w:r>
          </w:p>
        </w:tc>
        <w:tc>
          <w:tcPr>
            <w:tcW w:w="297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DC4635" w:rsidP="00A863B9">
            <w:pPr>
              <w:pStyle w:val="DHHStabletext"/>
              <w:rPr>
                <w:lang w:eastAsia="en-AU"/>
              </w:rPr>
            </w:pPr>
            <w:hyperlink r:id="rId23" w:tgtFrame="_blank" w:history="1">
              <w:r w:rsidR="005B7DCC" w:rsidRPr="00986D1E">
                <w:rPr>
                  <w:rStyle w:val="Hyperlink"/>
                </w:rPr>
                <w:t>Fire Safety Compliance - Certificate No. 4</w:t>
              </w:r>
            </w:hyperlink>
            <w:r w:rsidR="00BB2C54">
              <w:rPr>
                <w:rStyle w:val="Hyperlink"/>
              </w:rPr>
              <w:t xml:space="preserve"> </w:t>
            </w:r>
            <w:r w:rsidR="00A863B9">
              <w:rPr>
                <w:rStyle w:val="Hyperlink"/>
              </w:rPr>
              <w:t xml:space="preserve"> </w:t>
            </w:r>
            <w:r w:rsidR="00A863B9">
              <w:t>&lt;</w:t>
            </w:r>
            <w:r w:rsidR="00A863B9" w:rsidRPr="00A863B9">
              <w:t>http://www.dhs.vic.gov.au/__data/assets/word_doc/0010/719614/Fire-Safety-Certificate-No.4-080429.doc</w:t>
            </w:r>
            <w:r w:rsidR="00A863B9">
              <w:t>&gt;</w:t>
            </w:r>
            <w:r w:rsidR="00A863B9">
              <w:rPr>
                <w:rStyle w:val="Hyperlink"/>
              </w:rPr>
              <w:br/>
            </w:r>
          </w:p>
        </w:tc>
      </w:tr>
      <w:tr w:rsidR="005B7DCC" w:rsidRPr="00276391" w:rsidTr="00B45CDA">
        <w:tc>
          <w:tcPr>
            <w:tcW w:w="368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76391" w:rsidRDefault="005B7DCC" w:rsidP="00B45CDA">
            <w:pPr>
              <w:pStyle w:val="DHHStabletext"/>
              <w:rPr>
                <w:lang w:eastAsia="en-AU"/>
              </w:rPr>
            </w:pPr>
            <w:r w:rsidRPr="00B24C02">
              <w:rPr>
                <w:rFonts w:cs="Arial"/>
                <w:color w:val="000000"/>
                <w:szCs w:val="19"/>
                <w:lang w:eastAsia="en-AU"/>
              </w:rPr>
              <w:t xml:space="preserve">Premises (not a private home) owned or leased by organisations with </w:t>
            </w:r>
            <w:r w:rsidR="008B0C9D" w:rsidRPr="00B24C02">
              <w:rPr>
                <w:rFonts w:cs="Arial"/>
                <w:color w:val="000000"/>
                <w:szCs w:val="19"/>
                <w:lang w:eastAsia="en-AU"/>
              </w:rPr>
              <w:t>bed-based</w:t>
            </w:r>
            <w:r w:rsidRPr="00B24C02">
              <w:rPr>
                <w:rFonts w:cs="Arial"/>
                <w:color w:val="000000"/>
                <w:szCs w:val="19"/>
                <w:lang w:eastAsia="en-AU"/>
              </w:rPr>
              <w:t xml:space="preserve"> service receiving rostered/live-in staff support or.</w:t>
            </w:r>
          </w:p>
        </w:tc>
        <w:tc>
          <w:tcPr>
            <w:tcW w:w="2835"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Pr="002222FE" w:rsidRDefault="005B7DCC" w:rsidP="00B45CDA">
            <w:pPr>
              <w:pStyle w:val="DHHStabletext"/>
              <w:rPr>
                <w:lang w:eastAsia="en-AU"/>
              </w:rPr>
            </w:pPr>
            <w:r w:rsidRPr="003555E9">
              <w:rPr>
                <w:rFonts w:cs="Arial"/>
                <w:szCs w:val="19"/>
                <w:lang w:eastAsia="en-AU"/>
              </w:rPr>
              <w:t>CDG 7.4 &amp; 7.7</w:t>
            </w:r>
          </w:p>
        </w:tc>
        <w:tc>
          <w:tcPr>
            <w:tcW w:w="297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rsidR="005B7DCC" w:rsidRDefault="00DC4635" w:rsidP="00B45CDA">
            <w:pPr>
              <w:pStyle w:val="DHHStabletext"/>
              <w:rPr>
                <w:rStyle w:val="Hyperlink"/>
              </w:rPr>
            </w:pPr>
            <w:hyperlink r:id="rId24" w:tgtFrame="_blank" w:history="1">
              <w:r w:rsidR="005B7DCC" w:rsidRPr="00986D1E">
                <w:rPr>
                  <w:rStyle w:val="Hyperlink"/>
                </w:rPr>
                <w:t>Fire Safety Compliance - Certificate No. 5</w:t>
              </w:r>
            </w:hyperlink>
          </w:p>
          <w:p w:rsidR="00A863B9" w:rsidRPr="00276391" w:rsidRDefault="00A863B9" w:rsidP="00A863B9">
            <w:pPr>
              <w:pStyle w:val="DHHStabletext"/>
              <w:rPr>
                <w:lang w:eastAsia="en-AU"/>
              </w:rPr>
            </w:pPr>
            <w:r>
              <w:rPr>
                <w:lang w:eastAsia="en-AU"/>
              </w:rPr>
              <w:br/>
            </w:r>
            <w:r>
              <w:t>&lt;</w:t>
            </w:r>
            <w:r w:rsidRPr="00A863B9">
              <w:t>https://providers.dhhs.vic.gov.au/fire-safety-compliance-certificate-no-5-word</w:t>
            </w:r>
            <w:r>
              <w:t>&gt;</w:t>
            </w:r>
          </w:p>
        </w:tc>
      </w:tr>
      <w:tr w:rsidR="005B7DCC" w:rsidRPr="00276391" w:rsidTr="00B45CDA">
        <w:tc>
          <w:tcPr>
            <w:tcW w:w="368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rsidR="005B7DCC" w:rsidRPr="00276391" w:rsidRDefault="005B7DCC" w:rsidP="00B45CDA">
            <w:pPr>
              <w:pStyle w:val="DHHStabletext"/>
              <w:rPr>
                <w:lang w:eastAsia="en-AU"/>
              </w:rPr>
            </w:pPr>
            <w:r>
              <w:rPr>
                <w:rFonts w:cs="Arial"/>
                <w:color w:val="000000"/>
                <w:szCs w:val="19"/>
                <w:lang w:eastAsia="en-AU"/>
              </w:rPr>
              <w:t>Public or Private H</w:t>
            </w:r>
            <w:r w:rsidRPr="00B24C02">
              <w:rPr>
                <w:rFonts w:cs="Arial"/>
                <w:color w:val="000000"/>
                <w:szCs w:val="19"/>
                <w:lang w:eastAsia="en-AU"/>
              </w:rPr>
              <w:t>ospitals</w:t>
            </w:r>
          </w:p>
        </w:tc>
        <w:tc>
          <w:tcPr>
            <w:tcW w:w="2835"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rsidR="005B7DCC" w:rsidRPr="00276391" w:rsidRDefault="005B7DCC" w:rsidP="00B45CDA">
            <w:pPr>
              <w:pStyle w:val="DHHStabletext"/>
              <w:rPr>
                <w:lang w:eastAsia="en-AU"/>
              </w:rPr>
            </w:pPr>
            <w:r w:rsidRPr="003555E9">
              <w:rPr>
                <w:rFonts w:cs="Arial"/>
                <w:color w:val="000000"/>
                <w:szCs w:val="19"/>
                <w:lang w:eastAsia="en-AU"/>
              </w:rPr>
              <w:t>CDG 7.6</w:t>
            </w:r>
            <w:r>
              <w:rPr>
                <w:rFonts w:cs="Arial"/>
                <w:color w:val="000000"/>
                <w:szCs w:val="19"/>
                <w:lang w:eastAsia="en-AU"/>
              </w:rPr>
              <w:t xml:space="preserve"> </w:t>
            </w:r>
          </w:p>
        </w:tc>
        <w:tc>
          <w:tcPr>
            <w:tcW w:w="2976"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rsidR="005B7DCC" w:rsidRPr="00A863B9" w:rsidRDefault="00DC4635" w:rsidP="00B45CDA">
            <w:pPr>
              <w:pStyle w:val="DHHStabletext"/>
              <w:rPr>
                <w:rFonts w:cs="Arial"/>
                <w:color w:val="0000FF"/>
                <w:szCs w:val="19"/>
                <w:lang w:eastAsia="en-AU"/>
              </w:rPr>
            </w:pPr>
            <w:hyperlink r:id="rId25" w:tgtFrame="_blank" w:history="1">
              <w:r w:rsidR="005B7DCC" w:rsidRPr="00986D1E">
                <w:rPr>
                  <w:rStyle w:val="Hyperlink"/>
                </w:rPr>
                <w:t>Fire Safety Compliance - Certificate No. 6</w:t>
              </w:r>
            </w:hyperlink>
            <w:r w:rsidR="005B7DCC">
              <w:rPr>
                <w:rFonts w:cs="Arial"/>
                <w:color w:val="0000FF"/>
                <w:szCs w:val="19"/>
                <w:lang w:eastAsia="en-AU"/>
              </w:rPr>
              <w:t xml:space="preserve"> </w:t>
            </w:r>
          </w:p>
          <w:p w:rsidR="005B7DCC" w:rsidRPr="00276391" w:rsidRDefault="00A863B9" w:rsidP="00B45CDA">
            <w:pPr>
              <w:pStyle w:val="DHHStabletext"/>
              <w:rPr>
                <w:lang w:eastAsia="en-AU"/>
              </w:rPr>
            </w:pPr>
            <w:r>
              <w:rPr>
                <w:lang w:eastAsia="en-AU"/>
              </w:rPr>
              <w:t>&lt;</w:t>
            </w:r>
            <w:r w:rsidRPr="00A863B9">
              <w:rPr>
                <w:lang w:eastAsia="en-AU"/>
              </w:rPr>
              <w:t>https://providers.dhhs.vic.gov.au/fire-safety-compliance-certificate-no-6-health-service-pdf</w:t>
            </w:r>
            <w:r>
              <w:rPr>
                <w:lang w:eastAsia="en-AU"/>
              </w:rPr>
              <w:t>&gt;</w:t>
            </w:r>
          </w:p>
        </w:tc>
      </w:tr>
    </w:tbl>
    <w:p w:rsidR="0047773C" w:rsidRPr="00C34235" w:rsidRDefault="0047773C" w:rsidP="00100FB2">
      <w:pPr>
        <w:pStyle w:val="DHHSbody"/>
        <w:rPr>
          <w:b/>
          <w:lang w:eastAsia="en-AU"/>
        </w:rPr>
      </w:pPr>
      <w:r w:rsidRPr="00100FB2">
        <w:rPr>
          <w:b/>
          <w:lang w:eastAsia="en-AU"/>
        </w:rPr>
        <w:t>Annual certification process map</w:t>
      </w:r>
      <w:r>
        <w:rPr>
          <w:lang w:eastAsia="en-AU"/>
        </w:rPr>
        <w:t xml:space="preserve"> </w:t>
      </w:r>
      <w:r w:rsidR="00100FB2">
        <w:rPr>
          <w:lang w:eastAsia="en-AU"/>
        </w:rPr>
        <w:t>–</w:t>
      </w:r>
      <w:r>
        <w:rPr>
          <w:lang w:eastAsia="en-AU"/>
        </w:rPr>
        <w:t xml:space="preserve"> </w:t>
      </w:r>
      <w:r w:rsidRPr="00C34235">
        <w:rPr>
          <w:lang w:eastAsia="en-AU"/>
        </w:rPr>
        <w:t xml:space="preserve">See attachment </w:t>
      </w:r>
      <w:r>
        <w:rPr>
          <w:lang w:eastAsia="en-AU"/>
        </w:rPr>
        <w:t>2</w:t>
      </w:r>
    </w:p>
    <w:p w:rsidR="0047773C" w:rsidRPr="00276391" w:rsidRDefault="0047773C" w:rsidP="00100FB2">
      <w:pPr>
        <w:pStyle w:val="DHHSbody"/>
        <w:rPr>
          <w:lang w:eastAsia="en-AU"/>
        </w:rPr>
      </w:pPr>
      <w:r w:rsidRPr="00100FB2">
        <w:rPr>
          <w:b/>
          <w:lang w:eastAsia="en-AU"/>
        </w:rPr>
        <w:t>Fire incidents</w:t>
      </w:r>
      <w:r>
        <w:rPr>
          <w:lang w:eastAsia="en-AU"/>
        </w:rPr>
        <w:t xml:space="preserve"> </w:t>
      </w:r>
      <w:r w:rsidRPr="00276391">
        <w:rPr>
          <w:lang w:eastAsia="en-AU"/>
        </w:rPr>
        <w:t xml:space="preserve"> </w:t>
      </w:r>
      <w:r>
        <w:rPr>
          <w:lang w:eastAsia="en-AU"/>
        </w:rPr>
        <w:t>–</w:t>
      </w:r>
      <w:r w:rsidRPr="00276391">
        <w:rPr>
          <w:lang w:eastAsia="en-AU"/>
        </w:rPr>
        <w:t xml:space="preserve"> </w:t>
      </w:r>
      <w:r>
        <w:rPr>
          <w:lang w:eastAsia="en-AU"/>
        </w:rPr>
        <w:t>Fire Damage to Asset</w:t>
      </w:r>
      <w:r w:rsidRPr="002222FE">
        <w:rPr>
          <w:color w:val="C00000"/>
          <w:lang w:eastAsia="en-AU"/>
        </w:rPr>
        <w:t xml:space="preserve"> </w:t>
      </w:r>
      <w:r w:rsidRPr="00276391">
        <w:rPr>
          <w:lang w:eastAsia="en-AU"/>
        </w:rPr>
        <w:t>reports</w:t>
      </w:r>
    </w:p>
    <w:p w:rsidR="0047773C" w:rsidRDefault="0047773C" w:rsidP="0047773C">
      <w:pPr>
        <w:pStyle w:val="DHHSbody"/>
        <w:rPr>
          <w:szCs w:val="19"/>
          <w:lang w:eastAsia="en-AU"/>
        </w:rPr>
      </w:pPr>
      <w:r w:rsidRPr="00B24C02">
        <w:rPr>
          <w:szCs w:val="19"/>
          <w:lang w:eastAsia="en-AU"/>
        </w:rPr>
        <w:t xml:space="preserve">Organisations are required </w:t>
      </w:r>
      <w:r>
        <w:rPr>
          <w:szCs w:val="19"/>
          <w:lang w:eastAsia="en-AU"/>
        </w:rPr>
        <w:t xml:space="preserve">to report all incidents of fire by </w:t>
      </w:r>
      <w:r w:rsidRPr="00FD1D5D">
        <w:rPr>
          <w:szCs w:val="19"/>
          <w:lang w:eastAsia="en-AU"/>
        </w:rPr>
        <w:t>completing a fire damage to asset</w:t>
      </w:r>
      <w:r>
        <w:rPr>
          <w:szCs w:val="19"/>
          <w:lang w:eastAsia="en-AU"/>
        </w:rPr>
        <w:t xml:space="preserve"> report</w:t>
      </w:r>
      <w:r w:rsidRPr="00B24C02">
        <w:rPr>
          <w:szCs w:val="19"/>
          <w:lang w:eastAsia="en-AU"/>
        </w:rPr>
        <w:t xml:space="preserve"> </w:t>
      </w:r>
      <w:r>
        <w:rPr>
          <w:szCs w:val="19"/>
          <w:lang w:eastAsia="en-AU"/>
        </w:rPr>
        <w:t xml:space="preserve">available online on the FRMS data base. </w:t>
      </w:r>
      <w:r w:rsidRPr="00B24C02">
        <w:rPr>
          <w:szCs w:val="19"/>
          <w:lang w:eastAsia="en-AU"/>
        </w:rPr>
        <w:t xml:space="preserve">Fire damage to asset reports </w:t>
      </w:r>
      <w:r>
        <w:rPr>
          <w:szCs w:val="19"/>
          <w:lang w:eastAsia="en-AU"/>
        </w:rPr>
        <w:t xml:space="preserve">are also </w:t>
      </w:r>
      <w:r w:rsidRPr="00B24C02">
        <w:rPr>
          <w:szCs w:val="19"/>
          <w:lang w:eastAsia="en-AU"/>
        </w:rPr>
        <w:t xml:space="preserve">accessible from the </w:t>
      </w:r>
      <w:hyperlink r:id="rId26" w:history="1">
        <w:r w:rsidRPr="00FE480B">
          <w:rPr>
            <w:rStyle w:val="Hyperlink"/>
            <w:szCs w:val="19"/>
            <w:lang w:eastAsia="en-AU"/>
          </w:rPr>
          <w:t>Funded agency channel</w:t>
        </w:r>
      </w:hyperlink>
      <w:r>
        <w:rPr>
          <w:szCs w:val="19"/>
          <w:lang w:eastAsia="en-AU"/>
        </w:rPr>
        <w:t xml:space="preserve"> &lt;</w:t>
      </w:r>
      <w:r w:rsidRPr="00FE480B">
        <w:rPr>
          <w:szCs w:val="19"/>
          <w:lang w:eastAsia="en-AU"/>
        </w:rPr>
        <w:t>https://fac.dhhs.vic.gov.au/policies-and-procedures</w:t>
      </w:r>
      <w:r>
        <w:rPr>
          <w:szCs w:val="19"/>
          <w:lang w:eastAsia="en-AU"/>
        </w:rPr>
        <w:t xml:space="preserve">&gt; </w:t>
      </w:r>
    </w:p>
    <w:p w:rsidR="0047773C" w:rsidRPr="00A863B9" w:rsidRDefault="0047773C" w:rsidP="00A863B9">
      <w:pPr>
        <w:pStyle w:val="DHHSbodyBold"/>
        <w:rPr>
          <w:b w:val="0"/>
          <w:color w:val="000000" w:themeColor="text1"/>
          <w:szCs w:val="19"/>
          <w:lang w:eastAsia="en-AU"/>
        </w:rPr>
      </w:pPr>
      <w:r w:rsidRPr="00473EDE">
        <w:rPr>
          <w:b w:val="0"/>
          <w:szCs w:val="19"/>
          <w:lang w:eastAsia="en-AU"/>
        </w:rPr>
        <w:t xml:space="preserve">For FRMS data base access </w:t>
      </w:r>
      <w:hyperlink r:id="rId27" w:history="1">
        <w:r w:rsidRPr="00A863B9">
          <w:rPr>
            <w:rStyle w:val="Hyperlink"/>
            <w:b w:val="0"/>
            <w:szCs w:val="19"/>
            <w:lang w:eastAsia="en-AU"/>
          </w:rPr>
          <w:t>please contact Fire Services Coordinator</w:t>
        </w:r>
      </w:hyperlink>
      <w:r w:rsidRPr="00473EDE">
        <w:rPr>
          <w:b w:val="0"/>
          <w:color w:val="000000" w:themeColor="text1"/>
          <w:szCs w:val="19"/>
          <w:lang w:eastAsia="en-AU"/>
        </w:rPr>
        <w:t xml:space="preserve"> allocated for your area</w:t>
      </w:r>
      <w:r w:rsidR="00A863B9">
        <w:rPr>
          <w:b w:val="0"/>
          <w:color w:val="000000" w:themeColor="text1"/>
          <w:szCs w:val="19"/>
          <w:lang w:eastAsia="en-AU"/>
        </w:rPr>
        <w:t xml:space="preserve"> </w:t>
      </w:r>
      <w:r w:rsidR="00A863B9" w:rsidRPr="00A863B9">
        <w:rPr>
          <w:rFonts w:cs="Arial"/>
          <w:b w:val="0"/>
          <w:szCs w:val="19"/>
          <w:lang w:eastAsia="en-AU"/>
        </w:rPr>
        <w:t>&lt;dhs-m-frmuco-ordinators@dhhs.vic.gov.au&gt;</w:t>
      </w:r>
      <w:r w:rsidR="00100FB2">
        <w:rPr>
          <w:rFonts w:cs="Arial"/>
          <w:b w:val="0"/>
          <w:szCs w:val="19"/>
          <w:lang w:eastAsia="en-AU"/>
        </w:rPr>
        <w:t xml:space="preserve">. </w:t>
      </w:r>
    </w:p>
    <w:p w:rsidR="0047773C" w:rsidRPr="00473EDE" w:rsidRDefault="0047773C" w:rsidP="00100FB2">
      <w:pPr>
        <w:pStyle w:val="Heading2"/>
        <w:rPr>
          <w:lang w:eastAsia="en-AU"/>
        </w:rPr>
      </w:pPr>
      <w:r w:rsidRPr="00276391">
        <w:rPr>
          <w:lang w:eastAsia="en-AU"/>
        </w:rPr>
        <w:t>Definitions</w:t>
      </w:r>
    </w:p>
    <w:p w:rsidR="0047773C" w:rsidRPr="00B24C02" w:rsidRDefault="0047773C" w:rsidP="0047773C">
      <w:pPr>
        <w:pStyle w:val="DHHSbody"/>
        <w:rPr>
          <w:szCs w:val="19"/>
          <w:lang w:eastAsia="en-AU"/>
        </w:rPr>
      </w:pPr>
      <w:r w:rsidRPr="00D93187">
        <w:rPr>
          <w:b/>
        </w:rPr>
        <w:t>Bed based service:</w:t>
      </w:r>
      <w:r>
        <w:t xml:space="preserve"> </w:t>
      </w:r>
      <w:r w:rsidRPr="00B24C02">
        <w:rPr>
          <w:szCs w:val="19"/>
          <w:lang w:eastAsia="en-AU"/>
        </w:rPr>
        <w:t>A service contracted to provide overnight accommodation for clients.</w:t>
      </w:r>
    </w:p>
    <w:p w:rsidR="0047773C" w:rsidRPr="00B24C02" w:rsidRDefault="0047773C" w:rsidP="0047773C">
      <w:pPr>
        <w:pStyle w:val="DHHSbody"/>
        <w:rPr>
          <w:szCs w:val="19"/>
          <w:lang w:eastAsia="en-AU"/>
        </w:rPr>
      </w:pPr>
      <w:r w:rsidRPr="00B24C02">
        <w:rPr>
          <w:b/>
          <w:bCs/>
          <w:szCs w:val="19"/>
          <w:lang w:eastAsia="en-AU"/>
        </w:rPr>
        <w:t>Client</w:t>
      </w:r>
      <w:r>
        <w:rPr>
          <w:b/>
          <w:bCs/>
          <w:szCs w:val="19"/>
          <w:lang w:eastAsia="en-AU"/>
        </w:rPr>
        <w:t xml:space="preserve">: </w:t>
      </w:r>
      <w:r w:rsidRPr="00B24C02">
        <w:rPr>
          <w:szCs w:val="19"/>
          <w:lang w:eastAsia="en-AU"/>
        </w:rPr>
        <w:t xml:space="preserve">Has the same meaning as that defined in the </w:t>
      </w:r>
      <w:hyperlink r:id="rId28" w:tgtFrame="_blank" w:history="1">
        <w:r w:rsidRPr="00F352C6">
          <w:rPr>
            <w:rStyle w:val="Hyperlink"/>
          </w:rPr>
          <w:t>Capital Development Guidelines, Series 7, Fire Risk Management, August 2013</w:t>
        </w:r>
      </w:hyperlink>
      <w:r w:rsidRPr="00B24C02">
        <w:rPr>
          <w:szCs w:val="19"/>
          <w:lang w:eastAsia="en-AU"/>
        </w:rPr>
        <w:t xml:space="preserve"> </w:t>
      </w:r>
      <w:r>
        <w:rPr>
          <w:szCs w:val="19"/>
          <w:lang w:eastAsia="en-AU"/>
        </w:rPr>
        <w:t>&lt;</w:t>
      </w:r>
      <w:r w:rsidRPr="00390713">
        <w:rPr>
          <w:rFonts w:cs="Arial"/>
          <w:color w:val="000000"/>
          <w:szCs w:val="19"/>
          <w:lang w:eastAsia="en-AU"/>
        </w:rPr>
        <w:t>https://providers.dhhs.vic.gov.au/capital-development-guidelines-series-7</w:t>
      </w:r>
      <w:r>
        <w:rPr>
          <w:szCs w:val="19"/>
          <w:lang w:eastAsia="en-AU"/>
        </w:rPr>
        <w:t>&gt;</w:t>
      </w:r>
      <w:r w:rsidRPr="00640E9B">
        <w:rPr>
          <w:szCs w:val="19"/>
          <w:lang w:eastAsia="en-AU"/>
        </w:rPr>
        <w:t xml:space="preserve"> </w:t>
      </w:r>
      <w:r w:rsidRPr="00B24C02">
        <w:rPr>
          <w:szCs w:val="19"/>
          <w:lang w:eastAsia="en-AU"/>
        </w:rPr>
        <w:t>or as amended.</w:t>
      </w:r>
    </w:p>
    <w:p w:rsidR="0047773C" w:rsidRPr="00B24C02" w:rsidRDefault="0047773C" w:rsidP="0047773C">
      <w:pPr>
        <w:pStyle w:val="DHHSbody"/>
        <w:rPr>
          <w:szCs w:val="19"/>
          <w:lang w:eastAsia="en-AU"/>
        </w:rPr>
      </w:pPr>
      <w:r w:rsidRPr="00B24C02">
        <w:rPr>
          <w:b/>
          <w:bCs/>
          <w:szCs w:val="19"/>
          <w:lang w:eastAsia="en-AU"/>
        </w:rPr>
        <w:t>Lead tenant</w:t>
      </w:r>
      <w:r>
        <w:rPr>
          <w:b/>
          <w:bCs/>
          <w:szCs w:val="19"/>
          <w:lang w:eastAsia="en-AU"/>
        </w:rPr>
        <w:t xml:space="preserve">: </w:t>
      </w:r>
      <w:r w:rsidRPr="00B24C02">
        <w:rPr>
          <w:szCs w:val="19"/>
          <w:lang w:eastAsia="en-AU"/>
        </w:rPr>
        <w:t>A service which provides semi-independent accommodation in a household for people who are in transition to independent living using a live-in volunteer to facilitate a supportive environment.</w:t>
      </w:r>
    </w:p>
    <w:p w:rsidR="0047773C" w:rsidRPr="00B24C02" w:rsidRDefault="0047773C" w:rsidP="0047773C">
      <w:pPr>
        <w:pStyle w:val="DHHSbody"/>
        <w:rPr>
          <w:szCs w:val="19"/>
          <w:lang w:eastAsia="en-AU"/>
        </w:rPr>
      </w:pPr>
      <w:r w:rsidRPr="00B24C02">
        <w:rPr>
          <w:b/>
          <w:bCs/>
          <w:szCs w:val="19"/>
          <w:lang w:eastAsia="en-AU"/>
        </w:rPr>
        <w:t>Private home or residence</w:t>
      </w:r>
      <w:r>
        <w:rPr>
          <w:b/>
          <w:bCs/>
          <w:szCs w:val="19"/>
          <w:lang w:eastAsia="en-AU"/>
        </w:rPr>
        <w:t xml:space="preserve">: </w:t>
      </w:r>
      <w:r w:rsidRPr="00B24C02">
        <w:rPr>
          <w:szCs w:val="19"/>
          <w:lang w:eastAsia="en-AU"/>
        </w:rPr>
        <w:t>A home owned by the occupant(s), or a home formally or informally leased by the occupant(s).</w:t>
      </w:r>
    </w:p>
    <w:p w:rsidR="0047773C" w:rsidRPr="003F00A7" w:rsidRDefault="0047773C" w:rsidP="0047773C">
      <w:pPr>
        <w:pStyle w:val="DHHSbody"/>
        <w:rPr>
          <w:szCs w:val="19"/>
          <w:lang w:eastAsia="en-AU"/>
        </w:rPr>
      </w:pPr>
      <w:r w:rsidRPr="00B24C02">
        <w:rPr>
          <w:b/>
          <w:bCs/>
          <w:szCs w:val="19"/>
          <w:lang w:eastAsia="en-AU"/>
        </w:rPr>
        <w:lastRenderedPageBreak/>
        <w:t>Statutory client</w:t>
      </w:r>
      <w:r>
        <w:rPr>
          <w:b/>
          <w:bCs/>
          <w:szCs w:val="19"/>
          <w:lang w:eastAsia="en-AU"/>
        </w:rPr>
        <w:t xml:space="preserve">: </w:t>
      </w:r>
      <w:r w:rsidRPr="00B24C02">
        <w:rPr>
          <w:szCs w:val="19"/>
          <w:lang w:eastAsia="en-AU"/>
        </w:rPr>
        <w:t xml:space="preserve">Clients for whom the department has custody or guardianship. Clients </w:t>
      </w:r>
      <w:r w:rsidRPr="003555E9">
        <w:rPr>
          <w:szCs w:val="19"/>
          <w:lang w:eastAsia="en-AU"/>
        </w:rPr>
        <w:t>who</w:t>
      </w:r>
      <w:r>
        <w:rPr>
          <w:szCs w:val="19"/>
          <w:lang w:eastAsia="en-AU"/>
        </w:rPr>
        <w:t xml:space="preserve"> </w:t>
      </w:r>
      <w:r w:rsidRPr="00B24C02">
        <w:rPr>
          <w:szCs w:val="19"/>
          <w:lang w:eastAsia="en-AU"/>
        </w:rPr>
        <w:t xml:space="preserve">receive services pursuant to the </w:t>
      </w:r>
      <w:hyperlink r:id="rId29" w:tgtFrame="_blank" w:history="1">
        <w:r w:rsidRPr="00986D1E">
          <w:rPr>
            <w:rStyle w:val="Hyperlink"/>
          </w:rPr>
          <w:t xml:space="preserve">Children, Youth </w:t>
        </w:r>
        <w:r>
          <w:rPr>
            <w:rStyle w:val="Hyperlink"/>
          </w:rPr>
          <w:t>and</w:t>
        </w:r>
        <w:r w:rsidRPr="00986D1E">
          <w:rPr>
            <w:rStyle w:val="Hyperlink"/>
          </w:rPr>
          <w:t xml:space="preserve"> Families Act 2005</w:t>
        </w:r>
      </w:hyperlink>
      <w:r w:rsidRPr="00B24C02">
        <w:rPr>
          <w:szCs w:val="19"/>
          <w:lang w:eastAsia="en-AU"/>
        </w:rPr>
        <w:t xml:space="preserve"> </w:t>
      </w:r>
      <w:r w:rsidRPr="003F00A7">
        <w:rPr>
          <w:szCs w:val="19"/>
          <w:lang w:eastAsia="en-AU"/>
        </w:rPr>
        <w:t>&lt;http://www8.austlii.edu.au/cgi-bin/viewdb/au/legis/vic/consol_act/cyafa2005252/&gt;</w:t>
      </w:r>
      <w:r w:rsidR="00100FB2">
        <w:rPr>
          <w:szCs w:val="19"/>
          <w:lang w:eastAsia="en-AU"/>
        </w:rPr>
        <w:t>.</w:t>
      </w:r>
    </w:p>
    <w:p w:rsidR="0047773C" w:rsidRDefault="00697BD4" w:rsidP="0047773C">
      <w:pPr>
        <w:pStyle w:val="DHHSbody"/>
        <w:rPr>
          <w:szCs w:val="19"/>
          <w:lang w:eastAsia="en-AU"/>
        </w:rPr>
      </w:pPr>
      <w:r w:rsidRPr="00B24C02">
        <w:rPr>
          <w:b/>
          <w:bCs/>
          <w:szCs w:val="19"/>
          <w:lang w:eastAsia="en-AU"/>
        </w:rPr>
        <w:t>24-hour</w:t>
      </w:r>
      <w:r w:rsidR="0047773C" w:rsidRPr="00B24C02">
        <w:rPr>
          <w:b/>
          <w:bCs/>
          <w:szCs w:val="19"/>
          <w:lang w:eastAsia="en-AU"/>
        </w:rPr>
        <w:t xml:space="preserve"> </w:t>
      </w:r>
      <w:r w:rsidR="0047773C" w:rsidRPr="003555E9">
        <w:rPr>
          <w:b/>
          <w:bCs/>
          <w:szCs w:val="19"/>
          <w:lang w:eastAsia="en-AU"/>
        </w:rPr>
        <w:t xml:space="preserve">support or supervision: </w:t>
      </w:r>
      <w:r w:rsidR="0047773C" w:rsidRPr="003555E9">
        <w:rPr>
          <w:szCs w:val="19"/>
          <w:lang w:eastAsia="en-AU"/>
        </w:rPr>
        <w:t>Staff support</w:t>
      </w:r>
      <w:r w:rsidR="00100FB2">
        <w:rPr>
          <w:szCs w:val="19"/>
          <w:lang w:eastAsia="en-AU"/>
        </w:rPr>
        <w:t>,</w:t>
      </w:r>
      <w:r w:rsidR="0047773C" w:rsidRPr="003555E9">
        <w:rPr>
          <w:szCs w:val="19"/>
          <w:lang w:eastAsia="en-AU"/>
        </w:rPr>
        <w:t xml:space="preserve"> or supervision is provided whenever clients are in residence and includes active night and sleepover</w:t>
      </w:r>
      <w:r w:rsidR="0047773C" w:rsidRPr="00B24C02">
        <w:rPr>
          <w:szCs w:val="19"/>
          <w:lang w:eastAsia="en-AU"/>
        </w:rPr>
        <w:t xml:space="preserve"> rosters</w:t>
      </w:r>
      <w:r w:rsidR="0047773C">
        <w:rPr>
          <w:szCs w:val="19"/>
          <w:lang w:eastAsia="en-AU"/>
        </w:rPr>
        <w:t>.</w:t>
      </w:r>
      <w:r w:rsidR="0047773C" w:rsidRPr="00B24C02">
        <w:rPr>
          <w:szCs w:val="19"/>
          <w:lang w:eastAsia="en-AU"/>
        </w:rPr>
        <w:t xml:space="preserve"> </w:t>
      </w:r>
    </w:p>
    <w:p w:rsidR="00655A48" w:rsidRDefault="00655A48">
      <w:pPr>
        <w:rPr>
          <w:rFonts w:ascii="Arial" w:eastAsia="Times" w:hAnsi="Arial"/>
          <w:szCs w:val="19"/>
          <w:lang w:eastAsia="en-AU"/>
        </w:rPr>
      </w:pPr>
      <w:r>
        <w:rPr>
          <w:szCs w:val="19"/>
          <w:lang w:eastAsia="en-AU"/>
        </w:rPr>
        <w:br w:type="page"/>
      </w:r>
    </w:p>
    <w:p w:rsidR="00655A48" w:rsidRDefault="00655A48" w:rsidP="00655A48">
      <w:pPr>
        <w:pStyle w:val="Heading1"/>
        <w:rPr>
          <w:lang w:eastAsia="en-AU"/>
        </w:rPr>
        <w:sectPr w:rsidR="00655A48" w:rsidSect="00FA2F0E">
          <w:pgSz w:w="11906" w:h="16838"/>
          <w:pgMar w:top="1701" w:right="1304" w:bottom="1134" w:left="1304" w:header="454" w:footer="510" w:gutter="0"/>
          <w:cols w:space="720"/>
          <w:docGrid w:linePitch="360"/>
        </w:sectPr>
      </w:pPr>
    </w:p>
    <w:p w:rsidR="005616A9" w:rsidRPr="008B0C9D" w:rsidRDefault="005616A9" w:rsidP="006B6B6D">
      <w:pPr>
        <w:pStyle w:val="Heading2"/>
      </w:pPr>
      <w:bookmarkStart w:id="14" w:name="_Toc27398688"/>
      <w:r w:rsidRPr="008B0C9D">
        <w:lastRenderedPageBreak/>
        <w:t xml:space="preserve">Fire Safety Certification </w:t>
      </w:r>
      <w:r w:rsidR="006B6B6D">
        <w:t>Matrix</w:t>
      </w:r>
      <w:bookmarkEnd w:id="14"/>
    </w:p>
    <w:tbl>
      <w:tblPr>
        <w:tblW w:w="14751" w:type="dxa"/>
        <w:tblLook w:val="04A0" w:firstRow="1" w:lastRow="0" w:firstColumn="1" w:lastColumn="0" w:noHBand="0" w:noVBand="1"/>
      </w:tblPr>
      <w:tblGrid>
        <w:gridCol w:w="2859"/>
        <w:gridCol w:w="1467"/>
        <w:gridCol w:w="1710"/>
        <w:gridCol w:w="1451"/>
        <w:gridCol w:w="1437"/>
        <w:gridCol w:w="1441"/>
        <w:gridCol w:w="1509"/>
        <w:gridCol w:w="1437"/>
        <w:gridCol w:w="1440"/>
      </w:tblGrid>
      <w:tr w:rsidR="008B0C9D" w:rsidRPr="00655A48" w:rsidTr="008B0C9D">
        <w:trPr>
          <w:trHeight w:val="254"/>
        </w:trPr>
        <w:tc>
          <w:tcPr>
            <w:tcW w:w="6036" w:type="dxa"/>
            <w:gridSpan w:val="3"/>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655A48" w:rsidRPr="00A121D2" w:rsidRDefault="00655A48" w:rsidP="008B0C9D">
            <w:pPr>
              <w:pStyle w:val="DHHStablecolhead"/>
              <w:rPr>
                <w:b w:val="0"/>
                <w:bCs/>
                <w:color w:val="201547"/>
              </w:rPr>
            </w:pPr>
            <w:r w:rsidRPr="00A121D2">
              <w:rPr>
                <w:b w:val="0"/>
                <w:bCs/>
                <w:color w:val="201547"/>
              </w:rPr>
              <w:t>Property Details</w:t>
            </w:r>
          </w:p>
        </w:tc>
        <w:tc>
          <w:tcPr>
            <w:tcW w:w="4329" w:type="dxa"/>
            <w:gridSpan w:val="3"/>
            <w:tcBorders>
              <w:top w:val="single" w:sz="8" w:space="0" w:color="auto"/>
              <w:left w:val="nil"/>
              <w:bottom w:val="single" w:sz="8" w:space="0" w:color="auto"/>
              <w:right w:val="single" w:sz="8" w:space="0" w:color="auto"/>
            </w:tcBorders>
            <w:shd w:val="clear" w:color="000000" w:fill="D9E1F2"/>
            <w:noWrap/>
            <w:vAlign w:val="bottom"/>
            <w:hideMark/>
          </w:tcPr>
          <w:p w:rsidR="00655A48" w:rsidRPr="00A121D2" w:rsidRDefault="00655A48" w:rsidP="008B0C9D">
            <w:pPr>
              <w:pStyle w:val="DHHStablecolhead"/>
              <w:rPr>
                <w:b w:val="0"/>
                <w:bCs/>
                <w:color w:val="201547"/>
              </w:rPr>
            </w:pPr>
            <w:r w:rsidRPr="00A121D2">
              <w:rPr>
                <w:b w:val="0"/>
                <w:bCs/>
                <w:color w:val="201547"/>
              </w:rPr>
              <w:t>Annual Certification</w:t>
            </w:r>
          </w:p>
        </w:tc>
        <w:tc>
          <w:tcPr>
            <w:tcW w:w="4386" w:type="dxa"/>
            <w:gridSpan w:val="3"/>
            <w:tcBorders>
              <w:top w:val="single" w:sz="8" w:space="0" w:color="auto"/>
              <w:left w:val="nil"/>
              <w:bottom w:val="single" w:sz="8" w:space="0" w:color="auto"/>
              <w:right w:val="single" w:sz="8" w:space="0" w:color="auto"/>
            </w:tcBorders>
            <w:shd w:val="clear" w:color="000000" w:fill="C6E0B4"/>
            <w:noWrap/>
            <w:vAlign w:val="bottom"/>
            <w:hideMark/>
          </w:tcPr>
          <w:p w:rsidR="00655A48" w:rsidRPr="00A121D2" w:rsidRDefault="00655A48" w:rsidP="008B0C9D">
            <w:pPr>
              <w:pStyle w:val="DHHStablecolhead"/>
              <w:rPr>
                <w:b w:val="0"/>
                <w:bCs/>
                <w:color w:val="201547"/>
              </w:rPr>
            </w:pPr>
            <w:r w:rsidRPr="00A121D2">
              <w:rPr>
                <w:b w:val="0"/>
                <w:bCs/>
                <w:color w:val="201547"/>
              </w:rPr>
              <w:t>Responsibilities</w:t>
            </w:r>
          </w:p>
        </w:tc>
      </w:tr>
      <w:tr w:rsidR="008B0C9D" w:rsidRPr="00655A48" w:rsidTr="008B0C9D">
        <w:trPr>
          <w:trHeight w:val="422"/>
        </w:trPr>
        <w:tc>
          <w:tcPr>
            <w:tcW w:w="2859" w:type="dxa"/>
            <w:tcBorders>
              <w:top w:val="nil"/>
              <w:left w:val="single" w:sz="8" w:space="0" w:color="auto"/>
              <w:bottom w:val="single" w:sz="8" w:space="0" w:color="auto"/>
              <w:right w:val="single" w:sz="8" w:space="0" w:color="auto"/>
            </w:tcBorders>
            <w:shd w:val="clear" w:color="000000" w:fill="D9D9D9"/>
            <w:vAlign w:val="bottom"/>
            <w:hideMark/>
          </w:tcPr>
          <w:p w:rsidR="00655A48" w:rsidRPr="00A121D2" w:rsidRDefault="00655A48" w:rsidP="008B0C9D">
            <w:pPr>
              <w:pStyle w:val="DHHStablecolhead"/>
              <w:rPr>
                <w:b w:val="0"/>
                <w:bCs/>
                <w:color w:val="201547"/>
              </w:rPr>
            </w:pPr>
            <w:r w:rsidRPr="00A121D2">
              <w:rPr>
                <w:b w:val="0"/>
                <w:bCs/>
                <w:color w:val="201547"/>
              </w:rPr>
              <w:t>Program</w:t>
            </w:r>
          </w:p>
        </w:tc>
        <w:tc>
          <w:tcPr>
            <w:tcW w:w="1467" w:type="dxa"/>
            <w:tcBorders>
              <w:top w:val="nil"/>
              <w:left w:val="nil"/>
              <w:bottom w:val="single" w:sz="8" w:space="0" w:color="auto"/>
              <w:right w:val="single" w:sz="8" w:space="0" w:color="auto"/>
            </w:tcBorders>
            <w:shd w:val="clear" w:color="000000" w:fill="D9D9D9"/>
            <w:noWrap/>
            <w:vAlign w:val="bottom"/>
            <w:hideMark/>
          </w:tcPr>
          <w:p w:rsidR="00655A48" w:rsidRPr="00A121D2" w:rsidRDefault="00655A48" w:rsidP="008B0C9D">
            <w:pPr>
              <w:pStyle w:val="DHHStablecolhead"/>
              <w:rPr>
                <w:b w:val="0"/>
                <w:bCs/>
                <w:color w:val="201547"/>
              </w:rPr>
            </w:pPr>
            <w:r w:rsidRPr="00A121D2">
              <w:rPr>
                <w:b w:val="0"/>
                <w:bCs/>
                <w:color w:val="201547"/>
              </w:rPr>
              <w:t>Ownership</w:t>
            </w:r>
          </w:p>
        </w:tc>
        <w:tc>
          <w:tcPr>
            <w:tcW w:w="1709" w:type="dxa"/>
            <w:tcBorders>
              <w:top w:val="nil"/>
              <w:left w:val="nil"/>
              <w:bottom w:val="single" w:sz="8" w:space="0" w:color="auto"/>
              <w:right w:val="single" w:sz="8" w:space="0" w:color="auto"/>
            </w:tcBorders>
            <w:shd w:val="clear" w:color="000000" w:fill="D9D9D9"/>
            <w:noWrap/>
            <w:vAlign w:val="bottom"/>
            <w:hideMark/>
          </w:tcPr>
          <w:p w:rsidR="00655A48" w:rsidRPr="00A121D2" w:rsidRDefault="00655A48" w:rsidP="008B0C9D">
            <w:pPr>
              <w:pStyle w:val="DHHStablecolhead"/>
              <w:rPr>
                <w:b w:val="0"/>
                <w:bCs/>
                <w:color w:val="201547"/>
              </w:rPr>
            </w:pPr>
            <w:r w:rsidRPr="00A121D2">
              <w:rPr>
                <w:b w:val="0"/>
                <w:bCs/>
                <w:color w:val="201547"/>
              </w:rPr>
              <w:t>Operated by</w:t>
            </w:r>
          </w:p>
        </w:tc>
        <w:tc>
          <w:tcPr>
            <w:tcW w:w="1451" w:type="dxa"/>
            <w:tcBorders>
              <w:top w:val="nil"/>
              <w:left w:val="nil"/>
              <w:bottom w:val="single" w:sz="8" w:space="0" w:color="auto"/>
              <w:right w:val="single" w:sz="8" w:space="0" w:color="auto"/>
            </w:tcBorders>
            <w:shd w:val="clear" w:color="000000" w:fill="D9E1F2"/>
            <w:vAlign w:val="center"/>
            <w:hideMark/>
          </w:tcPr>
          <w:p w:rsidR="00655A48" w:rsidRPr="00A121D2" w:rsidRDefault="00655A48" w:rsidP="008B0C9D">
            <w:pPr>
              <w:pStyle w:val="DHHStablecolhead"/>
              <w:rPr>
                <w:b w:val="0"/>
                <w:bCs/>
                <w:color w:val="201547"/>
              </w:rPr>
            </w:pPr>
            <w:r w:rsidRPr="00A121D2">
              <w:rPr>
                <w:b w:val="0"/>
                <w:bCs/>
                <w:color w:val="201547"/>
              </w:rPr>
              <w:t>Certificates- Agency signoff</w:t>
            </w:r>
          </w:p>
        </w:tc>
        <w:tc>
          <w:tcPr>
            <w:tcW w:w="1437" w:type="dxa"/>
            <w:tcBorders>
              <w:top w:val="nil"/>
              <w:left w:val="nil"/>
              <w:bottom w:val="single" w:sz="8" w:space="0" w:color="auto"/>
              <w:right w:val="single" w:sz="8" w:space="0" w:color="auto"/>
            </w:tcBorders>
            <w:shd w:val="clear" w:color="000000" w:fill="D9E1F2"/>
            <w:vAlign w:val="center"/>
            <w:hideMark/>
          </w:tcPr>
          <w:p w:rsidR="00655A48" w:rsidRPr="00A121D2" w:rsidRDefault="00655A48" w:rsidP="008B0C9D">
            <w:pPr>
              <w:pStyle w:val="DHHStablecolhead"/>
              <w:rPr>
                <w:b w:val="0"/>
                <w:bCs/>
                <w:color w:val="201547"/>
              </w:rPr>
            </w:pPr>
            <w:r w:rsidRPr="00A121D2">
              <w:rPr>
                <w:b w:val="0"/>
                <w:bCs/>
                <w:color w:val="201547"/>
              </w:rPr>
              <w:t>Certificates - DHHS signoff</w:t>
            </w:r>
          </w:p>
        </w:tc>
        <w:tc>
          <w:tcPr>
            <w:tcW w:w="1440" w:type="dxa"/>
            <w:tcBorders>
              <w:top w:val="nil"/>
              <w:left w:val="nil"/>
              <w:bottom w:val="single" w:sz="8" w:space="0" w:color="auto"/>
              <w:right w:val="single" w:sz="8" w:space="0" w:color="auto"/>
            </w:tcBorders>
            <w:shd w:val="clear" w:color="000000" w:fill="D9E1F2"/>
            <w:noWrap/>
            <w:vAlign w:val="center"/>
            <w:hideMark/>
          </w:tcPr>
          <w:p w:rsidR="00655A48" w:rsidRPr="00A121D2" w:rsidRDefault="00655A48" w:rsidP="008B0C9D">
            <w:pPr>
              <w:pStyle w:val="DHHStablecolhead"/>
              <w:rPr>
                <w:b w:val="0"/>
                <w:bCs/>
                <w:color w:val="201547"/>
              </w:rPr>
            </w:pPr>
            <w:r w:rsidRPr="00A121D2">
              <w:rPr>
                <w:b w:val="0"/>
                <w:bCs/>
                <w:color w:val="201547"/>
              </w:rPr>
              <w:t>ESM Report</w:t>
            </w:r>
          </w:p>
        </w:tc>
        <w:tc>
          <w:tcPr>
            <w:tcW w:w="1509" w:type="dxa"/>
            <w:tcBorders>
              <w:top w:val="nil"/>
              <w:left w:val="nil"/>
              <w:bottom w:val="single" w:sz="8" w:space="0" w:color="auto"/>
              <w:right w:val="single" w:sz="8" w:space="0" w:color="auto"/>
            </w:tcBorders>
            <w:shd w:val="clear" w:color="000000" w:fill="C6E0B4"/>
            <w:vAlign w:val="bottom"/>
            <w:hideMark/>
          </w:tcPr>
          <w:p w:rsidR="00655A48" w:rsidRPr="00A121D2" w:rsidRDefault="00655A48" w:rsidP="008B0C9D">
            <w:pPr>
              <w:pStyle w:val="DHHStablecolhead"/>
              <w:rPr>
                <w:b w:val="0"/>
                <w:bCs/>
                <w:color w:val="201547"/>
              </w:rPr>
            </w:pPr>
            <w:r w:rsidRPr="00A121D2">
              <w:rPr>
                <w:b w:val="0"/>
                <w:bCs/>
                <w:color w:val="201547"/>
              </w:rPr>
              <w:t>Maintenance Statement</w:t>
            </w:r>
          </w:p>
        </w:tc>
        <w:tc>
          <w:tcPr>
            <w:tcW w:w="1437" w:type="dxa"/>
            <w:tcBorders>
              <w:top w:val="nil"/>
              <w:left w:val="nil"/>
              <w:bottom w:val="single" w:sz="8" w:space="0" w:color="auto"/>
              <w:right w:val="single" w:sz="8" w:space="0" w:color="auto"/>
            </w:tcBorders>
            <w:shd w:val="clear" w:color="000000" w:fill="C6E0B4"/>
            <w:vAlign w:val="bottom"/>
            <w:hideMark/>
          </w:tcPr>
          <w:p w:rsidR="00655A48" w:rsidRPr="00A121D2" w:rsidRDefault="00655A48" w:rsidP="008B0C9D">
            <w:pPr>
              <w:pStyle w:val="DHHStablecolhead"/>
              <w:rPr>
                <w:b w:val="0"/>
                <w:bCs/>
                <w:color w:val="201547"/>
              </w:rPr>
            </w:pPr>
            <w:r w:rsidRPr="00A121D2">
              <w:rPr>
                <w:b w:val="0"/>
                <w:bCs/>
                <w:color w:val="201547"/>
              </w:rPr>
              <w:t>Operational Attestation</w:t>
            </w:r>
          </w:p>
        </w:tc>
        <w:tc>
          <w:tcPr>
            <w:tcW w:w="1439" w:type="dxa"/>
            <w:tcBorders>
              <w:top w:val="nil"/>
              <w:left w:val="nil"/>
              <w:bottom w:val="single" w:sz="8" w:space="0" w:color="auto"/>
              <w:right w:val="single" w:sz="8" w:space="0" w:color="auto"/>
            </w:tcBorders>
            <w:shd w:val="clear" w:color="000000" w:fill="C6E0B4"/>
            <w:vAlign w:val="bottom"/>
            <w:hideMark/>
          </w:tcPr>
          <w:p w:rsidR="00655A48" w:rsidRPr="00A121D2" w:rsidRDefault="00655A48" w:rsidP="008B0C9D">
            <w:pPr>
              <w:pStyle w:val="DHHStablecolhead"/>
              <w:rPr>
                <w:b w:val="0"/>
                <w:bCs/>
                <w:color w:val="201547"/>
              </w:rPr>
            </w:pPr>
            <w:r w:rsidRPr="00A121D2">
              <w:rPr>
                <w:b w:val="0"/>
                <w:bCs/>
                <w:color w:val="201547"/>
              </w:rPr>
              <w:t>Operational Sign off</w:t>
            </w:r>
          </w:p>
        </w:tc>
      </w:tr>
      <w:tr w:rsidR="008B0C9D"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Disability</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 xml:space="preserve">DHHS </w:t>
            </w:r>
          </w:p>
        </w:tc>
        <w:tc>
          <w:tcPr>
            <w:tcW w:w="1709" w:type="dxa"/>
            <w:tcBorders>
              <w:top w:val="nil"/>
              <w:left w:val="nil"/>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000000" w:fill="FFFFF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DAS</w:t>
            </w:r>
          </w:p>
        </w:tc>
        <w:tc>
          <w:tcPr>
            <w:tcW w:w="143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DAS</w:t>
            </w:r>
          </w:p>
        </w:tc>
      </w:tr>
      <w:tr w:rsidR="00A121D2"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Disability</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 xml:space="preserve">DHHS </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4</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APSS</w:t>
            </w:r>
          </w:p>
        </w:tc>
      </w:tr>
      <w:tr w:rsidR="00A121D2"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Disability</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5</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A121D2"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CYF - Out of Home Care</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4</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APSS</w:t>
            </w:r>
          </w:p>
        </w:tc>
      </w:tr>
      <w:tr w:rsidR="008B0C9D"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CYF - Out of Home Care</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A121D2"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Health - Drug and Alcohol, Mental Health</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4</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APSS</w:t>
            </w:r>
          </w:p>
        </w:tc>
      </w:tr>
      <w:tr w:rsidR="008B0C9D"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Health - Drug and Alcohol, Mental Health</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Agency</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8B0C9D" w:rsidRPr="00655A48" w:rsidTr="008B0C9D">
        <w:trPr>
          <w:trHeight w:val="509"/>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Juvenile Justice Bloomfield Ave &amp; Ascot Vale Rd</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7.1</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DHHS</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A121D2" w:rsidRPr="00655A48" w:rsidTr="008B0C9D">
        <w:trPr>
          <w:trHeight w:val="528"/>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Hospitals</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c>
          <w:tcPr>
            <w:tcW w:w="1451"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6</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c>
          <w:tcPr>
            <w:tcW w:w="143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Hospital</w:t>
            </w:r>
          </w:p>
        </w:tc>
      </w:tr>
      <w:tr w:rsidR="008B0C9D" w:rsidRPr="00655A48" w:rsidTr="008B0C9D">
        <w:trPr>
          <w:trHeight w:val="528"/>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Lead Tenant</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8B0C9D" w:rsidRPr="00655A48" w:rsidTr="008B0C9D">
        <w:trPr>
          <w:trHeight w:val="528"/>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Emergency Accommodation</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8B0C9D" w:rsidRPr="00655A48" w:rsidTr="008B0C9D">
        <w:trPr>
          <w:trHeight w:val="254"/>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One Carer, One Client</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Both</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40"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5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FST</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rFonts w:cs="Arial"/>
                <w:sz w:val="18"/>
                <w:szCs w:val="18"/>
                <w:lang w:eastAsia="en-AU"/>
              </w:rPr>
            </w:pPr>
            <w:r w:rsidRPr="008B0C9D">
              <w:rPr>
                <w:rFonts w:cs="Arial"/>
                <w:sz w:val="18"/>
                <w:szCs w:val="18"/>
                <w:lang w:eastAsia="en-AU"/>
              </w:rPr>
              <w:t>N/A</w:t>
            </w:r>
          </w:p>
        </w:tc>
      </w:tr>
      <w:tr w:rsidR="008B0C9D" w:rsidRPr="00655A48" w:rsidTr="008B0C9D">
        <w:trPr>
          <w:trHeight w:val="254"/>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655A48" w:rsidRPr="008B0C9D" w:rsidRDefault="00655A48" w:rsidP="008B0C9D">
            <w:pPr>
              <w:pStyle w:val="DHHStabletext"/>
              <w:rPr>
                <w:sz w:val="18"/>
                <w:szCs w:val="18"/>
                <w:lang w:eastAsia="en-AU"/>
              </w:rPr>
            </w:pPr>
            <w:r w:rsidRPr="008B0C9D">
              <w:rPr>
                <w:sz w:val="18"/>
                <w:szCs w:val="18"/>
                <w:lang w:eastAsia="en-AU"/>
              </w:rPr>
              <w:t>Independent Living</w:t>
            </w:r>
          </w:p>
        </w:tc>
        <w:tc>
          <w:tcPr>
            <w:tcW w:w="1467"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Both</w:t>
            </w:r>
          </w:p>
        </w:tc>
        <w:tc>
          <w:tcPr>
            <w:tcW w:w="1709" w:type="dxa"/>
            <w:tcBorders>
              <w:top w:val="nil"/>
              <w:left w:val="nil"/>
              <w:bottom w:val="single" w:sz="8" w:space="0" w:color="auto"/>
              <w:right w:val="single" w:sz="8" w:space="0" w:color="auto"/>
            </w:tcBorders>
            <w:shd w:val="clear" w:color="auto" w:fill="auto"/>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Both</w:t>
            </w:r>
          </w:p>
        </w:tc>
        <w:tc>
          <w:tcPr>
            <w:tcW w:w="1451"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c>
          <w:tcPr>
            <w:tcW w:w="1440"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c>
          <w:tcPr>
            <w:tcW w:w="150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c>
          <w:tcPr>
            <w:tcW w:w="1437"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c>
          <w:tcPr>
            <w:tcW w:w="1439" w:type="dxa"/>
            <w:tcBorders>
              <w:top w:val="nil"/>
              <w:left w:val="nil"/>
              <w:bottom w:val="single" w:sz="8" w:space="0" w:color="auto"/>
              <w:right w:val="single" w:sz="8" w:space="0" w:color="auto"/>
            </w:tcBorders>
            <w:shd w:val="clear" w:color="000000" w:fill="BFBFBF"/>
            <w:noWrap/>
            <w:vAlign w:val="center"/>
            <w:hideMark/>
          </w:tcPr>
          <w:p w:rsidR="00655A48" w:rsidRPr="008B0C9D" w:rsidRDefault="00655A48" w:rsidP="008B0C9D">
            <w:pPr>
              <w:pStyle w:val="DHHStabletext"/>
              <w:rPr>
                <w:sz w:val="18"/>
                <w:szCs w:val="18"/>
                <w:lang w:eastAsia="en-AU"/>
              </w:rPr>
            </w:pPr>
            <w:r w:rsidRPr="008B0C9D">
              <w:rPr>
                <w:sz w:val="18"/>
                <w:szCs w:val="18"/>
                <w:lang w:eastAsia="en-AU"/>
              </w:rPr>
              <w:t>N/A</w:t>
            </w:r>
          </w:p>
        </w:tc>
      </w:tr>
    </w:tbl>
    <w:p w:rsidR="00655A48" w:rsidRDefault="00655A48" w:rsidP="005616A9">
      <w:pPr>
        <w:pStyle w:val="DHHSbody"/>
        <w:rPr>
          <w:lang w:eastAsia="en-AU"/>
        </w:rPr>
        <w:sectPr w:rsidR="00655A48" w:rsidSect="00655A48">
          <w:pgSz w:w="16838" w:h="11906" w:orient="landscape"/>
          <w:pgMar w:top="1304" w:right="1701" w:bottom="1304" w:left="1134" w:header="454" w:footer="510" w:gutter="0"/>
          <w:cols w:space="720"/>
          <w:docGrid w:linePitch="360"/>
        </w:sectPr>
      </w:pPr>
    </w:p>
    <w:p w:rsidR="0047773C" w:rsidRPr="003F52B3" w:rsidRDefault="0047773C" w:rsidP="00100FB2">
      <w:pPr>
        <w:pStyle w:val="Heading3"/>
        <w:rPr>
          <w:lang w:eastAsia="en-AU"/>
        </w:rPr>
      </w:pPr>
      <w:r w:rsidRPr="003F52B3">
        <w:rPr>
          <w:lang w:eastAsia="en-AU"/>
        </w:rPr>
        <w:lastRenderedPageBreak/>
        <w:t>For further information</w:t>
      </w:r>
    </w:p>
    <w:p w:rsidR="0047773C" w:rsidRDefault="0047773C" w:rsidP="0047773C">
      <w:pPr>
        <w:pStyle w:val="DHHSbody"/>
        <w:rPr>
          <w:rStyle w:val="Hyperlink"/>
        </w:rPr>
      </w:pPr>
      <w:r w:rsidRPr="00BF1473">
        <w:rPr>
          <w:rFonts w:cs="Arial"/>
          <w:color w:val="000000"/>
          <w:szCs w:val="19"/>
          <w:lang w:eastAsia="en-AU"/>
        </w:rPr>
        <w:t xml:space="preserve">James McNally, Manager, Fire Services Team </w:t>
      </w:r>
      <w:r w:rsidRPr="00BF1473">
        <w:rPr>
          <w:rFonts w:cs="Arial"/>
          <w:color w:val="000000"/>
          <w:szCs w:val="19"/>
          <w:lang w:eastAsia="en-AU"/>
        </w:rPr>
        <w:br/>
        <w:t>Telephone: (03) 9096 0649</w:t>
      </w:r>
      <w:r>
        <w:rPr>
          <w:rFonts w:cs="Arial"/>
          <w:color w:val="000000"/>
          <w:szCs w:val="19"/>
          <w:lang w:eastAsia="en-AU"/>
        </w:rPr>
        <w:t xml:space="preserve"> </w:t>
      </w:r>
      <w:r w:rsidRPr="00BF1473">
        <w:rPr>
          <w:rFonts w:cs="Arial"/>
          <w:color w:val="000000"/>
          <w:szCs w:val="19"/>
          <w:lang w:eastAsia="en-AU"/>
        </w:rPr>
        <w:br/>
        <w:t xml:space="preserve">Email: </w:t>
      </w:r>
      <w:hyperlink r:id="rId30" w:history="1">
        <w:r w:rsidRPr="00DA3B6C">
          <w:rPr>
            <w:rStyle w:val="Hyperlink"/>
          </w:rPr>
          <w:t>dhhs-m-fst@dhhs.vic.gov.au</w:t>
        </w:r>
      </w:hyperlink>
    </w:p>
    <w:p w:rsidR="0047773C" w:rsidRPr="00100FB2" w:rsidRDefault="0047773C" w:rsidP="00100FB2">
      <w:pPr>
        <w:pStyle w:val="Heading4"/>
        <w:rPr>
          <w:rStyle w:val="Hyperlink"/>
          <w:color w:val="auto"/>
          <w:u w:val="none"/>
        </w:rPr>
      </w:pPr>
      <w:r w:rsidRPr="00100FB2">
        <w:rPr>
          <w:rStyle w:val="Hyperlink"/>
          <w:color w:val="auto"/>
          <w:u w:val="none"/>
        </w:rPr>
        <w:t>In addition</w:t>
      </w:r>
    </w:p>
    <w:p w:rsidR="0047773C" w:rsidRPr="00100FB2" w:rsidRDefault="0047773C" w:rsidP="0047773C">
      <w:pPr>
        <w:pStyle w:val="DHHSbody"/>
        <w:rPr>
          <w:rStyle w:val="Hyperlink"/>
          <w:color w:val="auto"/>
          <w:u w:val="none"/>
        </w:rPr>
      </w:pPr>
      <w:r w:rsidRPr="00100FB2">
        <w:rPr>
          <w:rStyle w:val="Hyperlink"/>
          <w:color w:val="auto"/>
          <w:u w:val="none"/>
        </w:rPr>
        <w:t>All areas have an allocated Fire Service Coordinator who can be contacted by email at</w:t>
      </w:r>
    </w:p>
    <w:p w:rsidR="0047773C" w:rsidRPr="00933292" w:rsidRDefault="00933292" w:rsidP="0047773C">
      <w:pPr>
        <w:pStyle w:val="DHHSbody"/>
        <w:rPr>
          <w:rStyle w:val="Hyperlink"/>
          <w:color w:val="auto"/>
        </w:rPr>
      </w:pPr>
      <w:r w:rsidRPr="00933292">
        <w:rPr>
          <w:rFonts w:cs="Arial"/>
          <w:szCs w:val="19"/>
          <w:lang w:eastAsia="en-AU"/>
        </w:rPr>
        <w:t>&lt;</w:t>
      </w:r>
      <w:r w:rsidR="0047773C" w:rsidRPr="00933292">
        <w:rPr>
          <w:rFonts w:cs="Arial"/>
          <w:szCs w:val="19"/>
          <w:lang w:eastAsia="en-AU"/>
        </w:rPr>
        <w:t>DHS-M-FRMU CO-ORDINATORS &lt;dhs-m-frmuco-ordinators@dhhs.vic.gov.au&gt;</w:t>
      </w:r>
      <w:r w:rsidR="00100FB2">
        <w:rPr>
          <w:rFonts w:cs="Arial"/>
          <w:szCs w:val="19"/>
          <w:lang w:eastAsia="en-AU"/>
        </w:rPr>
        <w:t>.</w:t>
      </w:r>
    </w:p>
    <w:p w:rsidR="00437DF3" w:rsidRPr="00D1378E" w:rsidRDefault="00437DF3" w:rsidP="00437DF3">
      <w:pPr>
        <w:pStyle w:val="DHHSbody"/>
        <w:rPr>
          <w:b/>
          <w:i/>
          <w:lang w:eastAsia="en-AU"/>
        </w:rPr>
      </w:pPr>
    </w:p>
    <w:sectPr w:rsidR="00437DF3" w:rsidRPr="00D1378E" w:rsidSect="00655A4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E5F" w:rsidRDefault="00336E5F">
      <w:r>
        <w:separator/>
      </w:r>
    </w:p>
  </w:endnote>
  <w:endnote w:type="continuationSeparator" w:id="0">
    <w:p w:rsidR="00336E5F" w:rsidRDefault="0033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491259"/>
      <w:docPartObj>
        <w:docPartGallery w:val="Page Numbers (Bottom of Page)"/>
        <w:docPartUnique/>
      </w:docPartObj>
    </w:sdtPr>
    <w:sdtEndPr>
      <w:rPr>
        <w:noProof/>
      </w:rPr>
    </w:sdtEndPr>
    <w:sdtContent>
      <w:p w:rsidR="00F0439B" w:rsidRDefault="00F043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439B" w:rsidRDefault="00F0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E5F" w:rsidRDefault="00336E5F">
      <w:r>
        <w:separator/>
      </w:r>
    </w:p>
  </w:footnote>
  <w:footnote w:type="continuationSeparator" w:id="0">
    <w:p w:rsidR="00336E5F" w:rsidRDefault="00336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282"/>
    <w:multiLevelType w:val="multilevel"/>
    <w:tmpl w:val="FA9CE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2EA3"/>
    <w:multiLevelType w:val="hybridMultilevel"/>
    <w:tmpl w:val="02C8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0E15A9"/>
    <w:multiLevelType w:val="hybridMultilevel"/>
    <w:tmpl w:val="FBA6A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D51B47"/>
    <w:multiLevelType w:val="multilevel"/>
    <w:tmpl w:val="4B4E7622"/>
    <w:numStyleLink w:val="ZZNumbers"/>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DCB4D0D"/>
    <w:multiLevelType w:val="hybridMultilevel"/>
    <w:tmpl w:val="7EA6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96265B"/>
    <w:multiLevelType w:val="multilevel"/>
    <w:tmpl w:val="33EA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31FEA"/>
    <w:multiLevelType w:val="multilevel"/>
    <w:tmpl w:val="0980E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7097E"/>
    <w:multiLevelType w:val="hybridMultilevel"/>
    <w:tmpl w:val="C69E3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BA1E5A"/>
    <w:multiLevelType w:val="multilevel"/>
    <w:tmpl w:val="985CA1AA"/>
    <w:styleLink w:val="ZZBullets"/>
    <w:lvl w:ilvl="0">
      <w:start w:val="1"/>
      <w:numFmt w:val="decimal"/>
      <w:pStyle w:val="DHHSbullet1"/>
      <w:lvlText w:val="%1."/>
      <w:lvlJc w:val="left"/>
      <w:pPr>
        <w:ind w:left="284" w:hanging="284"/>
      </w:pPr>
      <w:rPr>
        <w:rFonts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E68045D"/>
    <w:multiLevelType w:val="multilevel"/>
    <w:tmpl w:val="362C8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E693E"/>
    <w:multiLevelType w:val="hybridMultilevel"/>
    <w:tmpl w:val="7F183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267691"/>
    <w:multiLevelType w:val="hybridMultilevel"/>
    <w:tmpl w:val="52608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0D5206"/>
    <w:multiLevelType w:val="multilevel"/>
    <w:tmpl w:val="985CA1AA"/>
    <w:numStyleLink w:val="ZZBullets"/>
  </w:abstractNum>
  <w:abstractNum w:abstractNumId="14" w15:restartNumberingAfterBreak="0">
    <w:nsid w:val="6F7D5C38"/>
    <w:multiLevelType w:val="hybridMultilevel"/>
    <w:tmpl w:val="2B48D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004FD0"/>
    <w:multiLevelType w:val="multilevel"/>
    <w:tmpl w:val="561E17FE"/>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16A2DD5"/>
    <w:multiLevelType w:val="hybridMultilevel"/>
    <w:tmpl w:val="19CCF6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F5513"/>
    <w:multiLevelType w:val="hybridMultilevel"/>
    <w:tmpl w:val="0B4815F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1E267C"/>
    <w:multiLevelType w:val="multilevel"/>
    <w:tmpl w:val="5D0C2C40"/>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7"/>
  </w:num>
  <w:num w:numId="2">
    <w:abstractNumId w:val="9"/>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
  </w:num>
  <w:num w:numId="18">
    <w:abstractNumId w:val="9"/>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9">
    <w:abstractNumId w:val="15"/>
  </w:num>
  <w:num w:numId="20">
    <w:abstractNumId w:val="9"/>
    <w:lvlOverride w:ilvl="0">
      <w:lvl w:ilvl="0">
        <w:start w:val="1"/>
        <w:numFmt w:val="bullet"/>
        <w:pStyle w:val="DHHSbullet1"/>
        <w:lvlText w:val="•"/>
        <w:lvlJc w:val="left"/>
        <w:pPr>
          <w:ind w:left="284" w:hanging="284"/>
        </w:pPr>
        <w:rPr>
          <w:rFonts w:ascii="Calibri" w:hAnsi="Calibri" w:hint="default"/>
        </w:rPr>
      </w:lvl>
    </w:lvlOverride>
  </w:num>
  <w:num w:numId="21">
    <w:abstractNumId w:val="14"/>
  </w:num>
  <w:num w:numId="22">
    <w:abstractNumId w:val="10"/>
  </w:num>
  <w:num w:numId="23">
    <w:abstractNumId w:val="0"/>
  </w:num>
  <w:num w:numId="24">
    <w:abstractNumId w:val="6"/>
  </w:num>
  <w:num w:numId="25">
    <w:abstractNumId w:val="7"/>
  </w:num>
  <w:num w:numId="26">
    <w:abstractNumId w:val="5"/>
  </w:num>
  <w:num w:numId="27">
    <w:abstractNumId w:val="19"/>
  </w:num>
  <w:num w:numId="28">
    <w:abstractNumId w:val="16"/>
  </w:num>
  <w:num w:numId="29">
    <w:abstractNumId w:val="8"/>
  </w:num>
  <w:num w:numId="30">
    <w:abstractNumId w:val="18"/>
  </w:num>
  <w:num w:numId="31">
    <w:abstractNumId w:val="13"/>
  </w:num>
  <w:num w:numId="32">
    <w:abstractNumId w:val="12"/>
  </w:num>
  <w:num w:numId="33">
    <w:abstractNumId w:val="9"/>
    <w:lvlOverride w:ilvl="0">
      <w:lvl w:ilvl="0">
        <w:start w:val="1"/>
        <w:numFmt w:val="decimal"/>
        <w:pStyle w:val="DHHSbullet1"/>
        <w:lvlText w:val="%1."/>
        <w:lvlJc w:val="left"/>
        <w:pPr>
          <w:ind w:left="360" w:hanging="360"/>
        </w:pPr>
      </w:lvl>
    </w:lvlOverride>
    <w:lvlOverride w:ilvl="1">
      <w:lvl w:ilvl="1" w:tentative="1">
        <w:start w:val="1"/>
        <w:numFmt w:val="lowerLetter"/>
        <w:pStyle w:val="DHHSbullet1lastline"/>
        <w:lvlText w:val="%2."/>
        <w:lvlJc w:val="left"/>
        <w:pPr>
          <w:ind w:left="1080" w:hanging="360"/>
        </w:pPr>
      </w:lvl>
    </w:lvlOverride>
    <w:lvlOverride w:ilvl="2">
      <w:lvl w:ilvl="2" w:tentative="1">
        <w:start w:val="1"/>
        <w:numFmt w:val="lowerRoman"/>
        <w:pStyle w:val="DHHSbullet2"/>
        <w:lvlText w:val="%3."/>
        <w:lvlJc w:val="right"/>
        <w:pPr>
          <w:ind w:left="1800" w:hanging="180"/>
        </w:pPr>
      </w:lvl>
    </w:lvlOverride>
    <w:lvlOverride w:ilvl="3">
      <w:lvl w:ilvl="3" w:tentative="1">
        <w:start w:val="1"/>
        <w:numFmt w:val="decimal"/>
        <w:pStyle w:val="DHHSbullet2lastline"/>
        <w:lvlText w:val="%4."/>
        <w:lvlJc w:val="left"/>
        <w:pPr>
          <w:ind w:left="2520" w:hanging="360"/>
        </w:pPr>
      </w:lvl>
    </w:lvlOverride>
    <w:lvlOverride w:ilvl="4">
      <w:lvl w:ilvl="4" w:tentative="1">
        <w:start w:val="1"/>
        <w:numFmt w:val="lowerLetter"/>
        <w:pStyle w:val="DHHSbulletindent"/>
        <w:lvlText w:val="%5."/>
        <w:lvlJc w:val="left"/>
        <w:pPr>
          <w:ind w:left="3240" w:hanging="360"/>
        </w:pPr>
      </w:lvl>
    </w:lvlOverride>
    <w:lvlOverride w:ilvl="5">
      <w:lvl w:ilvl="5" w:tentative="1">
        <w:start w:val="1"/>
        <w:numFmt w:val="lowerRoman"/>
        <w:pStyle w:val="DHHSbulletindentlastline"/>
        <w:lvlText w:val="%6."/>
        <w:lvlJc w:val="right"/>
        <w:pPr>
          <w:ind w:left="3960" w:hanging="180"/>
        </w:pPr>
      </w:lvl>
    </w:lvlOverride>
    <w:lvlOverride w:ilvl="6">
      <w:lvl w:ilvl="6" w:tentative="1">
        <w:start w:val="1"/>
        <w:numFmt w:val="decimal"/>
        <w:pStyle w:val="DHHStablebullet"/>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FF"/>
    <w:rsid w:val="00002990"/>
    <w:rsid w:val="000048AC"/>
    <w:rsid w:val="00010223"/>
    <w:rsid w:val="00014FC4"/>
    <w:rsid w:val="00017DEA"/>
    <w:rsid w:val="000200E1"/>
    <w:rsid w:val="00020AAB"/>
    <w:rsid w:val="000223A4"/>
    <w:rsid w:val="00022515"/>
    <w:rsid w:val="00022E60"/>
    <w:rsid w:val="00026C19"/>
    <w:rsid w:val="0003124A"/>
    <w:rsid w:val="00031263"/>
    <w:rsid w:val="00034CD3"/>
    <w:rsid w:val="000353C7"/>
    <w:rsid w:val="00037998"/>
    <w:rsid w:val="000424BA"/>
    <w:rsid w:val="000425D9"/>
    <w:rsid w:val="000444D6"/>
    <w:rsid w:val="000448C9"/>
    <w:rsid w:val="00044E6D"/>
    <w:rsid w:val="00053811"/>
    <w:rsid w:val="00055C5D"/>
    <w:rsid w:val="00060E93"/>
    <w:rsid w:val="00064936"/>
    <w:rsid w:val="00066568"/>
    <w:rsid w:val="00070CB7"/>
    <w:rsid w:val="000734F8"/>
    <w:rsid w:val="000736B8"/>
    <w:rsid w:val="0007576B"/>
    <w:rsid w:val="000779AD"/>
    <w:rsid w:val="00077C41"/>
    <w:rsid w:val="000810DE"/>
    <w:rsid w:val="000817CB"/>
    <w:rsid w:val="0008397D"/>
    <w:rsid w:val="00086E5D"/>
    <w:rsid w:val="000873EF"/>
    <w:rsid w:val="0009397C"/>
    <w:rsid w:val="000A0288"/>
    <w:rsid w:val="000A0F0B"/>
    <w:rsid w:val="000B14D0"/>
    <w:rsid w:val="000B26F9"/>
    <w:rsid w:val="000B3792"/>
    <w:rsid w:val="000C0445"/>
    <w:rsid w:val="000C59A8"/>
    <w:rsid w:val="000C6242"/>
    <w:rsid w:val="000C68DB"/>
    <w:rsid w:val="000D08AA"/>
    <w:rsid w:val="000D1C20"/>
    <w:rsid w:val="000D2C32"/>
    <w:rsid w:val="000D3A11"/>
    <w:rsid w:val="000D5A80"/>
    <w:rsid w:val="000E2F6B"/>
    <w:rsid w:val="000E6F72"/>
    <w:rsid w:val="000F0478"/>
    <w:rsid w:val="000F0A50"/>
    <w:rsid w:val="000F1C76"/>
    <w:rsid w:val="000F5042"/>
    <w:rsid w:val="000F545C"/>
    <w:rsid w:val="000F674F"/>
    <w:rsid w:val="00100170"/>
    <w:rsid w:val="00100FB2"/>
    <w:rsid w:val="001025D5"/>
    <w:rsid w:val="0010337D"/>
    <w:rsid w:val="00103D5E"/>
    <w:rsid w:val="00104B89"/>
    <w:rsid w:val="00104EA7"/>
    <w:rsid w:val="001057AB"/>
    <w:rsid w:val="00105FAD"/>
    <w:rsid w:val="0011155B"/>
    <w:rsid w:val="00111A6A"/>
    <w:rsid w:val="00112191"/>
    <w:rsid w:val="00114CB2"/>
    <w:rsid w:val="00115C8E"/>
    <w:rsid w:val="00117AEC"/>
    <w:rsid w:val="00121BF1"/>
    <w:rsid w:val="00123147"/>
    <w:rsid w:val="00127A8B"/>
    <w:rsid w:val="00134BE5"/>
    <w:rsid w:val="0013503B"/>
    <w:rsid w:val="001412D1"/>
    <w:rsid w:val="001423E3"/>
    <w:rsid w:val="00142725"/>
    <w:rsid w:val="00146A39"/>
    <w:rsid w:val="00147542"/>
    <w:rsid w:val="001475EA"/>
    <w:rsid w:val="001504F5"/>
    <w:rsid w:val="001517BD"/>
    <w:rsid w:val="00156ADF"/>
    <w:rsid w:val="00156E39"/>
    <w:rsid w:val="0016367A"/>
    <w:rsid w:val="0017248D"/>
    <w:rsid w:val="00173626"/>
    <w:rsid w:val="00174424"/>
    <w:rsid w:val="0017451C"/>
    <w:rsid w:val="0017614A"/>
    <w:rsid w:val="00180173"/>
    <w:rsid w:val="001817CD"/>
    <w:rsid w:val="0018235E"/>
    <w:rsid w:val="001823AD"/>
    <w:rsid w:val="001830BE"/>
    <w:rsid w:val="00184A4B"/>
    <w:rsid w:val="001859FC"/>
    <w:rsid w:val="0018768C"/>
    <w:rsid w:val="00192BA0"/>
    <w:rsid w:val="00195D88"/>
    <w:rsid w:val="00197303"/>
    <w:rsid w:val="001A17EA"/>
    <w:rsid w:val="001A1D17"/>
    <w:rsid w:val="001A22AA"/>
    <w:rsid w:val="001A264A"/>
    <w:rsid w:val="001A7A18"/>
    <w:rsid w:val="001B1565"/>
    <w:rsid w:val="001B166D"/>
    <w:rsid w:val="001B28B5"/>
    <w:rsid w:val="001B2975"/>
    <w:rsid w:val="001B51FC"/>
    <w:rsid w:val="001B53A0"/>
    <w:rsid w:val="001B7863"/>
    <w:rsid w:val="001C122D"/>
    <w:rsid w:val="001C3BEB"/>
    <w:rsid w:val="001C4CE2"/>
    <w:rsid w:val="001C6BE5"/>
    <w:rsid w:val="001D2A82"/>
    <w:rsid w:val="001D31F4"/>
    <w:rsid w:val="001D441A"/>
    <w:rsid w:val="001D569B"/>
    <w:rsid w:val="001E0EA3"/>
    <w:rsid w:val="001E3B76"/>
    <w:rsid w:val="001E4995"/>
    <w:rsid w:val="001E7A42"/>
    <w:rsid w:val="001F09DC"/>
    <w:rsid w:val="001F2AE9"/>
    <w:rsid w:val="001F31E2"/>
    <w:rsid w:val="001F3A37"/>
    <w:rsid w:val="001F43E6"/>
    <w:rsid w:val="001F5A14"/>
    <w:rsid w:val="001F6252"/>
    <w:rsid w:val="00201BAF"/>
    <w:rsid w:val="00204874"/>
    <w:rsid w:val="00211755"/>
    <w:rsid w:val="00213772"/>
    <w:rsid w:val="00220749"/>
    <w:rsid w:val="0022422C"/>
    <w:rsid w:val="0022724E"/>
    <w:rsid w:val="00230666"/>
    <w:rsid w:val="00231153"/>
    <w:rsid w:val="0023252E"/>
    <w:rsid w:val="00240ABE"/>
    <w:rsid w:val="00241C31"/>
    <w:rsid w:val="002436E4"/>
    <w:rsid w:val="002441F7"/>
    <w:rsid w:val="002472F5"/>
    <w:rsid w:val="002527C6"/>
    <w:rsid w:val="0026055B"/>
    <w:rsid w:val="0026195B"/>
    <w:rsid w:val="00263BC3"/>
    <w:rsid w:val="002646B2"/>
    <w:rsid w:val="00265557"/>
    <w:rsid w:val="002663E6"/>
    <w:rsid w:val="002679D5"/>
    <w:rsid w:val="002702E0"/>
    <w:rsid w:val="002714FD"/>
    <w:rsid w:val="002729CF"/>
    <w:rsid w:val="00273A4C"/>
    <w:rsid w:val="00275E1F"/>
    <w:rsid w:val="00275F94"/>
    <w:rsid w:val="00276B38"/>
    <w:rsid w:val="0028099A"/>
    <w:rsid w:val="00281B9C"/>
    <w:rsid w:val="00284C9B"/>
    <w:rsid w:val="00285DA6"/>
    <w:rsid w:val="002A141B"/>
    <w:rsid w:val="002A26B6"/>
    <w:rsid w:val="002A490B"/>
    <w:rsid w:val="002A6A4E"/>
    <w:rsid w:val="002A76F8"/>
    <w:rsid w:val="002B0366"/>
    <w:rsid w:val="002B1116"/>
    <w:rsid w:val="002B5A85"/>
    <w:rsid w:val="002B63A7"/>
    <w:rsid w:val="002B6A40"/>
    <w:rsid w:val="002C2C65"/>
    <w:rsid w:val="002C5543"/>
    <w:rsid w:val="002C7C96"/>
    <w:rsid w:val="002D0F7F"/>
    <w:rsid w:val="002D25AE"/>
    <w:rsid w:val="002D6450"/>
    <w:rsid w:val="002E0198"/>
    <w:rsid w:val="002E1D7C"/>
    <w:rsid w:val="002E64B6"/>
    <w:rsid w:val="002F2FD0"/>
    <w:rsid w:val="002F449B"/>
    <w:rsid w:val="002F44A5"/>
    <w:rsid w:val="002F4D86"/>
    <w:rsid w:val="002F5D69"/>
    <w:rsid w:val="002F7C77"/>
    <w:rsid w:val="00300CB3"/>
    <w:rsid w:val="00302143"/>
    <w:rsid w:val="003028CB"/>
    <w:rsid w:val="0030394B"/>
    <w:rsid w:val="00304574"/>
    <w:rsid w:val="00304622"/>
    <w:rsid w:val="00305445"/>
    <w:rsid w:val="003072C6"/>
    <w:rsid w:val="00310CF4"/>
    <w:rsid w:val="00310D8E"/>
    <w:rsid w:val="00313C72"/>
    <w:rsid w:val="00314527"/>
    <w:rsid w:val="00315BBD"/>
    <w:rsid w:val="00316CF1"/>
    <w:rsid w:val="0031753A"/>
    <w:rsid w:val="00320293"/>
    <w:rsid w:val="00322CC2"/>
    <w:rsid w:val="0032397B"/>
    <w:rsid w:val="003271DC"/>
    <w:rsid w:val="00333D59"/>
    <w:rsid w:val="00334B54"/>
    <w:rsid w:val="00336E5F"/>
    <w:rsid w:val="0033739E"/>
    <w:rsid w:val="00340920"/>
    <w:rsid w:val="00343733"/>
    <w:rsid w:val="00343CAA"/>
    <w:rsid w:val="00343E57"/>
    <w:rsid w:val="00345D0E"/>
    <w:rsid w:val="00347D81"/>
    <w:rsid w:val="0035443C"/>
    <w:rsid w:val="00355886"/>
    <w:rsid w:val="00356814"/>
    <w:rsid w:val="00362B10"/>
    <w:rsid w:val="00363640"/>
    <w:rsid w:val="003654ED"/>
    <w:rsid w:val="00366AAD"/>
    <w:rsid w:val="00366B13"/>
    <w:rsid w:val="00373904"/>
    <w:rsid w:val="00373AA9"/>
    <w:rsid w:val="00373D77"/>
    <w:rsid w:val="00376492"/>
    <w:rsid w:val="00377D86"/>
    <w:rsid w:val="0038019F"/>
    <w:rsid w:val="00382071"/>
    <w:rsid w:val="00382FC8"/>
    <w:rsid w:val="00385427"/>
    <w:rsid w:val="00391072"/>
    <w:rsid w:val="00395772"/>
    <w:rsid w:val="0039579E"/>
    <w:rsid w:val="00396696"/>
    <w:rsid w:val="00396BFF"/>
    <w:rsid w:val="0039735D"/>
    <w:rsid w:val="003A2F25"/>
    <w:rsid w:val="003A75FC"/>
    <w:rsid w:val="003B219B"/>
    <w:rsid w:val="003B2807"/>
    <w:rsid w:val="003B3051"/>
    <w:rsid w:val="003B60BD"/>
    <w:rsid w:val="003C68F2"/>
    <w:rsid w:val="003C7C1A"/>
    <w:rsid w:val="003D0E8F"/>
    <w:rsid w:val="003D4CAD"/>
    <w:rsid w:val="003D58B8"/>
    <w:rsid w:val="003D5CFB"/>
    <w:rsid w:val="003E2520"/>
    <w:rsid w:val="003E2636"/>
    <w:rsid w:val="003E2E12"/>
    <w:rsid w:val="003E604E"/>
    <w:rsid w:val="003F3341"/>
    <w:rsid w:val="003F39CE"/>
    <w:rsid w:val="00401108"/>
    <w:rsid w:val="0040186B"/>
    <w:rsid w:val="00402927"/>
    <w:rsid w:val="00404CEE"/>
    <w:rsid w:val="00407993"/>
    <w:rsid w:val="00411833"/>
    <w:rsid w:val="00412F64"/>
    <w:rsid w:val="004145EA"/>
    <w:rsid w:val="004176EA"/>
    <w:rsid w:val="00417BEB"/>
    <w:rsid w:val="00422CF8"/>
    <w:rsid w:val="00423109"/>
    <w:rsid w:val="00426660"/>
    <w:rsid w:val="004324FF"/>
    <w:rsid w:val="00432A55"/>
    <w:rsid w:val="00437D64"/>
    <w:rsid w:val="00437DF3"/>
    <w:rsid w:val="0044260A"/>
    <w:rsid w:val="00444D82"/>
    <w:rsid w:val="004455F5"/>
    <w:rsid w:val="00445AA9"/>
    <w:rsid w:val="00446363"/>
    <w:rsid w:val="004538DD"/>
    <w:rsid w:val="00453CDD"/>
    <w:rsid w:val="0045453E"/>
    <w:rsid w:val="004564C6"/>
    <w:rsid w:val="00456502"/>
    <w:rsid w:val="004610CC"/>
    <w:rsid w:val="0046465E"/>
    <w:rsid w:val="00464967"/>
    <w:rsid w:val="00465464"/>
    <w:rsid w:val="00465E87"/>
    <w:rsid w:val="00467DBA"/>
    <w:rsid w:val="00472220"/>
    <w:rsid w:val="0047614F"/>
    <w:rsid w:val="0047773C"/>
    <w:rsid w:val="0047786A"/>
    <w:rsid w:val="00477A65"/>
    <w:rsid w:val="00481892"/>
    <w:rsid w:val="00482DB3"/>
    <w:rsid w:val="00482F69"/>
    <w:rsid w:val="004863BD"/>
    <w:rsid w:val="00490EE1"/>
    <w:rsid w:val="0049128D"/>
    <w:rsid w:val="0049192E"/>
    <w:rsid w:val="00493FD8"/>
    <w:rsid w:val="00497638"/>
    <w:rsid w:val="004A0236"/>
    <w:rsid w:val="004A1952"/>
    <w:rsid w:val="004A1C08"/>
    <w:rsid w:val="004A251C"/>
    <w:rsid w:val="004A369A"/>
    <w:rsid w:val="004A3B3E"/>
    <w:rsid w:val="004B4152"/>
    <w:rsid w:val="004B60D5"/>
    <w:rsid w:val="004C19AD"/>
    <w:rsid w:val="004C1FFB"/>
    <w:rsid w:val="004C28D0"/>
    <w:rsid w:val="004C35E9"/>
    <w:rsid w:val="004C5777"/>
    <w:rsid w:val="004C57CF"/>
    <w:rsid w:val="004C6F43"/>
    <w:rsid w:val="004D0173"/>
    <w:rsid w:val="004D1056"/>
    <w:rsid w:val="004E1EDE"/>
    <w:rsid w:val="004E21E2"/>
    <w:rsid w:val="004E293F"/>
    <w:rsid w:val="004E3580"/>
    <w:rsid w:val="004E380D"/>
    <w:rsid w:val="004E7922"/>
    <w:rsid w:val="004F0DFC"/>
    <w:rsid w:val="004F3441"/>
    <w:rsid w:val="004F41B2"/>
    <w:rsid w:val="004F4AFC"/>
    <w:rsid w:val="004F52A5"/>
    <w:rsid w:val="00500C8C"/>
    <w:rsid w:val="00501375"/>
    <w:rsid w:val="00501C50"/>
    <w:rsid w:val="00501D3B"/>
    <w:rsid w:val="005022C9"/>
    <w:rsid w:val="005037C0"/>
    <w:rsid w:val="00506F21"/>
    <w:rsid w:val="0050779D"/>
    <w:rsid w:val="00507EB3"/>
    <w:rsid w:val="00510882"/>
    <w:rsid w:val="00510E0F"/>
    <w:rsid w:val="0051153C"/>
    <w:rsid w:val="00511979"/>
    <w:rsid w:val="005139EA"/>
    <w:rsid w:val="00514DE8"/>
    <w:rsid w:val="00517003"/>
    <w:rsid w:val="00520BBB"/>
    <w:rsid w:val="00525456"/>
    <w:rsid w:val="00526EB2"/>
    <w:rsid w:val="00530769"/>
    <w:rsid w:val="00532236"/>
    <w:rsid w:val="00532FCA"/>
    <w:rsid w:val="0053328C"/>
    <w:rsid w:val="00541DCD"/>
    <w:rsid w:val="00541DFE"/>
    <w:rsid w:val="00543E6C"/>
    <w:rsid w:val="00544184"/>
    <w:rsid w:val="005451D1"/>
    <w:rsid w:val="00552D55"/>
    <w:rsid w:val="00553E75"/>
    <w:rsid w:val="005552FD"/>
    <w:rsid w:val="00555D0F"/>
    <w:rsid w:val="005571C3"/>
    <w:rsid w:val="005600E5"/>
    <w:rsid w:val="005616A9"/>
    <w:rsid w:val="00564E8F"/>
    <w:rsid w:val="005669F2"/>
    <w:rsid w:val="005707F7"/>
    <w:rsid w:val="0057238E"/>
    <w:rsid w:val="005728A4"/>
    <w:rsid w:val="00574E70"/>
    <w:rsid w:val="005763FC"/>
    <w:rsid w:val="00576D26"/>
    <w:rsid w:val="00576EB4"/>
    <w:rsid w:val="005773DC"/>
    <w:rsid w:val="00577B30"/>
    <w:rsid w:val="005818D2"/>
    <w:rsid w:val="005820C3"/>
    <w:rsid w:val="00582768"/>
    <w:rsid w:val="00583461"/>
    <w:rsid w:val="005856A4"/>
    <w:rsid w:val="00590730"/>
    <w:rsid w:val="00593776"/>
    <w:rsid w:val="005977DE"/>
    <w:rsid w:val="005A07E3"/>
    <w:rsid w:val="005A0A2F"/>
    <w:rsid w:val="005A3051"/>
    <w:rsid w:val="005A53FE"/>
    <w:rsid w:val="005A5608"/>
    <w:rsid w:val="005A5FF6"/>
    <w:rsid w:val="005B2F8B"/>
    <w:rsid w:val="005B5CEF"/>
    <w:rsid w:val="005B7318"/>
    <w:rsid w:val="005B7D22"/>
    <w:rsid w:val="005B7DCC"/>
    <w:rsid w:val="005C029E"/>
    <w:rsid w:val="005C4683"/>
    <w:rsid w:val="005D0A68"/>
    <w:rsid w:val="005D3AC2"/>
    <w:rsid w:val="005E085D"/>
    <w:rsid w:val="005E0950"/>
    <w:rsid w:val="005E3FA7"/>
    <w:rsid w:val="005E5325"/>
    <w:rsid w:val="005E7963"/>
    <w:rsid w:val="005E7A07"/>
    <w:rsid w:val="005F0B28"/>
    <w:rsid w:val="005F10B8"/>
    <w:rsid w:val="005F152D"/>
    <w:rsid w:val="005F1E77"/>
    <w:rsid w:val="005F218C"/>
    <w:rsid w:val="005F4523"/>
    <w:rsid w:val="005F5304"/>
    <w:rsid w:val="00601D4D"/>
    <w:rsid w:val="006021B4"/>
    <w:rsid w:val="00603DA6"/>
    <w:rsid w:val="00604937"/>
    <w:rsid w:val="00605B5B"/>
    <w:rsid w:val="006062D8"/>
    <w:rsid w:val="00606827"/>
    <w:rsid w:val="00620262"/>
    <w:rsid w:val="00621B4C"/>
    <w:rsid w:val="00624E80"/>
    <w:rsid w:val="006253A2"/>
    <w:rsid w:val="00627C52"/>
    <w:rsid w:val="00630937"/>
    <w:rsid w:val="00633094"/>
    <w:rsid w:val="0063659D"/>
    <w:rsid w:val="006370D1"/>
    <w:rsid w:val="0064400D"/>
    <w:rsid w:val="006461D5"/>
    <w:rsid w:val="00647342"/>
    <w:rsid w:val="00651B1A"/>
    <w:rsid w:val="00651F36"/>
    <w:rsid w:val="00653B84"/>
    <w:rsid w:val="00653E0D"/>
    <w:rsid w:val="00655A48"/>
    <w:rsid w:val="00656503"/>
    <w:rsid w:val="00662D1D"/>
    <w:rsid w:val="00666FD1"/>
    <w:rsid w:val="00670DC2"/>
    <w:rsid w:val="00672765"/>
    <w:rsid w:val="00675F39"/>
    <w:rsid w:val="0068022E"/>
    <w:rsid w:val="006803F3"/>
    <w:rsid w:val="006865C8"/>
    <w:rsid w:val="00686B48"/>
    <w:rsid w:val="00687038"/>
    <w:rsid w:val="0068714E"/>
    <w:rsid w:val="00691F22"/>
    <w:rsid w:val="006929F7"/>
    <w:rsid w:val="0069374A"/>
    <w:rsid w:val="006938B2"/>
    <w:rsid w:val="00694AB8"/>
    <w:rsid w:val="00695EF7"/>
    <w:rsid w:val="0069699D"/>
    <w:rsid w:val="00697BD4"/>
    <w:rsid w:val="006A7FEF"/>
    <w:rsid w:val="006B2C51"/>
    <w:rsid w:val="006B3437"/>
    <w:rsid w:val="006B3B7E"/>
    <w:rsid w:val="006B6361"/>
    <w:rsid w:val="006B6B6D"/>
    <w:rsid w:val="006C01D4"/>
    <w:rsid w:val="006C5763"/>
    <w:rsid w:val="006D2774"/>
    <w:rsid w:val="006D360C"/>
    <w:rsid w:val="006D43C1"/>
    <w:rsid w:val="006D5AC9"/>
    <w:rsid w:val="006D66ED"/>
    <w:rsid w:val="006E3056"/>
    <w:rsid w:val="006E3E16"/>
    <w:rsid w:val="006E786B"/>
    <w:rsid w:val="006F3A0C"/>
    <w:rsid w:val="006F6084"/>
    <w:rsid w:val="006F7584"/>
    <w:rsid w:val="007002B1"/>
    <w:rsid w:val="00704957"/>
    <w:rsid w:val="00704D28"/>
    <w:rsid w:val="00704EB7"/>
    <w:rsid w:val="00705742"/>
    <w:rsid w:val="007104FE"/>
    <w:rsid w:val="00710E2B"/>
    <w:rsid w:val="0071124B"/>
    <w:rsid w:val="00711B0C"/>
    <w:rsid w:val="007121A2"/>
    <w:rsid w:val="00713981"/>
    <w:rsid w:val="00714DC3"/>
    <w:rsid w:val="007169F9"/>
    <w:rsid w:val="007176D6"/>
    <w:rsid w:val="00727D54"/>
    <w:rsid w:val="00731EF2"/>
    <w:rsid w:val="007330E1"/>
    <w:rsid w:val="00733AB3"/>
    <w:rsid w:val="00733EFB"/>
    <w:rsid w:val="007344C5"/>
    <w:rsid w:val="00734647"/>
    <w:rsid w:val="007347AF"/>
    <w:rsid w:val="00734959"/>
    <w:rsid w:val="00735137"/>
    <w:rsid w:val="0073520D"/>
    <w:rsid w:val="00735FB3"/>
    <w:rsid w:val="00737111"/>
    <w:rsid w:val="00744060"/>
    <w:rsid w:val="007451A1"/>
    <w:rsid w:val="00747532"/>
    <w:rsid w:val="007475E0"/>
    <w:rsid w:val="00747D08"/>
    <w:rsid w:val="0075065A"/>
    <w:rsid w:val="00751F80"/>
    <w:rsid w:val="0075249D"/>
    <w:rsid w:val="007534A7"/>
    <w:rsid w:val="00757DE8"/>
    <w:rsid w:val="00757FB0"/>
    <w:rsid w:val="00762B68"/>
    <w:rsid w:val="00763F36"/>
    <w:rsid w:val="00764028"/>
    <w:rsid w:val="0076595B"/>
    <w:rsid w:val="007727DC"/>
    <w:rsid w:val="00776CDC"/>
    <w:rsid w:val="00780226"/>
    <w:rsid w:val="00781AB4"/>
    <w:rsid w:val="00787261"/>
    <w:rsid w:val="0078795B"/>
    <w:rsid w:val="00791E7C"/>
    <w:rsid w:val="007923B7"/>
    <w:rsid w:val="00792616"/>
    <w:rsid w:val="007926BB"/>
    <w:rsid w:val="0079344C"/>
    <w:rsid w:val="00794BD0"/>
    <w:rsid w:val="007968AE"/>
    <w:rsid w:val="007A0283"/>
    <w:rsid w:val="007A0E7C"/>
    <w:rsid w:val="007A314F"/>
    <w:rsid w:val="007A6884"/>
    <w:rsid w:val="007A7BCF"/>
    <w:rsid w:val="007B003E"/>
    <w:rsid w:val="007B403E"/>
    <w:rsid w:val="007B6C43"/>
    <w:rsid w:val="007B727F"/>
    <w:rsid w:val="007C02C7"/>
    <w:rsid w:val="007C09EB"/>
    <w:rsid w:val="007C0F99"/>
    <w:rsid w:val="007C21EE"/>
    <w:rsid w:val="007C38A9"/>
    <w:rsid w:val="007C49ED"/>
    <w:rsid w:val="007D0076"/>
    <w:rsid w:val="007D2F5C"/>
    <w:rsid w:val="007D3A2E"/>
    <w:rsid w:val="007D3F2F"/>
    <w:rsid w:val="007D4AE9"/>
    <w:rsid w:val="007D4CC5"/>
    <w:rsid w:val="007D5687"/>
    <w:rsid w:val="007D65A2"/>
    <w:rsid w:val="007D6652"/>
    <w:rsid w:val="007E0C47"/>
    <w:rsid w:val="007E343D"/>
    <w:rsid w:val="007E47AB"/>
    <w:rsid w:val="007E7E14"/>
    <w:rsid w:val="007F0A32"/>
    <w:rsid w:val="007F24D9"/>
    <w:rsid w:val="007F3C6D"/>
    <w:rsid w:val="007F4383"/>
    <w:rsid w:val="007F4B4B"/>
    <w:rsid w:val="00800282"/>
    <w:rsid w:val="00801601"/>
    <w:rsid w:val="00801C73"/>
    <w:rsid w:val="008064F9"/>
    <w:rsid w:val="00810991"/>
    <w:rsid w:val="00813980"/>
    <w:rsid w:val="00814A9B"/>
    <w:rsid w:val="00814F66"/>
    <w:rsid w:val="00816254"/>
    <w:rsid w:val="00816B20"/>
    <w:rsid w:val="00817C9E"/>
    <w:rsid w:val="008205AF"/>
    <w:rsid w:val="00820A60"/>
    <w:rsid w:val="008225E5"/>
    <w:rsid w:val="008228DC"/>
    <w:rsid w:val="00831053"/>
    <w:rsid w:val="008314D2"/>
    <w:rsid w:val="0083254D"/>
    <w:rsid w:val="00833751"/>
    <w:rsid w:val="0083477D"/>
    <w:rsid w:val="00836249"/>
    <w:rsid w:val="00836950"/>
    <w:rsid w:val="00836F00"/>
    <w:rsid w:val="00837A1A"/>
    <w:rsid w:val="00843595"/>
    <w:rsid w:val="00844C2F"/>
    <w:rsid w:val="00846192"/>
    <w:rsid w:val="00847EF7"/>
    <w:rsid w:val="00850107"/>
    <w:rsid w:val="00850699"/>
    <w:rsid w:val="00850806"/>
    <w:rsid w:val="0085091B"/>
    <w:rsid w:val="00856A1B"/>
    <w:rsid w:val="008621C3"/>
    <w:rsid w:val="0086337C"/>
    <w:rsid w:val="008640DF"/>
    <w:rsid w:val="00865486"/>
    <w:rsid w:val="00876275"/>
    <w:rsid w:val="00882B99"/>
    <w:rsid w:val="00886121"/>
    <w:rsid w:val="008868D6"/>
    <w:rsid w:val="008901A6"/>
    <w:rsid w:val="008904D1"/>
    <w:rsid w:val="00892502"/>
    <w:rsid w:val="008966B0"/>
    <w:rsid w:val="008A295B"/>
    <w:rsid w:val="008A54B6"/>
    <w:rsid w:val="008A59C2"/>
    <w:rsid w:val="008A6604"/>
    <w:rsid w:val="008A7322"/>
    <w:rsid w:val="008A73BF"/>
    <w:rsid w:val="008B0C9D"/>
    <w:rsid w:val="008B1C73"/>
    <w:rsid w:val="008B2626"/>
    <w:rsid w:val="008B5482"/>
    <w:rsid w:val="008B58D9"/>
    <w:rsid w:val="008C11F4"/>
    <w:rsid w:val="008C20DC"/>
    <w:rsid w:val="008C2BEC"/>
    <w:rsid w:val="008C6523"/>
    <w:rsid w:val="008C6D0E"/>
    <w:rsid w:val="008D09D2"/>
    <w:rsid w:val="008D1DE8"/>
    <w:rsid w:val="008D2C9D"/>
    <w:rsid w:val="008D39C5"/>
    <w:rsid w:val="008D4B06"/>
    <w:rsid w:val="008D53B3"/>
    <w:rsid w:val="008D6C35"/>
    <w:rsid w:val="008E005C"/>
    <w:rsid w:val="008E1D89"/>
    <w:rsid w:val="008E3417"/>
    <w:rsid w:val="008E3E3E"/>
    <w:rsid w:val="008E63B5"/>
    <w:rsid w:val="008E6902"/>
    <w:rsid w:val="008E74E4"/>
    <w:rsid w:val="008F0CBE"/>
    <w:rsid w:val="008F5CC6"/>
    <w:rsid w:val="008F5F87"/>
    <w:rsid w:val="008F7F49"/>
    <w:rsid w:val="00900A34"/>
    <w:rsid w:val="00901ADE"/>
    <w:rsid w:val="00903349"/>
    <w:rsid w:val="009048EB"/>
    <w:rsid w:val="00905307"/>
    <w:rsid w:val="00907073"/>
    <w:rsid w:val="00907193"/>
    <w:rsid w:val="009077E5"/>
    <w:rsid w:val="00914D98"/>
    <w:rsid w:val="00915561"/>
    <w:rsid w:val="009208F5"/>
    <w:rsid w:val="00921B8B"/>
    <w:rsid w:val="00923080"/>
    <w:rsid w:val="00927D51"/>
    <w:rsid w:val="00932272"/>
    <w:rsid w:val="00932862"/>
    <w:rsid w:val="00933292"/>
    <w:rsid w:val="00933740"/>
    <w:rsid w:val="00934338"/>
    <w:rsid w:val="00935D60"/>
    <w:rsid w:val="00940228"/>
    <w:rsid w:val="00940615"/>
    <w:rsid w:val="00943CB5"/>
    <w:rsid w:val="00943F01"/>
    <w:rsid w:val="009447BB"/>
    <w:rsid w:val="00944C48"/>
    <w:rsid w:val="00946335"/>
    <w:rsid w:val="009507BB"/>
    <w:rsid w:val="009513C4"/>
    <w:rsid w:val="0095521D"/>
    <w:rsid w:val="00955E55"/>
    <w:rsid w:val="009569AD"/>
    <w:rsid w:val="00962200"/>
    <w:rsid w:val="00962675"/>
    <w:rsid w:val="00963888"/>
    <w:rsid w:val="00966F54"/>
    <w:rsid w:val="009670C9"/>
    <w:rsid w:val="00971A8B"/>
    <w:rsid w:val="00975E61"/>
    <w:rsid w:val="00976E31"/>
    <w:rsid w:val="00977C63"/>
    <w:rsid w:val="00980087"/>
    <w:rsid w:val="00980544"/>
    <w:rsid w:val="00980C0B"/>
    <w:rsid w:val="0098214E"/>
    <w:rsid w:val="00982E6C"/>
    <w:rsid w:val="00984C46"/>
    <w:rsid w:val="0098524F"/>
    <w:rsid w:val="009856C2"/>
    <w:rsid w:val="00987ABE"/>
    <w:rsid w:val="009906C7"/>
    <w:rsid w:val="00990B51"/>
    <w:rsid w:val="00991A62"/>
    <w:rsid w:val="009963CD"/>
    <w:rsid w:val="009A1C4A"/>
    <w:rsid w:val="009A642C"/>
    <w:rsid w:val="009B07D4"/>
    <w:rsid w:val="009B266D"/>
    <w:rsid w:val="009B2A47"/>
    <w:rsid w:val="009B3A77"/>
    <w:rsid w:val="009B5CBF"/>
    <w:rsid w:val="009C184A"/>
    <w:rsid w:val="009C2CA5"/>
    <w:rsid w:val="009C4F3E"/>
    <w:rsid w:val="009C501E"/>
    <w:rsid w:val="009D3D8F"/>
    <w:rsid w:val="009D3E45"/>
    <w:rsid w:val="009E6613"/>
    <w:rsid w:val="009F0B77"/>
    <w:rsid w:val="009F2BD6"/>
    <w:rsid w:val="009F351F"/>
    <w:rsid w:val="009F3591"/>
    <w:rsid w:val="009F3CB6"/>
    <w:rsid w:val="009F3F89"/>
    <w:rsid w:val="009F480E"/>
    <w:rsid w:val="00A022A2"/>
    <w:rsid w:val="00A02A8C"/>
    <w:rsid w:val="00A02D15"/>
    <w:rsid w:val="00A054C5"/>
    <w:rsid w:val="00A06415"/>
    <w:rsid w:val="00A10C2F"/>
    <w:rsid w:val="00A11403"/>
    <w:rsid w:val="00A121D2"/>
    <w:rsid w:val="00A145B2"/>
    <w:rsid w:val="00A14D9E"/>
    <w:rsid w:val="00A16A72"/>
    <w:rsid w:val="00A16CE7"/>
    <w:rsid w:val="00A21499"/>
    <w:rsid w:val="00A25BA2"/>
    <w:rsid w:val="00A26B0D"/>
    <w:rsid w:val="00A3735A"/>
    <w:rsid w:val="00A421F6"/>
    <w:rsid w:val="00A42F1B"/>
    <w:rsid w:val="00A43611"/>
    <w:rsid w:val="00A47045"/>
    <w:rsid w:val="00A47C09"/>
    <w:rsid w:val="00A546BC"/>
    <w:rsid w:val="00A55989"/>
    <w:rsid w:val="00A56743"/>
    <w:rsid w:val="00A5690B"/>
    <w:rsid w:val="00A5694A"/>
    <w:rsid w:val="00A56A8F"/>
    <w:rsid w:val="00A63DA4"/>
    <w:rsid w:val="00A67674"/>
    <w:rsid w:val="00A741EE"/>
    <w:rsid w:val="00A7533F"/>
    <w:rsid w:val="00A75CD5"/>
    <w:rsid w:val="00A76E39"/>
    <w:rsid w:val="00A80822"/>
    <w:rsid w:val="00A80D4B"/>
    <w:rsid w:val="00A83DF3"/>
    <w:rsid w:val="00A85915"/>
    <w:rsid w:val="00A863B9"/>
    <w:rsid w:val="00A90148"/>
    <w:rsid w:val="00A94677"/>
    <w:rsid w:val="00A952AB"/>
    <w:rsid w:val="00A9783D"/>
    <w:rsid w:val="00AA45E6"/>
    <w:rsid w:val="00AA4BE1"/>
    <w:rsid w:val="00AA4D7A"/>
    <w:rsid w:val="00AA5A37"/>
    <w:rsid w:val="00AA5D0A"/>
    <w:rsid w:val="00AA6AA6"/>
    <w:rsid w:val="00AB0455"/>
    <w:rsid w:val="00AB0767"/>
    <w:rsid w:val="00AB489C"/>
    <w:rsid w:val="00AB50C1"/>
    <w:rsid w:val="00AB6936"/>
    <w:rsid w:val="00AC0C3B"/>
    <w:rsid w:val="00AC2D63"/>
    <w:rsid w:val="00AD03D8"/>
    <w:rsid w:val="00AD0711"/>
    <w:rsid w:val="00AD3D3E"/>
    <w:rsid w:val="00AD46E8"/>
    <w:rsid w:val="00AD57C8"/>
    <w:rsid w:val="00AD5B23"/>
    <w:rsid w:val="00AD704E"/>
    <w:rsid w:val="00AD74FF"/>
    <w:rsid w:val="00AE14E8"/>
    <w:rsid w:val="00AE48BB"/>
    <w:rsid w:val="00AE5FE0"/>
    <w:rsid w:val="00AE60B7"/>
    <w:rsid w:val="00AE6ACA"/>
    <w:rsid w:val="00AE6BD9"/>
    <w:rsid w:val="00AF2AB7"/>
    <w:rsid w:val="00AF2B1C"/>
    <w:rsid w:val="00AF4654"/>
    <w:rsid w:val="00AF4D3F"/>
    <w:rsid w:val="00B009A2"/>
    <w:rsid w:val="00B00D43"/>
    <w:rsid w:val="00B0136E"/>
    <w:rsid w:val="00B0300B"/>
    <w:rsid w:val="00B05456"/>
    <w:rsid w:val="00B05457"/>
    <w:rsid w:val="00B057F5"/>
    <w:rsid w:val="00B11455"/>
    <w:rsid w:val="00B128A0"/>
    <w:rsid w:val="00B165D2"/>
    <w:rsid w:val="00B20240"/>
    <w:rsid w:val="00B21F5F"/>
    <w:rsid w:val="00B227E7"/>
    <w:rsid w:val="00B23281"/>
    <w:rsid w:val="00B26ACE"/>
    <w:rsid w:val="00B26F8B"/>
    <w:rsid w:val="00B27571"/>
    <w:rsid w:val="00B30D98"/>
    <w:rsid w:val="00B366FD"/>
    <w:rsid w:val="00B4098B"/>
    <w:rsid w:val="00B40CA3"/>
    <w:rsid w:val="00B4164B"/>
    <w:rsid w:val="00B43B1B"/>
    <w:rsid w:val="00B47E34"/>
    <w:rsid w:val="00B5405E"/>
    <w:rsid w:val="00B5409A"/>
    <w:rsid w:val="00B55574"/>
    <w:rsid w:val="00B56280"/>
    <w:rsid w:val="00B63A1A"/>
    <w:rsid w:val="00B6525D"/>
    <w:rsid w:val="00B65ABA"/>
    <w:rsid w:val="00B67407"/>
    <w:rsid w:val="00B677E2"/>
    <w:rsid w:val="00B6790F"/>
    <w:rsid w:val="00B7086C"/>
    <w:rsid w:val="00B70D20"/>
    <w:rsid w:val="00B71B3B"/>
    <w:rsid w:val="00B72D7B"/>
    <w:rsid w:val="00B766DE"/>
    <w:rsid w:val="00B7693B"/>
    <w:rsid w:val="00B81C1F"/>
    <w:rsid w:val="00B853DB"/>
    <w:rsid w:val="00B86A21"/>
    <w:rsid w:val="00B87D61"/>
    <w:rsid w:val="00B93948"/>
    <w:rsid w:val="00B94C57"/>
    <w:rsid w:val="00BA02C1"/>
    <w:rsid w:val="00BA1927"/>
    <w:rsid w:val="00BA2165"/>
    <w:rsid w:val="00BA333F"/>
    <w:rsid w:val="00BA4765"/>
    <w:rsid w:val="00BA4BC7"/>
    <w:rsid w:val="00BA55B7"/>
    <w:rsid w:val="00BA5E47"/>
    <w:rsid w:val="00BA7650"/>
    <w:rsid w:val="00BA7D57"/>
    <w:rsid w:val="00BB156E"/>
    <w:rsid w:val="00BB2161"/>
    <w:rsid w:val="00BB2C54"/>
    <w:rsid w:val="00BB3330"/>
    <w:rsid w:val="00BB47D7"/>
    <w:rsid w:val="00BB4A62"/>
    <w:rsid w:val="00BB5156"/>
    <w:rsid w:val="00BB7556"/>
    <w:rsid w:val="00BC01C1"/>
    <w:rsid w:val="00BC0ED7"/>
    <w:rsid w:val="00BC45A1"/>
    <w:rsid w:val="00BC5A34"/>
    <w:rsid w:val="00BD1351"/>
    <w:rsid w:val="00BD17F5"/>
    <w:rsid w:val="00BD59A2"/>
    <w:rsid w:val="00BD6E05"/>
    <w:rsid w:val="00BD7E8D"/>
    <w:rsid w:val="00BE204A"/>
    <w:rsid w:val="00BE30F5"/>
    <w:rsid w:val="00BE54D0"/>
    <w:rsid w:val="00BE55EC"/>
    <w:rsid w:val="00BE7454"/>
    <w:rsid w:val="00BF45AE"/>
    <w:rsid w:val="00BF6B6C"/>
    <w:rsid w:val="00BF7251"/>
    <w:rsid w:val="00BF7F28"/>
    <w:rsid w:val="00C01909"/>
    <w:rsid w:val="00C05787"/>
    <w:rsid w:val="00C0645D"/>
    <w:rsid w:val="00C1042E"/>
    <w:rsid w:val="00C10F3B"/>
    <w:rsid w:val="00C13059"/>
    <w:rsid w:val="00C13989"/>
    <w:rsid w:val="00C156D4"/>
    <w:rsid w:val="00C15D0B"/>
    <w:rsid w:val="00C167A3"/>
    <w:rsid w:val="00C204F7"/>
    <w:rsid w:val="00C2181C"/>
    <w:rsid w:val="00C2657D"/>
    <w:rsid w:val="00C315C6"/>
    <w:rsid w:val="00C332FE"/>
    <w:rsid w:val="00C374FE"/>
    <w:rsid w:val="00C416E1"/>
    <w:rsid w:val="00C44AE6"/>
    <w:rsid w:val="00C44C22"/>
    <w:rsid w:val="00C47BF8"/>
    <w:rsid w:val="00C51B1C"/>
    <w:rsid w:val="00C52973"/>
    <w:rsid w:val="00C53DCE"/>
    <w:rsid w:val="00C54917"/>
    <w:rsid w:val="00C60120"/>
    <w:rsid w:val="00C63916"/>
    <w:rsid w:val="00C639A3"/>
    <w:rsid w:val="00C6412B"/>
    <w:rsid w:val="00C655F2"/>
    <w:rsid w:val="00C65B4C"/>
    <w:rsid w:val="00C65B61"/>
    <w:rsid w:val="00C70E53"/>
    <w:rsid w:val="00C72979"/>
    <w:rsid w:val="00C75D3C"/>
    <w:rsid w:val="00C80344"/>
    <w:rsid w:val="00C81529"/>
    <w:rsid w:val="00C81BA6"/>
    <w:rsid w:val="00C8377C"/>
    <w:rsid w:val="00C83A94"/>
    <w:rsid w:val="00C8425C"/>
    <w:rsid w:val="00C877CD"/>
    <w:rsid w:val="00C902E9"/>
    <w:rsid w:val="00C908B7"/>
    <w:rsid w:val="00C91A86"/>
    <w:rsid w:val="00C91D81"/>
    <w:rsid w:val="00C92A42"/>
    <w:rsid w:val="00CA18F2"/>
    <w:rsid w:val="00CA4871"/>
    <w:rsid w:val="00CA6722"/>
    <w:rsid w:val="00CA6D4E"/>
    <w:rsid w:val="00CA7B4B"/>
    <w:rsid w:val="00CB36A8"/>
    <w:rsid w:val="00CB3F82"/>
    <w:rsid w:val="00CC139A"/>
    <w:rsid w:val="00CC1E7A"/>
    <w:rsid w:val="00CC1EB2"/>
    <w:rsid w:val="00CC484C"/>
    <w:rsid w:val="00CC4F64"/>
    <w:rsid w:val="00CD058C"/>
    <w:rsid w:val="00CD2161"/>
    <w:rsid w:val="00CD3B98"/>
    <w:rsid w:val="00CD3F43"/>
    <w:rsid w:val="00CD4216"/>
    <w:rsid w:val="00CD518C"/>
    <w:rsid w:val="00CD733F"/>
    <w:rsid w:val="00CE0942"/>
    <w:rsid w:val="00CE177A"/>
    <w:rsid w:val="00CE7CA5"/>
    <w:rsid w:val="00CF1D81"/>
    <w:rsid w:val="00CF2DC9"/>
    <w:rsid w:val="00CF7CB6"/>
    <w:rsid w:val="00D018F1"/>
    <w:rsid w:val="00D036C6"/>
    <w:rsid w:val="00D04C25"/>
    <w:rsid w:val="00D0545F"/>
    <w:rsid w:val="00D14AB7"/>
    <w:rsid w:val="00D1729F"/>
    <w:rsid w:val="00D21944"/>
    <w:rsid w:val="00D21C62"/>
    <w:rsid w:val="00D30092"/>
    <w:rsid w:val="00D311AB"/>
    <w:rsid w:val="00D3227F"/>
    <w:rsid w:val="00D325A8"/>
    <w:rsid w:val="00D32C16"/>
    <w:rsid w:val="00D442AD"/>
    <w:rsid w:val="00D469D0"/>
    <w:rsid w:val="00D50DEB"/>
    <w:rsid w:val="00D5388F"/>
    <w:rsid w:val="00D55AE3"/>
    <w:rsid w:val="00D5618A"/>
    <w:rsid w:val="00D5784B"/>
    <w:rsid w:val="00D57EE5"/>
    <w:rsid w:val="00D63EFB"/>
    <w:rsid w:val="00D658AF"/>
    <w:rsid w:val="00D77210"/>
    <w:rsid w:val="00D83DE9"/>
    <w:rsid w:val="00D8450D"/>
    <w:rsid w:val="00D90E5E"/>
    <w:rsid w:val="00D91A3D"/>
    <w:rsid w:val="00D935D9"/>
    <w:rsid w:val="00D95AF9"/>
    <w:rsid w:val="00DA09C9"/>
    <w:rsid w:val="00DA1696"/>
    <w:rsid w:val="00DA1822"/>
    <w:rsid w:val="00DA60B4"/>
    <w:rsid w:val="00DB5E1F"/>
    <w:rsid w:val="00DC0132"/>
    <w:rsid w:val="00DC03E8"/>
    <w:rsid w:val="00DC153A"/>
    <w:rsid w:val="00DC19D8"/>
    <w:rsid w:val="00DC2613"/>
    <w:rsid w:val="00DC403A"/>
    <w:rsid w:val="00DC4512"/>
    <w:rsid w:val="00DC4635"/>
    <w:rsid w:val="00DC673C"/>
    <w:rsid w:val="00DD1707"/>
    <w:rsid w:val="00DD3080"/>
    <w:rsid w:val="00DD3691"/>
    <w:rsid w:val="00DD41C5"/>
    <w:rsid w:val="00DD4241"/>
    <w:rsid w:val="00DD4B55"/>
    <w:rsid w:val="00DE1E90"/>
    <w:rsid w:val="00DE2029"/>
    <w:rsid w:val="00DE24E6"/>
    <w:rsid w:val="00DE57D5"/>
    <w:rsid w:val="00DE6A94"/>
    <w:rsid w:val="00DF07AD"/>
    <w:rsid w:val="00DF3364"/>
    <w:rsid w:val="00DF4927"/>
    <w:rsid w:val="00DF7F1C"/>
    <w:rsid w:val="00E00DEE"/>
    <w:rsid w:val="00E048A6"/>
    <w:rsid w:val="00E055BB"/>
    <w:rsid w:val="00E05BCE"/>
    <w:rsid w:val="00E07C72"/>
    <w:rsid w:val="00E11988"/>
    <w:rsid w:val="00E15DA9"/>
    <w:rsid w:val="00E179D7"/>
    <w:rsid w:val="00E2095D"/>
    <w:rsid w:val="00E24734"/>
    <w:rsid w:val="00E2772A"/>
    <w:rsid w:val="00E302F0"/>
    <w:rsid w:val="00E30414"/>
    <w:rsid w:val="00E33BF5"/>
    <w:rsid w:val="00E34316"/>
    <w:rsid w:val="00E40769"/>
    <w:rsid w:val="00E42E8B"/>
    <w:rsid w:val="00E46FB0"/>
    <w:rsid w:val="00E4735E"/>
    <w:rsid w:val="00E5274C"/>
    <w:rsid w:val="00E54622"/>
    <w:rsid w:val="00E5523F"/>
    <w:rsid w:val="00E55C59"/>
    <w:rsid w:val="00E57BF6"/>
    <w:rsid w:val="00E60F12"/>
    <w:rsid w:val="00E6157B"/>
    <w:rsid w:val="00E625B5"/>
    <w:rsid w:val="00E63898"/>
    <w:rsid w:val="00E652FB"/>
    <w:rsid w:val="00E66142"/>
    <w:rsid w:val="00E66C20"/>
    <w:rsid w:val="00E70C78"/>
    <w:rsid w:val="00E70C79"/>
    <w:rsid w:val="00E71998"/>
    <w:rsid w:val="00E71C46"/>
    <w:rsid w:val="00E74C47"/>
    <w:rsid w:val="00E75ED2"/>
    <w:rsid w:val="00E76B3A"/>
    <w:rsid w:val="00E7702B"/>
    <w:rsid w:val="00E8280C"/>
    <w:rsid w:val="00E83CDC"/>
    <w:rsid w:val="00E83E4C"/>
    <w:rsid w:val="00E85442"/>
    <w:rsid w:val="00E856F1"/>
    <w:rsid w:val="00E91933"/>
    <w:rsid w:val="00E91F15"/>
    <w:rsid w:val="00E92A81"/>
    <w:rsid w:val="00E969B1"/>
    <w:rsid w:val="00EA0DC5"/>
    <w:rsid w:val="00EA1624"/>
    <w:rsid w:val="00EA3850"/>
    <w:rsid w:val="00EA3973"/>
    <w:rsid w:val="00EB6552"/>
    <w:rsid w:val="00EC0280"/>
    <w:rsid w:val="00EC0E5A"/>
    <w:rsid w:val="00EC18E6"/>
    <w:rsid w:val="00EC1984"/>
    <w:rsid w:val="00EC234C"/>
    <w:rsid w:val="00EC3E65"/>
    <w:rsid w:val="00ED03D3"/>
    <w:rsid w:val="00ED2B6D"/>
    <w:rsid w:val="00ED3529"/>
    <w:rsid w:val="00ED4BD5"/>
    <w:rsid w:val="00ED4D17"/>
    <w:rsid w:val="00ED5EBB"/>
    <w:rsid w:val="00ED7A76"/>
    <w:rsid w:val="00ED7E4F"/>
    <w:rsid w:val="00EE1953"/>
    <w:rsid w:val="00EE283B"/>
    <w:rsid w:val="00EE46CA"/>
    <w:rsid w:val="00EE6CD3"/>
    <w:rsid w:val="00EE6FA9"/>
    <w:rsid w:val="00EF20D7"/>
    <w:rsid w:val="00EF3419"/>
    <w:rsid w:val="00EF3CEC"/>
    <w:rsid w:val="00EF76C3"/>
    <w:rsid w:val="00EF7E97"/>
    <w:rsid w:val="00F0119C"/>
    <w:rsid w:val="00F02BDB"/>
    <w:rsid w:val="00F0439B"/>
    <w:rsid w:val="00F0441B"/>
    <w:rsid w:val="00F07623"/>
    <w:rsid w:val="00F13563"/>
    <w:rsid w:val="00F1740F"/>
    <w:rsid w:val="00F23642"/>
    <w:rsid w:val="00F266D9"/>
    <w:rsid w:val="00F3136B"/>
    <w:rsid w:val="00F314F1"/>
    <w:rsid w:val="00F327EA"/>
    <w:rsid w:val="00F33641"/>
    <w:rsid w:val="00F35CE4"/>
    <w:rsid w:val="00F42842"/>
    <w:rsid w:val="00F43EE0"/>
    <w:rsid w:val="00F46E40"/>
    <w:rsid w:val="00F4760A"/>
    <w:rsid w:val="00F47D38"/>
    <w:rsid w:val="00F50AAA"/>
    <w:rsid w:val="00F52B8E"/>
    <w:rsid w:val="00F53425"/>
    <w:rsid w:val="00F53CFD"/>
    <w:rsid w:val="00F54AF5"/>
    <w:rsid w:val="00F557E3"/>
    <w:rsid w:val="00F565C8"/>
    <w:rsid w:val="00F567A4"/>
    <w:rsid w:val="00F56BDE"/>
    <w:rsid w:val="00F61E78"/>
    <w:rsid w:val="00F635C5"/>
    <w:rsid w:val="00F661D0"/>
    <w:rsid w:val="00F73127"/>
    <w:rsid w:val="00F736E3"/>
    <w:rsid w:val="00F73D9C"/>
    <w:rsid w:val="00F75A99"/>
    <w:rsid w:val="00F767E8"/>
    <w:rsid w:val="00F8004C"/>
    <w:rsid w:val="00F81274"/>
    <w:rsid w:val="00F86A3F"/>
    <w:rsid w:val="00F874DF"/>
    <w:rsid w:val="00F8782F"/>
    <w:rsid w:val="00F87E60"/>
    <w:rsid w:val="00F91297"/>
    <w:rsid w:val="00F9133B"/>
    <w:rsid w:val="00F92932"/>
    <w:rsid w:val="00F95567"/>
    <w:rsid w:val="00F97730"/>
    <w:rsid w:val="00F97C6B"/>
    <w:rsid w:val="00FA02F1"/>
    <w:rsid w:val="00FA2F0E"/>
    <w:rsid w:val="00FA48F2"/>
    <w:rsid w:val="00FA5B5F"/>
    <w:rsid w:val="00FB2A8A"/>
    <w:rsid w:val="00FB2B94"/>
    <w:rsid w:val="00FB32A4"/>
    <w:rsid w:val="00FB575E"/>
    <w:rsid w:val="00FB594D"/>
    <w:rsid w:val="00FC0320"/>
    <w:rsid w:val="00FC49BB"/>
    <w:rsid w:val="00FC5B77"/>
    <w:rsid w:val="00FC5CDF"/>
    <w:rsid w:val="00FD102E"/>
    <w:rsid w:val="00FD19EA"/>
    <w:rsid w:val="00FD4F9A"/>
    <w:rsid w:val="00FD616B"/>
    <w:rsid w:val="00FE367F"/>
    <w:rsid w:val="00FE3B94"/>
    <w:rsid w:val="00FE7D4A"/>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F6193AC"/>
  <w15:docId w15:val="{FBBFC2A5-6949-43C5-A716-5E356953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204874"/>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204874"/>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04874"/>
    <w:rPr>
      <w:rFonts w:ascii="Arial" w:hAnsi="Arial"/>
      <w:bCs/>
      <w:color w:val="201547"/>
      <w:sz w:val="44"/>
      <w:szCs w:val="44"/>
      <w:lang w:eastAsia="en-US"/>
    </w:rPr>
  </w:style>
  <w:style w:type="character" w:customStyle="1" w:styleId="Heading2Char">
    <w:name w:val="Heading 2 Char"/>
    <w:link w:val="Heading2"/>
    <w:uiPriority w:val="1"/>
    <w:rsid w:val="00204874"/>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31"/>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3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3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31"/>
      </w:numPr>
      <w:spacing w:after="40"/>
    </w:pPr>
  </w:style>
  <w:style w:type="paragraph" w:customStyle="1" w:styleId="DHHSbulletindentlastline">
    <w:name w:val="DHHS bullet indent last line"/>
    <w:basedOn w:val="DHHSbody"/>
    <w:uiPriority w:val="4"/>
    <w:rsid w:val="00CF7CB6"/>
    <w:pPr>
      <w:numPr>
        <w:ilvl w:val="5"/>
        <w:numId w:val="31"/>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984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C4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24734"/>
    <w:rPr>
      <w:color w:val="605E5C"/>
      <w:shd w:val="clear" w:color="auto" w:fill="E1DFDD"/>
    </w:rPr>
  </w:style>
  <w:style w:type="character" w:customStyle="1" w:styleId="DHHSbodyChar">
    <w:name w:val="DHHS body Char"/>
    <w:basedOn w:val="DefaultParagraphFont"/>
    <w:link w:val="DHHSbody"/>
    <w:rsid w:val="00A16A72"/>
    <w:rPr>
      <w:rFonts w:ascii="Arial" w:eastAsia="Times" w:hAnsi="Arial"/>
      <w:lang w:eastAsia="en-US"/>
    </w:rPr>
  </w:style>
  <w:style w:type="paragraph" w:styleId="ListParagraph">
    <w:name w:val="List Paragraph"/>
    <w:basedOn w:val="Normal"/>
    <w:uiPriority w:val="72"/>
    <w:qFormat/>
    <w:rsid w:val="00DF4927"/>
    <w:pPr>
      <w:ind w:left="720"/>
      <w:contextualSpacing/>
    </w:pPr>
  </w:style>
  <w:style w:type="character" w:styleId="CommentReference">
    <w:name w:val="annotation reference"/>
    <w:basedOn w:val="DefaultParagraphFont"/>
    <w:uiPriority w:val="99"/>
    <w:semiHidden/>
    <w:unhideWhenUsed/>
    <w:rsid w:val="00DF4927"/>
    <w:rPr>
      <w:sz w:val="18"/>
      <w:szCs w:val="18"/>
    </w:rPr>
  </w:style>
  <w:style w:type="paragraph" w:styleId="CommentText">
    <w:name w:val="annotation text"/>
    <w:basedOn w:val="Normal"/>
    <w:link w:val="CommentTextChar"/>
    <w:uiPriority w:val="99"/>
    <w:semiHidden/>
    <w:unhideWhenUsed/>
    <w:rsid w:val="00DF4927"/>
    <w:rPr>
      <w:sz w:val="24"/>
      <w:szCs w:val="24"/>
    </w:rPr>
  </w:style>
  <w:style w:type="character" w:customStyle="1" w:styleId="CommentTextChar">
    <w:name w:val="Comment Text Char"/>
    <w:basedOn w:val="DefaultParagraphFont"/>
    <w:link w:val="CommentText"/>
    <w:uiPriority w:val="99"/>
    <w:semiHidden/>
    <w:rsid w:val="00DF4927"/>
    <w:rPr>
      <w:rFonts w:ascii="Cambria" w:hAnsi="Cambria"/>
      <w:sz w:val="24"/>
      <w:szCs w:val="24"/>
      <w:lang w:eastAsia="en-US"/>
    </w:rPr>
  </w:style>
  <w:style w:type="paragraph" w:styleId="NormalWeb">
    <w:name w:val="Normal (Web)"/>
    <w:basedOn w:val="Normal"/>
    <w:uiPriority w:val="99"/>
    <w:semiHidden/>
    <w:unhideWhenUsed/>
    <w:rsid w:val="00DF4927"/>
    <w:pPr>
      <w:spacing w:before="100" w:beforeAutospacing="1" w:after="100" w:afterAutospacing="1"/>
    </w:pPr>
    <w:rPr>
      <w:rFonts w:ascii="Times New Roman" w:hAnsi="Times New Roman"/>
      <w:sz w:val="24"/>
      <w:szCs w:val="24"/>
      <w:lang w:eastAsia="en-AU"/>
    </w:rPr>
  </w:style>
  <w:style w:type="character" w:styleId="Emphasis">
    <w:name w:val="Emphasis"/>
    <w:uiPriority w:val="20"/>
    <w:qFormat/>
    <w:rsid w:val="00C10F3B"/>
    <w:rPr>
      <w:i/>
      <w:iCs/>
    </w:rPr>
  </w:style>
  <w:style w:type="paragraph" w:customStyle="1" w:styleId="DHHSbodyBold">
    <w:name w:val="DHHS body Bold"/>
    <w:basedOn w:val="DHHSbody"/>
    <w:link w:val="DHHSbodyBoldChar"/>
    <w:qFormat/>
    <w:rsid w:val="005B7DCC"/>
    <w:rPr>
      <w:b/>
    </w:rPr>
  </w:style>
  <w:style w:type="character" w:customStyle="1" w:styleId="DHHSbodyBoldChar">
    <w:name w:val="DHHS body Bold Char"/>
    <w:basedOn w:val="DHHSbodyChar"/>
    <w:link w:val="DHHSbodyBold"/>
    <w:rsid w:val="005B7DCC"/>
    <w:rPr>
      <w:rFonts w:ascii="Arial" w:eastAsia="Times" w:hAnsi="Arial"/>
      <w:b/>
      <w:lang w:eastAsia="en-US"/>
    </w:rPr>
  </w:style>
  <w:style w:type="paragraph" w:customStyle="1" w:styleId="xmsonormal">
    <w:name w:val="x_msonormal"/>
    <w:basedOn w:val="Normal"/>
    <w:rsid w:val="00DE2029"/>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D3227F"/>
    <w:rPr>
      <w:color w:val="605E5C"/>
      <w:shd w:val="clear" w:color="auto" w:fill="E1DFDD"/>
    </w:rPr>
  </w:style>
  <w:style w:type="character" w:customStyle="1" w:styleId="FooterChar">
    <w:name w:val="Footer Char"/>
    <w:basedOn w:val="DefaultParagraphFont"/>
    <w:link w:val="Footer"/>
    <w:uiPriority w:val="99"/>
    <w:rsid w:val="00F0439B"/>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42518">
      <w:bodyDiv w:val="1"/>
      <w:marLeft w:val="0"/>
      <w:marRight w:val="0"/>
      <w:marTop w:val="0"/>
      <w:marBottom w:val="0"/>
      <w:divBdr>
        <w:top w:val="none" w:sz="0" w:space="0" w:color="auto"/>
        <w:left w:val="none" w:sz="0" w:space="0" w:color="auto"/>
        <w:bottom w:val="none" w:sz="0" w:space="0" w:color="auto"/>
        <w:right w:val="none" w:sz="0" w:space="0" w:color="auto"/>
      </w:divBdr>
    </w:div>
    <w:div w:id="816338414">
      <w:bodyDiv w:val="1"/>
      <w:marLeft w:val="0"/>
      <w:marRight w:val="0"/>
      <w:marTop w:val="0"/>
      <w:marBottom w:val="0"/>
      <w:divBdr>
        <w:top w:val="none" w:sz="0" w:space="0" w:color="auto"/>
        <w:left w:val="none" w:sz="0" w:space="0" w:color="auto"/>
        <w:bottom w:val="none" w:sz="0" w:space="0" w:color="auto"/>
        <w:right w:val="none" w:sz="0" w:space="0" w:color="auto"/>
      </w:divBdr>
    </w:div>
    <w:div w:id="1237789266">
      <w:bodyDiv w:val="1"/>
      <w:marLeft w:val="0"/>
      <w:marRight w:val="0"/>
      <w:marTop w:val="0"/>
      <w:marBottom w:val="0"/>
      <w:divBdr>
        <w:top w:val="none" w:sz="0" w:space="0" w:color="auto"/>
        <w:left w:val="none" w:sz="0" w:space="0" w:color="auto"/>
        <w:bottom w:val="none" w:sz="0" w:space="0" w:color="auto"/>
        <w:right w:val="none" w:sz="0" w:space="0" w:color="auto"/>
      </w:divBdr>
    </w:div>
    <w:div w:id="145071018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domino/Web_notes/LDMS/PubLawToday.nsf/7e27929611f1d5c2ca256dac00186f32/46165cd76bc0dbefca2578c00019c553!OpenDocument" TargetMode="External"/><Relationship Id="rId18" Type="http://schemas.openxmlformats.org/officeDocument/2006/relationships/hyperlink" Target="https://providers.dhhs.vic.gov.au/fire-safety-handbook" TargetMode="External"/><Relationship Id="rId26" Type="http://schemas.openxmlformats.org/officeDocument/2006/relationships/hyperlink" Target="https://fac.dhhs.vic.gov.au/policies-and-procedures" TargetMode="External"/><Relationship Id="rId3" Type="http://schemas.openxmlformats.org/officeDocument/2006/relationships/styles" Target="styles.xml"/><Relationship Id="rId21" Type="http://schemas.openxmlformats.org/officeDocument/2006/relationships/hyperlink" Target="http://www6.austlii.edu.au/cgi-bin/viewdb/au/legis/vic/consol_act/ohasa2004273/"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legislation.vic.gov.au/Domino/Web_Notes/LDMS/PubLawToday.nsf/2184e627479f8392ca256da50082bf3e/76fb6fc121677e38ca257624001fb276!OpenDocument" TargetMode="External"/><Relationship Id="rId17" Type="http://schemas.openxmlformats.org/officeDocument/2006/relationships/hyperlink" Target="mailto:dhs-m-frmuco-ordinators@dhhs.vic.gov.au" TargetMode="External"/><Relationship Id="rId25" Type="http://schemas.openxmlformats.org/officeDocument/2006/relationships/hyperlink" Target="https://providers.dhhs.vic.gov.au/fire-safety-compliance-certificate-no-6-health-service-pdf"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providers.dhhs.vic.gov.au/capital-development-guidelines-series-7" TargetMode="External"/><Relationship Id="rId20" Type="http://schemas.openxmlformats.org/officeDocument/2006/relationships/hyperlink" Target="https://providers.dhhs.vic.gov.au/capital-development-guidelines-series-7" TargetMode="External"/><Relationship Id="rId29" Type="http://schemas.openxmlformats.org/officeDocument/2006/relationships/hyperlink" Target="http://www8.austlii.edu.au/cgi-bin/viewdb/au/legis/vic/consol_act/cyafa2005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hhs.vic.gov.au/fire-risk-management-procedures-and-guidelines" TargetMode="External"/><Relationship Id="rId24" Type="http://schemas.openxmlformats.org/officeDocument/2006/relationships/hyperlink" Target="https://providers.dhhs.vic.gov.au/fire-safety-compliance-certificate-no-5-wor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viders.dhhs.vic.gov.au/capital-development-guidelines-series-7" TargetMode="External"/><Relationship Id="rId23" Type="http://schemas.openxmlformats.org/officeDocument/2006/relationships/hyperlink" Target="http://www.dhs.vic.gov.au/__data/assets/word_doc/0010/719614/Fire-Safety-Certificate-No.4-080429.doc" TargetMode="External"/><Relationship Id="rId28" Type="http://schemas.openxmlformats.org/officeDocument/2006/relationships/hyperlink" Target="https://providers.dhhs.vic.gov.au/capital-development-guidelines-series-7" TargetMode="External"/><Relationship Id="rId10" Type="http://schemas.openxmlformats.org/officeDocument/2006/relationships/hyperlink" Target="mailto:dhhs-m-fst@dhhs.vic.gov.au" TargetMode="External"/><Relationship Id="rId19" Type="http://schemas.openxmlformats.org/officeDocument/2006/relationships/hyperlink" Target="http://www6.austlii.edu.au/cgi-bin/viewdb/au/legis/vic/consol_act/ohasa200427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bcb.gov.au/" TargetMode="External"/><Relationship Id="rId22" Type="http://schemas.openxmlformats.org/officeDocument/2006/relationships/hyperlink" Target="https://providers.dhhs.vic.gov.au/fire-safety-compliance-certificate-no-3-word" TargetMode="External"/><Relationship Id="rId27" Type="http://schemas.openxmlformats.org/officeDocument/2006/relationships/hyperlink" Target="mailto:dhs-m-frmuco-ordinators@dhhs.vic.gov.au" TargetMode="External"/><Relationship Id="rId30" Type="http://schemas.openxmlformats.org/officeDocument/2006/relationships/hyperlink" Target="mailto:dhhs-m-fst@dhhs.vic.gov.au" TargetMode="External"/><Relationship Id="rId35" Type="http://schemas.openxmlformats.org/officeDocument/2006/relationships/customXml" Target="../customXml/item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33E20F4-9238-4064-9134-A32DD78BCF69}">
  <ds:schemaRefs>
    <ds:schemaRef ds:uri="http://schemas.openxmlformats.org/officeDocument/2006/bibliography"/>
  </ds:schemaRefs>
</ds:datastoreItem>
</file>

<file path=customXml/itemProps2.xml><?xml version="1.0" encoding="utf-8"?>
<ds:datastoreItem xmlns:ds="http://schemas.openxmlformats.org/officeDocument/2006/customXml" ds:itemID="{A2CF2D95-919E-4E34-BFF9-864649904C8A}"/>
</file>

<file path=customXml/itemProps3.xml><?xml version="1.0" encoding="utf-8"?>
<ds:datastoreItem xmlns:ds="http://schemas.openxmlformats.org/officeDocument/2006/customXml" ds:itemID="{C2336E07-EF68-474A-A683-DD092B4AB8C2}"/>
</file>

<file path=customXml/itemProps4.xml><?xml version="1.0" encoding="utf-8"?>
<ds:datastoreItem xmlns:ds="http://schemas.openxmlformats.org/officeDocument/2006/customXml" ds:itemID="{90F73C55-BFED-4BB3-A65A-8FDF769131E1}"/>
</file>

<file path=docProps/app.xml><?xml version="1.0" encoding="utf-8"?>
<Properties xmlns="http://schemas.openxmlformats.org/officeDocument/2006/extended-properties" xmlns:vt="http://schemas.openxmlformats.org/officeDocument/2006/docPropsVTypes">
  <Template>Normal.dotm</Template>
  <TotalTime>0</TotalTime>
  <Pages>12</Pages>
  <Words>2349</Words>
  <Characters>17622</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Fire Risk Management policy</vt:lpstr>
    </vt:vector>
  </TitlesOfParts>
  <Company>Department of Health and Human Services</Company>
  <LinksUpToDate>false</LinksUpToDate>
  <CharactersWithSpaces>19932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Management policy</dc:title>
  <dc:creator>Fire Services Team, Property and Asset Services</dc:creator>
  <cp:lastModifiedBy>Janet Westwood (DHHS)</cp:lastModifiedBy>
  <cp:revision>3</cp:revision>
  <cp:lastPrinted>2019-10-28T05:43:00Z</cp:lastPrinted>
  <dcterms:created xsi:type="dcterms:W3CDTF">2019-12-16T03:46:00Z</dcterms:created>
  <dcterms:modified xsi:type="dcterms:W3CDTF">2019-12-16T03:49:00Z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