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9B500" w14:textId="14BC946A" w:rsidR="00056EC4" w:rsidRDefault="00A01FB1" w:rsidP="00056EC4">
      <w:pPr>
        <w:pStyle w:val="Body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21966DC4" wp14:editId="33DF672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158730"/>
            <wp:effectExtent l="0" t="0" r="0" b="0"/>
            <wp:wrapNone/>
            <wp:docPr id="2" name="Picture 2" descr="Victoria State Government Families, Fairness and Hou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ictoria State Government Families, Fairness and Hous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15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99"/>
      </w:tblGrid>
      <w:tr w:rsidR="00AD784C" w14:paraId="18FF4B0B" w14:textId="77777777" w:rsidTr="57C02B3C">
        <w:trPr>
          <w:cantSplit/>
        </w:trPr>
        <w:tc>
          <w:tcPr>
            <w:tcW w:w="0" w:type="auto"/>
            <w:tcMar>
              <w:top w:w="0" w:type="dxa"/>
              <w:left w:w="0" w:type="dxa"/>
              <w:right w:w="0" w:type="dxa"/>
            </w:tcMar>
          </w:tcPr>
          <w:p w14:paraId="30E6956D" w14:textId="01922054" w:rsidR="00AD784C" w:rsidRPr="00431F42" w:rsidRDefault="00A35F63" w:rsidP="00431F42">
            <w:pPr>
              <w:pStyle w:val="Documenttitle"/>
            </w:pPr>
            <w:r>
              <w:t xml:space="preserve">Emergency </w:t>
            </w:r>
            <w:r w:rsidR="00867234">
              <w:t>M</w:t>
            </w:r>
            <w:r>
              <w:t xml:space="preserve">anagement for </w:t>
            </w:r>
            <w:r w:rsidR="00867234">
              <w:t>H</w:t>
            </w:r>
            <w:r>
              <w:t>igh-</w:t>
            </w:r>
            <w:r w:rsidR="00867234">
              <w:t>R</w:t>
            </w:r>
            <w:r>
              <w:t xml:space="preserve">ise </w:t>
            </w:r>
            <w:r w:rsidR="00867234">
              <w:t>P</w:t>
            </w:r>
            <w:r w:rsidR="008A4C84">
              <w:t xml:space="preserve">ublic </w:t>
            </w:r>
            <w:r w:rsidR="00867234">
              <w:t>H</w:t>
            </w:r>
            <w:r w:rsidR="008A4C84">
              <w:t xml:space="preserve">ousing </w:t>
            </w:r>
            <w:r w:rsidR="00867234">
              <w:t>B</w:t>
            </w:r>
            <w:r>
              <w:t xml:space="preserve">uildings </w:t>
            </w:r>
          </w:p>
        </w:tc>
      </w:tr>
      <w:tr w:rsidR="00AD784C" w14:paraId="246F9CB0" w14:textId="77777777" w:rsidTr="57C02B3C">
        <w:trPr>
          <w:cantSplit/>
        </w:trPr>
        <w:tc>
          <w:tcPr>
            <w:tcW w:w="0" w:type="auto"/>
          </w:tcPr>
          <w:p w14:paraId="14EEB3AC" w14:textId="618BFB53" w:rsidR="00386109" w:rsidRPr="00A1389F" w:rsidRDefault="00A35F63" w:rsidP="00C12B05">
            <w:pPr>
              <w:pStyle w:val="Documentsubtitle"/>
            </w:pPr>
            <w:r>
              <w:t>October 2024</w:t>
            </w:r>
          </w:p>
        </w:tc>
      </w:tr>
      <w:tr w:rsidR="00430393" w14:paraId="2AE57792" w14:textId="77777777" w:rsidTr="57C02B3C">
        <w:trPr>
          <w:cantSplit/>
        </w:trPr>
        <w:tc>
          <w:tcPr>
            <w:tcW w:w="0" w:type="auto"/>
          </w:tcPr>
          <w:p w14:paraId="68DABF30" w14:textId="77777777" w:rsidR="00430393" w:rsidRDefault="00E9190F" w:rsidP="00430393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1A6272">
              <w:t>OFFICIAL</w:t>
            </w:r>
            <w:r>
              <w:fldChar w:fldCharType="end"/>
            </w:r>
          </w:p>
        </w:tc>
      </w:tr>
    </w:tbl>
    <w:p w14:paraId="3B4B7FED" w14:textId="5A778641" w:rsidR="00FE4081" w:rsidRPr="00FE4081" w:rsidRDefault="00FE4081" w:rsidP="00FE4081">
      <w:pPr>
        <w:pStyle w:val="Body"/>
        <w:sectPr w:rsidR="00FE4081" w:rsidRPr="00FE4081" w:rsidSect="00F15144">
          <w:footerReference w:type="even" r:id="rId12"/>
          <w:footerReference w:type="default" r:id="rId13"/>
          <w:footerReference w:type="first" r:id="rId14"/>
          <w:type w:val="continuous"/>
          <w:pgSz w:w="11906" w:h="16838" w:code="9"/>
          <w:pgMar w:top="3969" w:right="1304" w:bottom="851" w:left="1304" w:header="680" w:footer="567" w:gutter="0"/>
          <w:cols w:space="340"/>
          <w:titlePg/>
          <w:docGrid w:linePitch="360"/>
        </w:sectPr>
      </w:pPr>
    </w:p>
    <w:tbl>
      <w:tblPr>
        <w:tblStyle w:val="TableGrid"/>
        <w:tblW w:w="7598" w:type="dxa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598"/>
      </w:tblGrid>
      <w:tr w:rsidR="00F561FE" w14:paraId="451A48B7" w14:textId="77777777" w:rsidTr="008D1486">
        <w:trPr>
          <w:trHeight w:val="7371"/>
        </w:trPr>
        <w:tc>
          <w:tcPr>
            <w:tcW w:w="7598" w:type="dxa"/>
            <w:vAlign w:val="center"/>
          </w:tcPr>
          <w:p w14:paraId="6FC7C34D" w14:textId="77777777" w:rsidR="00F561FE" w:rsidRDefault="00F561FE" w:rsidP="008D1486">
            <w:pPr>
              <w:pStyle w:val="Documentsubtitle"/>
              <w:rPr>
                <w:b/>
                <w:sz w:val="48"/>
                <w:szCs w:val="50"/>
              </w:rPr>
            </w:pPr>
            <w:r w:rsidRPr="00F561FE">
              <w:rPr>
                <w:b/>
                <w:sz w:val="48"/>
                <w:szCs w:val="50"/>
              </w:rPr>
              <w:lastRenderedPageBreak/>
              <w:t xml:space="preserve">Emergency Management for High-Rise Public Housing Buildings </w:t>
            </w:r>
          </w:p>
          <w:p w14:paraId="5C6FB908" w14:textId="1DBC09C1" w:rsidR="00F561FE" w:rsidRDefault="00F561FE" w:rsidP="008D1486">
            <w:pPr>
              <w:pStyle w:val="Documentsubtitle"/>
            </w:pPr>
            <w:r>
              <w:t>October 2024</w:t>
            </w:r>
          </w:p>
        </w:tc>
      </w:tr>
      <w:tr w:rsidR="00F561FE" w14:paraId="5211A6AB" w14:textId="77777777" w:rsidTr="008D1486">
        <w:tc>
          <w:tcPr>
            <w:tcW w:w="7598" w:type="dxa"/>
          </w:tcPr>
          <w:p w14:paraId="1C646209" w14:textId="77777777" w:rsidR="00F561FE" w:rsidRDefault="00F561FE" w:rsidP="008D1486">
            <w:pPr>
              <w:pStyle w:val="Body"/>
            </w:pPr>
          </w:p>
        </w:tc>
      </w:tr>
    </w:tbl>
    <w:p w14:paraId="0696C199" w14:textId="77777777" w:rsidR="00F561FE" w:rsidRDefault="00F561FE" w:rsidP="00F561FE">
      <w:pPr>
        <w:pStyle w:val="TOCHeading"/>
        <w:ind w:firstLine="720"/>
        <w:rPr>
          <w:rFonts w:ascii="Arial" w:eastAsia="Times New Roman" w:hAnsi="Arial" w:cs="Times New Roman"/>
          <w:noProof/>
          <w:color w:val="auto"/>
          <w:sz w:val="21"/>
          <w:szCs w:val="20"/>
          <w:lang w:val="en-AU"/>
        </w:rPr>
      </w:pPr>
    </w:p>
    <w:p w14:paraId="3A52DFF9" w14:textId="77777777" w:rsidR="00F561FE" w:rsidRDefault="00F561FE" w:rsidP="00F561FE">
      <w:pPr>
        <w:tabs>
          <w:tab w:val="left" w:pos="620"/>
        </w:tabs>
      </w:pPr>
      <w:r>
        <w:tab/>
      </w:r>
    </w:p>
    <w:p w14:paraId="4750501E" w14:textId="77777777" w:rsidR="00015392" w:rsidRPr="00015392" w:rsidRDefault="00015392" w:rsidP="00015392"/>
    <w:p w14:paraId="7EBB9446" w14:textId="77777777" w:rsidR="00015392" w:rsidRDefault="00015392" w:rsidP="00015392"/>
    <w:p w14:paraId="58D23514" w14:textId="47799E56" w:rsidR="00015392" w:rsidRDefault="00015392" w:rsidP="00015392">
      <w:pPr>
        <w:tabs>
          <w:tab w:val="left" w:pos="3760"/>
        </w:tabs>
      </w:pPr>
      <w:r>
        <w:tab/>
      </w:r>
    </w:p>
    <w:p w14:paraId="1091E32F" w14:textId="77777777" w:rsidR="00015392" w:rsidRDefault="00015392" w:rsidP="00015392">
      <w:pPr>
        <w:tabs>
          <w:tab w:val="left" w:pos="3760"/>
        </w:tabs>
      </w:pPr>
    </w:p>
    <w:p w14:paraId="72344472" w14:textId="77777777" w:rsidR="00015392" w:rsidRDefault="00015392" w:rsidP="00015392">
      <w:pPr>
        <w:tabs>
          <w:tab w:val="left" w:pos="3760"/>
        </w:tabs>
      </w:pPr>
    </w:p>
    <w:p w14:paraId="67EC5579" w14:textId="77777777" w:rsidR="00015392" w:rsidRDefault="00015392" w:rsidP="00015392">
      <w:pPr>
        <w:tabs>
          <w:tab w:val="left" w:pos="3760"/>
        </w:tabs>
      </w:pPr>
    </w:p>
    <w:p w14:paraId="103D0A69" w14:textId="77777777" w:rsidR="00015392" w:rsidRDefault="00015392" w:rsidP="00015392">
      <w:pPr>
        <w:tabs>
          <w:tab w:val="left" w:pos="3760"/>
        </w:tabs>
      </w:pPr>
    </w:p>
    <w:p w14:paraId="72F1560D" w14:textId="77777777" w:rsidR="00015392" w:rsidRDefault="00015392" w:rsidP="00015392">
      <w:pPr>
        <w:tabs>
          <w:tab w:val="left" w:pos="3760"/>
        </w:tabs>
      </w:pPr>
    </w:p>
    <w:p w14:paraId="3D7F061B" w14:textId="77777777" w:rsidR="00015392" w:rsidRDefault="00015392" w:rsidP="00015392">
      <w:pPr>
        <w:tabs>
          <w:tab w:val="left" w:pos="3760"/>
        </w:tabs>
      </w:pPr>
    </w:p>
    <w:p w14:paraId="78E721B6" w14:textId="77777777" w:rsidR="00015392" w:rsidRDefault="00015392" w:rsidP="00015392">
      <w:pPr>
        <w:tabs>
          <w:tab w:val="left" w:pos="3760"/>
        </w:tabs>
      </w:pPr>
    </w:p>
    <w:p w14:paraId="21F49E1F" w14:textId="77777777" w:rsidR="00015392" w:rsidRDefault="00015392" w:rsidP="00015392">
      <w:pPr>
        <w:tabs>
          <w:tab w:val="left" w:pos="3760"/>
        </w:tabs>
      </w:pPr>
    </w:p>
    <w:p w14:paraId="2C7A8DF0" w14:textId="77777777" w:rsidR="00015392" w:rsidRDefault="00015392" w:rsidP="00015392">
      <w:pPr>
        <w:tabs>
          <w:tab w:val="left" w:pos="3760"/>
        </w:tabs>
      </w:pPr>
    </w:p>
    <w:p w14:paraId="531BEBFC" w14:textId="77777777" w:rsidR="00015392" w:rsidRDefault="00015392" w:rsidP="00015392">
      <w:pPr>
        <w:tabs>
          <w:tab w:val="left" w:pos="3760"/>
        </w:tabs>
      </w:pPr>
    </w:p>
    <w:p w14:paraId="30DE4328" w14:textId="77777777" w:rsidR="00015392" w:rsidRDefault="00015392" w:rsidP="00015392">
      <w:pPr>
        <w:tabs>
          <w:tab w:val="left" w:pos="376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88"/>
      </w:tblGrid>
      <w:tr w:rsidR="00015392" w:rsidRPr="00015392" w14:paraId="7DDDCF41" w14:textId="77777777" w:rsidTr="008D1486">
        <w:trPr>
          <w:cantSplit/>
          <w:trHeight w:val="7088"/>
        </w:trPr>
        <w:tc>
          <w:tcPr>
            <w:tcW w:w="9288" w:type="dxa"/>
          </w:tcPr>
          <w:p w14:paraId="2772E592" w14:textId="224D502C" w:rsidR="00015392" w:rsidRPr="00015392" w:rsidRDefault="00015392" w:rsidP="00015392">
            <w:pPr>
              <w:spacing w:before="120"/>
              <w:rPr>
                <w:color w:val="87189D"/>
                <w:sz w:val="24"/>
                <w:szCs w:val="24"/>
              </w:rPr>
            </w:pPr>
          </w:p>
        </w:tc>
      </w:tr>
      <w:tr w:rsidR="00015392" w:rsidRPr="00015392" w14:paraId="09FDBBAD" w14:textId="77777777" w:rsidTr="008D1486">
        <w:trPr>
          <w:cantSplit/>
          <w:trHeight w:val="5103"/>
        </w:trPr>
        <w:tc>
          <w:tcPr>
            <w:tcW w:w="9288" w:type="dxa"/>
            <w:vAlign w:val="bottom"/>
          </w:tcPr>
          <w:p w14:paraId="00EFA48A" w14:textId="77777777" w:rsidR="00E9190F" w:rsidRDefault="00E9190F" w:rsidP="00015392">
            <w:pPr>
              <w:spacing w:before="120" w:after="200" w:line="300" w:lineRule="atLeast"/>
              <w:rPr>
                <w:rFonts w:eastAsia="Times"/>
                <w:sz w:val="24"/>
                <w:szCs w:val="19"/>
              </w:rPr>
            </w:pPr>
          </w:p>
          <w:p w14:paraId="6C4B5159" w14:textId="77777777" w:rsidR="00E9190F" w:rsidRDefault="00E9190F" w:rsidP="00015392">
            <w:pPr>
              <w:spacing w:before="120" w:after="200" w:line="300" w:lineRule="atLeast"/>
              <w:rPr>
                <w:rFonts w:eastAsia="Times"/>
                <w:sz w:val="24"/>
                <w:szCs w:val="19"/>
              </w:rPr>
            </w:pPr>
          </w:p>
          <w:p w14:paraId="4164D9D0" w14:textId="0487E43B" w:rsidR="00015392" w:rsidRPr="00015392" w:rsidRDefault="00015392" w:rsidP="00015392">
            <w:pPr>
              <w:spacing w:before="120" w:after="200" w:line="300" w:lineRule="atLeast"/>
              <w:rPr>
                <w:rFonts w:eastAsia="Times"/>
                <w:sz w:val="24"/>
                <w:szCs w:val="19"/>
              </w:rPr>
            </w:pPr>
            <w:r w:rsidRPr="00015392">
              <w:rPr>
                <w:rFonts w:eastAsia="Times"/>
                <w:sz w:val="24"/>
                <w:szCs w:val="19"/>
              </w:rPr>
              <w:t xml:space="preserve">To receive this document in another format, phone contact </w:t>
            </w:r>
            <w:r w:rsidRPr="00246964">
              <w:rPr>
                <w:rFonts w:eastAsia="Times"/>
                <w:sz w:val="24"/>
                <w:szCs w:val="19"/>
              </w:rPr>
              <w:t xml:space="preserve">Homes Victoria </w:t>
            </w:r>
            <w:r w:rsidR="00246964">
              <w:rPr>
                <w:rFonts w:eastAsia="Times"/>
                <w:sz w:val="24"/>
                <w:szCs w:val="19"/>
              </w:rPr>
              <w:t xml:space="preserve">at </w:t>
            </w:r>
            <w:r w:rsidRPr="00015392">
              <w:rPr>
                <w:rFonts w:eastAsia="Times"/>
                <w:sz w:val="24"/>
                <w:szCs w:val="19"/>
              </w:rPr>
              <w:t>enquiries@homes.vic.gov.au.</w:t>
            </w:r>
          </w:p>
          <w:p w14:paraId="5504DB4D" w14:textId="77777777" w:rsidR="00015392" w:rsidRPr="00015392" w:rsidRDefault="00015392" w:rsidP="00015392">
            <w:pPr>
              <w:spacing w:after="60" w:line="270" w:lineRule="atLeast"/>
              <w:rPr>
                <w:rFonts w:eastAsia="Times"/>
                <w:sz w:val="20"/>
              </w:rPr>
            </w:pPr>
            <w:r w:rsidRPr="00015392">
              <w:rPr>
                <w:rFonts w:eastAsia="Times"/>
                <w:sz w:val="20"/>
              </w:rPr>
              <w:t>Authorised and published by the Victorian Government, 1 Treasury Place, Melbourne.</w:t>
            </w:r>
          </w:p>
          <w:p w14:paraId="365DF18A" w14:textId="2FAE6259" w:rsidR="00015392" w:rsidRPr="00015392" w:rsidRDefault="00015392" w:rsidP="00015392">
            <w:pPr>
              <w:spacing w:after="60" w:line="270" w:lineRule="atLeast"/>
              <w:rPr>
                <w:rFonts w:eastAsia="Times"/>
                <w:sz w:val="20"/>
              </w:rPr>
            </w:pPr>
            <w:r w:rsidRPr="00015392">
              <w:rPr>
                <w:rFonts w:eastAsia="Times"/>
                <w:sz w:val="20"/>
              </w:rPr>
              <w:t xml:space="preserve">© State of Victoria, Australia, Department of Families, Fairness and Housing, </w:t>
            </w:r>
            <w:r w:rsidRPr="00015392">
              <w:rPr>
                <w:rFonts w:eastAsia="Times"/>
                <w:sz w:val="20"/>
              </w:rPr>
              <w:t>October 2024</w:t>
            </w:r>
            <w:r w:rsidRPr="00015392">
              <w:rPr>
                <w:rFonts w:eastAsia="Times"/>
                <w:sz w:val="20"/>
              </w:rPr>
              <w:t>.</w:t>
            </w:r>
          </w:p>
          <w:p w14:paraId="75142636" w14:textId="7FF18432" w:rsidR="00015392" w:rsidRPr="00015392" w:rsidRDefault="00015392" w:rsidP="00015392">
            <w:pPr>
              <w:spacing w:after="60" w:line="270" w:lineRule="atLeast"/>
              <w:rPr>
                <w:rFonts w:eastAsia="Times"/>
                <w:sz w:val="20"/>
              </w:rPr>
            </w:pPr>
            <w:bookmarkStart w:id="0" w:name="_Hlk62746129"/>
            <w:r w:rsidRPr="00015392">
              <w:rPr>
                <w:rFonts w:eastAsia="Times"/>
                <w:sz w:val="20"/>
              </w:rPr>
              <w:t xml:space="preserve">ISBN/ISSN (online/PDF/Word) </w:t>
            </w:r>
          </w:p>
          <w:p w14:paraId="210AED3D" w14:textId="5364B0FD" w:rsidR="00015392" w:rsidRPr="00015392" w:rsidRDefault="00015392" w:rsidP="00015392">
            <w:pPr>
              <w:spacing w:after="60" w:line="270" w:lineRule="atLeast"/>
              <w:rPr>
                <w:rFonts w:eastAsia="Times"/>
                <w:sz w:val="20"/>
              </w:rPr>
            </w:pPr>
            <w:r w:rsidRPr="00015392">
              <w:rPr>
                <w:rFonts w:eastAsia="Times"/>
                <w:sz w:val="20"/>
              </w:rPr>
              <w:t xml:space="preserve">Available at </w:t>
            </w:r>
            <w:hyperlink r:id="rId15" w:history="1">
              <w:r w:rsidRPr="00015392">
                <w:rPr>
                  <w:rStyle w:val="Hyperlink"/>
                  <w:rFonts w:eastAsia="Times"/>
                  <w:sz w:val="20"/>
                </w:rPr>
                <w:t>Home - DFFH Service Providers</w:t>
              </w:r>
            </w:hyperlink>
            <w:r>
              <w:rPr>
                <w:rFonts w:eastAsia="Times"/>
                <w:sz w:val="20"/>
              </w:rPr>
              <w:t xml:space="preserve"> </w:t>
            </w:r>
            <w:r w:rsidRPr="00015392">
              <w:rPr>
                <w:rFonts w:eastAsia="Times"/>
                <w:sz w:val="20"/>
              </w:rPr>
              <w:t>&lt;https://providers.dffh.vic.gov.au&gt;</w:t>
            </w:r>
          </w:p>
          <w:bookmarkEnd w:id="0"/>
          <w:p w14:paraId="3B3C0E4F" w14:textId="48E95918" w:rsidR="00015392" w:rsidRPr="00015392" w:rsidRDefault="00015392" w:rsidP="00015392">
            <w:pPr>
              <w:spacing w:after="60" w:line="270" w:lineRule="atLeast"/>
              <w:rPr>
                <w:rFonts w:eastAsia="Times"/>
                <w:sz w:val="20"/>
              </w:rPr>
            </w:pPr>
          </w:p>
        </w:tc>
      </w:tr>
      <w:tr w:rsidR="00015392" w:rsidRPr="00015392" w14:paraId="66BD5714" w14:textId="77777777" w:rsidTr="008D1486">
        <w:trPr>
          <w:cantSplit/>
        </w:trPr>
        <w:tc>
          <w:tcPr>
            <w:tcW w:w="9288" w:type="dxa"/>
          </w:tcPr>
          <w:p w14:paraId="6615A08E" w14:textId="77777777" w:rsidR="00015392" w:rsidRPr="00015392" w:rsidRDefault="00015392" w:rsidP="00015392">
            <w:pPr>
              <w:rPr>
                <w:rFonts w:eastAsia="Times"/>
              </w:rPr>
            </w:pPr>
          </w:p>
        </w:tc>
      </w:tr>
    </w:tbl>
    <w:p w14:paraId="1903FE87" w14:textId="03A9C092" w:rsidR="00015392" w:rsidRPr="00015392" w:rsidRDefault="00015392" w:rsidP="00015392">
      <w:pPr>
        <w:tabs>
          <w:tab w:val="left" w:pos="3760"/>
        </w:tabs>
        <w:sectPr w:rsidR="00015392" w:rsidRPr="00015392" w:rsidSect="00F15144">
          <w:headerReference w:type="even" r:id="rId16"/>
          <w:headerReference w:type="default" r:id="rId17"/>
          <w:footerReference w:type="even" r:id="rId18"/>
          <w:footerReference w:type="default" r:id="rId19"/>
          <w:pgSz w:w="11906" w:h="16838" w:code="9"/>
          <w:pgMar w:top="1418" w:right="1304" w:bottom="851" w:left="1304" w:header="680" w:footer="567" w:gutter="0"/>
          <w:cols w:space="340"/>
          <w:docGrid w:linePitch="360"/>
        </w:sectPr>
      </w:pPr>
    </w:p>
    <w:sdt>
      <w:sdtPr>
        <w:rPr>
          <w:rFonts w:ascii="Arial" w:eastAsia="Times New Roman" w:hAnsi="Arial" w:cs="Times New Roman"/>
          <w:noProof/>
          <w:color w:val="auto"/>
          <w:sz w:val="21"/>
          <w:szCs w:val="20"/>
          <w:lang w:val="en-AU"/>
        </w:rPr>
        <w:id w:val="247593138"/>
        <w:docPartObj>
          <w:docPartGallery w:val="Table of Contents"/>
          <w:docPartUnique/>
        </w:docPartObj>
      </w:sdtPr>
      <w:sdtEndPr>
        <w:rPr>
          <w:szCs w:val="21"/>
        </w:rPr>
      </w:sdtEndPr>
      <w:sdtContent>
        <w:p w14:paraId="13528C09" w14:textId="16D07332" w:rsidR="00851BAE" w:rsidRPr="00E203E7" w:rsidRDefault="7CC387FE">
          <w:pPr>
            <w:pStyle w:val="TOCHeading"/>
            <w:rPr>
              <w:rStyle w:val="Heading2Char"/>
            </w:rPr>
          </w:pPr>
          <w:r w:rsidRPr="00E203E7">
            <w:rPr>
              <w:rStyle w:val="Heading2Char"/>
            </w:rPr>
            <w:t>Contents</w:t>
          </w:r>
        </w:p>
        <w:p w14:paraId="40D67A4E" w14:textId="18E20E5C" w:rsidR="001701A6" w:rsidRDefault="007767C7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r>
            <w:fldChar w:fldCharType="begin"/>
          </w:r>
          <w:r w:rsidR="57C02B3C">
            <w:instrText>TOC \o "1-3" \z \u \h</w:instrText>
          </w:r>
          <w:r>
            <w:fldChar w:fldCharType="separate"/>
          </w:r>
          <w:hyperlink w:anchor="_Toc179816385" w:history="1">
            <w:r w:rsidR="001701A6" w:rsidRPr="00C07800">
              <w:rPr>
                <w:rStyle w:val="Hyperlink"/>
              </w:rPr>
              <w:t>Definitions</w:t>
            </w:r>
            <w:r w:rsidR="001701A6">
              <w:rPr>
                <w:webHidden/>
              </w:rPr>
              <w:tab/>
            </w:r>
            <w:r w:rsidR="001701A6">
              <w:rPr>
                <w:webHidden/>
              </w:rPr>
              <w:fldChar w:fldCharType="begin"/>
            </w:r>
            <w:r w:rsidR="001701A6">
              <w:rPr>
                <w:webHidden/>
              </w:rPr>
              <w:instrText xml:space="preserve"> PAGEREF _Toc179816385 \h </w:instrText>
            </w:r>
            <w:r w:rsidR="001701A6">
              <w:rPr>
                <w:webHidden/>
              </w:rPr>
            </w:r>
            <w:r w:rsidR="001701A6">
              <w:rPr>
                <w:webHidden/>
              </w:rPr>
              <w:fldChar w:fldCharType="separate"/>
            </w:r>
            <w:r w:rsidR="001701A6">
              <w:rPr>
                <w:webHidden/>
              </w:rPr>
              <w:t>3</w:t>
            </w:r>
            <w:r w:rsidR="001701A6">
              <w:rPr>
                <w:webHidden/>
              </w:rPr>
              <w:fldChar w:fldCharType="end"/>
            </w:r>
          </w:hyperlink>
        </w:p>
        <w:p w14:paraId="7F1ED128" w14:textId="569CD699" w:rsidR="001701A6" w:rsidRDefault="00E9190F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86" w:history="1">
            <w:r w:rsidR="001701A6" w:rsidRPr="00C07800">
              <w:rPr>
                <w:rStyle w:val="Hyperlink"/>
              </w:rPr>
              <w:t>Purpose</w:t>
            </w:r>
            <w:r w:rsidR="001701A6">
              <w:rPr>
                <w:webHidden/>
              </w:rPr>
              <w:tab/>
            </w:r>
            <w:r w:rsidR="001701A6">
              <w:rPr>
                <w:webHidden/>
              </w:rPr>
              <w:fldChar w:fldCharType="begin"/>
            </w:r>
            <w:r w:rsidR="001701A6">
              <w:rPr>
                <w:webHidden/>
              </w:rPr>
              <w:instrText xml:space="preserve"> PAGEREF _Toc179816386 \h </w:instrText>
            </w:r>
            <w:r w:rsidR="001701A6">
              <w:rPr>
                <w:webHidden/>
              </w:rPr>
            </w:r>
            <w:r w:rsidR="001701A6">
              <w:rPr>
                <w:webHidden/>
              </w:rPr>
              <w:fldChar w:fldCharType="separate"/>
            </w:r>
            <w:r w:rsidR="001701A6">
              <w:rPr>
                <w:webHidden/>
              </w:rPr>
              <w:t>4</w:t>
            </w:r>
            <w:r w:rsidR="001701A6">
              <w:rPr>
                <w:webHidden/>
              </w:rPr>
              <w:fldChar w:fldCharType="end"/>
            </w:r>
          </w:hyperlink>
        </w:p>
        <w:p w14:paraId="5C4AEF07" w14:textId="6EF84F42" w:rsidR="001701A6" w:rsidRDefault="00E9190F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87" w:history="1">
            <w:r w:rsidR="001701A6" w:rsidRPr="00C07800">
              <w:rPr>
                <w:rStyle w:val="Hyperlink"/>
              </w:rPr>
              <w:t>Frameworks</w:t>
            </w:r>
            <w:r w:rsidR="001701A6">
              <w:rPr>
                <w:webHidden/>
              </w:rPr>
              <w:tab/>
            </w:r>
            <w:r w:rsidR="001701A6">
              <w:rPr>
                <w:webHidden/>
              </w:rPr>
              <w:fldChar w:fldCharType="begin"/>
            </w:r>
            <w:r w:rsidR="001701A6">
              <w:rPr>
                <w:webHidden/>
              </w:rPr>
              <w:instrText xml:space="preserve"> PAGEREF _Toc179816387 \h </w:instrText>
            </w:r>
            <w:r w:rsidR="001701A6">
              <w:rPr>
                <w:webHidden/>
              </w:rPr>
            </w:r>
            <w:r w:rsidR="001701A6">
              <w:rPr>
                <w:webHidden/>
              </w:rPr>
              <w:fldChar w:fldCharType="separate"/>
            </w:r>
            <w:r w:rsidR="001701A6">
              <w:rPr>
                <w:webHidden/>
              </w:rPr>
              <w:t>4</w:t>
            </w:r>
            <w:r w:rsidR="001701A6">
              <w:rPr>
                <w:webHidden/>
              </w:rPr>
              <w:fldChar w:fldCharType="end"/>
            </w:r>
          </w:hyperlink>
        </w:p>
        <w:p w14:paraId="41C0D75B" w14:textId="5FFEF7B1" w:rsidR="001701A6" w:rsidRDefault="00E9190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88" w:history="1">
            <w:r w:rsidR="001701A6" w:rsidRPr="00C07800">
              <w:rPr>
                <w:rStyle w:val="Hyperlink"/>
              </w:rPr>
              <w:t>Legislative</w:t>
            </w:r>
            <w:r w:rsidR="001701A6">
              <w:rPr>
                <w:webHidden/>
              </w:rPr>
              <w:tab/>
            </w:r>
            <w:r w:rsidR="001701A6">
              <w:rPr>
                <w:webHidden/>
              </w:rPr>
              <w:fldChar w:fldCharType="begin"/>
            </w:r>
            <w:r w:rsidR="001701A6">
              <w:rPr>
                <w:webHidden/>
              </w:rPr>
              <w:instrText xml:space="preserve"> PAGEREF _Toc179816388 \h </w:instrText>
            </w:r>
            <w:r w:rsidR="001701A6">
              <w:rPr>
                <w:webHidden/>
              </w:rPr>
            </w:r>
            <w:r w:rsidR="001701A6">
              <w:rPr>
                <w:webHidden/>
              </w:rPr>
              <w:fldChar w:fldCharType="separate"/>
            </w:r>
            <w:r w:rsidR="001701A6">
              <w:rPr>
                <w:webHidden/>
              </w:rPr>
              <w:t>4</w:t>
            </w:r>
            <w:r w:rsidR="001701A6">
              <w:rPr>
                <w:webHidden/>
              </w:rPr>
              <w:fldChar w:fldCharType="end"/>
            </w:r>
          </w:hyperlink>
        </w:p>
        <w:p w14:paraId="1E12828C" w14:textId="543D1C55" w:rsidR="001701A6" w:rsidRDefault="00E9190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89" w:history="1">
            <w:r w:rsidR="001701A6" w:rsidRPr="00C07800">
              <w:rPr>
                <w:rStyle w:val="Hyperlink"/>
              </w:rPr>
              <w:t>Policy and guidelines</w:t>
            </w:r>
            <w:r w:rsidR="001701A6">
              <w:rPr>
                <w:webHidden/>
              </w:rPr>
              <w:tab/>
            </w:r>
            <w:r w:rsidR="001701A6">
              <w:rPr>
                <w:webHidden/>
              </w:rPr>
              <w:fldChar w:fldCharType="begin"/>
            </w:r>
            <w:r w:rsidR="001701A6">
              <w:rPr>
                <w:webHidden/>
              </w:rPr>
              <w:instrText xml:space="preserve"> PAGEREF _Toc179816389 \h </w:instrText>
            </w:r>
            <w:r w:rsidR="001701A6">
              <w:rPr>
                <w:webHidden/>
              </w:rPr>
            </w:r>
            <w:r w:rsidR="001701A6">
              <w:rPr>
                <w:webHidden/>
              </w:rPr>
              <w:fldChar w:fldCharType="separate"/>
            </w:r>
            <w:r w:rsidR="001701A6">
              <w:rPr>
                <w:webHidden/>
              </w:rPr>
              <w:t>4</w:t>
            </w:r>
            <w:r w:rsidR="001701A6">
              <w:rPr>
                <w:webHidden/>
              </w:rPr>
              <w:fldChar w:fldCharType="end"/>
            </w:r>
          </w:hyperlink>
        </w:p>
        <w:p w14:paraId="4726E916" w14:textId="4E9CBF3A" w:rsidR="001701A6" w:rsidRDefault="00E9190F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90" w:history="1">
            <w:r w:rsidR="001701A6" w:rsidRPr="00C07800">
              <w:rPr>
                <w:rStyle w:val="Hyperlink"/>
              </w:rPr>
              <w:t>Role and responsibilities</w:t>
            </w:r>
            <w:r w:rsidR="001701A6">
              <w:rPr>
                <w:webHidden/>
              </w:rPr>
              <w:tab/>
            </w:r>
            <w:r w:rsidR="001701A6">
              <w:rPr>
                <w:webHidden/>
              </w:rPr>
              <w:fldChar w:fldCharType="begin"/>
            </w:r>
            <w:r w:rsidR="001701A6">
              <w:rPr>
                <w:webHidden/>
              </w:rPr>
              <w:instrText xml:space="preserve"> PAGEREF _Toc179816390 \h </w:instrText>
            </w:r>
            <w:r w:rsidR="001701A6">
              <w:rPr>
                <w:webHidden/>
              </w:rPr>
            </w:r>
            <w:r w:rsidR="001701A6">
              <w:rPr>
                <w:webHidden/>
              </w:rPr>
              <w:fldChar w:fldCharType="separate"/>
            </w:r>
            <w:r w:rsidR="001701A6">
              <w:rPr>
                <w:webHidden/>
              </w:rPr>
              <w:t>5</w:t>
            </w:r>
            <w:r w:rsidR="001701A6">
              <w:rPr>
                <w:webHidden/>
              </w:rPr>
              <w:fldChar w:fldCharType="end"/>
            </w:r>
          </w:hyperlink>
        </w:p>
        <w:p w14:paraId="3AC8BB9F" w14:textId="69C8283A" w:rsidR="001701A6" w:rsidRDefault="00E9190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91" w:history="1">
            <w:r w:rsidR="001701A6" w:rsidRPr="00C07800">
              <w:rPr>
                <w:rStyle w:val="Hyperlink"/>
              </w:rPr>
              <w:t>Emergency Services</w:t>
            </w:r>
            <w:r w:rsidR="001701A6">
              <w:rPr>
                <w:webHidden/>
              </w:rPr>
              <w:tab/>
            </w:r>
            <w:r w:rsidR="001701A6">
              <w:rPr>
                <w:webHidden/>
              </w:rPr>
              <w:fldChar w:fldCharType="begin"/>
            </w:r>
            <w:r w:rsidR="001701A6">
              <w:rPr>
                <w:webHidden/>
              </w:rPr>
              <w:instrText xml:space="preserve"> PAGEREF _Toc179816391 \h </w:instrText>
            </w:r>
            <w:r w:rsidR="001701A6">
              <w:rPr>
                <w:webHidden/>
              </w:rPr>
            </w:r>
            <w:r w:rsidR="001701A6">
              <w:rPr>
                <w:webHidden/>
              </w:rPr>
              <w:fldChar w:fldCharType="separate"/>
            </w:r>
            <w:r w:rsidR="001701A6">
              <w:rPr>
                <w:webHidden/>
              </w:rPr>
              <w:t>5</w:t>
            </w:r>
            <w:r w:rsidR="001701A6">
              <w:rPr>
                <w:webHidden/>
              </w:rPr>
              <w:fldChar w:fldCharType="end"/>
            </w:r>
          </w:hyperlink>
        </w:p>
        <w:p w14:paraId="41D2994E" w14:textId="46A679D2" w:rsidR="001701A6" w:rsidRDefault="00E9190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92" w:history="1">
            <w:r w:rsidR="001701A6" w:rsidRPr="00C07800">
              <w:rPr>
                <w:rStyle w:val="Hyperlink"/>
              </w:rPr>
              <w:t>Disability, Fairness &amp; Emergency Management Division</w:t>
            </w:r>
            <w:r w:rsidR="001701A6">
              <w:rPr>
                <w:webHidden/>
              </w:rPr>
              <w:tab/>
            </w:r>
            <w:r w:rsidR="001701A6">
              <w:rPr>
                <w:webHidden/>
              </w:rPr>
              <w:fldChar w:fldCharType="begin"/>
            </w:r>
            <w:r w:rsidR="001701A6">
              <w:rPr>
                <w:webHidden/>
              </w:rPr>
              <w:instrText xml:space="preserve"> PAGEREF _Toc179816392 \h </w:instrText>
            </w:r>
            <w:r w:rsidR="001701A6">
              <w:rPr>
                <w:webHidden/>
              </w:rPr>
            </w:r>
            <w:r w:rsidR="001701A6">
              <w:rPr>
                <w:webHidden/>
              </w:rPr>
              <w:fldChar w:fldCharType="separate"/>
            </w:r>
            <w:r w:rsidR="001701A6">
              <w:rPr>
                <w:webHidden/>
              </w:rPr>
              <w:t>5</w:t>
            </w:r>
            <w:r w:rsidR="001701A6">
              <w:rPr>
                <w:webHidden/>
              </w:rPr>
              <w:fldChar w:fldCharType="end"/>
            </w:r>
          </w:hyperlink>
        </w:p>
        <w:p w14:paraId="4750174F" w14:textId="53A808CD" w:rsidR="001701A6" w:rsidRDefault="00E9190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93" w:history="1">
            <w:r w:rsidR="001701A6" w:rsidRPr="00C07800">
              <w:rPr>
                <w:rStyle w:val="Hyperlink"/>
              </w:rPr>
              <w:t>Homes Victoria Division</w:t>
            </w:r>
            <w:r w:rsidR="001701A6">
              <w:rPr>
                <w:webHidden/>
              </w:rPr>
              <w:tab/>
            </w:r>
            <w:r w:rsidR="001701A6">
              <w:rPr>
                <w:webHidden/>
              </w:rPr>
              <w:fldChar w:fldCharType="begin"/>
            </w:r>
            <w:r w:rsidR="001701A6">
              <w:rPr>
                <w:webHidden/>
              </w:rPr>
              <w:instrText xml:space="preserve"> PAGEREF _Toc179816393 \h </w:instrText>
            </w:r>
            <w:r w:rsidR="001701A6">
              <w:rPr>
                <w:webHidden/>
              </w:rPr>
            </w:r>
            <w:r w:rsidR="001701A6">
              <w:rPr>
                <w:webHidden/>
              </w:rPr>
              <w:fldChar w:fldCharType="separate"/>
            </w:r>
            <w:r w:rsidR="001701A6">
              <w:rPr>
                <w:webHidden/>
              </w:rPr>
              <w:t>5</w:t>
            </w:r>
            <w:r w:rsidR="001701A6">
              <w:rPr>
                <w:webHidden/>
              </w:rPr>
              <w:fldChar w:fldCharType="end"/>
            </w:r>
          </w:hyperlink>
        </w:p>
        <w:p w14:paraId="669B0099" w14:textId="416865BF" w:rsidR="001701A6" w:rsidRDefault="00E9190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94" w:history="1">
            <w:r w:rsidR="001701A6" w:rsidRPr="00C07800">
              <w:rPr>
                <w:rStyle w:val="Hyperlink"/>
              </w:rPr>
              <w:t>Community Operations Practice Leadership Division</w:t>
            </w:r>
            <w:r w:rsidR="001701A6">
              <w:rPr>
                <w:webHidden/>
              </w:rPr>
              <w:tab/>
            </w:r>
            <w:r w:rsidR="001701A6">
              <w:rPr>
                <w:webHidden/>
              </w:rPr>
              <w:fldChar w:fldCharType="begin"/>
            </w:r>
            <w:r w:rsidR="001701A6">
              <w:rPr>
                <w:webHidden/>
              </w:rPr>
              <w:instrText xml:space="preserve"> PAGEREF _Toc179816394 \h </w:instrText>
            </w:r>
            <w:r w:rsidR="001701A6">
              <w:rPr>
                <w:webHidden/>
              </w:rPr>
            </w:r>
            <w:r w:rsidR="001701A6">
              <w:rPr>
                <w:webHidden/>
              </w:rPr>
              <w:fldChar w:fldCharType="separate"/>
            </w:r>
            <w:r w:rsidR="001701A6">
              <w:rPr>
                <w:webHidden/>
              </w:rPr>
              <w:t>6</w:t>
            </w:r>
            <w:r w:rsidR="001701A6">
              <w:rPr>
                <w:webHidden/>
              </w:rPr>
              <w:fldChar w:fldCharType="end"/>
            </w:r>
          </w:hyperlink>
        </w:p>
        <w:p w14:paraId="6372D1AF" w14:textId="31B2A120" w:rsidR="001701A6" w:rsidRDefault="00E9190F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95" w:history="1">
            <w:r w:rsidR="001701A6" w:rsidRPr="00C07800">
              <w:rPr>
                <w:rStyle w:val="Hyperlink"/>
              </w:rPr>
              <w:t>Appendix 1 – Additional Information</w:t>
            </w:r>
            <w:r w:rsidR="001701A6">
              <w:rPr>
                <w:webHidden/>
              </w:rPr>
              <w:tab/>
            </w:r>
            <w:r w:rsidR="001701A6">
              <w:rPr>
                <w:webHidden/>
              </w:rPr>
              <w:fldChar w:fldCharType="begin"/>
            </w:r>
            <w:r w:rsidR="001701A6">
              <w:rPr>
                <w:webHidden/>
              </w:rPr>
              <w:instrText xml:space="preserve"> PAGEREF _Toc179816395 \h </w:instrText>
            </w:r>
            <w:r w:rsidR="001701A6">
              <w:rPr>
                <w:webHidden/>
              </w:rPr>
            </w:r>
            <w:r w:rsidR="001701A6">
              <w:rPr>
                <w:webHidden/>
              </w:rPr>
              <w:fldChar w:fldCharType="separate"/>
            </w:r>
            <w:r w:rsidR="001701A6">
              <w:rPr>
                <w:webHidden/>
              </w:rPr>
              <w:t>7</w:t>
            </w:r>
            <w:r w:rsidR="001701A6">
              <w:rPr>
                <w:webHidden/>
              </w:rPr>
              <w:fldChar w:fldCharType="end"/>
            </w:r>
          </w:hyperlink>
        </w:p>
        <w:p w14:paraId="46E31A30" w14:textId="5F18238D" w:rsidR="001701A6" w:rsidRDefault="00E9190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96" w:history="1">
            <w:r w:rsidR="001701A6" w:rsidRPr="00C07800">
              <w:rPr>
                <w:rStyle w:val="Hyperlink"/>
                <w:rFonts w:eastAsia="MS Mincho"/>
              </w:rPr>
              <w:t>Emergency relief handbook</w:t>
            </w:r>
            <w:r w:rsidR="001701A6">
              <w:rPr>
                <w:webHidden/>
              </w:rPr>
              <w:tab/>
            </w:r>
            <w:r w:rsidR="001701A6">
              <w:rPr>
                <w:webHidden/>
              </w:rPr>
              <w:fldChar w:fldCharType="begin"/>
            </w:r>
            <w:r w:rsidR="001701A6">
              <w:rPr>
                <w:webHidden/>
              </w:rPr>
              <w:instrText xml:space="preserve"> PAGEREF _Toc179816396 \h </w:instrText>
            </w:r>
            <w:r w:rsidR="001701A6">
              <w:rPr>
                <w:webHidden/>
              </w:rPr>
            </w:r>
            <w:r w:rsidR="001701A6">
              <w:rPr>
                <w:webHidden/>
              </w:rPr>
              <w:fldChar w:fldCharType="separate"/>
            </w:r>
            <w:r w:rsidR="001701A6">
              <w:rPr>
                <w:webHidden/>
              </w:rPr>
              <w:t>7</w:t>
            </w:r>
            <w:r w:rsidR="001701A6">
              <w:rPr>
                <w:webHidden/>
              </w:rPr>
              <w:fldChar w:fldCharType="end"/>
            </w:r>
          </w:hyperlink>
        </w:p>
        <w:p w14:paraId="117087B2" w14:textId="059BFBA8" w:rsidR="001701A6" w:rsidRDefault="00E9190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97" w:history="1">
            <w:r w:rsidR="001701A6" w:rsidRPr="00C07800">
              <w:rPr>
                <w:rStyle w:val="Hyperlink"/>
                <w:rFonts w:eastAsia="MS Mincho"/>
              </w:rPr>
              <w:t>Personal Hardship and Assistance Program</w:t>
            </w:r>
            <w:r w:rsidR="001701A6">
              <w:rPr>
                <w:webHidden/>
              </w:rPr>
              <w:tab/>
            </w:r>
            <w:r w:rsidR="001701A6">
              <w:rPr>
                <w:webHidden/>
              </w:rPr>
              <w:fldChar w:fldCharType="begin"/>
            </w:r>
            <w:r w:rsidR="001701A6">
              <w:rPr>
                <w:webHidden/>
              </w:rPr>
              <w:instrText xml:space="preserve"> PAGEREF _Toc179816397 \h </w:instrText>
            </w:r>
            <w:r w:rsidR="001701A6">
              <w:rPr>
                <w:webHidden/>
              </w:rPr>
            </w:r>
            <w:r w:rsidR="001701A6">
              <w:rPr>
                <w:webHidden/>
              </w:rPr>
              <w:fldChar w:fldCharType="separate"/>
            </w:r>
            <w:r w:rsidR="001701A6">
              <w:rPr>
                <w:webHidden/>
              </w:rPr>
              <w:t>7</w:t>
            </w:r>
            <w:r w:rsidR="001701A6">
              <w:rPr>
                <w:webHidden/>
              </w:rPr>
              <w:fldChar w:fldCharType="end"/>
            </w:r>
          </w:hyperlink>
        </w:p>
        <w:p w14:paraId="25126C7E" w14:textId="1D4B4FE9" w:rsidR="001701A6" w:rsidRDefault="00E9190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98" w:history="1">
            <w:r w:rsidR="001701A6" w:rsidRPr="00C07800">
              <w:rPr>
                <w:rStyle w:val="Hyperlink"/>
                <w:rFonts w:eastAsia="MS Mincho"/>
              </w:rPr>
              <w:t>Emergency Relief Payments</w:t>
            </w:r>
            <w:r w:rsidR="001701A6">
              <w:rPr>
                <w:webHidden/>
              </w:rPr>
              <w:tab/>
            </w:r>
            <w:r w:rsidR="001701A6">
              <w:rPr>
                <w:webHidden/>
              </w:rPr>
              <w:fldChar w:fldCharType="begin"/>
            </w:r>
            <w:r w:rsidR="001701A6">
              <w:rPr>
                <w:webHidden/>
              </w:rPr>
              <w:instrText xml:space="preserve"> PAGEREF _Toc179816398 \h </w:instrText>
            </w:r>
            <w:r w:rsidR="001701A6">
              <w:rPr>
                <w:webHidden/>
              </w:rPr>
            </w:r>
            <w:r w:rsidR="001701A6">
              <w:rPr>
                <w:webHidden/>
              </w:rPr>
              <w:fldChar w:fldCharType="separate"/>
            </w:r>
            <w:r w:rsidR="001701A6">
              <w:rPr>
                <w:webHidden/>
              </w:rPr>
              <w:t>7</w:t>
            </w:r>
            <w:r w:rsidR="001701A6">
              <w:rPr>
                <w:webHidden/>
              </w:rPr>
              <w:fldChar w:fldCharType="end"/>
            </w:r>
          </w:hyperlink>
        </w:p>
        <w:p w14:paraId="66AF64AE" w14:textId="4ED8D36C" w:rsidR="00C9047C" w:rsidRDefault="007767C7" w:rsidP="0091115C">
          <w:pPr>
            <w:pStyle w:val="TOC2"/>
          </w:pPr>
          <w:r>
            <w:fldChar w:fldCharType="end"/>
          </w:r>
        </w:p>
      </w:sdtContent>
    </w:sdt>
    <w:p w14:paraId="7A8D71D2" w14:textId="77777777" w:rsidR="0091115C" w:rsidRDefault="0091115C">
      <w:pPr>
        <w:spacing w:after="0" w:line="240" w:lineRule="auto"/>
        <w:rPr>
          <w:rFonts w:eastAsia="MS Gothic" w:cs="Arial"/>
          <w:bCs/>
          <w:color w:val="201547"/>
          <w:kern w:val="32"/>
          <w:sz w:val="44"/>
          <w:szCs w:val="44"/>
        </w:rPr>
      </w:pPr>
      <w:r>
        <w:br w:type="page"/>
      </w:r>
    </w:p>
    <w:p w14:paraId="76B32E1D" w14:textId="3E5268DB" w:rsidR="00C04A34" w:rsidRDefault="00D573D0" w:rsidP="00DC6CDA">
      <w:pPr>
        <w:pStyle w:val="Heading1"/>
        <w:spacing w:before="0"/>
      </w:pPr>
      <w:bookmarkStart w:id="1" w:name="_Toc179816385"/>
      <w:r>
        <w:lastRenderedPageBreak/>
        <w:t>Definitions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573D0" w14:paraId="1010365F" w14:textId="77777777" w:rsidTr="004C6562">
        <w:tc>
          <w:tcPr>
            <w:tcW w:w="2547" w:type="dxa"/>
          </w:tcPr>
          <w:p w14:paraId="20933F2A" w14:textId="77777777" w:rsidR="00D573D0" w:rsidRPr="004C6562" w:rsidRDefault="00EA62AA" w:rsidP="004C6562">
            <w:pPr>
              <w:spacing w:before="80" w:after="60" w:line="240" w:lineRule="auto"/>
              <w:rPr>
                <w:b/>
                <w:lang w:eastAsia="en-AU"/>
              </w:rPr>
            </w:pPr>
            <w:r w:rsidRPr="004C6562">
              <w:rPr>
                <w:b/>
                <w:lang w:eastAsia="en-AU"/>
              </w:rPr>
              <w:t>Term</w:t>
            </w:r>
          </w:p>
        </w:tc>
        <w:tc>
          <w:tcPr>
            <w:tcW w:w="6469" w:type="dxa"/>
          </w:tcPr>
          <w:p w14:paraId="4BEAF6F0" w14:textId="77777777" w:rsidR="00D573D0" w:rsidRPr="004C6562" w:rsidRDefault="00EA62AA" w:rsidP="004C6562">
            <w:pPr>
              <w:spacing w:before="80" w:after="60" w:line="240" w:lineRule="auto"/>
              <w:rPr>
                <w:b/>
                <w:lang w:eastAsia="en-AU"/>
              </w:rPr>
            </w:pPr>
            <w:r w:rsidRPr="004C6562">
              <w:rPr>
                <w:b/>
                <w:lang w:eastAsia="en-AU"/>
              </w:rPr>
              <w:t>Definition</w:t>
            </w:r>
          </w:p>
        </w:tc>
      </w:tr>
      <w:tr w:rsidR="0091115C" w14:paraId="262F7F44" w14:textId="77777777" w:rsidTr="004C6562">
        <w:tc>
          <w:tcPr>
            <w:tcW w:w="2547" w:type="dxa"/>
          </w:tcPr>
          <w:p w14:paraId="51C332E7" w14:textId="46789D68" w:rsidR="0091115C" w:rsidRPr="004C6562" w:rsidRDefault="0091115C" w:rsidP="00FD14FF">
            <w:pPr>
              <w:rPr>
                <w:rFonts w:eastAsia="Times"/>
                <w:lang w:eastAsia="en-AU"/>
              </w:rPr>
            </w:pPr>
            <w:r>
              <w:rPr>
                <w:rFonts w:eastAsia="Times"/>
                <w:lang w:eastAsia="en-AU"/>
              </w:rPr>
              <w:t xml:space="preserve">Emergency </w:t>
            </w:r>
          </w:p>
        </w:tc>
        <w:tc>
          <w:tcPr>
            <w:tcW w:w="6469" w:type="dxa"/>
          </w:tcPr>
          <w:p w14:paraId="4884B563" w14:textId="5093B397" w:rsidR="0091115C" w:rsidRPr="004C6562" w:rsidRDefault="0091115C" w:rsidP="00FD14FF">
            <w:pPr>
              <w:pStyle w:val="Bodyafterbullets"/>
            </w:pPr>
            <w:r w:rsidRPr="00DE1F2C">
              <w:t>A</w:t>
            </w:r>
            <w:r>
              <w:t xml:space="preserve">n </w:t>
            </w:r>
            <w:r w:rsidRPr="00DE1F2C">
              <w:t xml:space="preserve">emergency is </w:t>
            </w:r>
            <w:r>
              <w:t>considered something that effects an individual or a group that may include fire, storm, flood. Which may involve g</w:t>
            </w:r>
            <w:r w:rsidRPr="00DE1F2C">
              <w:t>overnment agencies</w:t>
            </w:r>
            <w:r>
              <w:t>, e</w:t>
            </w:r>
            <w:r w:rsidRPr="00DE1F2C">
              <w:t>mergency services</w:t>
            </w:r>
            <w:r>
              <w:t xml:space="preserve"> and stakeholders. </w:t>
            </w:r>
          </w:p>
        </w:tc>
      </w:tr>
      <w:tr w:rsidR="004174A3" w14:paraId="2537529C" w14:textId="77777777" w:rsidTr="004C6562">
        <w:tc>
          <w:tcPr>
            <w:tcW w:w="2547" w:type="dxa"/>
          </w:tcPr>
          <w:p w14:paraId="5902A48A" w14:textId="77777777" w:rsidR="004174A3" w:rsidRPr="004C6562" w:rsidRDefault="004174A3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 xml:space="preserve">Emergency management </w:t>
            </w:r>
          </w:p>
        </w:tc>
        <w:tc>
          <w:tcPr>
            <w:tcW w:w="6469" w:type="dxa"/>
          </w:tcPr>
          <w:p w14:paraId="556F2DA7" w14:textId="77777777" w:rsidR="004174A3" w:rsidRPr="004C6562" w:rsidRDefault="004174A3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The coordinated efforts and processes involved in preparing for, responding to, recovering from, and mitigating the impacts of emergencies and disasters.</w:t>
            </w:r>
          </w:p>
        </w:tc>
      </w:tr>
      <w:tr w:rsidR="004174A3" w14:paraId="0431DF12" w14:textId="77777777" w:rsidTr="004C6562">
        <w:tc>
          <w:tcPr>
            <w:tcW w:w="2547" w:type="dxa"/>
          </w:tcPr>
          <w:p w14:paraId="5668F693" w14:textId="77777777" w:rsidR="004174A3" w:rsidRPr="004C6562" w:rsidRDefault="00C43E89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Emergency response</w:t>
            </w:r>
          </w:p>
        </w:tc>
        <w:tc>
          <w:tcPr>
            <w:tcW w:w="6469" w:type="dxa"/>
          </w:tcPr>
          <w:p w14:paraId="13C83F52" w14:textId="77777777" w:rsidR="004174A3" w:rsidRPr="004C6562" w:rsidRDefault="00C43E89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 xml:space="preserve">The immediate actions taken to address </w:t>
            </w:r>
            <w:proofErr w:type="gramStart"/>
            <w:r w:rsidRPr="004C6562">
              <w:rPr>
                <w:rFonts w:eastAsia="Times"/>
                <w:lang w:eastAsia="en-AU"/>
              </w:rPr>
              <w:t>an emergency situation</w:t>
            </w:r>
            <w:proofErr w:type="gramEnd"/>
            <w:r w:rsidRPr="004C6562">
              <w:rPr>
                <w:rFonts w:eastAsia="Times"/>
                <w:lang w:eastAsia="en-AU"/>
              </w:rPr>
              <w:t>, including evacuation, rescue operations, and the provision of medical assistance.</w:t>
            </w:r>
          </w:p>
        </w:tc>
      </w:tr>
      <w:tr w:rsidR="00C43E89" w14:paraId="35A2B9AF" w14:textId="77777777" w:rsidTr="004C6562">
        <w:tc>
          <w:tcPr>
            <w:tcW w:w="2547" w:type="dxa"/>
          </w:tcPr>
          <w:p w14:paraId="08476473" w14:textId="77777777" w:rsidR="00C43E89" w:rsidRPr="004C6562" w:rsidRDefault="00F0460A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Evacuation plan</w:t>
            </w:r>
          </w:p>
        </w:tc>
        <w:tc>
          <w:tcPr>
            <w:tcW w:w="6469" w:type="dxa"/>
          </w:tcPr>
          <w:p w14:paraId="35E53804" w14:textId="77777777" w:rsidR="00C43E89" w:rsidRPr="004C6562" w:rsidRDefault="00F0460A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A detailed strategy outlining the procedures for safely evacuating occupants from a building during an emergency.</w:t>
            </w:r>
          </w:p>
        </w:tc>
      </w:tr>
      <w:tr w:rsidR="0006557A" w14:paraId="1CF12C6B" w14:textId="77777777" w:rsidTr="004C6562">
        <w:tc>
          <w:tcPr>
            <w:tcW w:w="2547" w:type="dxa"/>
          </w:tcPr>
          <w:p w14:paraId="3EBA4C4F" w14:textId="77777777" w:rsidR="0006557A" w:rsidRPr="004C6562" w:rsidRDefault="0006557A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 xml:space="preserve">Risk assessment </w:t>
            </w:r>
          </w:p>
        </w:tc>
        <w:tc>
          <w:tcPr>
            <w:tcW w:w="6469" w:type="dxa"/>
          </w:tcPr>
          <w:p w14:paraId="0C0E5575" w14:textId="77777777" w:rsidR="0006557A" w:rsidRPr="004C6562" w:rsidRDefault="0006557A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The process of identifying and evaluating potential hazards that could affect the safety and security of high-rise buildings and their occupants.</w:t>
            </w:r>
          </w:p>
        </w:tc>
      </w:tr>
      <w:tr w:rsidR="0006557A" w14:paraId="13D06E5A" w14:textId="77777777" w:rsidTr="004C6562">
        <w:tc>
          <w:tcPr>
            <w:tcW w:w="2547" w:type="dxa"/>
          </w:tcPr>
          <w:p w14:paraId="6B41C036" w14:textId="77777777" w:rsidR="0006557A" w:rsidRPr="004C6562" w:rsidRDefault="003E71A4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 xml:space="preserve">Crisis </w:t>
            </w:r>
            <w:r w:rsidR="000F7282" w:rsidRPr="004C6562">
              <w:rPr>
                <w:rFonts w:eastAsia="Times"/>
                <w:lang w:eastAsia="en-AU"/>
              </w:rPr>
              <w:t xml:space="preserve">communication </w:t>
            </w:r>
            <w:r w:rsidRPr="004C6562">
              <w:rPr>
                <w:rFonts w:eastAsia="Times"/>
                <w:lang w:eastAsia="en-AU"/>
              </w:rPr>
              <w:t xml:space="preserve"> </w:t>
            </w:r>
          </w:p>
        </w:tc>
        <w:tc>
          <w:tcPr>
            <w:tcW w:w="6469" w:type="dxa"/>
          </w:tcPr>
          <w:p w14:paraId="5477D26C" w14:textId="77777777" w:rsidR="0006557A" w:rsidRPr="004C6562" w:rsidRDefault="00312028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The dissemination of information to stakeholders, including residents and emergency services, during an emergency to ensure clear and effective communication.</w:t>
            </w:r>
          </w:p>
        </w:tc>
      </w:tr>
      <w:tr w:rsidR="00CB6C66" w14:paraId="0750BCC8" w14:textId="77777777" w:rsidTr="004C6562">
        <w:tc>
          <w:tcPr>
            <w:tcW w:w="2547" w:type="dxa"/>
          </w:tcPr>
          <w:p w14:paraId="3E262280" w14:textId="77777777" w:rsidR="00CB6C66" w:rsidRPr="004C6562" w:rsidRDefault="00CB6C66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 xml:space="preserve">Preparedness </w:t>
            </w:r>
          </w:p>
        </w:tc>
        <w:tc>
          <w:tcPr>
            <w:tcW w:w="6469" w:type="dxa"/>
          </w:tcPr>
          <w:p w14:paraId="58065DFE" w14:textId="77777777" w:rsidR="00CB6C66" w:rsidRPr="004C6562" w:rsidRDefault="00CB6C66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The state of having plans, procedures, and resources in place to effectively respond to potential emergencies or disasters.</w:t>
            </w:r>
          </w:p>
        </w:tc>
      </w:tr>
      <w:tr w:rsidR="00CB6C66" w14:paraId="2D0ACD53" w14:textId="77777777" w:rsidTr="004C6562">
        <w:tc>
          <w:tcPr>
            <w:tcW w:w="2547" w:type="dxa"/>
          </w:tcPr>
          <w:p w14:paraId="3F670086" w14:textId="77777777" w:rsidR="00CB6C66" w:rsidRPr="004C6562" w:rsidRDefault="00CA7D07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 xml:space="preserve">Mitigation </w:t>
            </w:r>
          </w:p>
        </w:tc>
        <w:tc>
          <w:tcPr>
            <w:tcW w:w="6469" w:type="dxa"/>
          </w:tcPr>
          <w:p w14:paraId="6D8BF389" w14:textId="77777777" w:rsidR="00CB6C66" w:rsidRPr="004C6562" w:rsidRDefault="003D2D31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Efforts taken to reduce the impact or likelihood of emergencies occurring, including building design, safety measures, and community education.</w:t>
            </w:r>
          </w:p>
        </w:tc>
      </w:tr>
      <w:tr w:rsidR="00B768E6" w14:paraId="120853E5" w14:textId="77777777" w:rsidTr="004C6562">
        <w:tc>
          <w:tcPr>
            <w:tcW w:w="2547" w:type="dxa"/>
          </w:tcPr>
          <w:p w14:paraId="1273BB0D" w14:textId="77777777" w:rsidR="00B768E6" w:rsidRPr="004C6562" w:rsidRDefault="00B768E6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Shelter-in-place</w:t>
            </w:r>
          </w:p>
        </w:tc>
        <w:tc>
          <w:tcPr>
            <w:tcW w:w="6469" w:type="dxa"/>
          </w:tcPr>
          <w:p w14:paraId="7CDBA9A7" w14:textId="77777777" w:rsidR="00B768E6" w:rsidRPr="004C6562" w:rsidRDefault="00B768E6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A strategy where occupants are advised to remain indoors and seek safety within the building during certain types of emergencies, such as hazardous material spills or severe weather events.</w:t>
            </w:r>
          </w:p>
        </w:tc>
      </w:tr>
      <w:tr w:rsidR="00EA62AA" w14:paraId="704CB7F5" w14:textId="77777777" w:rsidTr="004C6562">
        <w:tc>
          <w:tcPr>
            <w:tcW w:w="2547" w:type="dxa"/>
          </w:tcPr>
          <w:p w14:paraId="64874524" w14:textId="77777777" w:rsidR="00EA62AA" w:rsidRPr="004C6562" w:rsidRDefault="00445463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Business continuity</w:t>
            </w:r>
          </w:p>
        </w:tc>
        <w:tc>
          <w:tcPr>
            <w:tcW w:w="6469" w:type="dxa"/>
          </w:tcPr>
          <w:p w14:paraId="347464D3" w14:textId="77777777" w:rsidR="00EA62AA" w:rsidRPr="004C6562" w:rsidRDefault="00445463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The processes and plans implemented by an organisation to ensure that critical business functions can continue during and after a significant disruption.</w:t>
            </w:r>
          </w:p>
        </w:tc>
      </w:tr>
      <w:tr w:rsidR="00EA62AA" w14:paraId="739BD280" w14:textId="77777777" w:rsidTr="004C6562">
        <w:tc>
          <w:tcPr>
            <w:tcW w:w="2547" w:type="dxa"/>
          </w:tcPr>
          <w:p w14:paraId="4A3A32E1" w14:textId="77777777" w:rsidR="00EA62AA" w:rsidRPr="004C6562" w:rsidRDefault="00EA62AA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Service agreement</w:t>
            </w:r>
          </w:p>
        </w:tc>
        <w:tc>
          <w:tcPr>
            <w:tcW w:w="6469" w:type="dxa"/>
          </w:tcPr>
          <w:p w14:paraId="35BECBC3" w14:textId="77777777" w:rsidR="00EA62AA" w:rsidRPr="004C6562" w:rsidRDefault="00EA62AA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A service agreement is a legal contract between a government department and a funded organisation for delivery of services in the community on behalf of the department.</w:t>
            </w:r>
          </w:p>
        </w:tc>
      </w:tr>
    </w:tbl>
    <w:p w14:paraId="4E203D61" w14:textId="77777777" w:rsidR="00D573D0" w:rsidRPr="00D573D0" w:rsidRDefault="00D573D0" w:rsidP="00C04A34">
      <w:pPr>
        <w:pStyle w:val="Body"/>
      </w:pPr>
    </w:p>
    <w:p w14:paraId="6CFA8764" w14:textId="77777777" w:rsidR="00CB75AB" w:rsidRDefault="00CB75AB" w:rsidP="00DC6CDA">
      <w:pPr>
        <w:pStyle w:val="Heading1"/>
        <w:spacing w:before="0"/>
        <w:sectPr w:rsidR="00CB75AB" w:rsidSect="00F15144">
          <w:pgSz w:w="11906" w:h="16838" w:code="9"/>
          <w:pgMar w:top="1418" w:right="1304" w:bottom="851" w:left="1304" w:header="680" w:footer="567" w:gutter="0"/>
          <w:cols w:space="340"/>
          <w:docGrid w:linePitch="360"/>
        </w:sectPr>
      </w:pPr>
    </w:p>
    <w:p w14:paraId="3CA2F4CD" w14:textId="1BB76501" w:rsidR="00DC6CDA" w:rsidRPr="007767C7" w:rsidRDefault="00DC6CDA" w:rsidP="00DC6CDA">
      <w:pPr>
        <w:pStyle w:val="Heading1"/>
        <w:spacing w:before="0"/>
      </w:pPr>
      <w:bookmarkStart w:id="2" w:name="_Toc179816386"/>
      <w:r>
        <w:lastRenderedPageBreak/>
        <w:t>Purpose</w:t>
      </w:r>
      <w:bookmarkEnd w:id="2"/>
      <w:r>
        <w:t xml:space="preserve"> </w:t>
      </w:r>
    </w:p>
    <w:p w14:paraId="660C92BE" w14:textId="7F2865E7" w:rsidR="0091115C" w:rsidRDefault="0091115C" w:rsidP="0091115C">
      <w:pPr>
        <w:pStyle w:val="Body"/>
      </w:pPr>
      <w:r>
        <w:t>Th</w:t>
      </w:r>
      <w:r w:rsidR="46CB3698">
        <w:t>is</w:t>
      </w:r>
      <w:r w:rsidRPr="0091115C">
        <w:t xml:space="preserve"> document </w:t>
      </w:r>
      <w:r w:rsidR="46CB3698">
        <w:t>consolidates</w:t>
      </w:r>
      <w:r w:rsidRPr="0091115C">
        <w:t xml:space="preserve"> and </w:t>
      </w:r>
      <w:r w:rsidR="46CB3698">
        <w:t>provides references to</w:t>
      </w:r>
      <w:r w:rsidRPr="0091115C">
        <w:t xml:space="preserve"> resources available for emergency management in public housing high-rise buildings. These resources apply to properties owned or leased by Homes Victoria and outline roles and responsibilities in managing high-</w:t>
      </w:r>
      <w:r>
        <w:t>rise</w:t>
      </w:r>
      <w:r w:rsidR="7F32C3E1">
        <w:t xml:space="preserve"> buildings</w:t>
      </w:r>
      <w:r>
        <w:t xml:space="preserve"> </w:t>
      </w:r>
      <w:r w:rsidR="2CD6004F">
        <w:t>in</w:t>
      </w:r>
      <w:r w:rsidRPr="0091115C">
        <w:t xml:space="preserve"> emergencies.</w:t>
      </w:r>
    </w:p>
    <w:p w14:paraId="0F59E440" w14:textId="6B7BE470" w:rsidR="00A35F63" w:rsidRDefault="00586876" w:rsidP="00A35F63">
      <w:pPr>
        <w:pStyle w:val="Heading1"/>
      </w:pPr>
      <w:bookmarkStart w:id="3" w:name="_Toc179816387"/>
      <w:bookmarkStart w:id="4" w:name="_Toc163488340"/>
      <w:r w:rsidRPr="00586876">
        <w:t>Frameworks</w:t>
      </w:r>
      <w:bookmarkEnd w:id="3"/>
      <w:r w:rsidRPr="00586876">
        <w:t xml:space="preserve"> </w:t>
      </w:r>
    </w:p>
    <w:p w14:paraId="0AF4943A" w14:textId="20E50B58" w:rsidR="00F563A4" w:rsidRPr="00F563A4" w:rsidRDefault="00F563A4" w:rsidP="00F563A4">
      <w:pPr>
        <w:pStyle w:val="Body"/>
      </w:pPr>
      <w:r>
        <w:t xml:space="preserve">This section </w:t>
      </w:r>
      <w:r w:rsidR="0F7CC8FB">
        <w:t>covers</w:t>
      </w:r>
      <w:r>
        <w:t xml:space="preserve"> legislative and policy frameworks which support emergency </w:t>
      </w:r>
      <w:r w:rsidR="003C36A0">
        <w:t xml:space="preserve">preparedness and </w:t>
      </w:r>
      <w:r>
        <w:t>response</w:t>
      </w:r>
      <w:r w:rsidR="003C36A0">
        <w:t xml:space="preserve"> in Victoria</w:t>
      </w:r>
      <w:r>
        <w:t xml:space="preserve">. </w:t>
      </w:r>
    </w:p>
    <w:p w14:paraId="0C64C929" w14:textId="769EF269" w:rsidR="00A35F63" w:rsidRDefault="00A35F63" w:rsidP="00442656">
      <w:pPr>
        <w:pStyle w:val="Heading2"/>
        <w:rPr>
          <w:rFonts w:eastAsia="MS Mincho"/>
          <w:b w:val="0"/>
          <w:bCs/>
          <w:sz w:val="24"/>
          <w:szCs w:val="22"/>
        </w:rPr>
      </w:pPr>
      <w:bookmarkStart w:id="5" w:name="_Toc179816388"/>
      <w:r w:rsidRPr="00442656">
        <w:rPr>
          <w:b w:val="0"/>
        </w:rPr>
        <w:t>Legislative</w:t>
      </w:r>
      <w:bookmarkEnd w:id="5"/>
    </w:p>
    <w:p w14:paraId="3D64CCEB" w14:textId="742BFF8E" w:rsidR="00DC6CDA" w:rsidRPr="00F563A4" w:rsidRDefault="00DC6CDA" w:rsidP="00F563A4">
      <w:pPr>
        <w:pStyle w:val="Body"/>
        <w:rPr>
          <w:b/>
        </w:rPr>
      </w:pPr>
      <w:r w:rsidRPr="00F563A4">
        <w:rPr>
          <w:bCs/>
        </w:rPr>
        <w:t xml:space="preserve">The Victorian Government’s </w:t>
      </w:r>
      <w:r w:rsidR="00F563A4" w:rsidRPr="00F563A4">
        <w:rPr>
          <w:bCs/>
        </w:rPr>
        <w:t>State emergency management arrangements</w:t>
      </w:r>
      <w:r w:rsidRPr="00F563A4">
        <w:rPr>
          <w:bCs/>
        </w:rPr>
        <w:t xml:space="preserve"> are outlined in the</w:t>
      </w:r>
      <w:r w:rsidRPr="00F563A4">
        <w:rPr>
          <w:b/>
        </w:rPr>
        <w:t>:</w:t>
      </w:r>
    </w:p>
    <w:p w14:paraId="3F5D9AF0" w14:textId="77777777" w:rsidR="00F731E1" w:rsidRDefault="00E9190F" w:rsidP="00F731E1">
      <w:pPr>
        <w:pStyle w:val="Bullet1"/>
      </w:pPr>
      <w:hyperlink r:id="rId20" w:history="1">
        <w:r w:rsidR="00DC6CDA" w:rsidRPr="00C04A34">
          <w:rPr>
            <w:rStyle w:val="Hyperlink"/>
          </w:rPr>
          <w:t>Emergency M</w:t>
        </w:r>
        <w:bookmarkStart w:id="6" w:name="_Hlt179802381"/>
        <w:bookmarkStart w:id="7" w:name="_Hlt179802382"/>
        <w:bookmarkEnd w:id="6"/>
        <w:bookmarkEnd w:id="7"/>
        <w:r w:rsidR="00DC6CDA" w:rsidRPr="00C04A34">
          <w:rPr>
            <w:rStyle w:val="Hyperlink"/>
          </w:rPr>
          <w:t>anagement Act (1986)</w:t>
        </w:r>
      </w:hyperlink>
      <w:r w:rsidR="00DC6CDA" w:rsidRPr="00BD289E">
        <w:t xml:space="preserve"> &lt;https://www.legislation.vic.gov.au/in-force/acts/emergency-management-act-1986/051&gt;; </w:t>
      </w:r>
      <w:r w:rsidR="00F731E1" w:rsidRPr="003644FF">
        <w:t>The purpose of this Act is to provide for the organisation of emergency management in Victoria</w:t>
      </w:r>
      <w:r w:rsidR="00F731E1">
        <w:t>.</w:t>
      </w:r>
    </w:p>
    <w:p w14:paraId="71A993B8" w14:textId="3E90DEB4" w:rsidR="005D1F1B" w:rsidRPr="00BD289E" w:rsidRDefault="00E9190F" w:rsidP="00F731E1">
      <w:pPr>
        <w:pStyle w:val="Bullet1"/>
      </w:pPr>
      <w:hyperlink r:id="rId21" w:history="1">
        <w:r w:rsidR="00F731E1" w:rsidRPr="00DF26FC">
          <w:rPr>
            <w:rStyle w:val="Hyperlink"/>
          </w:rPr>
          <w:t>Emergency Management Act (2013 update)</w:t>
        </w:r>
      </w:hyperlink>
      <w:r w:rsidR="00DC6CDA" w:rsidRPr="00BD289E">
        <w:t xml:space="preserve"> </w:t>
      </w:r>
      <w:hyperlink r:id="rId22" w:history="1">
        <w:r w:rsidR="00F731E1" w:rsidRPr="00DF26FC">
          <w:rPr>
            <w:rStyle w:val="Hyperlink"/>
          </w:rPr>
          <w:t>https://www.legislation.vic.gov.au/in-force/acts/emergency-management-act-2013/020</w:t>
        </w:r>
      </w:hyperlink>
      <w:r w:rsidR="00F731E1">
        <w:t xml:space="preserve"> The purpose of this Act is to— (a) establish new governance arrangements for emergency management in Victoria; and (b) repeal the Fire Services Commissioner Act 2010; and (c) consequentially amend emergency management legislation and certain other Acts.</w:t>
      </w:r>
    </w:p>
    <w:p w14:paraId="1AF10DCE" w14:textId="33365541" w:rsidR="005D1F1B" w:rsidRPr="00BD289E" w:rsidRDefault="00E9190F" w:rsidP="005D1F1B">
      <w:pPr>
        <w:pStyle w:val="Bullet1"/>
      </w:pPr>
      <w:hyperlink r:id="rId23" w:history="1">
        <w:r w:rsidR="00DC6CDA" w:rsidRPr="00C04A34">
          <w:rPr>
            <w:rStyle w:val="Hyperlink"/>
          </w:rPr>
          <w:t xml:space="preserve">State Emergency Management Plan </w:t>
        </w:r>
        <w:bookmarkStart w:id="8" w:name="_Hlt179802524"/>
        <w:bookmarkStart w:id="9" w:name="_Hlt179802525"/>
        <w:bookmarkEnd w:id="8"/>
        <w:bookmarkEnd w:id="9"/>
        <w:r w:rsidR="00DC6CDA" w:rsidRPr="00C04A34">
          <w:rPr>
            <w:rStyle w:val="Hyperlink"/>
          </w:rPr>
          <w:t>(SEMP)</w:t>
        </w:r>
      </w:hyperlink>
      <w:r w:rsidR="00F731E1">
        <w:t xml:space="preserve"> </w:t>
      </w:r>
      <w:r w:rsidR="00DC6CDA" w:rsidRPr="00BD289E">
        <w:t>&lt;https://www.emv.vic.gov.au/responsibilities/semp&gt;.</w:t>
      </w:r>
      <w:r w:rsidR="00F731E1" w:rsidRPr="00F731E1">
        <w:rPr>
          <w:rFonts w:ascii="Source Sans Pro" w:hAnsi="Source Sans Pro"/>
          <w:color w:val="000000"/>
          <w:sz w:val="27"/>
          <w:szCs w:val="27"/>
          <w:shd w:val="clear" w:color="auto" w:fill="FFFFFF"/>
        </w:rPr>
        <w:t xml:space="preserve"> </w:t>
      </w:r>
      <w:r w:rsidR="00F731E1" w:rsidRPr="00F731E1">
        <w:t>Contains provisions providing for the mitigation of, response to and recovery from emergencies, and specifies the roles and responsibilities of agencies in relation to emergency management (EM).</w:t>
      </w:r>
    </w:p>
    <w:p w14:paraId="23515C88" w14:textId="61E6E7FD" w:rsidR="00586876" w:rsidRPr="00442656" w:rsidRDefault="00586876" w:rsidP="00442656">
      <w:pPr>
        <w:pStyle w:val="Heading2"/>
        <w:rPr>
          <w:b w:val="0"/>
        </w:rPr>
      </w:pPr>
      <w:bookmarkStart w:id="10" w:name="_Toc179816389"/>
      <w:r w:rsidRPr="00442656">
        <w:rPr>
          <w:b w:val="0"/>
        </w:rPr>
        <w:t xml:space="preserve">Policy </w:t>
      </w:r>
      <w:r w:rsidR="00CE19C6">
        <w:rPr>
          <w:b w:val="0"/>
        </w:rPr>
        <w:t>and guidelines</w:t>
      </w:r>
      <w:bookmarkEnd w:id="10"/>
      <w:r w:rsidR="00CE19C6">
        <w:rPr>
          <w:b w:val="0"/>
        </w:rPr>
        <w:t xml:space="preserve"> </w:t>
      </w:r>
    </w:p>
    <w:p w14:paraId="155344BA" w14:textId="52B25AA8" w:rsidR="00CE19C6" w:rsidRPr="00F563A4" w:rsidRDefault="00CE19C6" w:rsidP="00CE19C6">
      <w:pPr>
        <w:pStyle w:val="Body"/>
        <w:rPr>
          <w:b/>
        </w:rPr>
      </w:pPr>
      <w:r w:rsidRPr="00F563A4">
        <w:rPr>
          <w:bCs/>
        </w:rPr>
        <w:t>The Victorian Government’s State emergency management arrangements are outlined in</w:t>
      </w:r>
      <w:r w:rsidRPr="00F563A4">
        <w:rPr>
          <w:b/>
        </w:rPr>
        <w:t>:</w:t>
      </w:r>
    </w:p>
    <w:p w14:paraId="40AF30BE" w14:textId="54FC3E8E" w:rsidR="00D40E85" w:rsidRPr="00D11323" w:rsidRDefault="00E9190F" w:rsidP="00D40E85">
      <w:pPr>
        <w:pStyle w:val="Bullet1"/>
      </w:pPr>
      <w:hyperlink r:id="rId24" w:tooltip="Social services sector emergency management policy.docx" w:history="1">
        <w:r w:rsidR="00CE19C6" w:rsidRPr="00D11422">
          <w:rPr>
            <w:rStyle w:val="Hyperlink"/>
          </w:rPr>
          <w:t>Social services sector emergency management policy (Word)</w:t>
        </w:r>
      </w:hyperlink>
      <w:r w:rsidR="00513939">
        <w:rPr>
          <w:rStyle w:val="Hyperlink"/>
        </w:rPr>
        <w:t>.</w:t>
      </w:r>
      <w:r w:rsidR="00D40E85">
        <w:rPr>
          <w:rStyle w:val="Hyperlink"/>
        </w:rPr>
        <w:t xml:space="preserve"> </w:t>
      </w:r>
      <w:r w:rsidR="00513939">
        <w:t>T</w:t>
      </w:r>
      <w:r w:rsidR="00D40E85">
        <w:t>his policy assists the department and service providers to prepare for and respond to emergencies</w:t>
      </w:r>
      <w:r w:rsidR="00D40E85" w:rsidRPr="000E20B0">
        <w:t xml:space="preserve">. </w:t>
      </w:r>
    </w:p>
    <w:p w14:paraId="7841821E" w14:textId="383E3BC3" w:rsidR="00CE19C6" w:rsidRPr="00D11323" w:rsidRDefault="00E9190F" w:rsidP="00D40E85">
      <w:pPr>
        <w:pStyle w:val="Bullet1"/>
        <w:rPr>
          <w:rStyle w:val="Hyperlink"/>
          <w:color w:val="auto"/>
          <w:u w:val="none"/>
        </w:rPr>
      </w:pPr>
      <w:hyperlink r:id="rId25">
        <w:r w:rsidR="00CE19C6" w:rsidRPr="00CE19C6">
          <w:rPr>
            <w:rStyle w:val="Hyperlink"/>
          </w:rPr>
          <w:t xml:space="preserve">Emergency Management Housing </w:t>
        </w:r>
        <w:r w:rsidR="00CE19C6" w:rsidRPr="163A4CDD">
          <w:rPr>
            <w:rStyle w:val="Hyperlink"/>
          </w:rPr>
          <w:t>O</w:t>
        </w:r>
      </w:hyperlink>
      <w:r w:rsidR="00CE19C6" w:rsidRPr="163A4CDD">
        <w:rPr>
          <w:rStyle w:val="Hyperlink"/>
        </w:rPr>
        <w:t xml:space="preserve">perational </w:t>
      </w:r>
      <w:proofErr w:type="gramStart"/>
      <w:r w:rsidR="00CE19C6" w:rsidRPr="163A4CDD">
        <w:rPr>
          <w:rStyle w:val="Hyperlink"/>
        </w:rPr>
        <w:t xml:space="preserve">Guidelines </w:t>
      </w:r>
      <w:r w:rsidR="00D40E85">
        <w:rPr>
          <w:rStyle w:val="Hyperlink"/>
        </w:rPr>
        <w:t xml:space="preserve"> </w:t>
      </w:r>
      <w:r w:rsidR="00841DC0">
        <w:rPr>
          <w:rStyle w:val="Hyperlink"/>
        </w:rPr>
        <w:t>(</w:t>
      </w:r>
      <w:proofErr w:type="gramEnd"/>
      <w:r w:rsidR="00841DC0">
        <w:rPr>
          <w:rStyle w:val="Hyperlink"/>
        </w:rPr>
        <w:t xml:space="preserve">Victorian Housing </w:t>
      </w:r>
      <w:r w:rsidR="00AE39BB">
        <w:rPr>
          <w:rStyle w:val="Hyperlink"/>
        </w:rPr>
        <w:t>Register</w:t>
      </w:r>
      <w:r w:rsidR="00513939">
        <w:rPr>
          <w:rStyle w:val="Hyperlink"/>
        </w:rPr>
        <w:t>).</w:t>
      </w:r>
      <w:r w:rsidR="00513939">
        <w:t xml:space="preserve"> The</w:t>
      </w:r>
      <w:r w:rsidR="00DE3C9A" w:rsidRPr="00DE3C9A">
        <w:t xml:space="preserve"> guidelines</w:t>
      </w:r>
      <w:r w:rsidR="00DE3C9A">
        <w:t xml:space="preserve"> p</w:t>
      </w:r>
      <w:r w:rsidR="00CC1041">
        <w:t xml:space="preserve">rovide guidance </w:t>
      </w:r>
      <w:r w:rsidR="00AF226B">
        <w:t>when</w:t>
      </w:r>
      <w:r w:rsidR="00F533E0">
        <w:t xml:space="preserve"> individuals</w:t>
      </w:r>
      <w:r w:rsidR="4D71CC44">
        <w:t xml:space="preserve"> and</w:t>
      </w:r>
      <w:r w:rsidR="00F533E0">
        <w:t xml:space="preserve"> households </w:t>
      </w:r>
      <w:r w:rsidR="00924CBE">
        <w:t>need</w:t>
      </w:r>
      <w:r w:rsidR="00EB2C71">
        <w:t xml:space="preserve"> </w:t>
      </w:r>
      <w:r w:rsidR="00924CBE">
        <w:t xml:space="preserve">urgent </w:t>
      </w:r>
      <w:r w:rsidR="001C0631">
        <w:t>accommodation</w:t>
      </w:r>
      <w:r w:rsidR="003B1BC0">
        <w:t xml:space="preserve"> </w:t>
      </w:r>
      <w:r w:rsidR="002D21DA">
        <w:t>due to an emergency</w:t>
      </w:r>
      <w:r w:rsidR="00D40E85" w:rsidRPr="00D40E85">
        <w:t>.</w:t>
      </w:r>
      <w:r w:rsidR="00353BD8">
        <w:t xml:space="preserve"> </w:t>
      </w:r>
    </w:p>
    <w:p w14:paraId="7BC7DA2F" w14:textId="3487E899" w:rsidR="00CE19C6" w:rsidRPr="00D40E85" w:rsidRDefault="00E9190F" w:rsidP="001303F8">
      <w:pPr>
        <w:pStyle w:val="Bullet1"/>
      </w:pPr>
      <w:hyperlink r:id="rId26" w:tgtFrame="_blank" w:tooltip="https://dhhsvicgovau.sharepoint.com/:w:/r/sites/publichousingresources/_layouts/15/doc.aspx?sourcedoc=%7bb885912b-7065-41a7-ba62-45e4e61a08a9%7d&amp;file=dffh-afterhours-maintenance-guidelines-2023.docx&amp;action=default&amp;mobileredirect=true&amp;defaultitemopen=1%3fweb%3d" w:history="1">
        <w:r w:rsidR="001303F8" w:rsidRPr="007E7574">
          <w:rPr>
            <w:rStyle w:val="Hyperlink"/>
          </w:rPr>
          <w:t>DFFH-Afterhours-Maintenance-Guidelines-2023.docx (sharepoint.com)</w:t>
        </w:r>
      </w:hyperlink>
      <w:r w:rsidR="003163BD">
        <w:t xml:space="preserve">.The guideline provides </w:t>
      </w:r>
      <w:r w:rsidR="003C1FAF">
        <w:t xml:space="preserve">information to support afterhours maintenance </w:t>
      </w:r>
      <w:r w:rsidR="00BA6C65">
        <w:t xml:space="preserve">responses including advice in </w:t>
      </w:r>
      <w:r w:rsidR="00E12B83">
        <w:t>emergencies.</w:t>
      </w:r>
    </w:p>
    <w:p w14:paraId="7F78307D" w14:textId="737C9AB9" w:rsidR="00CE19C6" w:rsidRDefault="00E9190F" w:rsidP="00CE19C6">
      <w:pPr>
        <w:pStyle w:val="Bullet1"/>
        <w:rPr>
          <w:rStyle w:val="Hyperlink"/>
        </w:rPr>
      </w:pPr>
      <w:hyperlink r:id="rId27">
        <w:r w:rsidR="00CE19C6" w:rsidRPr="00CE19C6">
          <w:rPr>
            <w:rStyle w:val="Hyperlink"/>
          </w:rPr>
          <w:t>Capital Development Guidelines (series</w:t>
        </w:r>
        <w:bookmarkStart w:id="11" w:name="_Hlt179804798"/>
        <w:bookmarkEnd w:id="11"/>
        <w:r w:rsidR="00CE19C6" w:rsidRPr="00CE19C6">
          <w:rPr>
            <w:rStyle w:val="Hyperlink"/>
          </w:rPr>
          <w:t xml:space="preserve"> 7)</w:t>
        </w:r>
      </w:hyperlink>
      <w:r w:rsidR="00CE19C6" w:rsidRPr="00CE19C6">
        <w:rPr>
          <w:rStyle w:val="Hyperlink"/>
        </w:rPr>
        <w:t xml:space="preserve"> </w:t>
      </w:r>
      <w:hyperlink r:id="rId28" w:history="1">
        <w:r w:rsidR="00055301" w:rsidRPr="00DF26FC">
          <w:rPr>
            <w:rStyle w:val="Hyperlink"/>
          </w:rPr>
          <w:t>https://providers.dffh.vic.gov.au/capital-development</w:t>
        </w:r>
        <w:r w:rsidR="00055301" w:rsidRPr="00D11323">
          <w:rPr>
            <w:rStyle w:val="Hyperlink"/>
          </w:rPr>
          <w:t>-guidelines-series-7#</w:t>
        </w:r>
      </w:hyperlink>
      <w:r w:rsidR="00DE3C9A">
        <w:rPr>
          <w:rStyle w:val="Hyperlink"/>
        </w:rPr>
        <w:t xml:space="preserve"> . </w:t>
      </w:r>
      <w:r w:rsidR="00DE3C9A" w:rsidRPr="00DE3C9A">
        <w:t>The guidelines</w:t>
      </w:r>
      <w:r w:rsidR="00DE3C9A">
        <w:rPr>
          <w:rStyle w:val="Hyperlink"/>
        </w:rPr>
        <w:t xml:space="preserve"> </w:t>
      </w:r>
      <w:r w:rsidR="00DE3C9A">
        <w:t>o</w:t>
      </w:r>
      <w:r w:rsidR="00DE3C9A" w:rsidRPr="00DE3C9A">
        <w:t>utline the department's policy, procedures and processes to manage risk to life due to fire in buildings or facilities that are owned, managed or funded by the department.</w:t>
      </w:r>
    </w:p>
    <w:p w14:paraId="1BC3DC65" w14:textId="2568B4EC" w:rsidR="000258C1" w:rsidRPr="00055301" w:rsidRDefault="00E9190F" w:rsidP="00CE19C6">
      <w:pPr>
        <w:pStyle w:val="Bullet1"/>
        <w:rPr>
          <w:color w:val="004C97"/>
          <w:u w:val="dotted"/>
        </w:rPr>
      </w:pPr>
      <w:hyperlink r:id="rId29" w:tgtFrame="_blank" w:tooltip="https://dhhsvicgovau.sharepoint.com/sites/dffh/groups%20forms%20and%20other/forms/allitems.aspx?id=%2fsites%2fdffh%2fgroups%20forms%20and%20other%2fcentral%2dprecinct%2demergency%2dmanagement%2ffirst%205%20minutes%20%2d%20emergency%20management%20manual%2epdf&amp;" w:history="1">
        <w:r w:rsidR="00A40760" w:rsidRPr="00A40760">
          <w:rPr>
            <w:rStyle w:val="Hyperlink"/>
          </w:rPr>
          <w:t xml:space="preserve">First 5 minutes - Emergency Management Manual </w:t>
        </w:r>
      </w:hyperlink>
      <w:r w:rsidR="00DE3C9A" w:rsidRPr="00A40760">
        <w:t>.</w:t>
      </w:r>
      <w:r w:rsidR="00DE3C9A">
        <w:t xml:space="preserve"> A</w:t>
      </w:r>
      <w:r w:rsidR="00E8717D">
        <w:t xml:space="preserve">pplicable for </w:t>
      </w:r>
      <w:r w:rsidR="00D11323">
        <w:t xml:space="preserve">the management </w:t>
      </w:r>
      <w:r w:rsidR="001B4CC6">
        <w:t>of emergencies</w:t>
      </w:r>
      <w:r w:rsidR="00E8717D">
        <w:t xml:space="preserve"> where </w:t>
      </w:r>
      <w:r w:rsidR="001B4CC6">
        <w:t>an operational</w:t>
      </w:r>
      <w:r w:rsidR="00E8717D">
        <w:t xml:space="preserve"> office </w:t>
      </w:r>
      <w:r w:rsidR="001B4CC6">
        <w:t xml:space="preserve">is located </w:t>
      </w:r>
      <w:r w:rsidR="00E8717D">
        <w:t xml:space="preserve">at the base of the </w:t>
      </w:r>
      <w:r w:rsidR="00AF4EDF">
        <w:t>high-rise</w:t>
      </w:r>
      <w:r w:rsidR="001B4CC6">
        <w:t xml:space="preserve"> </w:t>
      </w:r>
      <w:r w:rsidR="00E8717D">
        <w:t xml:space="preserve">building. </w:t>
      </w:r>
    </w:p>
    <w:p w14:paraId="190B3C96" w14:textId="77777777" w:rsidR="00055301" w:rsidRDefault="00055301" w:rsidP="00055301">
      <w:pPr>
        <w:pStyle w:val="Bullet1"/>
        <w:numPr>
          <w:ilvl w:val="0"/>
          <w:numId w:val="0"/>
        </w:numPr>
        <w:ind w:left="284"/>
      </w:pPr>
    </w:p>
    <w:p w14:paraId="3CDF8179" w14:textId="4770A306" w:rsidR="00C043EE" w:rsidRDefault="00A35F63" w:rsidP="00C043EE">
      <w:pPr>
        <w:pStyle w:val="Heading1"/>
        <w:spacing w:before="0"/>
      </w:pPr>
      <w:bookmarkStart w:id="12" w:name="_Toc179816390"/>
      <w:bookmarkEnd w:id="4"/>
      <w:r>
        <w:lastRenderedPageBreak/>
        <w:t>Role</w:t>
      </w:r>
      <w:r w:rsidR="39799450">
        <w:t>s</w:t>
      </w:r>
      <w:r>
        <w:t xml:space="preserve"> and responsibilities</w:t>
      </w:r>
      <w:bookmarkEnd w:id="12"/>
    </w:p>
    <w:p w14:paraId="578F5247" w14:textId="640E945F" w:rsidR="0091115C" w:rsidRDefault="0091115C" w:rsidP="0091115C">
      <w:pPr>
        <w:pStyle w:val="Body"/>
      </w:pPr>
      <w:r w:rsidRPr="006A3865">
        <w:t xml:space="preserve">Under the State Emergency Management Plan (SEMP), </w:t>
      </w:r>
      <w:hyperlink r:id="rId30">
        <w:r w:rsidRPr="128DF020">
          <w:rPr>
            <w:rStyle w:val="Hyperlink"/>
          </w:rPr>
          <w:t>State E</w:t>
        </w:r>
        <w:bookmarkStart w:id="13" w:name="_Hlt179811252"/>
        <w:bookmarkEnd w:id="13"/>
        <w:r w:rsidRPr="128DF020">
          <w:rPr>
            <w:rStyle w:val="Hyperlink"/>
          </w:rPr>
          <w:t>mergency Management Plan (SEMP).pdf (emv.vic.gov.au)</w:t>
        </w:r>
      </w:hyperlink>
      <w:r w:rsidRPr="006A3865">
        <w:t xml:space="preserve">, the Department of Families, Fairness and Housing (the </w:t>
      </w:r>
      <w:r>
        <w:t>d</w:t>
      </w:r>
      <w:r w:rsidRPr="006A3865">
        <w:t xml:space="preserve">epartment) plays a lead role in </w:t>
      </w:r>
      <w:r w:rsidRPr="006A4CB4">
        <w:t>emergency management planning</w:t>
      </w:r>
      <w:r w:rsidR="00F563A4" w:rsidRPr="006A4CB4">
        <w:t xml:space="preserve">, </w:t>
      </w:r>
      <w:r w:rsidRPr="006A4CB4">
        <w:t>preparedness, policy and guidance to the social services sector</w:t>
      </w:r>
      <w:r w:rsidRPr="006A3865">
        <w:t>. This includes services delivered, funded, or regulated by the department.</w:t>
      </w:r>
    </w:p>
    <w:p w14:paraId="0391CFB2" w14:textId="3B076EC6" w:rsidR="00F563A4" w:rsidRDefault="00F563A4" w:rsidP="00F563A4">
      <w:pPr>
        <w:pStyle w:val="Body"/>
      </w:pPr>
      <w:r w:rsidRPr="006A3865">
        <w:t xml:space="preserve">The department works closely with both non-government organisations and government agencies to prepare, plan and deliver relief activities, with a focus on supporting vulnerable families and individuals during emergencies. </w:t>
      </w:r>
    </w:p>
    <w:p w14:paraId="7A961385" w14:textId="1F5BFD32" w:rsidR="00065BE0" w:rsidRDefault="00065BE0" w:rsidP="00065BE0">
      <w:pPr>
        <w:pStyle w:val="Heading2"/>
        <w:rPr>
          <w:b w:val="0"/>
        </w:rPr>
      </w:pPr>
      <w:bookmarkStart w:id="14" w:name="_Toc179816391"/>
      <w:r w:rsidRPr="00065BE0">
        <w:rPr>
          <w:b w:val="0"/>
        </w:rPr>
        <w:t>Emergency Services</w:t>
      </w:r>
      <w:bookmarkEnd w:id="14"/>
    </w:p>
    <w:p w14:paraId="236CA380" w14:textId="7E24B785" w:rsidR="00954CF4" w:rsidRPr="00954CF4" w:rsidRDefault="00293C2C" w:rsidP="00954CF4">
      <w:pPr>
        <w:pStyle w:val="Body"/>
      </w:pPr>
      <w:r w:rsidRPr="00293C2C">
        <w:t>The Department of Justice and Community Safety supports the portfolios of Police and Emergency Services and has a range of responsibilities relating to the planning, management and delivery of Victoria's emergency services.</w:t>
      </w:r>
      <w:r w:rsidR="00954CF4">
        <w:t xml:space="preserve"> The following </w:t>
      </w:r>
      <w:r w:rsidR="00954CF4" w:rsidRPr="00954CF4">
        <w:t xml:space="preserve">emergency service agencies provide </w:t>
      </w:r>
      <w:r w:rsidR="00A83B26">
        <w:t xml:space="preserve">and lead </w:t>
      </w:r>
      <w:r w:rsidR="00954CF4" w:rsidRPr="00954CF4">
        <w:t>on-the-ground emergency response services to the Victorian community. These include:</w:t>
      </w:r>
    </w:p>
    <w:p w14:paraId="19C91CBA" w14:textId="77777777" w:rsidR="00954CF4" w:rsidRPr="00954CF4" w:rsidRDefault="00954CF4" w:rsidP="002A2348">
      <w:pPr>
        <w:pStyle w:val="Bullet1"/>
      </w:pPr>
      <w:r w:rsidRPr="00954CF4">
        <w:t>Fire Rescue Victoria (FRV)</w:t>
      </w:r>
    </w:p>
    <w:p w14:paraId="535FBA06" w14:textId="77777777" w:rsidR="00954CF4" w:rsidRPr="00954CF4" w:rsidRDefault="00954CF4" w:rsidP="002A2348">
      <w:pPr>
        <w:pStyle w:val="Bullet1"/>
      </w:pPr>
      <w:r w:rsidRPr="00954CF4">
        <w:t>Country Fire Authority (CFA)</w:t>
      </w:r>
    </w:p>
    <w:p w14:paraId="1A7069B3" w14:textId="77777777" w:rsidR="00954CF4" w:rsidRPr="00954CF4" w:rsidRDefault="00954CF4" w:rsidP="002A2348">
      <w:pPr>
        <w:pStyle w:val="Bullet1"/>
      </w:pPr>
      <w:r w:rsidRPr="00954CF4">
        <w:t>Victoria State Emergency Service (VICSES)</w:t>
      </w:r>
    </w:p>
    <w:p w14:paraId="6593B29F" w14:textId="77777777" w:rsidR="00954CF4" w:rsidRPr="00954CF4" w:rsidRDefault="00954CF4" w:rsidP="002A2348">
      <w:pPr>
        <w:pStyle w:val="Bullet1"/>
      </w:pPr>
      <w:r w:rsidRPr="00954CF4">
        <w:t>Triple Zero Victoria </w:t>
      </w:r>
    </w:p>
    <w:p w14:paraId="52DD0561" w14:textId="7F0A0AA8" w:rsidR="001B5D5A" w:rsidRPr="001B5D5A" w:rsidRDefault="00954CF4" w:rsidP="002A2348">
      <w:pPr>
        <w:pStyle w:val="Bullet1"/>
      </w:pPr>
      <w:r w:rsidRPr="00954CF4">
        <w:t>Emergency Recovery Victoria (ERV).</w:t>
      </w:r>
    </w:p>
    <w:p w14:paraId="14DA719C" w14:textId="0FDE47F1" w:rsidR="00C043EE" w:rsidRPr="00442656" w:rsidRDefault="00C043EE" w:rsidP="00442656">
      <w:pPr>
        <w:pStyle w:val="Heading2"/>
        <w:rPr>
          <w:b w:val="0"/>
        </w:rPr>
      </w:pPr>
      <w:bookmarkStart w:id="15" w:name="_Toc179816392"/>
      <w:r w:rsidRPr="00442656">
        <w:rPr>
          <w:b w:val="0"/>
        </w:rPr>
        <w:t>Disability, Fairness &amp; Emergency Management Division</w:t>
      </w:r>
      <w:bookmarkEnd w:id="15"/>
      <w:r w:rsidRPr="00442656">
        <w:rPr>
          <w:b w:val="0"/>
        </w:rPr>
        <w:t xml:space="preserve"> </w:t>
      </w:r>
    </w:p>
    <w:p w14:paraId="61C1C50A" w14:textId="77777777" w:rsidR="00673A66" w:rsidRDefault="00020888" w:rsidP="00020888">
      <w:pPr>
        <w:pStyle w:val="Body"/>
      </w:pPr>
      <w:r w:rsidRPr="006A3865">
        <w:t xml:space="preserve">The </w:t>
      </w:r>
      <w:r w:rsidR="00A02F0F">
        <w:t>Disability, Fairness &amp; Emergency Management Division’s</w:t>
      </w:r>
      <w:r w:rsidRPr="006A3865">
        <w:t xml:space="preserve"> emergency relief role under the SEMP includes management of Victoria’s emergency relief payments under the</w:t>
      </w:r>
      <w:r w:rsidR="00673A66">
        <w:t>:</w:t>
      </w:r>
    </w:p>
    <w:p w14:paraId="265203B9" w14:textId="77777777" w:rsidR="00673A66" w:rsidRDefault="00020888" w:rsidP="00673A66">
      <w:pPr>
        <w:pStyle w:val="Bullet1"/>
      </w:pPr>
      <w:r w:rsidRPr="006A3865">
        <w:t>Personal Hardship Assistance Program</w:t>
      </w:r>
    </w:p>
    <w:p w14:paraId="5F038C94" w14:textId="4A0CABC2" w:rsidR="00673A66" w:rsidRDefault="00673A66" w:rsidP="00673A66">
      <w:pPr>
        <w:pStyle w:val="Bullet1"/>
      </w:pPr>
      <w:r>
        <w:t>C</w:t>
      </w:r>
      <w:r w:rsidR="00020888" w:rsidRPr="006A3865">
        <w:t>oordination of temporary emergency shelter and accommodation</w:t>
      </w:r>
      <w:r>
        <w:t xml:space="preserve"> (</w:t>
      </w:r>
      <w:r w:rsidR="00020888" w:rsidRPr="006A3865">
        <w:t>when needs are escalated from local councils</w:t>
      </w:r>
      <w:r>
        <w:t>)</w:t>
      </w:r>
      <w:r w:rsidR="00020888" w:rsidRPr="006A3865">
        <w:t xml:space="preserve"> </w:t>
      </w:r>
    </w:p>
    <w:p w14:paraId="4CB60D00" w14:textId="77777777" w:rsidR="00673A66" w:rsidRDefault="00673A66" w:rsidP="00673A66">
      <w:pPr>
        <w:pStyle w:val="Bullet1"/>
      </w:pPr>
      <w:r>
        <w:t>D</w:t>
      </w:r>
      <w:r w:rsidR="00020888" w:rsidRPr="006A3865">
        <w:t>elivery of psychosocial support services, in partnership with the Australian Red Cross and</w:t>
      </w:r>
    </w:p>
    <w:p w14:paraId="38322C08" w14:textId="7F1D9F20" w:rsidR="00020888" w:rsidRPr="006A3865" w:rsidRDefault="00020888" w:rsidP="00673A66">
      <w:pPr>
        <w:pStyle w:val="Bullet1"/>
      </w:pPr>
      <w:r w:rsidRPr="006A3865">
        <w:t>Victorian Council of Churches-Emergency Ministries.</w:t>
      </w:r>
    </w:p>
    <w:p w14:paraId="7466DAAA" w14:textId="77777777" w:rsidR="00673A66" w:rsidRDefault="00A02F0F" w:rsidP="00673A66">
      <w:pPr>
        <w:pStyle w:val="Bodyafterbullets"/>
      </w:pPr>
      <w:r w:rsidRPr="0087323C">
        <w:t xml:space="preserve">At the regional and local levels, </w:t>
      </w:r>
      <w:r w:rsidR="00D17442">
        <w:t>this Division</w:t>
      </w:r>
      <w:r w:rsidRPr="001E42C8">
        <w:t xml:space="preserve"> </w:t>
      </w:r>
      <w:r w:rsidRPr="0087323C">
        <w:t>participates in</w:t>
      </w:r>
      <w:r w:rsidR="00673A66">
        <w:t>:</w:t>
      </w:r>
    </w:p>
    <w:p w14:paraId="0AC4E15E" w14:textId="77777777" w:rsidR="00673A66" w:rsidRDefault="00A02F0F" w:rsidP="00673A66">
      <w:pPr>
        <w:pStyle w:val="Bullet1"/>
      </w:pPr>
      <w:r w:rsidRPr="0087323C">
        <w:t>Municipal Emergency Management Planning Committees (MEMPC) and Regional Emergency Management Planning Committees (REMPC), alongside key agencies such as:</w:t>
      </w:r>
    </w:p>
    <w:p w14:paraId="590015A2" w14:textId="77777777" w:rsidR="00673A66" w:rsidRDefault="00A02F0F" w:rsidP="00673A66">
      <w:pPr>
        <w:pStyle w:val="Bullet2"/>
      </w:pPr>
      <w:r w:rsidRPr="0087323C">
        <w:t>C</w:t>
      </w:r>
      <w:r w:rsidRPr="001E42C8">
        <w:t xml:space="preserve">ountry </w:t>
      </w:r>
      <w:r w:rsidRPr="0087323C">
        <w:t>F</w:t>
      </w:r>
      <w:r w:rsidRPr="001E42C8">
        <w:t>ire Authority (CFA)</w:t>
      </w:r>
    </w:p>
    <w:p w14:paraId="507F2D84" w14:textId="77777777" w:rsidR="00673A66" w:rsidRDefault="00A02F0F" w:rsidP="00673A66">
      <w:pPr>
        <w:pStyle w:val="Bullet2"/>
      </w:pPr>
      <w:r w:rsidRPr="0087323C">
        <w:t>F</w:t>
      </w:r>
      <w:r w:rsidRPr="001E42C8">
        <w:t xml:space="preserve">ire Rescue </w:t>
      </w:r>
      <w:r w:rsidRPr="0087323C">
        <w:t>V</w:t>
      </w:r>
      <w:r w:rsidRPr="001E42C8">
        <w:t>ictoria (FRV)</w:t>
      </w:r>
    </w:p>
    <w:p w14:paraId="0D84F26F" w14:textId="77777777" w:rsidR="00673A66" w:rsidRDefault="00A02F0F" w:rsidP="00673A66">
      <w:pPr>
        <w:pStyle w:val="Bullet2"/>
      </w:pPr>
      <w:r w:rsidRPr="0087323C">
        <w:t>SES</w:t>
      </w:r>
      <w:r w:rsidRPr="001E42C8">
        <w:t xml:space="preserve"> (State Emergency Services)</w:t>
      </w:r>
      <w:r w:rsidRPr="0087323C">
        <w:t xml:space="preserve">, and others. </w:t>
      </w:r>
    </w:p>
    <w:p w14:paraId="24498B74" w14:textId="794E7FB9" w:rsidR="00A02F0F" w:rsidRDefault="00A02F0F" w:rsidP="00673A66">
      <w:pPr>
        <w:pStyle w:val="Bodyafterbullets"/>
      </w:pPr>
      <w:r w:rsidRPr="0087323C">
        <w:t xml:space="preserve">The department also participates in sub-groups that emerge from </w:t>
      </w:r>
      <w:r w:rsidRPr="001E42C8">
        <w:t>MEMPC meetings</w:t>
      </w:r>
      <w:r w:rsidRPr="0087323C">
        <w:t>, including risk assessment groups and other key initiatives.</w:t>
      </w:r>
    </w:p>
    <w:p w14:paraId="32FA88E1" w14:textId="294C6342" w:rsidR="00A35F63" w:rsidRPr="00442656" w:rsidRDefault="00A35F63" w:rsidP="00442656">
      <w:pPr>
        <w:pStyle w:val="Heading2"/>
        <w:rPr>
          <w:b w:val="0"/>
        </w:rPr>
      </w:pPr>
      <w:bookmarkStart w:id="16" w:name="_Toc179816393"/>
      <w:r>
        <w:rPr>
          <w:b w:val="0"/>
        </w:rPr>
        <w:t>Homes Victoria</w:t>
      </w:r>
      <w:bookmarkEnd w:id="16"/>
    </w:p>
    <w:p w14:paraId="71FA6D2A" w14:textId="298EDFDA" w:rsidR="00264888" w:rsidRDefault="0081729A" w:rsidP="00264888">
      <w:pPr>
        <w:pStyle w:val="Body"/>
      </w:pPr>
      <w:r>
        <w:t xml:space="preserve">Homes Victoria </w:t>
      </w:r>
      <w:r w:rsidR="0045534A">
        <w:t>(Asset Management Branch)</w:t>
      </w:r>
      <w:r w:rsidR="00BA4389">
        <w:t xml:space="preserve"> </w:t>
      </w:r>
      <w:r w:rsidR="005036E5">
        <w:t xml:space="preserve">has </w:t>
      </w:r>
      <w:r w:rsidR="00264888">
        <w:t xml:space="preserve">responsibilities to </w:t>
      </w:r>
      <w:r>
        <w:t>complete any site and building maintenance works identified through reports or site inspections</w:t>
      </w:r>
      <w:r w:rsidR="00945F47">
        <w:t xml:space="preserve"> and </w:t>
      </w:r>
      <w:r>
        <w:t>undertake a fire preparedness inspection for any newly acquired or identified properties</w:t>
      </w:r>
      <w:r w:rsidR="00050951">
        <w:t>.</w:t>
      </w:r>
      <w:r w:rsidR="00442656">
        <w:t xml:space="preserve"> </w:t>
      </w:r>
      <w:r w:rsidR="00264888">
        <w:t>The responsibilities are applicable to properties owned or leased by Homes Victoria, including public and community housing.</w:t>
      </w:r>
    </w:p>
    <w:p w14:paraId="6B9ECDA2" w14:textId="5561F9B2" w:rsidR="003458F0" w:rsidRPr="00A0106B" w:rsidRDefault="0037356F" w:rsidP="00A0106B">
      <w:pPr>
        <w:pStyle w:val="Body"/>
      </w:pPr>
      <w:r w:rsidRPr="00A0106B">
        <w:lastRenderedPageBreak/>
        <w:t xml:space="preserve">The </w:t>
      </w:r>
      <w:r w:rsidR="00F909BE" w:rsidRPr="00A0106B">
        <w:t>Asset Management</w:t>
      </w:r>
      <w:r w:rsidR="006B3A72" w:rsidRPr="00A0106B">
        <w:t xml:space="preserve"> Branch</w:t>
      </w:r>
      <w:r w:rsidR="00F909BE" w:rsidRPr="00A0106B">
        <w:t xml:space="preserve"> </w:t>
      </w:r>
      <w:r w:rsidR="00050951" w:rsidRPr="00A0106B">
        <w:t xml:space="preserve">also oversee </w:t>
      </w:r>
      <w:r w:rsidR="00346310" w:rsidRPr="00A0106B">
        <w:t xml:space="preserve">the </w:t>
      </w:r>
      <w:r w:rsidR="006C2350" w:rsidRPr="00A0106B">
        <w:t>end-to-end</w:t>
      </w:r>
      <w:r w:rsidR="003241D4" w:rsidRPr="00A0106B">
        <w:t xml:space="preserve"> </w:t>
      </w:r>
      <w:r w:rsidR="00F909BE" w:rsidRPr="00A0106B">
        <w:t>process of significant property related works resulting from an emergency</w:t>
      </w:r>
      <w:r w:rsidR="000B1A94" w:rsidRPr="00A0106B">
        <w:t xml:space="preserve"> which may include fire rectification and sprinkler system </w:t>
      </w:r>
      <w:r w:rsidR="00790FA8" w:rsidRPr="00A0106B">
        <w:t xml:space="preserve">installation. </w:t>
      </w:r>
      <w:r w:rsidR="003458F0" w:rsidRPr="00A0106B">
        <w:t xml:space="preserve">The Asset Management Branch review fire safety policy for high-rise buildings regularly ensuring the policy meets the relevant requirements of the Building Code of Australia and has been approved by Fire Rescue Victoria. </w:t>
      </w:r>
      <w:r w:rsidR="00643972" w:rsidRPr="00A0106B">
        <w:t>H</w:t>
      </w:r>
      <w:r w:rsidR="003458F0" w:rsidRPr="00A0106B">
        <w:t xml:space="preserve">igh-rise building evacuation plans are stored in </w:t>
      </w:r>
      <w:r w:rsidR="5F03B7AE" w:rsidRPr="00A0106B">
        <w:t xml:space="preserve">the department’s </w:t>
      </w:r>
      <w:r w:rsidR="003458F0" w:rsidRPr="00A0106B">
        <w:t xml:space="preserve">Fire Risk Management System (FRMS).  </w:t>
      </w:r>
    </w:p>
    <w:p w14:paraId="7B7956F5" w14:textId="1084F61E" w:rsidR="00213FF8" w:rsidRPr="00442656" w:rsidRDefault="00213FF8" w:rsidP="00213FF8">
      <w:pPr>
        <w:pStyle w:val="Heading2"/>
        <w:rPr>
          <w:b w:val="0"/>
        </w:rPr>
      </w:pPr>
      <w:bookmarkStart w:id="17" w:name="_Toc179816394"/>
      <w:bookmarkStart w:id="18" w:name="_Toc179373769"/>
      <w:r w:rsidRPr="00442656">
        <w:rPr>
          <w:b w:val="0"/>
        </w:rPr>
        <w:t>Community Operations Practice Leadership Division</w:t>
      </w:r>
      <w:bookmarkEnd w:id="17"/>
      <w:r w:rsidRPr="00442656">
        <w:rPr>
          <w:b w:val="0"/>
        </w:rPr>
        <w:t xml:space="preserve"> </w:t>
      </w:r>
    </w:p>
    <w:p w14:paraId="03DE5E92" w14:textId="00CC4FCA" w:rsidR="00D65189" w:rsidRDefault="009803C9" w:rsidP="00D9025A">
      <w:pPr>
        <w:pStyle w:val="Body"/>
      </w:pPr>
      <w:bookmarkStart w:id="19" w:name="_Toc179799918"/>
      <w:r>
        <w:t xml:space="preserve">Whilst emergency services lead and coordinate the emergency </w:t>
      </w:r>
      <w:r w:rsidR="00C8294D">
        <w:t xml:space="preserve">response, local housing staff play an important support role during an emergency </w:t>
      </w:r>
      <w:r w:rsidR="00331247">
        <w:t xml:space="preserve">event. </w:t>
      </w:r>
      <w:r w:rsidR="00105AED" w:rsidRPr="00105AED">
        <w:t>Housing operational teams have site specific knowledge and experience supporting the delivery of client-centred services to individuals and families who reside in public housing and have relationships with on-site support agencies and community groups.</w:t>
      </w:r>
      <w:r w:rsidR="00105AED">
        <w:t xml:space="preserve"> </w:t>
      </w:r>
      <w:bookmarkEnd w:id="19"/>
      <w:r w:rsidR="00010550">
        <w:t xml:space="preserve"> </w:t>
      </w:r>
      <w:r w:rsidR="00220A8E">
        <w:t xml:space="preserve"> </w:t>
      </w:r>
    </w:p>
    <w:p w14:paraId="0479A743" w14:textId="77777777" w:rsidR="00FF30F0" w:rsidRDefault="00EC6750" w:rsidP="00D9025A">
      <w:pPr>
        <w:pStyle w:val="Body"/>
      </w:pPr>
      <w:r>
        <w:t>Some of the duties required include but are not limited to</w:t>
      </w:r>
      <w:r w:rsidR="00FF30F0">
        <w:t xml:space="preserve"> are:</w:t>
      </w:r>
    </w:p>
    <w:p w14:paraId="2E5807A5" w14:textId="77777777" w:rsidR="004546C2" w:rsidRPr="004546C2" w:rsidRDefault="004546C2" w:rsidP="004546C2">
      <w:pPr>
        <w:pStyle w:val="Bullet1"/>
      </w:pPr>
      <w:r w:rsidRPr="004546C2">
        <w:t>arranging make safe repairs and urgent / responsive maintenance once the site has been formally handed over from emergency services</w:t>
      </w:r>
    </w:p>
    <w:p w14:paraId="022A1DE3" w14:textId="05E595A7" w:rsidR="004546C2" w:rsidRPr="004546C2" w:rsidRDefault="004546C2" w:rsidP="004546C2">
      <w:pPr>
        <w:pStyle w:val="Bullet1"/>
      </w:pPr>
      <w:r w:rsidRPr="004546C2">
        <w:t xml:space="preserve">identifying known </w:t>
      </w:r>
      <w:r w:rsidR="00654177" w:rsidRPr="004546C2">
        <w:t>high-risk</w:t>
      </w:r>
      <w:r w:rsidRPr="004546C2">
        <w:t xml:space="preserve"> renters/ households that may need extra support during the emergency, based on available information</w:t>
      </w:r>
    </w:p>
    <w:p w14:paraId="24C931E2" w14:textId="51B925AB" w:rsidR="004546C2" w:rsidRPr="004546C2" w:rsidRDefault="004546C2" w:rsidP="004546C2">
      <w:pPr>
        <w:pStyle w:val="Bullet1"/>
      </w:pPr>
      <w:r w:rsidRPr="004546C2">
        <w:t>assisting with establishment of any command post (i.e. opening a community facility for use as a control or meeting room)</w:t>
      </w:r>
    </w:p>
    <w:p w14:paraId="558B6938" w14:textId="3CDF46CF" w:rsidR="004546C2" w:rsidRPr="004546C2" w:rsidRDefault="004546C2" w:rsidP="004546C2">
      <w:pPr>
        <w:pStyle w:val="Bullet1"/>
      </w:pPr>
      <w:r w:rsidRPr="004546C2">
        <w:t>preparing coordinated briefings to senior leaders within the department, including identifying key risks, actions and resourcing requirements from other areas</w:t>
      </w:r>
    </w:p>
    <w:p w14:paraId="60506A13" w14:textId="39B6D5F9" w:rsidR="004546C2" w:rsidRPr="004546C2" w:rsidRDefault="004546C2" w:rsidP="004546C2">
      <w:pPr>
        <w:pStyle w:val="Bullet1"/>
      </w:pPr>
      <w:r w:rsidRPr="004546C2">
        <w:t>participating on incident management and recovery meetings and providing advice and respond to Emergency Services requests for information</w:t>
      </w:r>
    </w:p>
    <w:p w14:paraId="080247DA" w14:textId="417C3BAD" w:rsidR="004546C2" w:rsidRPr="004546C2" w:rsidRDefault="004546C2" w:rsidP="004546C2">
      <w:pPr>
        <w:pStyle w:val="Bullet1"/>
      </w:pPr>
      <w:r w:rsidRPr="004546C2">
        <w:t>working with key support agencies</w:t>
      </w:r>
    </w:p>
    <w:p w14:paraId="5A8B2DB7" w14:textId="06EE3AB4" w:rsidR="004546C2" w:rsidRPr="004546C2" w:rsidRDefault="004546C2" w:rsidP="004546C2">
      <w:pPr>
        <w:pStyle w:val="Bullet1"/>
      </w:pPr>
      <w:r w:rsidRPr="004546C2">
        <w:t xml:space="preserve">appropriately trained staff may contribute to the processing of any financial hardship payments as directed by Area Executive Directors. </w:t>
      </w:r>
    </w:p>
    <w:p w14:paraId="2865B62D" w14:textId="0849F26B" w:rsidR="004546C2" w:rsidRPr="004546C2" w:rsidRDefault="004546C2" w:rsidP="004546C2">
      <w:pPr>
        <w:pStyle w:val="Bullet1"/>
      </w:pPr>
      <w:r w:rsidRPr="004546C2">
        <w:t xml:space="preserve">working with local government emergency recovery teams and emergency management division to support affected renters/ households in locating alternative accommodation if deemed required as set out in the </w:t>
      </w:r>
      <w:hyperlink r:id="rId31" w:history="1">
        <w:r w:rsidRPr="004546C2">
          <w:rPr>
            <w:rStyle w:val="Hyperlink"/>
          </w:rPr>
          <w:t>Emergency Management Housing Operational Guidelines</w:t>
        </w:r>
      </w:hyperlink>
      <w:r w:rsidRPr="004546C2">
        <w:t xml:space="preserve"> </w:t>
      </w:r>
    </w:p>
    <w:p w14:paraId="5D284EFE" w14:textId="0F239A07" w:rsidR="00512715" w:rsidRPr="00D9025A" w:rsidRDefault="004546C2" w:rsidP="004546C2">
      <w:pPr>
        <w:pStyle w:val="Bullet1"/>
      </w:pPr>
      <w:r w:rsidRPr="004546C2">
        <w:t>liaising with onsite contractors and Homes Victoria in relation to security and cleaning requirements</w:t>
      </w:r>
    </w:p>
    <w:p w14:paraId="7C436DD6" w14:textId="6DD4273B" w:rsidR="00213FF8" w:rsidRPr="004C20AC" w:rsidRDefault="00FA7E87" w:rsidP="001A140F">
      <w:pPr>
        <w:pStyle w:val="Body"/>
      </w:pPr>
      <w:r w:rsidRPr="00FA7E87">
        <w:t xml:space="preserve"> </w:t>
      </w:r>
    </w:p>
    <w:p w14:paraId="56C64475" w14:textId="77777777" w:rsidR="00662710" w:rsidRDefault="00662710">
      <w:pPr>
        <w:spacing w:after="0" w:line="240" w:lineRule="auto"/>
        <w:rPr>
          <w:rFonts w:eastAsia="MS Gothic" w:cs="Arial"/>
          <w:b/>
          <w:bCs/>
          <w:color w:val="201547"/>
          <w:kern w:val="32"/>
          <w:sz w:val="44"/>
          <w:szCs w:val="44"/>
        </w:rPr>
      </w:pPr>
      <w:r>
        <w:rPr>
          <w:b/>
        </w:rPr>
        <w:br w:type="page"/>
      </w:r>
    </w:p>
    <w:p w14:paraId="19C33C93" w14:textId="02356DE9" w:rsidR="00D879ED" w:rsidRPr="00442656" w:rsidRDefault="00D879ED" w:rsidP="00D879ED">
      <w:pPr>
        <w:pStyle w:val="Heading1"/>
        <w:rPr>
          <w:rFonts w:eastAsia="Times New Roman"/>
          <w:b/>
          <w:sz w:val="32"/>
          <w:szCs w:val="28"/>
        </w:rPr>
      </w:pPr>
      <w:bookmarkStart w:id="20" w:name="_Toc179816395"/>
      <w:r>
        <w:rPr>
          <w:b/>
        </w:rPr>
        <w:lastRenderedPageBreak/>
        <w:t xml:space="preserve">Appendix 1 – </w:t>
      </w:r>
      <w:r w:rsidR="00662710">
        <w:rPr>
          <w:b/>
        </w:rPr>
        <w:t xml:space="preserve">Additional </w:t>
      </w:r>
      <w:r>
        <w:rPr>
          <w:b/>
        </w:rPr>
        <w:t>Information</w:t>
      </w:r>
      <w:bookmarkEnd w:id="20"/>
      <w:r>
        <w:rPr>
          <w:b/>
        </w:rPr>
        <w:t xml:space="preserve">  </w:t>
      </w:r>
      <w:r w:rsidRPr="00442656">
        <w:rPr>
          <w:rFonts w:eastAsia="Times New Roman"/>
          <w:b/>
          <w:sz w:val="32"/>
          <w:szCs w:val="28"/>
        </w:rPr>
        <w:t xml:space="preserve"> </w:t>
      </w:r>
    </w:p>
    <w:p w14:paraId="1309F140" w14:textId="51F4B886" w:rsidR="00977886" w:rsidRPr="00A6236A" w:rsidRDefault="000912C4" w:rsidP="00A6236A">
      <w:pPr>
        <w:pStyle w:val="Body"/>
      </w:pPr>
      <w:r w:rsidRPr="00D9025A">
        <w:t xml:space="preserve">To assist renters facing an emergency, </w:t>
      </w:r>
      <w:r w:rsidR="00A0106B">
        <w:t xml:space="preserve">housing </w:t>
      </w:r>
      <w:r w:rsidR="00FC3AE9" w:rsidRPr="00D9025A">
        <w:t xml:space="preserve">staff </w:t>
      </w:r>
      <w:r w:rsidR="008D5224" w:rsidRPr="00D9025A">
        <w:t xml:space="preserve">can </w:t>
      </w:r>
      <w:r w:rsidR="004F6451" w:rsidRPr="00D9025A">
        <w:t>access the information</w:t>
      </w:r>
      <w:r w:rsidR="00774D81" w:rsidRPr="00D9025A">
        <w:t xml:space="preserve"> </w:t>
      </w:r>
      <w:r w:rsidR="004F6451" w:rsidRPr="00D9025A">
        <w:t>below</w:t>
      </w:r>
      <w:r w:rsidR="004F6451" w:rsidRPr="00A6236A">
        <w:t xml:space="preserve">. </w:t>
      </w:r>
    </w:p>
    <w:p w14:paraId="123CA50A" w14:textId="7F2D9715" w:rsidR="00867D2A" w:rsidRPr="00867D2A" w:rsidRDefault="00867D2A" w:rsidP="001A140F">
      <w:pPr>
        <w:pStyle w:val="Heading2"/>
        <w:rPr>
          <w:rFonts w:eastAsia="MS Mincho"/>
        </w:rPr>
      </w:pPr>
      <w:bookmarkStart w:id="21" w:name="_Toc179816396"/>
      <w:r w:rsidRPr="00867D2A">
        <w:rPr>
          <w:rFonts w:eastAsia="MS Mincho"/>
        </w:rPr>
        <w:t>Emergency relief handbook</w:t>
      </w:r>
      <w:bookmarkEnd w:id="21"/>
      <w:r w:rsidRPr="00867D2A">
        <w:rPr>
          <w:rFonts w:eastAsia="MS Mincho"/>
        </w:rPr>
        <w:t xml:space="preserve"> </w:t>
      </w:r>
    </w:p>
    <w:p w14:paraId="40E60D8E" w14:textId="7015C9FE" w:rsidR="00867D2A" w:rsidRPr="00867D2A" w:rsidRDefault="00564DBD" w:rsidP="00867D2A">
      <w:pPr>
        <w:rPr>
          <w:rFonts w:eastAsia="Times"/>
        </w:rPr>
      </w:pPr>
      <w:r>
        <w:rPr>
          <w:rFonts w:eastAsia="Times"/>
        </w:rPr>
        <w:t>People</w:t>
      </w:r>
      <w:r w:rsidR="00867D2A" w:rsidRPr="00867D2A">
        <w:rPr>
          <w:rFonts w:eastAsia="Times"/>
        </w:rPr>
        <w:t xml:space="preserve"> who have been impacted by emergency events may experience a mix of physical, mental and emotional reactions.</w:t>
      </w:r>
      <w:r w:rsidR="00BE2BE8">
        <w:rPr>
          <w:rFonts w:eastAsia="Times"/>
        </w:rPr>
        <w:t xml:space="preserve">  </w:t>
      </w:r>
      <w:r w:rsidR="00867D2A" w:rsidRPr="00867D2A">
        <w:rPr>
          <w:rFonts w:eastAsia="Times"/>
        </w:rPr>
        <w:t xml:space="preserve">The </w:t>
      </w:r>
      <w:hyperlink r:id="rId32" w:tooltip="Open file in new window" w:history="1">
        <w:r w:rsidR="00867D2A" w:rsidRPr="00867D2A">
          <w:rPr>
            <w:rFonts w:eastAsia="Times"/>
            <w:color w:val="004C97"/>
            <w:u w:val="dotted"/>
          </w:rPr>
          <w:t>Emergency relief handbook (PDF, 197.66 KB)</w:t>
        </w:r>
      </w:hyperlink>
      <w:r w:rsidR="00867D2A" w:rsidRPr="00867D2A">
        <w:rPr>
          <w:rFonts w:eastAsia="Times"/>
        </w:rPr>
        <w:t xml:space="preserve">  and </w:t>
      </w:r>
      <w:hyperlink r:id="rId33" w:tooltip="Open file in new window" w:history="1">
        <w:r w:rsidR="00867D2A" w:rsidRPr="00867D2A">
          <w:rPr>
            <w:rFonts w:eastAsia="Times"/>
            <w:color w:val="004C97"/>
            <w:u w:val="dotted"/>
          </w:rPr>
          <w:t>Emergency relief handbook - accessible (Word, 78.56 KB)</w:t>
        </w:r>
      </w:hyperlink>
      <w:r w:rsidR="00867D2A" w:rsidRPr="00867D2A">
        <w:rPr>
          <w:rFonts w:eastAsia="Times"/>
        </w:rPr>
        <w:t xml:space="preserve">  are available to </w:t>
      </w:r>
      <w:r>
        <w:rPr>
          <w:rFonts w:eastAsia="Times"/>
        </w:rPr>
        <w:t xml:space="preserve">people </w:t>
      </w:r>
      <w:r w:rsidR="00867D2A" w:rsidRPr="00867D2A">
        <w:rPr>
          <w:rFonts w:eastAsia="Times"/>
        </w:rPr>
        <w:t>who have been affected by an emergency.</w:t>
      </w:r>
    </w:p>
    <w:p w14:paraId="05D64275" w14:textId="63527883" w:rsidR="00867D2A" w:rsidRPr="00867D2A" w:rsidRDefault="00564DBD" w:rsidP="00867D2A">
      <w:pPr>
        <w:rPr>
          <w:rFonts w:eastAsia="Times"/>
        </w:rPr>
      </w:pPr>
      <w:r>
        <w:rPr>
          <w:rFonts w:eastAsia="Times"/>
        </w:rPr>
        <w:t>People</w:t>
      </w:r>
      <w:r w:rsidR="00867D2A" w:rsidRPr="00867D2A">
        <w:rPr>
          <w:rFonts w:eastAsia="Times"/>
        </w:rPr>
        <w:t xml:space="preserve"> </w:t>
      </w:r>
      <w:r w:rsidR="00BE2BE8">
        <w:rPr>
          <w:rFonts w:eastAsia="Times"/>
        </w:rPr>
        <w:t>can be</w:t>
      </w:r>
      <w:r w:rsidR="00867D2A" w:rsidRPr="00867D2A">
        <w:rPr>
          <w:rFonts w:eastAsia="Times"/>
        </w:rPr>
        <w:t xml:space="preserve"> advised use the handbook if they have been directly impacted by an emergency, or supporting others affected by an emergency. </w:t>
      </w:r>
      <w:r w:rsidR="00BE2BE8">
        <w:rPr>
          <w:rFonts w:eastAsia="Times"/>
        </w:rPr>
        <w:t xml:space="preserve"> </w:t>
      </w:r>
      <w:r w:rsidR="00867D2A" w:rsidRPr="00867D2A">
        <w:rPr>
          <w:rFonts w:eastAsia="Times"/>
        </w:rPr>
        <w:t>The Emergency Relief Handbook can be used straight after an emergency and into the early recovery stage. It applies to all types of major emergencies.</w:t>
      </w:r>
    </w:p>
    <w:p w14:paraId="07C02739" w14:textId="77777777" w:rsidR="00867D2A" w:rsidRPr="00867D2A" w:rsidRDefault="00867D2A" w:rsidP="001A140F">
      <w:pPr>
        <w:pStyle w:val="Heading2"/>
        <w:rPr>
          <w:rFonts w:eastAsia="MS Mincho"/>
        </w:rPr>
      </w:pPr>
      <w:bookmarkStart w:id="22" w:name="_Toc179816397"/>
      <w:r w:rsidRPr="00867D2A">
        <w:rPr>
          <w:rFonts w:eastAsia="MS Mincho"/>
        </w:rPr>
        <w:t>Personal Hardship and Assistance Program</w:t>
      </w:r>
      <w:bookmarkEnd w:id="22"/>
      <w:r w:rsidRPr="00867D2A">
        <w:rPr>
          <w:rFonts w:eastAsia="MS Mincho"/>
        </w:rPr>
        <w:t xml:space="preserve"> </w:t>
      </w:r>
    </w:p>
    <w:p w14:paraId="71AD6954" w14:textId="77777777" w:rsidR="00867D2A" w:rsidRPr="00867D2A" w:rsidRDefault="00867D2A" w:rsidP="00867D2A">
      <w:pPr>
        <w:rPr>
          <w:rFonts w:eastAsia="Times"/>
        </w:rPr>
      </w:pPr>
      <w:r w:rsidRPr="00867D2A">
        <w:rPr>
          <w:rFonts w:eastAsia="Times"/>
        </w:rPr>
        <w:t xml:space="preserve">The </w:t>
      </w:r>
      <w:hyperlink r:id="rId34" w:history="1">
        <w:r w:rsidRPr="00867D2A">
          <w:rPr>
            <w:rFonts w:eastAsia="Times"/>
            <w:color w:val="004C97"/>
            <w:u w:val="dotted"/>
          </w:rPr>
          <w:t xml:space="preserve">Personal Hardship Assistance Program </w:t>
        </w:r>
      </w:hyperlink>
      <w:r w:rsidRPr="00867D2A">
        <w:rPr>
          <w:rFonts w:eastAsia="Times"/>
        </w:rPr>
        <w:t>helps people experiencing financial hardship in emergencies. The program includes Emergency Relief Payments and Re-establishment Assistance</w:t>
      </w:r>
    </w:p>
    <w:p w14:paraId="24AEC17D" w14:textId="16C97EE5" w:rsidR="00867D2A" w:rsidRPr="00867D2A" w:rsidRDefault="00564DBD" w:rsidP="00867D2A">
      <w:pPr>
        <w:rPr>
          <w:rFonts w:eastAsia="Times"/>
        </w:rPr>
      </w:pPr>
      <w:r>
        <w:rPr>
          <w:rFonts w:eastAsia="Times"/>
        </w:rPr>
        <w:t>People</w:t>
      </w:r>
      <w:r w:rsidR="00867D2A" w:rsidRPr="00867D2A">
        <w:rPr>
          <w:rFonts w:eastAsia="Times"/>
        </w:rPr>
        <w:t xml:space="preserve"> can access support if experiencing trauma, damage or loss due to disasters and emergencies. </w:t>
      </w:r>
      <w:r>
        <w:rPr>
          <w:rFonts w:eastAsia="Times"/>
        </w:rPr>
        <w:t>People</w:t>
      </w:r>
      <w:r w:rsidR="00867D2A" w:rsidRPr="00867D2A">
        <w:rPr>
          <w:rFonts w:eastAsia="Times"/>
        </w:rPr>
        <w:t xml:space="preserve"> may be eligible for an emergency payment if affected by a house fire or a natural disaster.</w:t>
      </w:r>
    </w:p>
    <w:p w14:paraId="5F41A98E" w14:textId="77777777" w:rsidR="00867D2A" w:rsidRPr="00867D2A" w:rsidRDefault="00867D2A" w:rsidP="001A140F">
      <w:pPr>
        <w:pStyle w:val="Heading2"/>
        <w:rPr>
          <w:rFonts w:eastAsia="MS Mincho"/>
        </w:rPr>
      </w:pPr>
      <w:bookmarkStart w:id="23" w:name="_Toc179816398"/>
      <w:r w:rsidRPr="00867D2A">
        <w:rPr>
          <w:rFonts w:eastAsia="MS Mincho"/>
        </w:rPr>
        <w:t>Emergency Relief Payments</w:t>
      </w:r>
      <w:bookmarkEnd w:id="23"/>
    </w:p>
    <w:p w14:paraId="66DAC5CE" w14:textId="4C77DE02" w:rsidR="00867D2A" w:rsidRPr="00867D2A" w:rsidRDefault="00867D2A" w:rsidP="00867D2A">
      <w:pPr>
        <w:rPr>
          <w:rFonts w:eastAsia="Times"/>
        </w:rPr>
      </w:pPr>
      <w:r w:rsidRPr="00867D2A">
        <w:rPr>
          <w:rFonts w:eastAsia="Times"/>
        </w:rPr>
        <w:t>A one-off payment is provided to help meet immediate needs, including emergency food, shelter, clothing, medication and accommodation.</w:t>
      </w:r>
      <w:r w:rsidR="00183420">
        <w:rPr>
          <w:rFonts w:eastAsia="Times"/>
        </w:rPr>
        <w:t xml:space="preserve"> </w:t>
      </w:r>
      <w:r w:rsidR="0030707A">
        <w:rPr>
          <w:rFonts w:eastAsia="Times"/>
        </w:rPr>
        <w:t>People</w:t>
      </w:r>
      <w:r w:rsidRPr="00867D2A">
        <w:rPr>
          <w:rFonts w:eastAsia="Times"/>
        </w:rPr>
        <w:t xml:space="preserve"> who have been impacted by an emergency or natural disaster and have urgent relief needs, can: </w:t>
      </w:r>
    </w:p>
    <w:p w14:paraId="71E35F67" w14:textId="77777777" w:rsidR="00867D2A" w:rsidRPr="00867D2A" w:rsidRDefault="00867D2A" w:rsidP="00E92CAD">
      <w:pPr>
        <w:pStyle w:val="Bullet1"/>
      </w:pPr>
      <w:r w:rsidRPr="00867D2A">
        <w:t xml:space="preserve">call </w:t>
      </w:r>
      <w:proofErr w:type="spellStart"/>
      <w:r w:rsidRPr="00867D2A">
        <w:t>VicEmergency</w:t>
      </w:r>
      <w:proofErr w:type="spellEnd"/>
      <w:r w:rsidRPr="00867D2A">
        <w:t xml:space="preserve"> on 1800 226 226 </w:t>
      </w:r>
    </w:p>
    <w:p w14:paraId="3ACFDE04" w14:textId="77777777" w:rsidR="00867D2A" w:rsidRPr="00867D2A" w:rsidRDefault="00867D2A" w:rsidP="00E92CAD">
      <w:pPr>
        <w:pStyle w:val="Bullet1"/>
      </w:pPr>
      <w:r w:rsidRPr="00867D2A">
        <w:t>visit </w:t>
      </w:r>
      <w:proofErr w:type="spellStart"/>
      <w:r>
        <w:fldChar w:fldCharType="begin"/>
      </w:r>
      <w:r>
        <w:instrText>HYPERLINK "https://emergency.vic.gov.au/relief"</w:instrText>
      </w:r>
      <w:r>
        <w:fldChar w:fldCharType="separate"/>
      </w:r>
      <w:r w:rsidRPr="00867D2A">
        <w:rPr>
          <w:color w:val="004C97"/>
          <w:u w:val="dotted"/>
        </w:rPr>
        <w:t>VicEmergency</w:t>
      </w:r>
      <w:proofErr w:type="spellEnd"/>
      <w:r w:rsidRPr="00867D2A">
        <w:rPr>
          <w:color w:val="004C97"/>
          <w:u w:val="dotted"/>
        </w:rPr>
        <w:t xml:space="preserve"> Relief webpage</w:t>
      </w:r>
      <w:r>
        <w:rPr>
          <w:color w:val="004C97"/>
          <w:u w:val="dotted"/>
        </w:rPr>
        <w:fldChar w:fldCharType="end"/>
      </w:r>
    </w:p>
    <w:p w14:paraId="538512FF" w14:textId="2E534838" w:rsidR="00867D2A" w:rsidRPr="00867D2A" w:rsidRDefault="00867D2A" w:rsidP="00E92CAD">
      <w:pPr>
        <w:pStyle w:val="Bullet1"/>
      </w:pPr>
      <w:r w:rsidRPr="00867D2A">
        <w:t xml:space="preserve">contact </w:t>
      </w:r>
      <w:r w:rsidR="001C3A47">
        <w:t>their</w:t>
      </w:r>
      <w:r w:rsidRPr="00867D2A">
        <w:t xml:space="preserve"> local council.</w:t>
      </w:r>
    </w:p>
    <w:p w14:paraId="06FFB1ED" w14:textId="1512EE09" w:rsidR="00867D2A" w:rsidRDefault="004F6451" w:rsidP="00E92CAD">
      <w:pPr>
        <w:pStyle w:val="Bodyafterbullets"/>
      </w:pPr>
      <w:r w:rsidRPr="00D9025A">
        <w:t xml:space="preserve">This information can be found </w:t>
      </w:r>
      <w:r w:rsidR="00D9025A" w:rsidRPr="00D9025A">
        <w:t>at</w:t>
      </w:r>
      <w:r w:rsidR="00D9025A" w:rsidRPr="007B20A4">
        <w:rPr>
          <w:rFonts w:eastAsia="MS Mincho"/>
          <w:color w:val="201547"/>
          <w:szCs w:val="21"/>
        </w:rPr>
        <w:t xml:space="preserve"> </w:t>
      </w:r>
      <w:hyperlink r:id="rId35" w:history="1">
        <w:r w:rsidR="00D9025A" w:rsidRPr="007B20A4">
          <w:rPr>
            <w:rStyle w:val="Hyperlink"/>
            <w:rFonts w:eastAsia="MS Mincho"/>
            <w:szCs w:val="21"/>
          </w:rPr>
          <w:t>https://www.dffh.vic.gov.au/emergency-management</w:t>
        </w:r>
      </w:hyperlink>
      <w:r w:rsidR="001701A6">
        <w:rPr>
          <w:rStyle w:val="Hyperlink"/>
          <w:rFonts w:eastAsia="MS Mincho"/>
          <w:szCs w:val="21"/>
        </w:rPr>
        <w:t xml:space="preserve">. </w:t>
      </w:r>
      <w:r w:rsidRPr="00D9025A">
        <w:t xml:space="preserve">This information can be found </w:t>
      </w:r>
      <w:r w:rsidR="00D9025A" w:rsidRPr="00D9025A">
        <w:t>at</w:t>
      </w:r>
      <w:r w:rsidR="00D9025A" w:rsidRPr="007B20A4">
        <w:t xml:space="preserve"> </w:t>
      </w:r>
      <w:hyperlink r:id="rId36" w:history="1">
        <w:r w:rsidR="00D9025A" w:rsidRPr="007B20A4">
          <w:rPr>
            <w:rStyle w:val="Hyperlink"/>
            <w:rFonts w:eastAsia="MS Mincho"/>
            <w:szCs w:val="21"/>
          </w:rPr>
          <w:t>https://www.dffh.vic.gov.au/emergency-management</w:t>
        </w:r>
      </w:hyperlink>
      <w:r w:rsidR="00E92CAD">
        <w:t>.</w:t>
      </w:r>
    </w:p>
    <w:bookmarkEnd w:id="18"/>
    <w:p w14:paraId="69C2747E" w14:textId="71F78F91" w:rsidR="00D879ED" w:rsidRPr="00442656" w:rsidRDefault="00D879ED" w:rsidP="00D879ED">
      <w:pPr>
        <w:pStyle w:val="Bullet1"/>
        <w:numPr>
          <w:ilvl w:val="0"/>
          <w:numId w:val="0"/>
        </w:numPr>
        <w:spacing w:after="120"/>
      </w:pPr>
    </w:p>
    <w:sectPr w:rsidR="00D879ED" w:rsidRPr="00442656" w:rsidSect="00F15144">
      <w:pgSz w:w="11906" w:h="16838" w:code="9"/>
      <w:pgMar w:top="1418" w:right="1304" w:bottom="851" w:left="1304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B78F3" w14:textId="77777777" w:rsidR="00DB34BB" w:rsidRDefault="00DB34BB">
      <w:r>
        <w:separator/>
      </w:r>
    </w:p>
    <w:p w14:paraId="40ABDD3E" w14:textId="77777777" w:rsidR="00DB34BB" w:rsidRDefault="00DB34BB"/>
  </w:endnote>
  <w:endnote w:type="continuationSeparator" w:id="0">
    <w:p w14:paraId="44C8BACA" w14:textId="77777777" w:rsidR="00DB34BB" w:rsidRDefault="00DB34BB">
      <w:r>
        <w:continuationSeparator/>
      </w:r>
    </w:p>
    <w:p w14:paraId="63B2AB3A" w14:textId="77777777" w:rsidR="00DB34BB" w:rsidRDefault="00DB34BB"/>
  </w:endnote>
  <w:endnote w:type="continuationNotice" w:id="1">
    <w:p w14:paraId="6A7EB05F" w14:textId="77777777" w:rsidR="00DB34BB" w:rsidRDefault="00DB34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06AB0" w14:textId="3FA2AEC0" w:rsidR="00EB4BC7" w:rsidRDefault="00EB4B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5F16E52C" wp14:editId="181E78CF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7" name="MSIPCM9dd54572b391b968e538fedc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F389B9" w14:textId="31CAAB1A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6E52C" id="_x0000_t202" coordsize="21600,21600" o:spt="202" path="m,l,21600r21600,l21600,xe">
              <v:stroke joinstyle="miter"/>
              <v:path gradientshapeok="t" o:connecttype="rect"/>
            </v:shapetype>
            <v:shape id="MSIPCM9dd54572b391b968e538fedc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2.35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55F389B9" w14:textId="31CAAB1A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C27F3" w14:textId="735E2BCF" w:rsidR="00431A70" w:rsidRDefault="00EB4BC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C005B9" wp14:editId="033DE9C0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5" name="MSIPCM36724fdbb2a52fcfc05f86a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8B923F" w14:textId="188DBC95" w:rsidR="00EB4BC7" w:rsidRPr="00EB4BC7" w:rsidRDefault="00EB4BC7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005B9" id="_x0000_t202" coordsize="21600,21600" o:spt="202" path="m,l,21600r21600,l21600,xe">
              <v:stroke joinstyle="miter"/>
              <v:path gradientshapeok="t" o:connecttype="rect"/>
            </v:shapetype>
            <v:shape id="MSIPCM36724fdbb2a52fcfc05f86a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6C8B923F" w14:textId="188DBC95" w:rsidR="00EB4BC7" w:rsidRPr="00EB4BC7" w:rsidRDefault="00EB4BC7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4B1DC" w14:textId="660D8273" w:rsidR="00EB4BC7" w:rsidRDefault="00EB4B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0BA23E7" wp14:editId="2F526DE4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6" name="MSIPCMf6504bf684e4519137a7274a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86DCEE" w14:textId="7687AF4A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A23E7" id="_x0000_t202" coordsize="21600,21600" o:spt="202" path="m,l,21600r21600,l21600,xe">
              <v:stroke joinstyle="miter"/>
              <v:path gradientshapeok="t" o:connecttype="rect"/>
            </v:shapetype>
            <v:shape id="MSIPCMf6504bf684e4519137a7274a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u40Zv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4086DCEE" w14:textId="7687AF4A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A0490" w14:textId="1557D831" w:rsidR="00D63636" w:rsidRDefault="002C5B7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3B772BC9" wp14:editId="18CDC09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42147395" name="MSIPCMd3f54469bd0204c6fb2f3fa8" descr="{&quot;HashCode&quot;:904758361,&quot;Height&quot;:841.0,&quot;Width&quot;:595.0,&quot;Placement&quot;:&quot;Footer&quot;,&quot;Index&quot;:&quot;OddAndEven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7CC088" w14:textId="35729B6B" w:rsidR="002C5B7C" w:rsidRPr="002C5B7C" w:rsidRDefault="002C5B7C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C5B7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72BC9" id="_x0000_t202" coordsize="21600,21600" o:spt="202" path="m,l,21600r21600,l21600,xe">
              <v:stroke joinstyle="miter"/>
              <v:path gradientshapeok="t" o:connecttype="rect"/>
            </v:shapetype>
            <v:shape id="MSIPCMd3f54469bd0204c6fb2f3fa8" o:spid="_x0000_s1029" type="#_x0000_t202" alt="{&quot;HashCode&quot;:904758361,&quot;Height&quot;:841.0,&quot;Width&quot;:595.0,&quot;Placement&quot;:&quot;Footer&quot;,&quot;Index&quot;:&quot;OddAndEven&quot;,&quot;Section&quot;:3,&quot;Top&quot;:0.0,&quot;Left&quot;:0.0}" style="position:absolute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87CC088" w14:textId="35729B6B" w:rsidR="002C5B7C" w:rsidRPr="002C5B7C" w:rsidRDefault="002C5B7C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C5B7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06F91" w14:textId="77777777" w:rsidR="00015392" w:rsidRDefault="00015392" w:rsidP="00DC00C1">
    <w:pPr>
      <w:pStyle w:val="Footer"/>
      <w:tabs>
        <w:tab w:val="left" w:pos="3667"/>
      </w:tabs>
    </w:pPr>
  </w:p>
  <w:p w14:paraId="042FA8D0" w14:textId="2CACBBE1" w:rsidR="00431A70" w:rsidRDefault="001C7128" w:rsidP="00DC00C1">
    <w:pPr>
      <w:pStyle w:val="Footer"/>
      <w:tabs>
        <w:tab w:val="left" w:pos="3667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6EBCE929" wp14:editId="7CB17B6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558981022" name="MSIPCMcda5461fada7660fda7e169a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EC5D7E" w14:textId="292E2C3E" w:rsidR="001C7128" w:rsidRPr="001C7128" w:rsidRDefault="001C7128" w:rsidP="001C712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C712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CE929" id="_x0000_t202" coordsize="21600,21600" o:spt="202" path="m,l,21600r21600,l21600,xe">
              <v:stroke joinstyle="miter"/>
              <v:path gradientshapeok="t" o:connecttype="rect"/>
            </v:shapetype>
            <v:shape id="MSIPCMcda5461fada7660fda7e169a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8EC5D7E" w14:textId="292E2C3E" w:rsidR="001C7128" w:rsidRPr="001C7128" w:rsidRDefault="001C7128" w:rsidP="001C712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C712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4BC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BA32EAB" wp14:editId="2F53ADC6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907038599" name="MSIPCM82764d688816a9dc96a1b608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918659" w14:textId="5CB96CC1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A32EAB" id="MSIPCM82764d688816a9dc96a1b608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margin-left:0;margin-top:802.35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" o:allowincell="f" filled="f" stroked="f" strokeweight=".5pt">
              <v:textbox inset=",0,,0">
                <w:txbxContent>
                  <w:p w14:paraId="54918659" w14:textId="5CB96CC1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09CB0" w14:textId="77777777" w:rsidR="00DB34BB" w:rsidRDefault="00DB34BB" w:rsidP="00207717">
      <w:pPr>
        <w:spacing w:before="120"/>
      </w:pPr>
      <w:r>
        <w:separator/>
      </w:r>
    </w:p>
  </w:footnote>
  <w:footnote w:type="continuationSeparator" w:id="0">
    <w:p w14:paraId="2B6FCB99" w14:textId="77777777" w:rsidR="00DB34BB" w:rsidRDefault="00DB34BB">
      <w:r>
        <w:continuationSeparator/>
      </w:r>
    </w:p>
    <w:p w14:paraId="7AE27E53" w14:textId="77777777" w:rsidR="00DB34BB" w:rsidRDefault="00DB34BB"/>
  </w:footnote>
  <w:footnote w:type="continuationNotice" w:id="1">
    <w:p w14:paraId="6FCD27A0" w14:textId="77777777" w:rsidR="00DB34BB" w:rsidRDefault="00DB34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F185F" w14:textId="3B103123" w:rsidR="00431A70" w:rsidRDefault="00C60411">
    <w:pPr>
      <w:pStyle w:val="Header"/>
    </w:pP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>
      <w:rPr>
        <w:bCs/>
      </w:rPr>
      <w:t>11</w:t>
    </w:r>
    <w:r w:rsidRPr="00DE6C85">
      <w:rPr>
        <w:b w:val="0"/>
        <w:bCs/>
      </w:rPr>
      <w:fldChar w:fldCharType="end"/>
    </w:r>
    <w:r>
      <w:rPr>
        <w:bCs/>
      </w:rPr>
      <w:ptab w:relativeTo="margin" w:alignment="right" w:leader="none"/>
    </w:r>
    <w:r>
      <w:t>Document title</w:t>
    </w:r>
    <w:r>
      <w:rPr>
        <w:noProof/>
      </w:rPr>
      <w:t xml:space="preserve"> </w:t>
    </w:r>
    <w:r w:rsidR="009C245E" w:rsidRPr="009C245E">
      <w:rPr>
        <w:noProof/>
      </w:rPr>
      <w:t>(use Header style)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A3E9" w14:textId="2E391FF6" w:rsidR="00562811" w:rsidRPr="001C7128" w:rsidRDefault="00D879ED" w:rsidP="001C7128">
    <w:pPr>
      <w:pStyle w:val="Header"/>
    </w:pPr>
    <w:r>
      <w:t xml:space="preserve">Emergency </w:t>
    </w:r>
    <w:r w:rsidR="00867234">
      <w:t>M</w:t>
    </w:r>
    <w:r>
      <w:t xml:space="preserve">anagement for </w:t>
    </w:r>
    <w:r w:rsidR="00867234">
      <w:t>H</w:t>
    </w:r>
    <w:r>
      <w:t>igh-</w:t>
    </w:r>
    <w:r w:rsidR="00867234">
      <w:t>R</w:t>
    </w:r>
    <w:r>
      <w:t xml:space="preserve">ise </w:t>
    </w:r>
    <w:r w:rsidR="00867234">
      <w:t>Public Housing B</w:t>
    </w:r>
    <w:r>
      <w:t>uildings</w:t>
    </w:r>
    <w:r w:rsidR="0025700D">
      <w:t xml:space="preserve"> </w:t>
    </w:r>
    <w:r w:rsidR="001C7128">
      <w:ptab w:relativeTo="margin" w:alignment="right" w:leader="none"/>
    </w:r>
    <w:r w:rsidR="001C7128" w:rsidRPr="00DE6C85">
      <w:rPr>
        <w:b w:val="0"/>
        <w:bCs/>
      </w:rPr>
      <w:fldChar w:fldCharType="begin"/>
    </w:r>
    <w:r w:rsidR="001C7128" w:rsidRPr="00DE6C85">
      <w:rPr>
        <w:bCs/>
      </w:rPr>
      <w:instrText xml:space="preserve"> PAGE </w:instrText>
    </w:r>
    <w:r w:rsidR="001C7128" w:rsidRPr="00DE6C85">
      <w:rPr>
        <w:b w:val="0"/>
        <w:bCs/>
      </w:rPr>
      <w:fldChar w:fldCharType="separate"/>
    </w:r>
    <w:r w:rsidR="001C7128">
      <w:rPr>
        <w:bCs/>
      </w:rPr>
      <w:t>7</w:t>
    </w:r>
    <w:r w:rsidR="001C7128" w:rsidRPr="00DE6C85">
      <w:rPr>
        <w:b w:val="0"/>
        <w:bCs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0B51"/>
    <w:multiLevelType w:val="hybridMultilevel"/>
    <w:tmpl w:val="C56AF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E30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C4141ED"/>
    <w:multiLevelType w:val="hybridMultilevel"/>
    <w:tmpl w:val="C75E0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B7109"/>
    <w:multiLevelType w:val="multilevel"/>
    <w:tmpl w:val="58E2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935F3"/>
    <w:multiLevelType w:val="multilevel"/>
    <w:tmpl w:val="F788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0E0A14"/>
    <w:multiLevelType w:val="multilevel"/>
    <w:tmpl w:val="2AEC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D5AC0"/>
    <w:multiLevelType w:val="multilevel"/>
    <w:tmpl w:val="70A4BB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813FEF"/>
    <w:multiLevelType w:val="hybridMultilevel"/>
    <w:tmpl w:val="D44AA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D3CEF"/>
    <w:multiLevelType w:val="hybridMultilevel"/>
    <w:tmpl w:val="98DA6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F1D66"/>
    <w:multiLevelType w:val="hybridMultilevel"/>
    <w:tmpl w:val="FE28C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65552"/>
    <w:multiLevelType w:val="hybridMultilevel"/>
    <w:tmpl w:val="F364E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D594F"/>
    <w:multiLevelType w:val="hybridMultilevel"/>
    <w:tmpl w:val="E604C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C68D4"/>
    <w:multiLevelType w:val="multilevel"/>
    <w:tmpl w:val="4808AB34"/>
    <w:styleLink w:val="ZZNumbersdigit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EC54A41"/>
    <w:multiLevelType w:val="multilevel"/>
    <w:tmpl w:val="986E24B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53D6933"/>
    <w:multiLevelType w:val="hybridMultilevel"/>
    <w:tmpl w:val="3594C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F5CE0"/>
    <w:multiLevelType w:val="hybridMultilevel"/>
    <w:tmpl w:val="8FF04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B8F3D91"/>
    <w:multiLevelType w:val="hybridMultilevel"/>
    <w:tmpl w:val="24647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D6D32"/>
    <w:multiLevelType w:val="hybridMultilevel"/>
    <w:tmpl w:val="AA8C5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17924"/>
    <w:multiLevelType w:val="multilevel"/>
    <w:tmpl w:val="4A50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631658"/>
    <w:multiLevelType w:val="multilevel"/>
    <w:tmpl w:val="2AEC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3816E8"/>
    <w:multiLevelType w:val="multilevel"/>
    <w:tmpl w:val="CD4A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E93F01"/>
    <w:multiLevelType w:val="multilevel"/>
    <w:tmpl w:val="4808AB3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7635236D"/>
    <w:multiLevelType w:val="multilevel"/>
    <w:tmpl w:val="4808AB34"/>
    <w:numStyleLink w:val="ZZNumbersdigit"/>
  </w:abstractNum>
  <w:abstractNum w:abstractNumId="26" w15:restartNumberingAfterBreak="0">
    <w:nsid w:val="7F617536"/>
    <w:multiLevelType w:val="multilevel"/>
    <w:tmpl w:val="EC9C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1821076">
    <w:abstractNumId w:val="12"/>
  </w:num>
  <w:num w:numId="2" w16cid:durableId="1887372395">
    <w:abstractNumId w:val="17"/>
  </w:num>
  <w:num w:numId="3" w16cid:durableId="867139489">
    <w:abstractNumId w:val="16"/>
  </w:num>
  <w:num w:numId="4" w16cid:durableId="1300768607">
    <w:abstractNumId w:val="21"/>
  </w:num>
  <w:num w:numId="5" w16cid:durableId="1739202439">
    <w:abstractNumId w:val="13"/>
  </w:num>
  <w:num w:numId="6" w16cid:durableId="2086760009">
    <w:abstractNumId w:val="1"/>
  </w:num>
  <w:num w:numId="7" w16cid:durableId="627123874">
    <w:abstractNumId w:val="4"/>
  </w:num>
  <w:num w:numId="8" w16cid:durableId="1733842476">
    <w:abstractNumId w:val="2"/>
  </w:num>
  <w:num w:numId="9" w16cid:durableId="286086170">
    <w:abstractNumId w:val="20"/>
  </w:num>
  <w:num w:numId="10" w16cid:durableId="1291470070">
    <w:abstractNumId w:val="6"/>
  </w:num>
  <w:num w:numId="11" w16cid:durableId="1359890998">
    <w:abstractNumId w:val="5"/>
  </w:num>
  <w:num w:numId="12" w16cid:durableId="1342119909">
    <w:abstractNumId w:val="22"/>
  </w:num>
  <w:num w:numId="13" w16cid:durableId="1546604523">
    <w:abstractNumId w:val="24"/>
  </w:num>
  <w:num w:numId="14" w16cid:durableId="1301502210">
    <w:abstractNumId w:val="26"/>
  </w:num>
  <w:num w:numId="15" w16cid:durableId="556236187">
    <w:abstractNumId w:val="25"/>
  </w:num>
  <w:num w:numId="16" w16cid:durableId="1443761710">
    <w:abstractNumId w:val="23"/>
  </w:num>
  <w:num w:numId="17" w16cid:durableId="996882960">
    <w:abstractNumId w:val="8"/>
  </w:num>
  <w:num w:numId="18" w16cid:durableId="323558397">
    <w:abstractNumId w:val="17"/>
  </w:num>
  <w:num w:numId="19" w16cid:durableId="679353009">
    <w:abstractNumId w:val="9"/>
  </w:num>
  <w:num w:numId="20" w16cid:durableId="1039624579">
    <w:abstractNumId w:val="17"/>
  </w:num>
  <w:num w:numId="21" w16cid:durableId="1097748264">
    <w:abstractNumId w:val="17"/>
  </w:num>
  <w:num w:numId="22" w16cid:durableId="686297168">
    <w:abstractNumId w:val="17"/>
  </w:num>
  <w:num w:numId="23" w16cid:durableId="2091924561">
    <w:abstractNumId w:val="17"/>
  </w:num>
  <w:num w:numId="24" w16cid:durableId="749471173">
    <w:abstractNumId w:val="17"/>
  </w:num>
  <w:num w:numId="25" w16cid:durableId="1406341788">
    <w:abstractNumId w:val="10"/>
  </w:num>
  <w:num w:numId="26" w16cid:durableId="1592860186">
    <w:abstractNumId w:val="17"/>
  </w:num>
  <w:num w:numId="27" w16cid:durableId="197662355">
    <w:abstractNumId w:val="11"/>
  </w:num>
  <w:num w:numId="28" w16cid:durableId="708991455">
    <w:abstractNumId w:val="17"/>
  </w:num>
  <w:num w:numId="29" w16cid:durableId="237597867">
    <w:abstractNumId w:val="17"/>
  </w:num>
  <w:num w:numId="30" w16cid:durableId="511266421">
    <w:abstractNumId w:val="17"/>
  </w:num>
  <w:num w:numId="31" w16cid:durableId="1557551642">
    <w:abstractNumId w:val="19"/>
  </w:num>
  <w:num w:numId="32" w16cid:durableId="208688145">
    <w:abstractNumId w:val="3"/>
  </w:num>
  <w:num w:numId="33" w16cid:durableId="1467695307">
    <w:abstractNumId w:val="18"/>
  </w:num>
  <w:num w:numId="34" w16cid:durableId="1721050635">
    <w:abstractNumId w:val="7"/>
  </w:num>
  <w:num w:numId="35" w16cid:durableId="1923030743">
    <w:abstractNumId w:val="14"/>
  </w:num>
  <w:num w:numId="36" w16cid:durableId="1972199753">
    <w:abstractNumId w:val="0"/>
  </w:num>
  <w:num w:numId="37" w16cid:durableId="808202928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mirrorMargin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72"/>
    <w:rsid w:val="00000719"/>
    <w:rsid w:val="000011E1"/>
    <w:rsid w:val="00002D68"/>
    <w:rsid w:val="000033F7"/>
    <w:rsid w:val="00003403"/>
    <w:rsid w:val="00003CDC"/>
    <w:rsid w:val="000042C6"/>
    <w:rsid w:val="00005347"/>
    <w:rsid w:val="00006280"/>
    <w:rsid w:val="00006FF7"/>
    <w:rsid w:val="000072B6"/>
    <w:rsid w:val="00007D6A"/>
    <w:rsid w:val="0001021B"/>
    <w:rsid w:val="00010550"/>
    <w:rsid w:val="00011D89"/>
    <w:rsid w:val="0001482C"/>
    <w:rsid w:val="00015392"/>
    <w:rsid w:val="000154FD"/>
    <w:rsid w:val="0001731D"/>
    <w:rsid w:val="00020678"/>
    <w:rsid w:val="00020888"/>
    <w:rsid w:val="00021785"/>
    <w:rsid w:val="00022271"/>
    <w:rsid w:val="00022F9E"/>
    <w:rsid w:val="000235E8"/>
    <w:rsid w:val="00024D89"/>
    <w:rsid w:val="000250B6"/>
    <w:rsid w:val="000258C1"/>
    <w:rsid w:val="00026AC7"/>
    <w:rsid w:val="00027841"/>
    <w:rsid w:val="000300C0"/>
    <w:rsid w:val="00032D3A"/>
    <w:rsid w:val="00033D81"/>
    <w:rsid w:val="00033DC9"/>
    <w:rsid w:val="000368EF"/>
    <w:rsid w:val="00037366"/>
    <w:rsid w:val="000402CE"/>
    <w:rsid w:val="00041A4A"/>
    <w:rsid w:val="00041BF0"/>
    <w:rsid w:val="00042A45"/>
    <w:rsid w:val="00042C8A"/>
    <w:rsid w:val="00043593"/>
    <w:rsid w:val="0004536B"/>
    <w:rsid w:val="00045BA7"/>
    <w:rsid w:val="00045D42"/>
    <w:rsid w:val="000465CF"/>
    <w:rsid w:val="00046B68"/>
    <w:rsid w:val="00050951"/>
    <w:rsid w:val="000527DD"/>
    <w:rsid w:val="00052958"/>
    <w:rsid w:val="0005510B"/>
    <w:rsid w:val="00055301"/>
    <w:rsid w:val="000561A7"/>
    <w:rsid w:val="00056EC4"/>
    <w:rsid w:val="00057362"/>
    <w:rsid w:val="000576EC"/>
    <w:rsid w:val="000578B2"/>
    <w:rsid w:val="000601F5"/>
    <w:rsid w:val="00060959"/>
    <w:rsid w:val="00060C8F"/>
    <w:rsid w:val="00061F1C"/>
    <w:rsid w:val="00062437"/>
    <w:rsid w:val="0006298A"/>
    <w:rsid w:val="00064C0A"/>
    <w:rsid w:val="00065346"/>
    <w:rsid w:val="0006557A"/>
    <w:rsid w:val="00065BE0"/>
    <w:rsid w:val="0006617B"/>
    <w:rsid w:val="000662DD"/>
    <w:rsid w:val="000663CD"/>
    <w:rsid w:val="00072FE0"/>
    <w:rsid w:val="000733FE"/>
    <w:rsid w:val="00074219"/>
    <w:rsid w:val="00074ED5"/>
    <w:rsid w:val="00075885"/>
    <w:rsid w:val="00077201"/>
    <w:rsid w:val="0008170F"/>
    <w:rsid w:val="0008204A"/>
    <w:rsid w:val="000822D5"/>
    <w:rsid w:val="00083F2D"/>
    <w:rsid w:val="000847D0"/>
    <w:rsid w:val="0008508E"/>
    <w:rsid w:val="0008577E"/>
    <w:rsid w:val="00086BD9"/>
    <w:rsid w:val="00086D71"/>
    <w:rsid w:val="00087951"/>
    <w:rsid w:val="00087C37"/>
    <w:rsid w:val="0009113B"/>
    <w:rsid w:val="000912C4"/>
    <w:rsid w:val="00093402"/>
    <w:rsid w:val="000939ED"/>
    <w:rsid w:val="00094DA3"/>
    <w:rsid w:val="000952FB"/>
    <w:rsid w:val="00096CD1"/>
    <w:rsid w:val="00096FEA"/>
    <w:rsid w:val="000A012C"/>
    <w:rsid w:val="000A0EB9"/>
    <w:rsid w:val="000A1684"/>
    <w:rsid w:val="000A186C"/>
    <w:rsid w:val="000A1EA4"/>
    <w:rsid w:val="000A2476"/>
    <w:rsid w:val="000A2555"/>
    <w:rsid w:val="000A2F58"/>
    <w:rsid w:val="000A3A1D"/>
    <w:rsid w:val="000A4315"/>
    <w:rsid w:val="000A641A"/>
    <w:rsid w:val="000B1877"/>
    <w:rsid w:val="000B1A94"/>
    <w:rsid w:val="000B2C91"/>
    <w:rsid w:val="000B3EDB"/>
    <w:rsid w:val="000B43B1"/>
    <w:rsid w:val="000B543D"/>
    <w:rsid w:val="000B55F9"/>
    <w:rsid w:val="000B5BF7"/>
    <w:rsid w:val="000B5F47"/>
    <w:rsid w:val="000B61CD"/>
    <w:rsid w:val="000B6BC8"/>
    <w:rsid w:val="000C0303"/>
    <w:rsid w:val="000C03DF"/>
    <w:rsid w:val="000C2872"/>
    <w:rsid w:val="000C42EA"/>
    <w:rsid w:val="000C4546"/>
    <w:rsid w:val="000C6E89"/>
    <w:rsid w:val="000D02EC"/>
    <w:rsid w:val="000D1242"/>
    <w:rsid w:val="000D1263"/>
    <w:rsid w:val="000D2A91"/>
    <w:rsid w:val="000D2ABA"/>
    <w:rsid w:val="000D35A9"/>
    <w:rsid w:val="000D3945"/>
    <w:rsid w:val="000D5A3E"/>
    <w:rsid w:val="000D5B27"/>
    <w:rsid w:val="000E0970"/>
    <w:rsid w:val="000E32DC"/>
    <w:rsid w:val="000E3682"/>
    <w:rsid w:val="000E3CC7"/>
    <w:rsid w:val="000E6BD4"/>
    <w:rsid w:val="000E6D6D"/>
    <w:rsid w:val="000E79E9"/>
    <w:rsid w:val="000F10E3"/>
    <w:rsid w:val="000F1F1E"/>
    <w:rsid w:val="000F2259"/>
    <w:rsid w:val="000F29FB"/>
    <w:rsid w:val="000F2DDA"/>
    <w:rsid w:val="000F2EA0"/>
    <w:rsid w:val="000F3E83"/>
    <w:rsid w:val="000F5213"/>
    <w:rsid w:val="000F5D49"/>
    <w:rsid w:val="000F7243"/>
    <w:rsid w:val="000F7282"/>
    <w:rsid w:val="00101001"/>
    <w:rsid w:val="00102E46"/>
    <w:rsid w:val="00103128"/>
    <w:rsid w:val="00103276"/>
    <w:rsid w:val="0010392D"/>
    <w:rsid w:val="0010447F"/>
    <w:rsid w:val="00104FE3"/>
    <w:rsid w:val="00105AED"/>
    <w:rsid w:val="0010714F"/>
    <w:rsid w:val="001107CA"/>
    <w:rsid w:val="0011158E"/>
    <w:rsid w:val="001120C5"/>
    <w:rsid w:val="00112FF7"/>
    <w:rsid w:val="00120BD3"/>
    <w:rsid w:val="00122125"/>
    <w:rsid w:val="00122FEA"/>
    <w:rsid w:val="001232BD"/>
    <w:rsid w:val="00124E43"/>
    <w:rsid w:val="00124ED5"/>
    <w:rsid w:val="00126D3B"/>
    <w:rsid w:val="001276FA"/>
    <w:rsid w:val="001303F8"/>
    <w:rsid w:val="00131309"/>
    <w:rsid w:val="00131E74"/>
    <w:rsid w:val="00132B2E"/>
    <w:rsid w:val="00136AA5"/>
    <w:rsid w:val="0014271D"/>
    <w:rsid w:val="0014469C"/>
    <w:rsid w:val="001447B3"/>
    <w:rsid w:val="00145817"/>
    <w:rsid w:val="001469DA"/>
    <w:rsid w:val="00146F81"/>
    <w:rsid w:val="00147073"/>
    <w:rsid w:val="001503AC"/>
    <w:rsid w:val="00150D67"/>
    <w:rsid w:val="00150E47"/>
    <w:rsid w:val="00151095"/>
    <w:rsid w:val="00151D8A"/>
    <w:rsid w:val="00152073"/>
    <w:rsid w:val="00152329"/>
    <w:rsid w:val="00152708"/>
    <w:rsid w:val="00153803"/>
    <w:rsid w:val="00153A67"/>
    <w:rsid w:val="00156598"/>
    <w:rsid w:val="00161939"/>
    <w:rsid w:val="00161AA0"/>
    <w:rsid w:val="00161D2E"/>
    <w:rsid w:val="00161F3E"/>
    <w:rsid w:val="00162093"/>
    <w:rsid w:val="00162CA9"/>
    <w:rsid w:val="00163708"/>
    <w:rsid w:val="00164ADE"/>
    <w:rsid w:val="00165459"/>
    <w:rsid w:val="00165A57"/>
    <w:rsid w:val="001701A6"/>
    <w:rsid w:val="001708A9"/>
    <w:rsid w:val="00170F03"/>
    <w:rsid w:val="001712C2"/>
    <w:rsid w:val="001721C6"/>
    <w:rsid w:val="00172BAF"/>
    <w:rsid w:val="00172ED0"/>
    <w:rsid w:val="00173DC4"/>
    <w:rsid w:val="00173ECC"/>
    <w:rsid w:val="00174267"/>
    <w:rsid w:val="00174F27"/>
    <w:rsid w:val="0017674D"/>
    <w:rsid w:val="001771DD"/>
    <w:rsid w:val="00177995"/>
    <w:rsid w:val="00177A8C"/>
    <w:rsid w:val="0018244E"/>
    <w:rsid w:val="00183356"/>
    <w:rsid w:val="00183420"/>
    <w:rsid w:val="001840FE"/>
    <w:rsid w:val="00185249"/>
    <w:rsid w:val="00186B33"/>
    <w:rsid w:val="001875FB"/>
    <w:rsid w:val="0018792C"/>
    <w:rsid w:val="001900E8"/>
    <w:rsid w:val="00190477"/>
    <w:rsid w:val="00190598"/>
    <w:rsid w:val="001910B1"/>
    <w:rsid w:val="00192F9D"/>
    <w:rsid w:val="00193D57"/>
    <w:rsid w:val="0019518D"/>
    <w:rsid w:val="00196070"/>
    <w:rsid w:val="00196C44"/>
    <w:rsid w:val="00196EB8"/>
    <w:rsid w:val="00196EFB"/>
    <w:rsid w:val="001976BA"/>
    <w:rsid w:val="001979FF"/>
    <w:rsid w:val="00197B17"/>
    <w:rsid w:val="001A140F"/>
    <w:rsid w:val="001A1950"/>
    <w:rsid w:val="001A1C54"/>
    <w:rsid w:val="001A2950"/>
    <w:rsid w:val="001A29B6"/>
    <w:rsid w:val="001A2C0E"/>
    <w:rsid w:val="001A3ACE"/>
    <w:rsid w:val="001A6272"/>
    <w:rsid w:val="001B058F"/>
    <w:rsid w:val="001B0EA7"/>
    <w:rsid w:val="001B218C"/>
    <w:rsid w:val="001B4CC6"/>
    <w:rsid w:val="001B4E3F"/>
    <w:rsid w:val="001B5737"/>
    <w:rsid w:val="001B5D5A"/>
    <w:rsid w:val="001B6B96"/>
    <w:rsid w:val="001B738B"/>
    <w:rsid w:val="001C0233"/>
    <w:rsid w:val="001C0631"/>
    <w:rsid w:val="001C09DB"/>
    <w:rsid w:val="001C1283"/>
    <w:rsid w:val="001C2331"/>
    <w:rsid w:val="001C277E"/>
    <w:rsid w:val="001C2A72"/>
    <w:rsid w:val="001C31B7"/>
    <w:rsid w:val="001C3A47"/>
    <w:rsid w:val="001C4917"/>
    <w:rsid w:val="001C52BD"/>
    <w:rsid w:val="001C67D6"/>
    <w:rsid w:val="001C6D57"/>
    <w:rsid w:val="001C7128"/>
    <w:rsid w:val="001D0B75"/>
    <w:rsid w:val="001D0F47"/>
    <w:rsid w:val="001D23B3"/>
    <w:rsid w:val="001D2E8F"/>
    <w:rsid w:val="001D39A5"/>
    <w:rsid w:val="001D3B7E"/>
    <w:rsid w:val="001D3C09"/>
    <w:rsid w:val="001D44E8"/>
    <w:rsid w:val="001D45CE"/>
    <w:rsid w:val="001D5B14"/>
    <w:rsid w:val="001D60EC"/>
    <w:rsid w:val="001D61B4"/>
    <w:rsid w:val="001D6F59"/>
    <w:rsid w:val="001D6FF7"/>
    <w:rsid w:val="001D7EC3"/>
    <w:rsid w:val="001E098B"/>
    <w:rsid w:val="001E2209"/>
    <w:rsid w:val="001E364B"/>
    <w:rsid w:val="001E42C8"/>
    <w:rsid w:val="001E44DF"/>
    <w:rsid w:val="001E4D6B"/>
    <w:rsid w:val="001E518D"/>
    <w:rsid w:val="001E68A5"/>
    <w:rsid w:val="001E6BB0"/>
    <w:rsid w:val="001E7282"/>
    <w:rsid w:val="001E7CE9"/>
    <w:rsid w:val="001F18CD"/>
    <w:rsid w:val="001F3826"/>
    <w:rsid w:val="001F3A22"/>
    <w:rsid w:val="001F3E73"/>
    <w:rsid w:val="001F43A1"/>
    <w:rsid w:val="001F4965"/>
    <w:rsid w:val="001F4CB0"/>
    <w:rsid w:val="001F5A0F"/>
    <w:rsid w:val="001F6E08"/>
    <w:rsid w:val="001F6E46"/>
    <w:rsid w:val="001F754D"/>
    <w:rsid w:val="001F7C91"/>
    <w:rsid w:val="002031F4"/>
    <w:rsid w:val="002033B7"/>
    <w:rsid w:val="002036A3"/>
    <w:rsid w:val="002060D2"/>
    <w:rsid w:val="00206463"/>
    <w:rsid w:val="00206F2F"/>
    <w:rsid w:val="00207717"/>
    <w:rsid w:val="0021053D"/>
    <w:rsid w:val="0021061D"/>
    <w:rsid w:val="00210A92"/>
    <w:rsid w:val="00211437"/>
    <w:rsid w:val="00212B95"/>
    <w:rsid w:val="00213FF8"/>
    <w:rsid w:val="00214AFA"/>
    <w:rsid w:val="0021597A"/>
    <w:rsid w:val="00215CC8"/>
    <w:rsid w:val="00216C03"/>
    <w:rsid w:val="00220A1A"/>
    <w:rsid w:val="00220A8E"/>
    <w:rsid w:val="00220C04"/>
    <w:rsid w:val="00221AC4"/>
    <w:rsid w:val="0022278D"/>
    <w:rsid w:val="00224068"/>
    <w:rsid w:val="00225040"/>
    <w:rsid w:val="00225C8E"/>
    <w:rsid w:val="0022701F"/>
    <w:rsid w:val="00227C68"/>
    <w:rsid w:val="0023039F"/>
    <w:rsid w:val="00231B3D"/>
    <w:rsid w:val="002333F5"/>
    <w:rsid w:val="00233724"/>
    <w:rsid w:val="00233FB5"/>
    <w:rsid w:val="002348C7"/>
    <w:rsid w:val="00236218"/>
    <w:rsid w:val="002365B4"/>
    <w:rsid w:val="00236674"/>
    <w:rsid w:val="00241406"/>
    <w:rsid w:val="002432E1"/>
    <w:rsid w:val="002438D9"/>
    <w:rsid w:val="00243C6F"/>
    <w:rsid w:val="0024409C"/>
    <w:rsid w:val="0024449A"/>
    <w:rsid w:val="00246048"/>
    <w:rsid w:val="00246207"/>
    <w:rsid w:val="00246964"/>
    <w:rsid w:val="00246C5E"/>
    <w:rsid w:val="00247703"/>
    <w:rsid w:val="00250960"/>
    <w:rsid w:val="00251343"/>
    <w:rsid w:val="0025285A"/>
    <w:rsid w:val="00252D1E"/>
    <w:rsid w:val="002536A4"/>
    <w:rsid w:val="00253A3E"/>
    <w:rsid w:val="00254724"/>
    <w:rsid w:val="00254F58"/>
    <w:rsid w:val="00255182"/>
    <w:rsid w:val="00256EF4"/>
    <w:rsid w:val="0025700D"/>
    <w:rsid w:val="002579B9"/>
    <w:rsid w:val="002600BD"/>
    <w:rsid w:val="00260EC3"/>
    <w:rsid w:val="00261B0D"/>
    <w:rsid w:val="002620BC"/>
    <w:rsid w:val="00262802"/>
    <w:rsid w:val="00263A90"/>
    <w:rsid w:val="0026408B"/>
    <w:rsid w:val="00264355"/>
    <w:rsid w:val="00264888"/>
    <w:rsid w:val="00266247"/>
    <w:rsid w:val="00266A03"/>
    <w:rsid w:val="00267163"/>
    <w:rsid w:val="00267C3E"/>
    <w:rsid w:val="002707F0"/>
    <w:rsid w:val="002709BB"/>
    <w:rsid w:val="0027131C"/>
    <w:rsid w:val="00271A50"/>
    <w:rsid w:val="00271F7F"/>
    <w:rsid w:val="00271FB3"/>
    <w:rsid w:val="00272EC7"/>
    <w:rsid w:val="00273BAC"/>
    <w:rsid w:val="00274423"/>
    <w:rsid w:val="002763B3"/>
    <w:rsid w:val="002802E3"/>
    <w:rsid w:val="0028097F"/>
    <w:rsid w:val="0028213D"/>
    <w:rsid w:val="00282A7F"/>
    <w:rsid w:val="002862F1"/>
    <w:rsid w:val="002868A3"/>
    <w:rsid w:val="0028690A"/>
    <w:rsid w:val="00287841"/>
    <w:rsid w:val="0029110B"/>
    <w:rsid w:val="002911EA"/>
    <w:rsid w:val="00291373"/>
    <w:rsid w:val="00293C2C"/>
    <w:rsid w:val="00294905"/>
    <w:rsid w:val="0029597D"/>
    <w:rsid w:val="002962C3"/>
    <w:rsid w:val="002969A7"/>
    <w:rsid w:val="0029752B"/>
    <w:rsid w:val="002A0626"/>
    <w:rsid w:val="002A0A9C"/>
    <w:rsid w:val="002A2348"/>
    <w:rsid w:val="002A483C"/>
    <w:rsid w:val="002B0845"/>
    <w:rsid w:val="002B0C7C"/>
    <w:rsid w:val="002B1585"/>
    <w:rsid w:val="002B1729"/>
    <w:rsid w:val="002B3495"/>
    <w:rsid w:val="002B36C7"/>
    <w:rsid w:val="002B4C3B"/>
    <w:rsid w:val="002B4DD4"/>
    <w:rsid w:val="002B5277"/>
    <w:rsid w:val="002B5375"/>
    <w:rsid w:val="002B77C1"/>
    <w:rsid w:val="002C0ED7"/>
    <w:rsid w:val="002C2728"/>
    <w:rsid w:val="002C2C04"/>
    <w:rsid w:val="002C3464"/>
    <w:rsid w:val="002C5B7C"/>
    <w:rsid w:val="002C7FE0"/>
    <w:rsid w:val="002D1E0D"/>
    <w:rsid w:val="002D21DA"/>
    <w:rsid w:val="002D389B"/>
    <w:rsid w:val="002D3D59"/>
    <w:rsid w:val="002D5006"/>
    <w:rsid w:val="002D5EDB"/>
    <w:rsid w:val="002D7C61"/>
    <w:rsid w:val="002E006F"/>
    <w:rsid w:val="002E01D0"/>
    <w:rsid w:val="002E0798"/>
    <w:rsid w:val="002E161D"/>
    <w:rsid w:val="002E1748"/>
    <w:rsid w:val="002E28A2"/>
    <w:rsid w:val="002E3100"/>
    <w:rsid w:val="002E6524"/>
    <w:rsid w:val="002E6C95"/>
    <w:rsid w:val="002E7C36"/>
    <w:rsid w:val="002F04CA"/>
    <w:rsid w:val="002F3D32"/>
    <w:rsid w:val="002F504B"/>
    <w:rsid w:val="002F5F31"/>
    <w:rsid w:val="002F5F46"/>
    <w:rsid w:val="002F5F7F"/>
    <w:rsid w:val="002F6268"/>
    <w:rsid w:val="00302216"/>
    <w:rsid w:val="00302E59"/>
    <w:rsid w:val="00303E53"/>
    <w:rsid w:val="00305CC1"/>
    <w:rsid w:val="00306BB9"/>
    <w:rsid w:val="00306E5F"/>
    <w:rsid w:val="0030707A"/>
    <w:rsid w:val="00307937"/>
    <w:rsid w:val="00307E14"/>
    <w:rsid w:val="0031038E"/>
    <w:rsid w:val="00312028"/>
    <w:rsid w:val="0031304E"/>
    <w:rsid w:val="00314054"/>
    <w:rsid w:val="003163BD"/>
    <w:rsid w:val="00316F27"/>
    <w:rsid w:val="00317667"/>
    <w:rsid w:val="003203FB"/>
    <w:rsid w:val="003214F1"/>
    <w:rsid w:val="00322E4B"/>
    <w:rsid w:val="0032387F"/>
    <w:rsid w:val="003241D4"/>
    <w:rsid w:val="00324BA3"/>
    <w:rsid w:val="0032662E"/>
    <w:rsid w:val="00327870"/>
    <w:rsid w:val="00331247"/>
    <w:rsid w:val="0033259D"/>
    <w:rsid w:val="003333D2"/>
    <w:rsid w:val="00334686"/>
    <w:rsid w:val="00335542"/>
    <w:rsid w:val="00337339"/>
    <w:rsid w:val="00337AC9"/>
    <w:rsid w:val="00340345"/>
    <w:rsid w:val="003406C6"/>
    <w:rsid w:val="003418CC"/>
    <w:rsid w:val="003434EE"/>
    <w:rsid w:val="0034412A"/>
    <w:rsid w:val="003458F0"/>
    <w:rsid w:val="003459BD"/>
    <w:rsid w:val="00346310"/>
    <w:rsid w:val="00346CAB"/>
    <w:rsid w:val="0034751F"/>
    <w:rsid w:val="003509F3"/>
    <w:rsid w:val="00350D38"/>
    <w:rsid w:val="0035164B"/>
    <w:rsid w:val="00351B36"/>
    <w:rsid w:val="0035203E"/>
    <w:rsid w:val="00353BD8"/>
    <w:rsid w:val="003569D6"/>
    <w:rsid w:val="00357987"/>
    <w:rsid w:val="00357B4E"/>
    <w:rsid w:val="003603B5"/>
    <w:rsid w:val="00363CEB"/>
    <w:rsid w:val="00366EF1"/>
    <w:rsid w:val="00370B47"/>
    <w:rsid w:val="003716FD"/>
    <w:rsid w:val="00371A70"/>
    <w:rsid w:val="0037204B"/>
    <w:rsid w:val="0037245C"/>
    <w:rsid w:val="0037356F"/>
    <w:rsid w:val="003744CF"/>
    <w:rsid w:val="00374717"/>
    <w:rsid w:val="003752A2"/>
    <w:rsid w:val="0037676C"/>
    <w:rsid w:val="00377760"/>
    <w:rsid w:val="003779B8"/>
    <w:rsid w:val="00381043"/>
    <w:rsid w:val="003829E5"/>
    <w:rsid w:val="00382C3F"/>
    <w:rsid w:val="00384946"/>
    <w:rsid w:val="00386109"/>
    <w:rsid w:val="00386944"/>
    <w:rsid w:val="00391068"/>
    <w:rsid w:val="003912E2"/>
    <w:rsid w:val="003924E2"/>
    <w:rsid w:val="00394B33"/>
    <w:rsid w:val="003956CC"/>
    <w:rsid w:val="00395994"/>
    <w:rsid w:val="00395C9A"/>
    <w:rsid w:val="003A0853"/>
    <w:rsid w:val="003A09F1"/>
    <w:rsid w:val="003A0CBB"/>
    <w:rsid w:val="003A22D1"/>
    <w:rsid w:val="003A2312"/>
    <w:rsid w:val="003A6A72"/>
    <w:rsid w:val="003A6B67"/>
    <w:rsid w:val="003B13B6"/>
    <w:rsid w:val="003B1403"/>
    <w:rsid w:val="003B14C3"/>
    <w:rsid w:val="003B15E6"/>
    <w:rsid w:val="003B1BC0"/>
    <w:rsid w:val="003B22EF"/>
    <w:rsid w:val="003B408A"/>
    <w:rsid w:val="003B436F"/>
    <w:rsid w:val="003B6613"/>
    <w:rsid w:val="003B6FCA"/>
    <w:rsid w:val="003B75B9"/>
    <w:rsid w:val="003C01E2"/>
    <w:rsid w:val="003C08A2"/>
    <w:rsid w:val="003C1FAF"/>
    <w:rsid w:val="003C2045"/>
    <w:rsid w:val="003C2E5C"/>
    <w:rsid w:val="003C36A0"/>
    <w:rsid w:val="003C3AC3"/>
    <w:rsid w:val="003C43A1"/>
    <w:rsid w:val="003C449B"/>
    <w:rsid w:val="003C4FC0"/>
    <w:rsid w:val="003C5372"/>
    <w:rsid w:val="003C55F4"/>
    <w:rsid w:val="003C5B7B"/>
    <w:rsid w:val="003C6EF3"/>
    <w:rsid w:val="003C7897"/>
    <w:rsid w:val="003C7A3F"/>
    <w:rsid w:val="003D2766"/>
    <w:rsid w:val="003D29EB"/>
    <w:rsid w:val="003D2A74"/>
    <w:rsid w:val="003D2AC1"/>
    <w:rsid w:val="003D2D31"/>
    <w:rsid w:val="003D334C"/>
    <w:rsid w:val="003D3D88"/>
    <w:rsid w:val="003D3E8F"/>
    <w:rsid w:val="003D6475"/>
    <w:rsid w:val="003D6EE6"/>
    <w:rsid w:val="003E3638"/>
    <w:rsid w:val="003E375C"/>
    <w:rsid w:val="003E3F46"/>
    <w:rsid w:val="003E4086"/>
    <w:rsid w:val="003E4D1D"/>
    <w:rsid w:val="003E639E"/>
    <w:rsid w:val="003E71A4"/>
    <w:rsid w:val="003E71E5"/>
    <w:rsid w:val="003F0445"/>
    <w:rsid w:val="003F07D7"/>
    <w:rsid w:val="003F0CF0"/>
    <w:rsid w:val="003F10BB"/>
    <w:rsid w:val="003F14B1"/>
    <w:rsid w:val="003F29C7"/>
    <w:rsid w:val="003F2B20"/>
    <w:rsid w:val="003F2F74"/>
    <w:rsid w:val="003F3289"/>
    <w:rsid w:val="003F3C62"/>
    <w:rsid w:val="003F4133"/>
    <w:rsid w:val="003F5CB9"/>
    <w:rsid w:val="00400B44"/>
    <w:rsid w:val="004013C7"/>
    <w:rsid w:val="00401FCF"/>
    <w:rsid w:val="00402607"/>
    <w:rsid w:val="0040499B"/>
    <w:rsid w:val="00406285"/>
    <w:rsid w:val="0040733B"/>
    <w:rsid w:val="004115A2"/>
    <w:rsid w:val="00413604"/>
    <w:rsid w:val="0041409D"/>
    <w:rsid w:val="004148F9"/>
    <w:rsid w:val="004174A3"/>
    <w:rsid w:val="004177A3"/>
    <w:rsid w:val="00417BF4"/>
    <w:rsid w:val="0042084E"/>
    <w:rsid w:val="00421EEF"/>
    <w:rsid w:val="004242E9"/>
    <w:rsid w:val="00424D65"/>
    <w:rsid w:val="0042526D"/>
    <w:rsid w:val="00427128"/>
    <w:rsid w:val="004276AF"/>
    <w:rsid w:val="00427C4E"/>
    <w:rsid w:val="00430393"/>
    <w:rsid w:val="0043168D"/>
    <w:rsid w:val="00431806"/>
    <w:rsid w:val="00431A70"/>
    <w:rsid w:val="00431F42"/>
    <w:rsid w:val="00432680"/>
    <w:rsid w:val="004333B3"/>
    <w:rsid w:val="004347B3"/>
    <w:rsid w:val="004366C3"/>
    <w:rsid w:val="00436B87"/>
    <w:rsid w:val="00442656"/>
    <w:rsid w:val="00442C6C"/>
    <w:rsid w:val="00442D21"/>
    <w:rsid w:val="00443CBE"/>
    <w:rsid w:val="00443E27"/>
    <w:rsid w:val="00443E8A"/>
    <w:rsid w:val="004441BC"/>
    <w:rsid w:val="00445463"/>
    <w:rsid w:val="004468B4"/>
    <w:rsid w:val="00446D86"/>
    <w:rsid w:val="00451045"/>
    <w:rsid w:val="00451F65"/>
    <w:rsid w:val="0045230A"/>
    <w:rsid w:val="004525D9"/>
    <w:rsid w:val="004546C2"/>
    <w:rsid w:val="00454AD0"/>
    <w:rsid w:val="00455177"/>
    <w:rsid w:val="0045534A"/>
    <w:rsid w:val="00457337"/>
    <w:rsid w:val="00462815"/>
    <w:rsid w:val="00462E3D"/>
    <w:rsid w:val="00465EF4"/>
    <w:rsid w:val="00466E79"/>
    <w:rsid w:val="00467520"/>
    <w:rsid w:val="0047003A"/>
    <w:rsid w:val="00470D7D"/>
    <w:rsid w:val="00471F29"/>
    <w:rsid w:val="0047372D"/>
    <w:rsid w:val="00473BA3"/>
    <w:rsid w:val="004743DD"/>
    <w:rsid w:val="00474CEA"/>
    <w:rsid w:val="00477424"/>
    <w:rsid w:val="004804D0"/>
    <w:rsid w:val="00483968"/>
    <w:rsid w:val="004841BE"/>
    <w:rsid w:val="00484A3E"/>
    <w:rsid w:val="00484F86"/>
    <w:rsid w:val="004867F5"/>
    <w:rsid w:val="00490746"/>
    <w:rsid w:val="00490852"/>
    <w:rsid w:val="00491C9C"/>
    <w:rsid w:val="004929DF"/>
    <w:rsid w:val="00492F30"/>
    <w:rsid w:val="004946F4"/>
    <w:rsid w:val="0049487E"/>
    <w:rsid w:val="00495403"/>
    <w:rsid w:val="004964AF"/>
    <w:rsid w:val="00496F71"/>
    <w:rsid w:val="004973A2"/>
    <w:rsid w:val="00497957"/>
    <w:rsid w:val="004A07D7"/>
    <w:rsid w:val="004A160D"/>
    <w:rsid w:val="004A230B"/>
    <w:rsid w:val="004A3E81"/>
    <w:rsid w:val="004A4195"/>
    <w:rsid w:val="004A574D"/>
    <w:rsid w:val="004A5C62"/>
    <w:rsid w:val="004A5CE5"/>
    <w:rsid w:val="004A6C42"/>
    <w:rsid w:val="004A707D"/>
    <w:rsid w:val="004B0974"/>
    <w:rsid w:val="004B19E3"/>
    <w:rsid w:val="004B1CFD"/>
    <w:rsid w:val="004B27E5"/>
    <w:rsid w:val="004B4185"/>
    <w:rsid w:val="004B77D2"/>
    <w:rsid w:val="004C014B"/>
    <w:rsid w:val="004C067C"/>
    <w:rsid w:val="004C20AC"/>
    <w:rsid w:val="004C317D"/>
    <w:rsid w:val="004C4D74"/>
    <w:rsid w:val="004C5541"/>
    <w:rsid w:val="004C6562"/>
    <w:rsid w:val="004C6EEE"/>
    <w:rsid w:val="004C702B"/>
    <w:rsid w:val="004C7D97"/>
    <w:rsid w:val="004C7DA9"/>
    <w:rsid w:val="004D0033"/>
    <w:rsid w:val="004D016B"/>
    <w:rsid w:val="004D052D"/>
    <w:rsid w:val="004D197E"/>
    <w:rsid w:val="004D1B22"/>
    <w:rsid w:val="004D23CC"/>
    <w:rsid w:val="004D36F2"/>
    <w:rsid w:val="004E1106"/>
    <w:rsid w:val="004E138F"/>
    <w:rsid w:val="004E1CC8"/>
    <w:rsid w:val="004E2AD2"/>
    <w:rsid w:val="004E4649"/>
    <w:rsid w:val="004E5C2B"/>
    <w:rsid w:val="004E6D35"/>
    <w:rsid w:val="004F00DD"/>
    <w:rsid w:val="004F08B2"/>
    <w:rsid w:val="004F2133"/>
    <w:rsid w:val="004F4A72"/>
    <w:rsid w:val="004F5398"/>
    <w:rsid w:val="004F55F1"/>
    <w:rsid w:val="004F6451"/>
    <w:rsid w:val="004F6936"/>
    <w:rsid w:val="004F7A51"/>
    <w:rsid w:val="005036E5"/>
    <w:rsid w:val="00503DC6"/>
    <w:rsid w:val="00506173"/>
    <w:rsid w:val="00506F5D"/>
    <w:rsid w:val="005071B2"/>
    <w:rsid w:val="005072E9"/>
    <w:rsid w:val="00507B34"/>
    <w:rsid w:val="00510C37"/>
    <w:rsid w:val="00511FD2"/>
    <w:rsid w:val="005126D0"/>
    <w:rsid w:val="00512715"/>
    <w:rsid w:val="00513441"/>
    <w:rsid w:val="00513939"/>
    <w:rsid w:val="0051431F"/>
    <w:rsid w:val="00514667"/>
    <w:rsid w:val="0051568D"/>
    <w:rsid w:val="00515DDE"/>
    <w:rsid w:val="00516922"/>
    <w:rsid w:val="00517DCA"/>
    <w:rsid w:val="00523D70"/>
    <w:rsid w:val="00526AC7"/>
    <w:rsid w:val="00526C15"/>
    <w:rsid w:val="00532DAB"/>
    <w:rsid w:val="005334F2"/>
    <w:rsid w:val="005342EA"/>
    <w:rsid w:val="00536499"/>
    <w:rsid w:val="00542A03"/>
    <w:rsid w:val="005438DF"/>
    <w:rsid w:val="00543903"/>
    <w:rsid w:val="00543BCC"/>
    <w:rsid w:val="00543F11"/>
    <w:rsid w:val="00546305"/>
    <w:rsid w:val="005465FB"/>
    <w:rsid w:val="00547A95"/>
    <w:rsid w:val="005506FA"/>
    <w:rsid w:val="00550938"/>
    <w:rsid w:val="0055119B"/>
    <w:rsid w:val="00551BBD"/>
    <w:rsid w:val="005520BF"/>
    <w:rsid w:val="005533DA"/>
    <w:rsid w:val="00555E4F"/>
    <w:rsid w:val="005576B6"/>
    <w:rsid w:val="00561202"/>
    <w:rsid w:val="0056132D"/>
    <w:rsid w:val="00562507"/>
    <w:rsid w:val="00562811"/>
    <w:rsid w:val="00562D40"/>
    <w:rsid w:val="005640A3"/>
    <w:rsid w:val="00564DBD"/>
    <w:rsid w:val="00565174"/>
    <w:rsid w:val="005656EA"/>
    <w:rsid w:val="00566C5F"/>
    <w:rsid w:val="00567863"/>
    <w:rsid w:val="00572031"/>
    <w:rsid w:val="00572282"/>
    <w:rsid w:val="00573CE3"/>
    <w:rsid w:val="00576E84"/>
    <w:rsid w:val="00580394"/>
    <w:rsid w:val="005809CD"/>
    <w:rsid w:val="005817C5"/>
    <w:rsid w:val="005819D8"/>
    <w:rsid w:val="005825AC"/>
    <w:rsid w:val="00582B8C"/>
    <w:rsid w:val="00586876"/>
    <w:rsid w:val="0058757E"/>
    <w:rsid w:val="00590671"/>
    <w:rsid w:val="00591CF3"/>
    <w:rsid w:val="005934D4"/>
    <w:rsid w:val="00596A4B"/>
    <w:rsid w:val="00597507"/>
    <w:rsid w:val="005A01FD"/>
    <w:rsid w:val="005A2401"/>
    <w:rsid w:val="005A343D"/>
    <w:rsid w:val="005A479D"/>
    <w:rsid w:val="005A4B00"/>
    <w:rsid w:val="005A5010"/>
    <w:rsid w:val="005A592B"/>
    <w:rsid w:val="005A5EE2"/>
    <w:rsid w:val="005A6617"/>
    <w:rsid w:val="005A667D"/>
    <w:rsid w:val="005B061D"/>
    <w:rsid w:val="005B1C6D"/>
    <w:rsid w:val="005B20B6"/>
    <w:rsid w:val="005B21B6"/>
    <w:rsid w:val="005B3A08"/>
    <w:rsid w:val="005B6AB9"/>
    <w:rsid w:val="005B73C1"/>
    <w:rsid w:val="005B7A63"/>
    <w:rsid w:val="005C0955"/>
    <w:rsid w:val="005C33EB"/>
    <w:rsid w:val="005C3AE3"/>
    <w:rsid w:val="005C46EA"/>
    <w:rsid w:val="005C49DA"/>
    <w:rsid w:val="005C4BE3"/>
    <w:rsid w:val="005C50F3"/>
    <w:rsid w:val="005C516F"/>
    <w:rsid w:val="005C522B"/>
    <w:rsid w:val="005C54B5"/>
    <w:rsid w:val="005C5A98"/>
    <w:rsid w:val="005C5D80"/>
    <w:rsid w:val="005C5D91"/>
    <w:rsid w:val="005D00F4"/>
    <w:rsid w:val="005D07B8"/>
    <w:rsid w:val="005D1337"/>
    <w:rsid w:val="005D1F1B"/>
    <w:rsid w:val="005D5A7C"/>
    <w:rsid w:val="005D6597"/>
    <w:rsid w:val="005E14E7"/>
    <w:rsid w:val="005E26A3"/>
    <w:rsid w:val="005E2ECB"/>
    <w:rsid w:val="005E435F"/>
    <w:rsid w:val="005E447E"/>
    <w:rsid w:val="005E4FD1"/>
    <w:rsid w:val="005E7D54"/>
    <w:rsid w:val="005F0775"/>
    <w:rsid w:val="005F0CF5"/>
    <w:rsid w:val="005F21EB"/>
    <w:rsid w:val="005F3044"/>
    <w:rsid w:val="005F31E8"/>
    <w:rsid w:val="005F606A"/>
    <w:rsid w:val="005F64CF"/>
    <w:rsid w:val="006023D1"/>
    <w:rsid w:val="0060260E"/>
    <w:rsid w:val="006041AD"/>
    <w:rsid w:val="006043F8"/>
    <w:rsid w:val="00605908"/>
    <w:rsid w:val="00607850"/>
    <w:rsid w:val="00607EF7"/>
    <w:rsid w:val="006104ED"/>
    <w:rsid w:val="0061051F"/>
    <w:rsid w:val="00610D7C"/>
    <w:rsid w:val="0061114C"/>
    <w:rsid w:val="00613414"/>
    <w:rsid w:val="006141DF"/>
    <w:rsid w:val="006146E6"/>
    <w:rsid w:val="00616197"/>
    <w:rsid w:val="00617605"/>
    <w:rsid w:val="00617CF7"/>
    <w:rsid w:val="00620154"/>
    <w:rsid w:val="00621512"/>
    <w:rsid w:val="00622D10"/>
    <w:rsid w:val="00623E0C"/>
    <w:rsid w:val="0062408D"/>
    <w:rsid w:val="006240CC"/>
    <w:rsid w:val="00624940"/>
    <w:rsid w:val="00624E74"/>
    <w:rsid w:val="006254F8"/>
    <w:rsid w:val="00627DA7"/>
    <w:rsid w:val="00627EBB"/>
    <w:rsid w:val="006308E0"/>
    <w:rsid w:val="00630DA4"/>
    <w:rsid w:val="00631CD4"/>
    <w:rsid w:val="00632597"/>
    <w:rsid w:val="00634D13"/>
    <w:rsid w:val="00635620"/>
    <w:rsid w:val="006358B4"/>
    <w:rsid w:val="006368D0"/>
    <w:rsid w:val="00640A53"/>
    <w:rsid w:val="00640F6C"/>
    <w:rsid w:val="00641724"/>
    <w:rsid w:val="006419AA"/>
    <w:rsid w:val="00642FA8"/>
    <w:rsid w:val="00643972"/>
    <w:rsid w:val="00644B1F"/>
    <w:rsid w:val="00644B7E"/>
    <w:rsid w:val="006454E6"/>
    <w:rsid w:val="00645673"/>
    <w:rsid w:val="00646235"/>
    <w:rsid w:val="00646A68"/>
    <w:rsid w:val="00647959"/>
    <w:rsid w:val="006505BD"/>
    <w:rsid w:val="006508EA"/>
    <w:rsid w:val="0065092E"/>
    <w:rsid w:val="00652903"/>
    <w:rsid w:val="00654177"/>
    <w:rsid w:val="006557A7"/>
    <w:rsid w:val="00656290"/>
    <w:rsid w:val="006601C9"/>
    <w:rsid w:val="006608D8"/>
    <w:rsid w:val="006621D7"/>
    <w:rsid w:val="00662710"/>
    <w:rsid w:val="0066302A"/>
    <w:rsid w:val="00663E07"/>
    <w:rsid w:val="00665E66"/>
    <w:rsid w:val="00666A22"/>
    <w:rsid w:val="006674EF"/>
    <w:rsid w:val="00667770"/>
    <w:rsid w:val="00670597"/>
    <w:rsid w:val="006706D0"/>
    <w:rsid w:val="00671AD4"/>
    <w:rsid w:val="006731B9"/>
    <w:rsid w:val="00673A66"/>
    <w:rsid w:val="00676D80"/>
    <w:rsid w:val="00677574"/>
    <w:rsid w:val="006812ED"/>
    <w:rsid w:val="00682118"/>
    <w:rsid w:val="006828B2"/>
    <w:rsid w:val="0068378A"/>
    <w:rsid w:val="00683878"/>
    <w:rsid w:val="00684075"/>
    <w:rsid w:val="00684380"/>
    <w:rsid w:val="0068454C"/>
    <w:rsid w:val="00684650"/>
    <w:rsid w:val="00684E2F"/>
    <w:rsid w:val="006875BA"/>
    <w:rsid w:val="00691461"/>
    <w:rsid w:val="00691B62"/>
    <w:rsid w:val="006933B5"/>
    <w:rsid w:val="00693546"/>
    <w:rsid w:val="00693D14"/>
    <w:rsid w:val="0069540C"/>
    <w:rsid w:val="00696F27"/>
    <w:rsid w:val="006A0B6A"/>
    <w:rsid w:val="006A18C2"/>
    <w:rsid w:val="006A2717"/>
    <w:rsid w:val="006A3383"/>
    <w:rsid w:val="006A33AE"/>
    <w:rsid w:val="006A3865"/>
    <w:rsid w:val="006A39FF"/>
    <w:rsid w:val="006A4CB4"/>
    <w:rsid w:val="006A4FD7"/>
    <w:rsid w:val="006B077C"/>
    <w:rsid w:val="006B0C81"/>
    <w:rsid w:val="006B3A72"/>
    <w:rsid w:val="006B43FC"/>
    <w:rsid w:val="006B460C"/>
    <w:rsid w:val="006B6803"/>
    <w:rsid w:val="006C07CA"/>
    <w:rsid w:val="006C2350"/>
    <w:rsid w:val="006D0DB4"/>
    <w:rsid w:val="006D0F16"/>
    <w:rsid w:val="006D1DE0"/>
    <w:rsid w:val="006D2A3F"/>
    <w:rsid w:val="006D2FBC"/>
    <w:rsid w:val="006D3EF9"/>
    <w:rsid w:val="006D5799"/>
    <w:rsid w:val="006D63E9"/>
    <w:rsid w:val="006D6E34"/>
    <w:rsid w:val="006E1251"/>
    <w:rsid w:val="006E138B"/>
    <w:rsid w:val="006E1540"/>
    <w:rsid w:val="006E1867"/>
    <w:rsid w:val="006E45B1"/>
    <w:rsid w:val="006E6905"/>
    <w:rsid w:val="006E6A18"/>
    <w:rsid w:val="006F0330"/>
    <w:rsid w:val="006F0C7C"/>
    <w:rsid w:val="006F1FDC"/>
    <w:rsid w:val="006F266D"/>
    <w:rsid w:val="006F28A2"/>
    <w:rsid w:val="006F5A08"/>
    <w:rsid w:val="006F5A26"/>
    <w:rsid w:val="006F653A"/>
    <w:rsid w:val="006F6B76"/>
    <w:rsid w:val="006F6B8C"/>
    <w:rsid w:val="007013EF"/>
    <w:rsid w:val="00703E74"/>
    <w:rsid w:val="00704FC1"/>
    <w:rsid w:val="007055BD"/>
    <w:rsid w:val="00707B89"/>
    <w:rsid w:val="007148B0"/>
    <w:rsid w:val="007173CA"/>
    <w:rsid w:val="007175F9"/>
    <w:rsid w:val="00720031"/>
    <w:rsid w:val="00720DB1"/>
    <w:rsid w:val="007216AA"/>
    <w:rsid w:val="00721AB5"/>
    <w:rsid w:val="00721CFB"/>
    <w:rsid w:val="00721DEF"/>
    <w:rsid w:val="00722A75"/>
    <w:rsid w:val="00724A43"/>
    <w:rsid w:val="00726C66"/>
    <w:rsid w:val="007273AC"/>
    <w:rsid w:val="00727DD0"/>
    <w:rsid w:val="00731919"/>
    <w:rsid w:val="00731AD4"/>
    <w:rsid w:val="00732339"/>
    <w:rsid w:val="007346E4"/>
    <w:rsid w:val="007354A7"/>
    <w:rsid w:val="00735564"/>
    <w:rsid w:val="007371DE"/>
    <w:rsid w:val="00737480"/>
    <w:rsid w:val="00740F22"/>
    <w:rsid w:val="00741515"/>
    <w:rsid w:val="00741CF0"/>
    <w:rsid w:val="00741F1A"/>
    <w:rsid w:val="007447DA"/>
    <w:rsid w:val="007450F8"/>
    <w:rsid w:val="0074696E"/>
    <w:rsid w:val="00747B84"/>
    <w:rsid w:val="00747DE5"/>
    <w:rsid w:val="00750135"/>
    <w:rsid w:val="00750EC2"/>
    <w:rsid w:val="00752B28"/>
    <w:rsid w:val="00752E27"/>
    <w:rsid w:val="007536BC"/>
    <w:rsid w:val="007541A9"/>
    <w:rsid w:val="00754E36"/>
    <w:rsid w:val="00757667"/>
    <w:rsid w:val="00760479"/>
    <w:rsid w:val="00763139"/>
    <w:rsid w:val="007641FF"/>
    <w:rsid w:val="007644BB"/>
    <w:rsid w:val="00765480"/>
    <w:rsid w:val="007666AD"/>
    <w:rsid w:val="007669F7"/>
    <w:rsid w:val="00767A91"/>
    <w:rsid w:val="00770F37"/>
    <w:rsid w:val="007711A0"/>
    <w:rsid w:val="00772A0C"/>
    <w:rsid w:val="00772D5E"/>
    <w:rsid w:val="007743C3"/>
    <w:rsid w:val="0077440E"/>
    <w:rsid w:val="0077463E"/>
    <w:rsid w:val="00774D81"/>
    <w:rsid w:val="00776367"/>
    <w:rsid w:val="007765F5"/>
    <w:rsid w:val="007767C7"/>
    <w:rsid w:val="00776928"/>
    <w:rsid w:val="00776D56"/>
    <w:rsid w:val="00776E0F"/>
    <w:rsid w:val="007774B1"/>
    <w:rsid w:val="00777BE1"/>
    <w:rsid w:val="00782222"/>
    <w:rsid w:val="007833D8"/>
    <w:rsid w:val="0078351C"/>
    <w:rsid w:val="007847F0"/>
    <w:rsid w:val="00784ECB"/>
    <w:rsid w:val="00785677"/>
    <w:rsid w:val="0078639E"/>
    <w:rsid w:val="007864E2"/>
    <w:rsid w:val="00786F16"/>
    <w:rsid w:val="00790452"/>
    <w:rsid w:val="00790D92"/>
    <w:rsid w:val="00790FA8"/>
    <w:rsid w:val="00791BD7"/>
    <w:rsid w:val="007933F7"/>
    <w:rsid w:val="00794761"/>
    <w:rsid w:val="00794D5B"/>
    <w:rsid w:val="00794F61"/>
    <w:rsid w:val="00795D9C"/>
    <w:rsid w:val="00796E20"/>
    <w:rsid w:val="00796EA7"/>
    <w:rsid w:val="00797C32"/>
    <w:rsid w:val="00797DCC"/>
    <w:rsid w:val="007A11E8"/>
    <w:rsid w:val="007A3E84"/>
    <w:rsid w:val="007A6A81"/>
    <w:rsid w:val="007B0914"/>
    <w:rsid w:val="007B1374"/>
    <w:rsid w:val="007B198D"/>
    <w:rsid w:val="007B20A4"/>
    <w:rsid w:val="007B29D6"/>
    <w:rsid w:val="007B3215"/>
    <w:rsid w:val="007B32E5"/>
    <w:rsid w:val="007B33C9"/>
    <w:rsid w:val="007B3DB9"/>
    <w:rsid w:val="007B445B"/>
    <w:rsid w:val="007B589F"/>
    <w:rsid w:val="007B6186"/>
    <w:rsid w:val="007B73BC"/>
    <w:rsid w:val="007B782E"/>
    <w:rsid w:val="007C1838"/>
    <w:rsid w:val="007C1F7A"/>
    <w:rsid w:val="007C20B9"/>
    <w:rsid w:val="007C303C"/>
    <w:rsid w:val="007C5147"/>
    <w:rsid w:val="007C543D"/>
    <w:rsid w:val="007C7301"/>
    <w:rsid w:val="007C731B"/>
    <w:rsid w:val="007C7859"/>
    <w:rsid w:val="007C7F28"/>
    <w:rsid w:val="007D1077"/>
    <w:rsid w:val="007D1466"/>
    <w:rsid w:val="007D1F59"/>
    <w:rsid w:val="007D2BDE"/>
    <w:rsid w:val="007D2FB6"/>
    <w:rsid w:val="007D49EB"/>
    <w:rsid w:val="007D4BA1"/>
    <w:rsid w:val="007D5E1C"/>
    <w:rsid w:val="007E0DE2"/>
    <w:rsid w:val="007E3667"/>
    <w:rsid w:val="007E3B98"/>
    <w:rsid w:val="007E417A"/>
    <w:rsid w:val="007E4998"/>
    <w:rsid w:val="007E5386"/>
    <w:rsid w:val="007E7574"/>
    <w:rsid w:val="007E7987"/>
    <w:rsid w:val="007F1C49"/>
    <w:rsid w:val="007F31B6"/>
    <w:rsid w:val="007F4380"/>
    <w:rsid w:val="007F546C"/>
    <w:rsid w:val="007F625F"/>
    <w:rsid w:val="007F665E"/>
    <w:rsid w:val="007F7F8E"/>
    <w:rsid w:val="00800412"/>
    <w:rsid w:val="0080587B"/>
    <w:rsid w:val="00806468"/>
    <w:rsid w:val="008071C7"/>
    <w:rsid w:val="00810F26"/>
    <w:rsid w:val="008119CA"/>
    <w:rsid w:val="008130C4"/>
    <w:rsid w:val="008149AB"/>
    <w:rsid w:val="008155F0"/>
    <w:rsid w:val="00816735"/>
    <w:rsid w:val="00816760"/>
    <w:rsid w:val="0081729A"/>
    <w:rsid w:val="00820141"/>
    <w:rsid w:val="00820548"/>
    <w:rsid w:val="008208C8"/>
    <w:rsid w:val="00820E0C"/>
    <w:rsid w:val="008226E7"/>
    <w:rsid w:val="00823275"/>
    <w:rsid w:val="0082366F"/>
    <w:rsid w:val="008267D4"/>
    <w:rsid w:val="008272D7"/>
    <w:rsid w:val="00831B47"/>
    <w:rsid w:val="00833632"/>
    <w:rsid w:val="008338A2"/>
    <w:rsid w:val="00840207"/>
    <w:rsid w:val="0084192D"/>
    <w:rsid w:val="00841AA9"/>
    <w:rsid w:val="00841DC0"/>
    <w:rsid w:val="00843383"/>
    <w:rsid w:val="00844DAD"/>
    <w:rsid w:val="0084682B"/>
    <w:rsid w:val="008474FE"/>
    <w:rsid w:val="00851BAE"/>
    <w:rsid w:val="00853EE4"/>
    <w:rsid w:val="00855535"/>
    <w:rsid w:val="008563EA"/>
    <w:rsid w:val="0085766C"/>
    <w:rsid w:val="00857C5A"/>
    <w:rsid w:val="00860791"/>
    <w:rsid w:val="0086255E"/>
    <w:rsid w:val="008633F0"/>
    <w:rsid w:val="00863B7C"/>
    <w:rsid w:val="00864A56"/>
    <w:rsid w:val="00864CB1"/>
    <w:rsid w:val="00865026"/>
    <w:rsid w:val="00867234"/>
    <w:rsid w:val="00867D2A"/>
    <w:rsid w:val="00867D9D"/>
    <w:rsid w:val="0087035D"/>
    <w:rsid w:val="00872E0A"/>
    <w:rsid w:val="0087323C"/>
    <w:rsid w:val="00873594"/>
    <w:rsid w:val="00875285"/>
    <w:rsid w:val="00875BBE"/>
    <w:rsid w:val="0087689E"/>
    <w:rsid w:val="00877635"/>
    <w:rsid w:val="00881834"/>
    <w:rsid w:val="00884B62"/>
    <w:rsid w:val="0088529C"/>
    <w:rsid w:val="00886FB0"/>
    <w:rsid w:val="0088735C"/>
    <w:rsid w:val="00887903"/>
    <w:rsid w:val="0089064A"/>
    <w:rsid w:val="008911FA"/>
    <w:rsid w:val="0089270A"/>
    <w:rsid w:val="00893AF6"/>
    <w:rsid w:val="00893F65"/>
    <w:rsid w:val="00894BC4"/>
    <w:rsid w:val="00896890"/>
    <w:rsid w:val="00896FE5"/>
    <w:rsid w:val="00897945"/>
    <w:rsid w:val="008A28A8"/>
    <w:rsid w:val="008A2BAC"/>
    <w:rsid w:val="008A4493"/>
    <w:rsid w:val="008A4ACF"/>
    <w:rsid w:val="008A4C84"/>
    <w:rsid w:val="008A5B32"/>
    <w:rsid w:val="008B0B4B"/>
    <w:rsid w:val="008B2029"/>
    <w:rsid w:val="008B2EE4"/>
    <w:rsid w:val="008B3241"/>
    <w:rsid w:val="008B3821"/>
    <w:rsid w:val="008B3B6D"/>
    <w:rsid w:val="008B4D3D"/>
    <w:rsid w:val="008B57C7"/>
    <w:rsid w:val="008B5E57"/>
    <w:rsid w:val="008B6B22"/>
    <w:rsid w:val="008C0AE5"/>
    <w:rsid w:val="008C1463"/>
    <w:rsid w:val="008C155F"/>
    <w:rsid w:val="008C2AA0"/>
    <w:rsid w:val="008C2D9B"/>
    <w:rsid w:val="008C2F92"/>
    <w:rsid w:val="008C2FD8"/>
    <w:rsid w:val="008C3546"/>
    <w:rsid w:val="008C4471"/>
    <w:rsid w:val="008C589D"/>
    <w:rsid w:val="008C5EC2"/>
    <w:rsid w:val="008C69DF"/>
    <w:rsid w:val="008C6D51"/>
    <w:rsid w:val="008D2846"/>
    <w:rsid w:val="008D4236"/>
    <w:rsid w:val="008D462F"/>
    <w:rsid w:val="008D517D"/>
    <w:rsid w:val="008D5224"/>
    <w:rsid w:val="008D5AF2"/>
    <w:rsid w:val="008D5F6D"/>
    <w:rsid w:val="008D6DCF"/>
    <w:rsid w:val="008D7352"/>
    <w:rsid w:val="008E25DB"/>
    <w:rsid w:val="008E2DEB"/>
    <w:rsid w:val="008E37B2"/>
    <w:rsid w:val="008E4376"/>
    <w:rsid w:val="008E46C5"/>
    <w:rsid w:val="008E7807"/>
    <w:rsid w:val="008E7A0A"/>
    <w:rsid w:val="008E7B49"/>
    <w:rsid w:val="008F0BF1"/>
    <w:rsid w:val="008F59F6"/>
    <w:rsid w:val="008F6C60"/>
    <w:rsid w:val="00900719"/>
    <w:rsid w:val="009017AC"/>
    <w:rsid w:val="00902A9A"/>
    <w:rsid w:val="00903785"/>
    <w:rsid w:val="00904A1C"/>
    <w:rsid w:val="00905030"/>
    <w:rsid w:val="00906490"/>
    <w:rsid w:val="00906B13"/>
    <w:rsid w:val="0090743C"/>
    <w:rsid w:val="0091115C"/>
    <w:rsid w:val="009111B2"/>
    <w:rsid w:val="00911A39"/>
    <w:rsid w:val="00912407"/>
    <w:rsid w:val="009151F5"/>
    <w:rsid w:val="00916CAE"/>
    <w:rsid w:val="00917442"/>
    <w:rsid w:val="00924A6B"/>
    <w:rsid w:val="00924AE1"/>
    <w:rsid w:val="00924B57"/>
    <w:rsid w:val="00924CBE"/>
    <w:rsid w:val="00925FD0"/>
    <w:rsid w:val="009269B1"/>
    <w:rsid w:val="0092724D"/>
    <w:rsid w:val="009272B3"/>
    <w:rsid w:val="009303C1"/>
    <w:rsid w:val="009315BE"/>
    <w:rsid w:val="009326DD"/>
    <w:rsid w:val="0093338F"/>
    <w:rsid w:val="009345B4"/>
    <w:rsid w:val="009376E9"/>
    <w:rsid w:val="00937BD9"/>
    <w:rsid w:val="009413AB"/>
    <w:rsid w:val="0094307E"/>
    <w:rsid w:val="00944CEF"/>
    <w:rsid w:val="00945F47"/>
    <w:rsid w:val="00950E2C"/>
    <w:rsid w:val="00951D50"/>
    <w:rsid w:val="009525EB"/>
    <w:rsid w:val="0095470B"/>
    <w:rsid w:val="00954874"/>
    <w:rsid w:val="00954CF4"/>
    <w:rsid w:val="0095615A"/>
    <w:rsid w:val="009574AF"/>
    <w:rsid w:val="00957533"/>
    <w:rsid w:val="00960507"/>
    <w:rsid w:val="00961400"/>
    <w:rsid w:val="009616F3"/>
    <w:rsid w:val="00961919"/>
    <w:rsid w:val="00963646"/>
    <w:rsid w:val="0096506F"/>
    <w:rsid w:val="0096632D"/>
    <w:rsid w:val="00967124"/>
    <w:rsid w:val="00967AA6"/>
    <w:rsid w:val="0097166C"/>
    <w:rsid w:val="009718C7"/>
    <w:rsid w:val="00974189"/>
    <w:rsid w:val="0097559F"/>
    <w:rsid w:val="009761EA"/>
    <w:rsid w:val="0097761E"/>
    <w:rsid w:val="00977886"/>
    <w:rsid w:val="009803C9"/>
    <w:rsid w:val="00980E1C"/>
    <w:rsid w:val="009820FD"/>
    <w:rsid w:val="00982454"/>
    <w:rsid w:val="00982CF0"/>
    <w:rsid w:val="009853E1"/>
    <w:rsid w:val="00986C02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67D"/>
    <w:rsid w:val="009A5BA2"/>
    <w:rsid w:val="009A5C0D"/>
    <w:rsid w:val="009A6C6B"/>
    <w:rsid w:val="009B05FD"/>
    <w:rsid w:val="009B0A6F"/>
    <w:rsid w:val="009B0A94"/>
    <w:rsid w:val="009B0C62"/>
    <w:rsid w:val="009B225B"/>
    <w:rsid w:val="009B24AF"/>
    <w:rsid w:val="009B284C"/>
    <w:rsid w:val="009B2AE8"/>
    <w:rsid w:val="009B463F"/>
    <w:rsid w:val="009B5622"/>
    <w:rsid w:val="009B59E9"/>
    <w:rsid w:val="009B6383"/>
    <w:rsid w:val="009B6AD3"/>
    <w:rsid w:val="009B70AA"/>
    <w:rsid w:val="009B7E7A"/>
    <w:rsid w:val="009C245E"/>
    <w:rsid w:val="009C3CF1"/>
    <w:rsid w:val="009C4348"/>
    <w:rsid w:val="009C5E77"/>
    <w:rsid w:val="009C7A7E"/>
    <w:rsid w:val="009D02E8"/>
    <w:rsid w:val="009D0B57"/>
    <w:rsid w:val="009D296C"/>
    <w:rsid w:val="009D328F"/>
    <w:rsid w:val="009D51D0"/>
    <w:rsid w:val="009D53C4"/>
    <w:rsid w:val="009D5C1E"/>
    <w:rsid w:val="009D6D72"/>
    <w:rsid w:val="009D70A4"/>
    <w:rsid w:val="009D7B14"/>
    <w:rsid w:val="009E08D1"/>
    <w:rsid w:val="009E0D89"/>
    <w:rsid w:val="009E0D96"/>
    <w:rsid w:val="009E1008"/>
    <w:rsid w:val="009E1B95"/>
    <w:rsid w:val="009E20FD"/>
    <w:rsid w:val="009E2AA7"/>
    <w:rsid w:val="009E496F"/>
    <w:rsid w:val="009E4B0D"/>
    <w:rsid w:val="009E50E1"/>
    <w:rsid w:val="009E5250"/>
    <w:rsid w:val="009E7A69"/>
    <w:rsid w:val="009E7F92"/>
    <w:rsid w:val="009F02A3"/>
    <w:rsid w:val="009F2182"/>
    <w:rsid w:val="009F2464"/>
    <w:rsid w:val="009F2E62"/>
    <w:rsid w:val="009F2F27"/>
    <w:rsid w:val="009F34AA"/>
    <w:rsid w:val="009F3656"/>
    <w:rsid w:val="009F3F0E"/>
    <w:rsid w:val="009F6BCB"/>
    <w:rsid w:val="009F7B78"/>
    <w:rsid w:val="00A0057A"/>
    <w:rsid w:val="00A00AD7"/>
    <w:rsid w:val="00A0106B"/>
    <w:rsid w:val="00A01D0B"/>
    <w:rsid w:val="00A01FB1"/>
    <w:rsid w:val="00A02F0F"/>
    <w:rsid w:val="00A02FA1"/>
    <w:rsid w:val="00A04CCE"/>
    <w:rsid w:val="00A04F9E"/>
    <w:rsid w:val="00A05422"/>
    <w:rsid w:val="00A06E73"/>
    <w:rsid w:val="00A07421"/>
    <w:rsid w:val="00A074D6"/>
    <w:rsid w:val="00A07579"/>
    <w:rsid w:val="00A0776B"/>
    <w:rsid w:val="00A10D55"/>
    <w:rsid w:val="00A10FB9"/>
    <w:rsid w:val="00A11026"/>
    <w:rsid w:val="00A11421"/>
    <w:rsid w:val="00A1389F"/>
    <w:rsid w:val="00A140AF"/>
    <w:rsid w:val="00A143F0"/>
    <w:rsid w:val="00A157B1"/>
    <w:rsid w:val="00A15EDE"/>
    <w:rsid w:val="00A16742"/>
    <w:rsid w:val="00A22229"/>
    <w:rsid w:val="00A22457"/>
    <w:rsid w:val="00A23A8D"/>
    <w:rsid w:val="00A24442"/>
    <w:rsid w:val="00A24ADA"/>
    <w:rsid w:val="00A25145"/>
    <w:rsid w:val="00A25191"/>
    <w:rsid w:val="00A2717D"/>
    <w:rsid w:val="00A277EB"/>
    <w:rsid w:val="00A30EB7"/>
    <w:rsid w:val="00A31871"/>
    <w:rsid w:val="00A32577"/>
    <w:rsid w:val="00A32773"/>
    <w:rsid w:val="00A330BB"/>
    <w:rsid w:val="00A35F63"/>
    <w:rsid w:val="00A405B4"/>
    <w:rsid w:val="00A40760"/>
    <w:rsid w:val="00A446F5"/>
    <w:rsid w:val="00A44882"/>
    <w:rsid w:val="00A45125"/>
    <w:rsid w:val="00A4698A"/>
    <w:rsid w:val="00A520A5"/>
    <w:rsid w:val="00A5244B"/>
    <w:rsid w:val="00A54715"/>
    <w:rsid w:val="00A54CC7"/>
    <w:rsid w:val="00A6061C"/>
    <w:rsid w:val="00A60A31"/>
    <w:rsid w:val="00A60C0E"/>
    <w:rsid w:val="00A61BB9"/>
    <w:rsid w:val="00A6236A"/>
    <w:rsid w:val="00A625F3"/>
    <w:rsid w:val="00A62D44"/>
    <w:rsid w:val="00A66678"/>
    <w:rsid w:val="00A66F27"/>
    <w:rsid w:val="00A67263"/>
    <w:rsid w:val="00A70BE0"/>
    <w:rsid w:val="00A7161C"/>
    <w:rsid w:val="00A71CE4"/>
    <w:rsid w:val="00A71DB7"/>
    <w:rsid w:val="00A71E06"/>
    <w:rsid w:val="00A77AA3"/>
    <w:rsid w:val="00A77C47"/>
    <w:rsid w:val="00A8223E"/>
    <w:rsid w:val="00A8236D"/>
    <w:rsid w:val="00A82E77"/>
    <w:rsid w:val="00A83B26"/>
    <w:rsid w:val="00A840C8"/>
    <w:rsid w:val="00A851BD"/>
    <w:rsid w:val="00A854EB"/>
    <w:rsid w:val="00A872E5"/>
    <w:rsid w:val="00A90CE8"/>
    <w:rsid w:val="00A91406"/>
    <w:rsid w:val="00A94B67"/>
    <w:rsid w:val="00A94C4C"/>
    <w:rsid w:val="00A96E65"/>
    <w:rsid w:val="00A96ECE"/>
    <w:rsid w:val="00A97C72"/>
    <w:rsid w:val="00AA005B"/>
    <w:rsid w:val="00AA0D2A"/>
    <w:rsid w:val="00AA310B"/>
    <w:rsid w:val="00AA63D4"/>
    <w:rsid w:val="00AA642A"/>
    <w:rsid w:val="00AA72AA"/>
    <w:rsid w:val="00AA7333"/>
    <w:rsid w:val="00AA7443"/>
    <w:rsid w:val="00AB0278"/>
    <w:rsid w:val="00AB06E8"/>
    <w:rsid w:val="00AB153A"/>
    <w:rsid w:val="00AB1CD3"/>
    <w:rsid w:val="00AB352F"/>
    <w:rsid w:val="00AB390E"/>
    <w:rsid w:val="00AB4F8F"/>
    <w:rsid w:val="00AB6817"/>
    <w:rsid w:val="00AC067C"/>
    <w:rsid w:val="00AC274B"/>
    <w:rsid w:val="00AC4764"/>
    <w:rsid w:val="00AC6D36"/>
    <w:rsid w:val="00AC7F1B"/>
    <w:rsid w:val="00AD0CBA"/>
    <w:rsid w:val="00AD19E1"/>
    <w:rsid w:val="00AD26E2"/>
    <w:rsid w:val="00AD2C04"/>
    <w:rsid w:val="00AD770F"/>
    <w:rsid w:val="00AD784C"/>
    <w:rsid w:val="00AE1238"/>
    <w:rsid w:val="00AE126A"/>
    <w:rsid w:val="00AE1BAE"/>
    <w:rsid w:val="00AE2558"/>
    <w:rsid w:val="00AE3005"/>
    <w:rsid w:val="00AE39BB"/>
    <w:rsid w:val="00AE3BD5"/>
    <w:rsid w:val="00AE59A0"/>
    <w:rsid w:val="00AF0C57"/>
    <w:rsid w:val="00AF226B"/>
    <w:rsid w:val="00AF2534"/>
    <w:rsid w:val="00AF26F3"/>
    <w:rsid w:val="00AF35CB"/>
    <w:rsid w:val="00AF4EDF"/>
    <w:rsid w:val="00AF5F04"/>
    <w:rsid w:val="00B00672"/>
    <w:rsid w:val="00B00BE5"/>
    <w:rsid w:val="00B014E9"/>
    <w:rsid w:val="00B01B4D"/>
    <w:rsid w:val="00B0324B"/>
    <w:rsid w:val="00B04489"/>
    <w:rsid w:val="00B0500C"/>
    <w:rsid w:val="00B05072"/>
    <w:rsid w:val="00B051C0"/>
    <w:rsid w:val="00B06571"/>
    <w:rsid w:val="00B068BA"/>
    <w:rsid w:val="00B07217"/>
    <w:rsid w:val="00B07316"/>
    <w:rsid w:val="00B1331E"/>
    <w:rsid w:val="00B13851"/>
    <w:rsid w:val="00B13B1C"/>
    <w:rsid w:val="00B144BC"/>
    <w:rsid w:val="00B14B5F"/>
    <w:rsid w:val="00B14C76"/>
    <w:rsid w:val="00B1519A"/>
    <w:rsid w:val="00B17F5A"/>
    <w:rsid w:val="00B21498"/>
    <w:rsid w:val="00B2159D"/>
    <w:rsid w:val="00B21F90"/>
    <w:rsid w:val="00B22291"/>
    <w:rsid w:val="00B23B42"/>
    <w:rsid w:val="00B23F9A"/>
    <w:rsid w:val="00B2417B"/>
    <w:rsid w:val="00B24E6F"/>
    <w:rsid w:val="00B26CB5"/>
    <w:rsid w:val="00B2752E"/>
    <w:rsid w:val="00B3077B"/>
    <w:rsid w:val="00B307CC"/>
    <w:rsid w:val="00B309DF"/>
    <w:rsid w:val="00B30BE4"/>
    <w:rsid w:val="00B31234"/>
    <w:rsid w:val="00B326B7"/>
    <w:rsid w:val="00B32A69"/>
    <w:rsid w:val="00B3588E"/>
    <w:rsid w:val="00B36882"/>
    <w:rsid w:val="00B41232"/>
    <w:rsid w:val="00B41451"/>
    <w:rsid w:val="00B4198F"/>
    <w:rsid w:val="00B41F3D"/>
    <w:rsid w:val="00B420AC"/>
    <w:rsid w:val="00B430E6"/>
    <w:rsid w:val="00B431E8"/>
    <w:rsid w:val="00B45141"/>
    <w:rsid w:val="00B45A93"/>
    <w:rsid w:val="00B519CD"/>
    <w:rsid w:val="00B51F28"/>
    <w:rsid w:val="00B5273A"/>
    <w:rsid w:val="00B527B0"/>
    <w:rsid w:val="00B56C9D"/>
    <w:rsid w:val="00B56E7A"/>
    <w:rsid w:val="00B57329"/>
    <w:rsid w:val="00B60CFE"/>
    <w:rsid w:val="00B60E61"/>
    <w:rsid w:val="00B616D2"/>
    <w:rsid w:val="00B61FA1"/>
    <w:rsid w:val="00B62B50"/>
    <w:rsid w:val="00B635B7"/>
    <w:rsid w:val="00B63AE8"/>
    <w:rsid w:val="00B65213"/>
    <w:rsid w:val="00B65950"/>
    <w:rsid w:val="00B66D83"/>
    <w:rsid w:val="00B672C0"/>
    <w:rsid w:val="00B676FD"/>
    <w:rsid w:val="00B678B6"/>
    <w:rsid w:val="00B70B85"/>
    <w:rsid w:val="00B72642"/>
    <w:rsid w:val="00B7411C"/>
    <w:rsid w:val="00B75646"/>
    <w:rsid w:val="00B7629E"/>
    <w:rsid w:val="00B768E6"/>
    <w:rsid w:val="00B76CBA"/>
    <w:rsid w:val="00B80421"/>
    <w:rsid w:val="00B83B16"/>
    <w:rsid w:val="00B85F2F"/>
    <w:rsid w:val="00B90729"/>
    <w:rsid w:val="00B907DA"/>
    <w:rsid w:val="00B9386B"/>
    <w:rsid w:val="00B94C5E"/>
    <w:rsid w:val="00B950BC"/>
    <w:rsid w:val="00B96081"/>
    <w:rsid w:val="00B9714C"/>
    <w:rsid w:val="00B97454"/>
    <w:rsid w:val="00BA0B3B"/>
    <w:rsid w:val="00BA29AD"/>
    <w:rsid w:val="00BA33CF"/>
    <w:rsid w:val="00BA3F8D"/>
    <w:rsid w:val="00BA4389"/>
    <w:rsid w:val="00BA6C65"/>
    <w:rsid w:val="00BA7FE6"/>
    <w:rsid w:val="00BB18A7"/>
    <w:rsid w:val="00BB1E4D"/>
    <w:rsid w:val="00BB22F3"/>
    <w:rsid w:val="00BB3B56"/>
    <w:rsid w:val="00BB7A10"/>
    <w:rsid w:val="00BC3982"/>
    <w:rsid w:val="00BC60A1"/>
    <w:rsid w:val="00BC60BE"/>
    <w:rsid w:val="00BC7468"/>
    <w:rsid w:val="00BC7B1E"/>
    <w:rsid w:val="00BC7B9B"/>
    <w:rsid w:val="00BC7D4F"/>
    <w:rsid w:val="00BC7ED7"/>
    <w:rsid w:val="00BD2850"/>
    <w:rsid w:val="00BD289E"/>
    <w:rsid w:val="00BD7986"/>
    <w:rsid w:val="00BE28D2"/>
    <w:rsid w:val="00BE2BE8"/>
    <w:rsid w:val="00BE2D46"/>
    <w:rsid w:val="00BE4A64"/>
    <w:rsid w:val="00BE5E2A"/>
    <w:rsid w:val="00BE5E43"/>
    <w:rsid w:val="00BE6207"/>
    <w:rsid w:val="00BF333A"/>
    <w:rsid w:val="00BF37D9"/>
    <w:rsid w:val="00BF3CC1"/>
    <w:rsid w:val="00BF4030"/>
    <w:rsid w:val="00BF557D"/>
    <w:rsid w:val="00BF5B2B"/>
    <w:rsid w:val="00BF5FE8"/>
    <w:rsid w:val="00BF658D"/>
    <w:rsid w:val="00BF7F58"/>
    <w:rsid w:val="00C01381"/>
    <w:rsid w:val="00C01AB1"/>
    <w:rsid w:val="00C026A0"/>
    <w:rsid w:val="00C043EE"/>
    <w:rsid w:val="00C04A34"/>
    <w:rsid w:val="00C04C0C"/>
    <w:rsid w:val="00C05F23"/>
    <w:rsid w:val="00C06137"/>
    <w:rsid w:val="00C06929"/>
    <w:rsid w:val="00C07885"/>
    <w:rsid w:val="00C079B8"/>
    <w:rsid w:val="00C10037"/>
    <w:rsid w:val="00C115E1"/>
    <w:rsid w:val="00C123EA"/>
    <w:rsid w:val="00C12A49"/>
    <w:rsid w:val="00C12B05"/>
    <w:rsid w:val="00C133EE"/>
    <w:rsid w:val="00C13C02"/>
    <w:rsid w:val="00C142A3"/>
    <w:rsid w:val="00C14870"/>
    <w:rsid w:val="00C149D0"/>
    <w:rsid w:val="00C153E0"/>
    <w:rsid w:val="00C15D95"/>
    <w:rsid w:val="00C178D1"/>
    <w:rsid w:val="00C21857"/>
    <w:rsid w:val="00C22AEA"/>
    <w:rsid w:val="00C23D3E"/>
    <w:rsid w:val="00C2502F"/>
    <w:rsid w:val="00C26588"/>
    <w:rsid w:val="00C27DE9"/>
    <w:rsid w:val="00C32989"/>
    <w:rsid w:val="00C329B9"/>
    <w:rsid w:val="00C33216"/>
    <w:rsid w:val="00C33388"/>
    <w:rsid w:val="00C33729"/>
    <w:rsid w:val="00C34772"/>
    <w:rsid w:val="00C35484"/>
    <w:rsid w:val="00C35ADE"/>
    <w:rsid w:val="00C37D79"/>
    <w:rsid w:val="00C40C2A"/>
    <w:rsid w:val="00C40E73"/>
    <w:rsid w:val="00C4173A"/>
    <w:rsid w:val="00C43E89"/>
    <w:rsid w:val="00C46822"/>
    <w:rsid w:val="00C47811"/>
    <w:rsid w:val="00C50DED"/>
    <w:rsid w:val="00C521BE"/>
    <w:rsid w:val="00C52217"/>
    <w:rsid w:val="00C5392C"/>
    <w:rsid w:val="00C54377"/>
    <w:rsid w:val="00C55D1E"/>
    <w:rsid w:val="00C602FF"/>
    <w:rsid w:val="00C60411"/>
    <w:rsid w:val="00C61174"/>
    <w:rsid w:val="00C6148F"/>
    <w:rsid w:val="00C621B1"/>
    <w:rsid w:val="00C62F7A"/>
    <w:rsid w:val="00C63B5B"/>
    <w:rsid w:val="00C63B9C"/>
    <w:rsid w:val="00C656D1"/>
    <w:rsid w:val="00C6682F"/>
    <w:rsid w:val="00C67BF4"/>
    <w:rsid w:val="00C7275E"/>
    <w:rsid w:val="00C731AF"/>
    <w:rsid w:val="00C74217"/>
    <w:rsid w:val="00C74C5D"/>
    <w:rsid w:val="00C761CA"/>
    <w:rsid w:val="00C769F3"/>
    <w:rsid w:val="00C76AD8"/>
    <w:rsid w:val="00C8294D"/>
    <w:rsid w:val="00C83264"/>
    <w:rsid w:val="00C83A96"/>
    <w:rsid w:val="00C8555A"/>
    <w:rsid w:val="00C85BA5"/>
    <w:rsid w:val="00C863C4"/>
    <w:rsid w:val="00C9047C"/>
    <w:rsid w:val="00C90DAB"/>
    <w:rsid w:val="00C91BE0"/>
    <w:rsid w:val="00C920EA"/>
    <w:rsid w:val="00C93941"/>
    <w:rsid w:val="00C93C3E"/>
    <w:rsid w:val="00C97BEE"/>
    <w:rsid w:val="00CA040A"/>
    <w:rsid w:val="00CA12E3"/>
    <w:rsid w:val="00CA1476"/>
    <w:rsid w:val="00CA1C80"/>
    <w:rsid w:val="00CA361A"/>
    <w:rsid w:val="00CA6611"/>
    <w:rsid w:val="00CA6AE6"/>
    <w:rsid w:val="00CA6D21"/>
    <w:rsid w:val="00CA782F"/>
    <w:rsid w:val="00CA7D07"/>
    <w:rsid w:val="00CB187B"/>
    <w:rsid w:val="00CB2835"/>
    <w:rsid w:val="00CB3285"/>
    <w:rsid w:val="00CB4500"/>
    <w:rsid w:val="00CB5EA8"/>
    <w:rsid w:val="00CB6C66"/>
    <w:rsid w:val="00CB75AB"/>
    <w:rsid w:val="00CC096B"/>
    <w:rsid w:val="00CC0C72"/>
    <w:rsid w:val="00CC1041"/>
    <w:rsid w:val="00CC10D2"/>
    <w:rsid w:val="00CC2BFD"/>
    <w:rsid w:val="00CC39CC"/>
    <w:rsid w:val="00CC5D07"/>
    <w:rsid w:val="00CC6A69"/>
    <w:rsid w:val="00CC6F40"/>
    <w:rsid w:val="00CD20FA"/>
    <w:rsid w:val="00CD3476"/>
    <w:rsid w:val="00CD5C9E"/>
    <w:rsid w:val="00CD621A"/>
    <w:rsid w:val="00CD64DF"/>
    <w:rsid w:val="00CD706A"/>
    <w:rsid w:val="00CD768F"/>
    <w:rsid w:val="00CE19C6"/>
    <w:rsid w:val="00CE225F"/>
    <w:rsid w:val="00CE3F25"/>
    <w:rsid w:val="00CE599C"/>
    <w:rsid w:val="00CE60AC"/>
    <w:rsid w:val="00CF230C"/>
    <w:rsid w:val="00CF2D8E"/>
    <w:rsid w:val="00CF2F50"/>
    <w:rsid w:val="00CF31FD"/>
    <w:rsid w:val="00CF570C"/>
    <w:rsid w:val="00CF6198"/>
    <w:rsid w:val="00CF71D3"/>
    <w:rsid w:val="00D00463"/>
    <w:rsid w:val="00D01259"/>
    <w:rsid w:val="00D02919"/>
    <w:rsid w:val="00D04BDA"/>
    <w:rsid w:val="00D04C61"/>
    <w:rsid w:val="00D051C9"/>
    <w:rsid w:val="00D05543"/>
    <w:rsid w:val="00D05B8D"/>
    <w:rsid w:val="00D05B9B"/>
    <w:rsid w:val="00D065A2"/>
    <w:rsid w:val="00D079AA"/>
    <w:rsid w:val="00D07F00"/>
    <w:rsid w:val="00D1130F"/>
    <w:rsid w:val="00D11323"/>
    <w:rsid w:val="00D11422"/>
    <w:rsid w:val="00D1571F"/>
    <w:rsid w:val="00D157AA"/>
    <w:rsid w:val="00D17442"/>
    <w:rsid w:val="00D17B72"/>
    <w:rsid w:val="00D20709"/>
    <w:rsid w:val="00D21306"/>
    <w:rsid w:val="00D220A9"/>
    <w:rsid w:val="00D24BDF"/>
    <w:rsid w:val="00D250CE"/>
    <w:rsid w:val="00D302B4"/>
    <w:rsid w:val="00D3185C"/>
    <w:rsid w:val="00D3205F"/>
    <w:rsid w:val="00D3318E"/>
    <w:rsid w:val="00D33E72"/>
    <w:rsid w:val="00D34A02"/>
    <w:rsid w:val="00D35BD6"/>
    <w:rsid w:val="00D361B5"/>
    <w:rsid w:val="00D37C36"/>
    <w:rsid w:val="00D40E85"/>
    <w:rsid w:val="00D411A2"/>
    <w:rsid w:val="00D4606D"/>
    <w:rsid w:val="00D50B9C"/>
    <w:rsid w:val="00D513AF"/>
    <w:rsid w:val="00D51C77"/>
    <w:rsid w:val="00D52D73"/>
    <w:rsid w:val="00D52E58"/>
    <w:rsid w:val="00D540E1"/>
    <w:rsid w:val="00D55666"/>
    <w:rsid w:val="00D5639E"/>
    <w:rsid w:val="00D56B20"/>
    <w:rsid w:val="00D573D0"/>
    <w:rsid w:val="00D578B3"/>
    <w:rsid w:val="00D618F4"/>
    <w:rsid w:val="00D63636"/>
    <w:rsid w:val="00D640AD"/>
    <w:rsid w:val="00D65189"/>
    <w:rsid w:val="00D714CC"/>
    <w:rsid w:val="00D75148"/>
    <w:rsid w:val="00D75EA7"/>
    <w:rsid w:val="00D77252"/>
    <w:rsid w:val="00D81ADF"/>
    <w:rsid w:val="00D81F21"/>
    <w:rsid w:val="00D83D06"/>
    <w:rsid w:val="00D83F92"/>
    <w:rsid w:val="00D849CA"/>
    <w:rsid w:val="00D8515D"/>
    <w:rsid w:val="00D864F2"/>
    <w:rsid w:val="00D87291"/>
    <w:rsid w:val="00D879ED"/>
    <w:rsid w:val="00D9025A"/>
    <w:rsid w:val="00D91AE6"/>
    <w:rsid w:val="00D943F8"/>
    <w:rsid w:val="00D95470"/>
    <w:rsid w:val="00D961F4"/>
    <w:rsid w:val="00D96B55"/>
    <w:rsid w:val="00D96E25"/>
    <w:rsid w:val="00D97BDA"/>
    <w:rsid w:val="00DA03C6"/>
    <w:rsid w:val="00DA06DA"/>
    <w:rsid w:val="00DA2619"/>
    <w:rsid w:val="00DA2A1F"/>
    <w:rsid w:val="00DA4203"/>
    <w:rsid w:val="00DA4239"/>
    <w:rsid w:val="00DA588C"/>
    <w:rsid w:val="00DA65DE"/>
    <w:rsid w:val="00DB0335"/>
    <w:rsid w:val="00DB0B61"/>
    <w:rsid w:val="00DB1474"/>
    <w:rsid w:val="00DB2962"/>
    <w:rsid w:val="00DB34BB"/>
    <w:rsid w:val="00DB52FB"/>
    <w:rsid w:val="00DB717A"/>
    <w:rsid w:val="00DC00C1"/>
    <w:rsid w:val="00DC013B"/>
    <w:rsid w:val="00DC058B"/>
    <w:rsid w:val="00DC090B"/>
    <w:rsid w:val="00DC1679"/>
    <w:rsid w:val="00DC219B"/>
    <w:rsid w:val="00DC2CF1"/>
    <w:rsid w:val="00DC2DC7"/>
    <w:rsid w:val="00DC3A4B"/>
    <w:rsid w:val="00DC3A7C"/>
    <w:rsid w:val="00DC470A"/>
    <w:rsid w:val="00DC47F6"/>
    <w:rsid w:val="00DC4FCF"/>
    <w:rsid w:val="00DC50E0"/>
    <w:rsid w:val="00DC6386"/>
    <w:rsid w:val="00DC6CDA"/>
    <w:rsid w:val="00DC792A"/>
    <w:rsid w:val="00DD0707"/>
    <w:rsid w:val="00DD1130"/>
    <w:rsid w:val="00DD1951"/>
    <w:rsid w:val="00DD4811"/>
    <w:rsid w:val="00DD487D"/>
    <w:rsid w:val="00DD4D3F"/>
    <w:rsid w:val="00DD4E83"/>
    <w:rsid w:val="00DD54B7"/>
    <w:rsid w:val="00DD6186"/>
    <w:rsid w:val="00DD6628"/>
    <w:rsid w:val="00DD6945"/>
    <w:rsid w:val="00DE0DDE"/>
    <w:rsid w:val="00DE19D9"/>
    <w:rsid w:val="00DE1F2C"/>
    <w:rsid w:val="00DE2153"/>
    <w:rsid w:val="00DE2D04"/>
    <w:rsid w:val="00DE3250"/>
    <w:rsid w:val="00DE3A64"/>
    <w:rsid w:val="00DE3C9A"/>
    <w:rsid w:val="00DE3D46"/>
    <w:rsid w:val="00DE6028"/>
    <w:rsid w:val="00DE6C85"/>
    <w:rsid w:val="00DE6DC8"/>
    <w:rsid w:val="00DE78A3"/>
    <w:rsid w:val="00DE7C60"/>
    <w:rsid w:val="00DF1A71"/>
    <w:rsid w:val="00DF4A19"/>
    <w:rsid w:val="00DF50FC"/>
    <w:rsid w:val="00DF5D13"/>
    <w:rsid w:val="00DF5DAD"/>
    <w:rsid w:val="00DF68C7"/>
    <w:rsid w:val="00DF731A"/>
    <w:rsid w:val="00DF7BAC"/>
    <w:rsid w:val="00E0130A"/>
    <w:rsid w:val="00E04BBB"/>
    <w:rsid w:val="00E05215"/>
    <w:rsid w:val="00E06935"/>
    <w:rsid w:val="00E06B75"/>
    <w:rsid w:val="00E0743A"/>
    <w:rsid w:val="00E11332"/>
    <w:rsid w:val="00E11352"/>
    <w:rsid w:val="00E117C7"/>
    <w:rsid w:val="00E11870"/>
    <w:rsid w:val="00E121B7"/>
    <w:rsid w:val="00E12B83"/>
    <w:rsid w:val="00E13F89"/>
    <w:rsid w:val="00E170DC"/>
    <w:rsid w:val="00E17546"/>
    <w:rsid w:val="00E17ADB"/>
    <w:rsid w:val="00E203E7"/>
    <w:rsid w:val="00E210B5"/>
    <w:rsid w:val="00E238F9"/>
    <w:rsid w:val="00E245DA"/>
    <w:rsid w:val="00E261B3"/>
    <w:rsid w:val="00E26818"/>
    <w:rsid w:val="00E277C2"/>
    <w:rsid w:val="00E27FFC"/>
    <w:rsid w:val="00E30B15"/>
    <w:rsid w:val="00E33237"/>
    <w:rsid w:val="00E33321"/>
    <w:rsid w:val="00E34332"/>
    <w:rsid w:val="00E36FD7"/>
    <w:rsid w:val="00E37825"/>
    <w:rsid w:val="00E40181"/>
    <w:rsid w:val="00E43A4E"/>
    <w:rsid w:val="00E473AA"/>
    <w:rsid w:val="00E50E27"/>
    <w:rsid w:val="00E51EEA"/>
    <w:rsid w:val="00E520A4"/>
    <w:rsid w:val="00E53E87"/>
    <w:rsid w:val="00E54950"/>
    <w:rsid w:val="00E55FB3"/>
    <w:rsid w:val="00E56A01"/>
    <w:rsid w:val="00E6170B"/>
    <w:rsid w:val="00E617B2"/>
    <w:rsid w:val="00E6187E"/>
    <w:rsid w:val="00E629A1"/>
    <w:rsid w:val="00E65439"/>
    <w:rsid w:val="00E65C21"/>
    <w:rsid w:val="00E6794C"/>
    <w:rsid w:val="00E71591"/>
    <w:rsid w:val="00E71CEB"/>
    <w:rsid w:val="00E72C21"/>
    <w:rsid w:val="00E7350F"/>
    <w:rsid w:val="00E740D7"/>
    <w:rsid w:val="00E7474F"/>
    <w:rsid w:val="00E77531"/>
    <w:rsid w:val="00E80890"/>
    <w:rsid w:val="00E80DE3"/>
    <w:rsid w:val="00E8143D"/>
    <w:rsid w:val="00E81D06"/>
    <w:rsid w:val="00E82C55"/>
    <w:rsid w:val="00E835CE"/>
    <w:rsid w:val="00E83808"/>
    <w:rsid w:val="00E84459"/>
    <w:rsid w:val="00E84D06"/>
    <w:rsid w:val="00E8522A"/>
    <w:rsid w:val="00E8717D"/>
    <w:rsid w:val="00E8787E"/>
    <w:rsid w:val="00E90DA0"/>
    <w:rsid w:val="00E9190F"/>
    <w:rsid w:val="00E91942"/>
    <w:rsid w:val="00E92AC3"/>
    <w:rsid w:val="00E92CAD"/>
    <w:rsid w:val="00E93FD6"/>
    <w:rsid w:val="00E94011"/>
    <w:rsid w:val="00E9453A"/>
    <w:rsid w:val="00E975C0"/>
    <w:rsid w:val="00EA1222"/>
    <w:rsid w:val="00EA17D4"/>
    <w:rsid w:val="00EA2EFC"/>
    <w:rsid w:val="00EA2F6A"/>
    <w:rsid w:val="00EA62AA"/>
    <w:rsid w:val="00EA7039"/>
    <w:rsid w:val="00EB00E0"/>
    <w:rsid w:val="00EB05D5"/>
    <w:rsid w:val="00EB0B62"/>
    <w:rsid w:val="00EB2C71"/>
    <w:rsid w:val="00EB4BC7"/>
    <w:rsid w:val="00EB52B1"/>
    <w:rsid w:val="00EB5BF8"/>
    <w:rsid w:val="00EC059F"/>
    <w:rsid w:val="00EC0AA2"/>
    <w:rsid w:val="00EC0F51"/>
    <w:rsid w:val="00EC1F24"/>
    <w:rsid w:val="00EC22F6"/>
    <w:rsid w:val="00EC3DB9"/>
    <w:rsid w:val="00EC6750"/>
    <w:rsid w:val="00EC7165"/>
    <w:rsid w:val="00ED041B"/>
    <w:rsid w:val="00ED147C"/>
    <w:rsid w:val="00ED44CD"/>
    <w:rsid w:val="00ED46A6"/>
    <w:rsid w:val="00ED4A0A"/>
    <w:rsid w:val="00ED5B9B"/>
    <w:rsid w:val="00ED6BAD"/>
    <w:rsid w:val="00ED7447"/>
    <w:rsid w:val="00ED7762"/>
    <w:rsid w:val="00EE00D6"/>
    <w:rsid w:val="00EE11E7"/>
    <w:rsid w:val="00EE1488"/>
    <w:rsid w:val="00EE14BA"/>
    <w:rsid w:val="00EE1FEC"/>
    <w:rsid w:val="00EE29AD"/>
    <w:rsid w:val="00EE3E24"/>
    <w:rsid w:val="00EE49B0"/>
    <w:rsid w:val="00EE4D5D"/>
    <w:rsid w:val="00EE5131"/>
    <w:rsid w:val="00EE65A2"/>
    <w:rsid w:val="00EE6756"/>
    <w:rsid w:val="00EE6BF9"/>
    <w:rsid w:val="00EE7DC3"/>
    <w:rsid w:val="00EF0784"/>
    <w:rsid w:val="00EF0F8B"/>
    <w:rsid w:val="00EF109B"/>
    <w:rsid w:val="00EF1B8C"/>
    <w:rsid w:val="00EF201C"/>
    <w:rsid w:val="00EF2599"/>
    <w:rsid w:val="00EF2C72"/>
    <w:rsid w:val="00EF3618"/>
    <w:rsid w:val="00EF36AF"/>
    <w:rsid w:val="00EF43B0"/>
    <w:rsid w:val="00EF59A3"/>
    <w:rsid w:val="00EF6675"/>
    <w:rsid w:val="00EF6821"/>
    <w:rsid w:val="00EF685C"/>
    <w:rsid w:val="00F0054D"/>
    <w:rsid w:val="00F0063D"/>
    <w:rsid w:val="00F00F9C"/>
    <w:rsid w:val="00F01103"/>
    <w:rsid w:val="00F01E5F"/>
    <w:rsid w:val="00F024F3"/>
    <w:rsid w:val="00F02ABA"/>
    <w:rsid w:val="00F0437A"/>
    <w:rsid w:val="00F0460A"/>
    <w:rsid w:val="00F05A60"/>
    <w:rsid w:val="00F07F74"/>
    <w:rsid w:val="00F101B8"/>
    <w:rsid w:val="00F11037"/>
    <w:rsid w:val="00F13623"/>
    <w:rsid w:val="00F15144"/>
    <w:rsid w:val="00F15EBB"/>
    <w:rsid w:val="00F15EC2"/>
    <w:rsid w:val="00F16F1B"/>
    <w:rsid w:val="00F2140A"/>
    <w:rsid w:val="00F22D36"/>
    <w:rsid w:val="00F250A9"/>
    <w:rsid w:val="00F267AF"/>
    <w:rsid w:val="00F30FF4"/>
    <w:rsid w:val="00F3122E"/>
    <w:rsid w:val="00F32368"/>
    <w:rsid w:val="00F331AD"/>
    <w:rsid w:val="00F35287"/>
    <w:rsid w:val="00F40A70"/>
    <w:rsid w:val="00F42691"/>
    <w:rsid w:val="00F42C49"/>
    <w:rsid w:val="00F42EB3"/>
    <w:rsid w:val="00F43A37"/>
    <w:rsid w:val="00F459C3"/>
    <w:rsid w:val="00F46255"/>
    <w:rsid w:val="00F4641B"/>
    <w:rsid w:val="00F46EB8"/>
    <w:rsid w:val="00F47E42"/>
    <w:rsid w:val="00F50797"/>
    <w:rsid w:val="00F50CD1"/>
    <w:rsid w:val="00F511E4"/>
    <w:rsid w:val="00F5149B"/>
    <w:rsid w:val="00F51716"/>
    <w:rsid w:val="00F52D09"/>
    <w:rsid w:val="00F52E08"/>
    <w:rsid w:val="00F533E0"/>
    <w:rsid w:val="00F5365D"/>
    <w:rsid w:val="00F53A66"/>
    <w:rsid w:val="00F5462D"/>
    <w:rsid w:val="00F55B21"/>
    <w:rsid w:val="00F55C6A"/>
    <w:rsid w:val="00F561FE"/>
    <w:rsid w:val="00F563A4"/>
    <w:rsid w:val="00F56EF6"/>
    <w:rsid w:val="00F57568"/>
    <w:rsid w:val="00F57639"/>
    <w:rsid w:val="00F60082"/>
    <w:rsid w:val="00F61711"/>
    <w:rsid w:val="00F61A9F"/>
    <w:rsid w:val="00F61B5F"/>
    <w:rsid w:val="00F632AD"/>
    <w:rsid w:val="00F64696"/>
    <w:rsid w:val="00F64FE7"/>
    <w:rsid w:val="00F65AA9"/>
    <w:rsid w:val="00F6677E"/>
    <w:rsid w:val="00F6768F"/>
    <w:rsid w:val="00F67D23"/>
    <w:rsid w:val="00F7158D"/>
    <w:rsid w:val="00F72608"/>
    <w:rsid w:val="00F7284C"/>
    <w:rsid w:val="00F72C2C"/>
    <w:rsid w:val="00F731E1"/>
    <w:rsid w:val="00F73659"/>
    <w:rsid w:val="00F741F2"/>
    <w:rsid w:val="00F76B4B"/>
    <w:rsid w:val="00F76CAB"/>
    <w:rsid w:val="00F772C6"/>
    <w:rsid w:val="00F8030D"/>
    <w:rsid w:val="00F809E6"/>
    <w:rsid w:val="00F815B5"/>
    <w:rsid w:val="00F8276E"/>
    <w:rsid w:val="00F827C6"/>
    <w:rsid w:val="00F82998"/>
    <w:rsid w:val="00F85195"/>
    <w:rsid w:val="00F857D4"/>
    <w:rsid w:val="00F86153"/>
    <w:rsid w:val="00F868E3"/>
    <w:rsid w:val="00F909BE"/>
    <w:rsid w:val="00F910D0"/>
    <w:rsid w:val="00F938BA"/>
    <w:rsid w:val="00F9471D"/>
    <w:rsid w:val="00F94E38"/>
    <w:rsid w:val="00F96B95"/>
    <w:rsid w:val="00F97919"/>
    <w:rsid w:val="00FA187D"/>
    <w:rsid w:val="00FA230B"/>
    <w:rsid w:val="00FA2C46"/>
    <w:rsid w:val="00FA3525"/>
    <w:rsid w:val="00FA4A79"/>
    <w:rsid w:val="00FA5A53"/>
    <w:rsid w:val="00FA5AE9"/>
    <w:rsid w:val="00FA7E87"/>
    <w:rsid w:val="00FB0146"/>
    <w:rsid w:val="00FB128E"/>
    <w:rsid w:val="00FB1F6E"/>
    <w:rsid w:val="00FB4769"/>
    <w:rsid w:val="00FB4CDA"/>
    <w:rsid w:val="00FB605F"/>
    <w:rsid w:val="00FB6384"/>
    <w:rsid w:val="00FB6481"/>
    <w:rsid w:val="00FB6A5A"/>
    <w:rsid w:val="00FB6D36"/>
    <w:rsid w:val="00FB79AB"/>
    <w:rsid w:val="00FB7C0E"/>
    <w:rsid w:val="00FC0965"/>
    <w:rsid w:val="00FC0F81"/>
    <w:rsid w:val="00FC252F"/>
    <w:rsid w:val="00FC395C"/>
    <w:rsid w:val="00FC3AE9"/>
    <w:rsid w:val="00FC5E8E"/>
    <w:rsid w:val="00FD14FF"/>
    <w:rsid w:val="00FD3766"/>
    <w:rsid w:val="00FD3B55"/>
    <w:rsid w:val="00FD3D05"/>
    <w:rsid w:val="00FD47C4"/>
    <w:rsid w:val="00FD709C"/>
    <w:rsid w:val="00FD7242"/>
    <w:rsid w:val="00FE0569"/>
    <w:rsid w:val="00FE10E7"/>
    <w:rsid w:val="00FE2DCF"/>
    <w:rsid w:val="00FE331E"/>
    <w:rsid w:val="00FE3FA7"/>
    <w:rsid w:val="00FE4081"/>
    <w:rsid w:val="00FE4C7D"/>
    <w:rsid w:val="00FF2A4E"/>
    <w:rsid w:val="00FF2FCE"/>
    <w:rsid w:val="00FF30F0"/>
    <w:rsid w:val="00FF3895"/>
    <w:rsid w:val="00FF4F7D"/>
    <w:rsid w:val="00FF6D9D"/>
    <w:rsid w:val="00FF7620"/>
    <w:rsid w:val="00FF7DD5"/>
    <w:rsid w:val="03EA2D24"/>
    <w:rsid w:val="04459775"/>
    <w:rsid w:val="0458C640"/>
    <w:rsid w:val="052D1091"/>
    <w:rsid w:val="05379983"/>
    <w:rsid w:val="05D3BF1C"/>
    <w:rsid w:val="06181417"/>
    <w:rsid w:val="06B1CDE4"/>
    <w:rsid w:val="097FFD88"/>
    <w:rsid w:val="0A539130"/>
    <w:rsid w:val="0ACD79ED"/>
    <w:rsid w:val="0D4DB146"/>
    <w:rsid w:val="0D88BC39"/>
    <w:rsid w:val="0D9AD04E"/>
    <w:rsid w:val="0F7CC8FB"/>
    <w:rsid w:val="128DF020"/>
    <w:rsid w:val="131924D3"/>
    <w:rsid w:val="148B8646"/>
    <w:rsid w:val="15FEB2AC"/>
    <w:rsid w:val="163A4CDD"/>
    <w:rsid w:val="166E2AA1"/>
    <w:rsid w:val="18896490"/>
    <w:rsid w:val="19C6DAA5"/>
    <w:rsid w:val="1BD35BFE"/>
    <w:rsid w:val="1C67E16A"/>
    <w:rsid w:val="1D57C199"/>
    <w:rsid w:val="1D845DE2"/>
    <w:rsid w:val="1D8E4859"/>
    <w:rsid w:val="1DDFE5AF"/>
    <w:rsid w:val="1DE400A4"/>
    <w:rsid w:val="1E97F685"/>
    <w:rsid w:val="1FD655B9"/>
    <w:rsid w:val="2200F2B3"/>
    <w:rsid w:val="221A69BB"/>
    <w:rsid w:val="23F9805F"/>
    <w:rsid w:val="240062EE"/>
    <w:rsid w:val="2439B001"/>
    <w:rsid w:val="252F12AD"/>
    <w:rsid w:val="25BBAA69"/>
    <w:rsid w:val="282F8E0C"/>
    <w:rsid w:val="283F2B48"/>
    <w:rsid w:val="28ADB3A5"/>
    <w:rsid w:val="2966FE90"/>
    <w:rsid w:val="2A0AE175"/>
    <w:rsid w:val="2A28322A"/>
    <w:rsid w:val="2AD2CFFC"/>
    <w:rsid w:val="2B0716BF"/>
    <w:rsid w:val="2CD6004F"/>
    <w:rsid w:val="2CFA39CF"/>
    <w:rsid w:val="2D0C73F4"/>
    <w:rsid w:val="2DAA114A"/>
    <w:rsid w:val="2DC80135"/>
    <w:rsid w:val="2DFFA97E"/>
    <w:rsid w:val="32F0306D"/>
    <w:rsid w:val="3364591C"/>
    <w:rsid w:val="33AEA85E"/>
    <w:rsid w:val="34988815"/>
    <w:rsid w:val="35438C66"/>
    <w:rsid w:val="35DAA519"/>
    <w:rsid w:val="36CB68C4"/>
    <w:rsid w:val="37DD5910"/>
    <w:rsid w:val="38B75739"/>
    <w:rsid w:val="38CD6972"/>
    <w:rsid w:val="39799450"/>
    <w:rsid w:val="3B6A25DA"/>
    <w:rsid w:val="3C77634C"/>
    <w:rsid w:val="3D645D02"/>
    <w:rsid w:val="3EC520CA"/>
    <w:rsid w:val="4012721B"/>
    <w:rsid w:val="40840EE0"/>
    <w:rsid w:val="421AA04B"/>
    <w:rsid w:val="4237C3FC"/>
    <w:rsid w:val="423DC85B"/>
    <w:rsid w:val="4249BC7D"/>
    <w:rsid w:val="43CC6A0C"/>
    <w:rsid w:val="45026854"/>
    <w:rsid w:val="450448B1"/>
    <w:rsid w:val="456AFCFA"/>
    <w:rsid w:val="4683B35E"/>
    <w:rsid w:val="46AE1CEF"/>
    <w:rsid w:val="46CB3698"/>
    <w:rsid w:val="4725E73F"/>
    <w:rsid w:val="48C2105C"/>
    <w:rsid w:val="490F0FD0"/>
    <w:rsid w:val="4A9FA8AD"/>
    <w:rsid w:val="4B081E4E"/>
    <w:rsid w:val="4D71CC44"/>
    <w:rsid w:val="4F994F85"/>
    <w:rsid w:val="4FC1694A"/>
    <w:rsid w:val="4FF54288"/>
    <w:rsid w:val="51039B29"/>
    <w:rsid w:val="512548EA"/>
    <w:rsid w:val="51967317"/>
    <w:rsid w:val="51FBD999"/>
    <w:rsid w:val="527F18FD"/>
    <w:rsid w:val="551FE830"/>
    <w:rsid w:val="55EDB110"/>
    <w:rsid w:val="55F13EE6"/>
    <w:rsid w:val="56666BEA"/>
    <w:rsid w:val="56F94F4C"/>
    <w:rsid w:val="571CDD80"/>
    <w:rsid w:val="57C02B3C"/>
    <w:rsid w:val="58987ADE"/>
    <w:rsid w:val="5983B713"/>
    <w:rsid w:val="5AC12DCB"/>
    <w:rsid w:val="5B810812"/>
    <w:rsid w:val="5DABD003"/>
    <w:rsid w:val="5F03B7AE"/>
    <w:rsid w:val="5F28EDBA"/>
    <w:rsid w:val="5FC6C5A2"/>
    <w:rsid w:val="6079B3F1"/>
    <w:rsid w:val="6369E260"/>
    <w:rsid w:val="64E5C1C5"/>
    <w:rsid w:val="65320C2E"/>
    <w:rsid w:val="65F082FD"/>
    <w:rsid w:val="67A62475"/>
    <w:rsid w:val="6831C56C"/>
    <w:rsid w:val="695828A0"/>
    <w:rsid w:val="697798CA"/>
    <w:rsid w:val="6A25D3FC"/>
    <w:rsid w:val="6A4F7EB5"/>
    <w:rsid w:val="6AB04009"/>
    <w:rsid w:val="6B87A63C"/>
    <w:rsid w:val="6CA4D074"/>
    <w:rsid w:val="6DDCBE95"/>
    <w:rsid w:val="6E25FB75"/>
    <w:rsid w:val="6E4EDD46"/>
    <w:rsid w:val="6E99FBC8"/>
    <w:rsid w:val="6EFF71CA"/>
    <w:rsid w:val="6F5E1982"/>
    <w:rsid w:val="71A44361"/>
    <w:rsid w:val="71E9DED9"/>
    <w:rsid w:val="754FED4F"/>
    <w:rsid w:val="75706988"/>
    <w:rsid w:val="75FFA251"/>
    <w:rsid w:val="765E363D"/>
    <w:rsid w:val="7980149E"/>
    <w:rsid w:val="799F0620"/>
    <w:rsid w:val="7AA4B369"/>
    <w:rsid w:val="7C5BCF15"/>
    <w:rsid w:val="7CC387FE"/>
    <w:rsid w:val="7CD4071C"/>
    <w:rsid w:val="7DA9A2AF"/>
    <w:rsid w:val="7F32C3E1"/>
    <w:rsid w:val="7FF0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59081"/>
  <w15:docId w15:val="{4F5CB91E-4D9C-404C-A337-9CEAEFFD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15144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DC2DC7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1"/>
    <w:qFormat/>
    <w:rsid w:val="00F15144"/>
    <w:pPr>
      <w:keepNext/>
      <w:keepLines/>
      <w:spacing w:before="36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F15144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F15144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4C014B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DC2DC7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F15144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F15144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F15144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link w:val="HeaderChar"/>
    <w:uiPriority w:val="10"/>
    <w:rsid w:val="00F15144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D24BDF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C60411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0033F7"/>
    <w:pPr>
      <w:keepNext/>
      <w:keepLines/>
      <w:tabs>
        <w:tab w:val="right" w:leader="dot" w:pos="9299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4C014B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A71CE4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A71CE4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rsid w:val="000033F7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31F42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77635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3"/>
      </w:numPr>
    </w:pPr>
  </w:style>
  <w:style w:type="numbering" w:customStyle="1" w:styleId="ZZTablebullets">
    <w:name w:val="ZZ Table bullets"/>
    <w:basedOn w:val="NoList"/>
    <w:rsid w:val="00C60411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15144"/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12B05"/>
    <w:pPr>
      <w:spacing w:after="120" w:line="360" w:lineRule="atLeast"/>
    </w:pPr>
    <w:rPr>
      <w:rFonts w:ascii="Arial" w:hAnsi="Arial"/>
      <w:color w:val="201547"/>
      <w:sz w:val="32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2"/>
      </w:numPr>
    </w:pPr>
  </w:style>
  <w:style w:type="numbering" w:customStyle="1" w:styleId="ZZNumbersdigit">
    <w:name w:val="ZZ Numbers digit"/>
    <w:rsid w:val="00F15144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C60411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F15144"/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F15144"/>
  </w:style>
  <w:style w:type="paragraph" w:customStyle="1" w:styleId="Numberloweralpha">
    <w:name w:val="Number lower alpha"/>
    <w:basedOn w:val="Body"/>
    <w:uiPriority w:val="3"/>
    <w:rsid w:val="00C60411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15144"/>
  </w:style>
  <w:style w:type="numbering" w:customStyle="1" w:styleId="ZZNumberslowerroman">
    <w:name w:val="ZZ Numbers lower roman"/>
    <w:basedOn w:val="ZZQuotebullets"/>
    <w:rsid w:val="00C60411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6"/>
      </w:numPr>
    </w:pPr>
  </w:style>
  <w:style w:type="paragraph" w:customStyle="1" w:styleId="Quotebullet1">
    <w:name w:val="Quote bullet 1"/>
    <w:basedOn w:val="Quotetext"/>
    <w:rsid w:val="00C60411"/>
    <w:pPr>
      <w:numPr>
        <w:numId w:val="4"/>
      </w:numPr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020678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020678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1C7128"/>
    <w:pPr>
      <w:spacing w:line="320" w:lineRule="atLeast"/>
    </w:pPr>
    <w:rPr>
      <w:color w:val="201547"/>
      <w:sz w:val="24"/>
    </w:rPr>
  </w:style>
  <w:style w:type="character" w:customStyle="1" w:styleId="HeaderChar">
    <w:name w:val="Header Char"/>
    <w:basedOn w:val="DefaultParagraphFont"/>
    <w:link w:val="Header"/>
    <w:uiPriority w:val="10"/>
    <w:rsid w:val="00F15144"/>
    <w:rPr>
      <w:rFonts w:ascii="Arial" w:hAnsi="Arial" w:cs="Arial"/>
      <w:b/>
      <w:color w:val="201547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51BAE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F29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numbering" w:customStyle="1" w:styleId="ZZNumbersdigit1">
    <w:name w:val="ZZ Numbers digit1"/>
    <w:rsid w:val="00D051C9"/>
  </w:style>
  <w:style w:type="numbering" w:customStyle="1" w:styleId="ZZBullets1">
    <w:name w:val="ZZ Bullets1"/>
    <w:rsid w:val="00790452"/>
  </w:style>
  <w:style w:type="numbering" w:customStyle="1" w:styleId="ZZNumbersdigit2">
    <w:name w:val="ZZ Numbers digit2"/>
    <w:rsid w:val="00790452"/>
  </w:style>
  <w:style w:type="numbering" w:customStyle="1" w:styleId="ZZNumbersdigit3">
    <w:name w:val="ZZ Numbers digit3"/>
    <w:rsid w:val="00DE1F2C"/>
  </w:style>
  <w:style w:type="numbering" w:customStyle="1" w:styleId="ZZNumbersdigit4">
    <w:name w:val="ZZ Numbers digit4"/>
    <w:rsid w:val="007C543D"/>
  </w:style>
  <w:style w:type="paragraph" w:styleId="ListParagraph">
    <w:name w:val="List Paragraph"/>
    <w:basedOn w:val="Normal"/>
    <w:uiPriority w:val="72"/>
    <w:semiHidden/>
    <w:qFormat/>
    <w:rsid w:val="00CE19C6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2438D9"/>
    <w:rPr>
      <w:color w:val="2B579A"/>
      <w:shd w:val="clear" w:color="auto" w:fill="E1DFDD"/>
    </w:rPr>
  </w:style>
  <w:style w:type="numbering" w:customStyle="1" w:styleId="ZZNumbersdigit5">
    <w:name w:val="ZZ Numbers digit5"/>
    <w:rsid w:val="00015392"/>
    <w:pPr>
      <w:numPr>
        <w:numId w:val="2"/>
      </w:numPr>
    </w:pPr>
  </w:style>
  <w:style w:type="character" w:customStyle="1" w:styleId="normaltextrun">
    <w:name w:val="normaltextrun"/>
    <w:basedOn w:val="DefaultParagraphFont"/>
    <w:rsid w:val="00015392"/>
  </w:style>
  <w:style w:type="character" w:customStyle="1" w:styleId="eop">
    <w:name w:val="eop"/>
    <w:basedOn w:val="DefaultParagraphFont"/>
    <w:rsid w:val="00015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5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07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0" w:color="87189D"/>
                        <w:bottom w:val="none" w:sz="0" w:space="0" w:color="auto"/>
                        <w:right w:val="none" w:sz="0" w:space="0" w:color="auto"/>
                      </w:divBdr>
                    </w:div>
                    <w:div w:id="12250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6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1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5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yperlink" Target="https://dhhsvicgovau.sharepoint.com/:w:/r/sites/Publichousingresources/_layouts/15/Doc.aspx?sourcedoc=%7BB885912B-7065-41A7-BA62-45E4E61A08A9%7D&amp;file=DFFH-Afterhours-Maintenance-Guidelines-2023.docx&amp;action=default&amp;mobileredirect=true&amp;DefaultItemOpen=1%3Fweb%3D1&amp;xsdata=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%3D&amp;sdata=N2tVWG9HU3huZUJQTVUwcFUwZHFwa1BrNWkyVE53ZnZHVnhvTXRDemtTRT0%3D&amp;ovuser=c0e0601f-0fac-449c-9c88-a104c4eb9f28%2Csofia.messina%40homes.vic.gov.au" TargetMode="External"/><Relationship Id="rId39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yperlink" Target="https://dhhsvicgovau-my.sharepoint.com/personal/sofia_messina_homes_vic_gov_au/Documents/Emergency%20Management%20Act%20(2013%20update)" TargetMode="External"/><Relationship Id="rId34" Type="http://schemas.openxmlformats.org/officeDocument/2006/relationships/hyperlink" Target="https://services.dffh.vic.gov.au/personal-hardship-assistance-program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5" Type="http://schemas.openxmlformats.org/officeDocument/2006/relationships/hyperlink" Target="https://fac.dffh.vic.gov.au/emergency-management-housing" TargetMode="External"/><Relationship Id="rId33" Type="http://schemas.openxmlformats.org/officeDocument/2006/relationships/hyperlink" Target="https://www.dffh.vic.gov.au/sites/default/files/documents/202410/Emergency%20Relief%20Handbook%20-%20accessible.docx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legislation.vic.gov.au/in-force/acts/emergency-management-act-1986/051" TargetMode="External"/><Relationship Id="rId29" Type="http://schemas.openxmlformats.org/officeDocument/2006/relationships/hyperlink" Target="https://dhhsvicgovau.sharepoint.com/sites/dffh/Groups%20Forms%20and%20other/Forms/AllItems.aspx?id=%2Fsites%2Fdffh%2FGroups%20Forms%20and%20other%2FCentral%2DPrecinct%2DEmergency%2DManagement%2FFirst%205%20Minutes%20%2D%20Emergency%20Management%20Manual%2Epdf&amp;parent=%2Fsites%2Fdffh%2FGroups%20Forms%20and%20other%2FCentral%2DPrecinct%2DEmergency%2DManagement&amp;isSPOFile=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providers.dffh.vic.gov.au/sites/default/files/2024-09/Social%20services%20sector%20emergency%20management%20policy.docx" TargetMode="External"/><Relationship Id="rId32" Type="http://schemas.openxmlformats.org/officeDocument/2006/relationships/hyperlink" Target="https://www.dffh.vic.gov.au/sites/default/files/documents/202410/Emergency%20Relief%20Handbook.pdf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providers.dffh.vic.gov.au/" TargetMode="External"/><Relationship Id="rId23" Type="http://schemas.openxmlformats.org/officeDocument/2006/relationships/hyperlink" Target="https://www.emv.vic.gov.au/responsibilities/semp" TargetMode="External"/><Relationship Id="rId28" Type="http://schemas.openxmlformats.org/officeDocument/2006/relationships/hyperlink" Target="https://providers.dffh.vic.gov.au/capital-development-guidelines-series-7" TargetMode="External"/><Relationship Id="rId36" Type="http://schemas.openxmlformats.org/officeDocument/2006/relationships/hyperlink" Target="https://www.dffh.vic.gov.au/emergency-management" TargetMode="Externa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31" Type="http://schemas.openxmlformats.org/officeDocument/2006/relationships/hyperlink" Target="https://fac.dhhs.vic.gov.au/emergency-management-hous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yperlink" Target="https://www.legislation.vic.gov.au/in-force/acts/emergency-management-act-2013/020" TargetMode="External"/><Relationship Id="rId27" Type="http://schemas.openxmlformats.org/officeDocument/2006/relationships/hyperlink" Target="https://providers.dffh.vic.gov.au/capital-development-guidelines-series-7" TargetMode="External"/><Relationship Id="rId30" Type="http://schemas.openxmlformats.org/officeDocument/2006/relationships/hyperlink" Target="https://files.emv.vic.gov.au/2023-12/State%20Emergency%20Management%20Plan%20(SEMP).pdf" TargetMode="External"/><Relationship Id="rId35" Type="http://schemas.openxmlformats.org/officeDocument/2006/relationships/hyperlink" Target="https://www.dffh.vic.gov.au/emergency-manag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CDCE09-4899-472F-9BE4-EBE714770909}"/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microsoft.com/office/2006/documentManagement/types"/>
    <ds:schemaRef ds:uri="http://purl.org/dc/dcmitype/"/>
    <ds:schemaRef ds:uri="59098f23-3ca6-4eec-8c4e-6f77ceae2d9e"/>
    <ds:schemaRef ds:uri="5ce0f2b5-5be5-4508-bce9-d7011ece0659"/>
    <ds:schemaRef ds:uri="http://purl.org/dc/elements/1.1/"/>
    <ds:schemaRef ds:uri="http://schemas.microsoft.com/office/2006/metadata/properties"/>
    <ds:schemaRef ds:uri="f564a0ab-7d10-463c-8b8b-579d03fbf2e1"/>
    <ds:schemaRef ds:uri="4e6cfa50-9814-4036-b2f8-54bb7ef1e7f8"/>
    <ds:schemaRef ds:uri="http://schemas.microsoft.com/office/infopath/2007/PartnerControls"/>
    <ds:schemaRef ds:uri="http://schemas.openxmlformats.org/package/2006/metadata/core-properties"/>
    <ds:schemaRef ds:uri="131e7afd-8cb4-4255-a884-cbcde2747e4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1564</Words>
  <Characters>14891</Characters>
  <Application>Microsoft Office Word</Application>
  <DocSecurity>0</DocSecurity>
  <Lines>124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cyan report</vt:lpstr>
    </vt:vector>
  </TitlesOfParts>
  <Company>Victoria State Government, Department of Families, Fairness and Housing</Company>
  <LinksUpToDate>false</LinksUpToDate>
  <CharactersWithSpaces>16423</CharactersWithSpaces>
  <SharedDoc>false</SharedDoc>
  <HyperlinkBase/>
  <HLinks>
    <vt:vector size="192" baseType="variant">
      <vt:variant>
        <vt:i4>4980744</vt:i4>
      </vt:variant>
      <vt:variant>
        <vt:i4>141</vt:i4>
      </vt:variant>
      <vt:variant>
        <vt:i4>0</vt:i4>
      </vt:variant>
      <vt:variant>
        <vt:i4>5</vt:i4>
      </vt:variant>
      <vt:variant>
        <vt:lpwstr>https://www.dffh.vic.gov.au/emergency-management</vt:lpwstr>
      </vt:variant>
      <vt:variant>
        <vt:lpwstr/>
      </vt:variant>
      <vt:variant>
        <vt:i4>4980744</vt:i4>
      </vt:variant>
      <vt:variant>
        <vt:i4>138</vt:i4>
      </vt:variant>
      <vt:variant>
        <vt:i4>0</vt:i4>
      </vt:variant>
      <vt:variant>
        <vt:i4>5</vt:i4>
      </vt:variant>
      <vt:variant>
        <vt:lpwstr>https://www.dffh.vic.gov.au/emergency-management</vt:lpwstr>
      </vt:variant>
      <vt:variant>
        <vt:lpwstr/>
      </vt:variant>
      <vt:variant>
        <vt:i4>3014774</vt:i4>
      </vt:variant>
      <vt:variant>
        <vt:i4>135</vt:i4>
      </vt:variant>
      <vt:variant>
        <vt:i4>0</vt:i4>
      </vt:variant>
      <vt:variant>
        <vt:i4>5</vt:i4>
      </vt:variant>
      <vt:variant>
        <vt:lpwstr>https://emergency.vic.gov.au/relief</vt:lpwstr>
      </vt:variant>
      <vt:variant>
        <vt:lpwstr/>
      </vt:variant>
      <vt:variant>
        <vt:i4>4915222</vt:i4>
      </vt:variant>
      <vt:variant>
        <vt:i4>132</vt:i4>
      </vt:variant>
      <vt:variant>
        <vt:i4>0</vt:i4>
      </vt:variant>
      <vt:variant>
        <vt:i4>5</vt:i4>
      </vt:variant>
      <vt:variant>
        <vt:lpwstr>https://services.dffh.vic.gov.au/personal-hardship-assistance-program</vt:lpwstr>
      </vt:variant>
      <vt:variant>
        <vt:lpwstr/>
      </vt:variant>
      <vt:variant>
        <vt:i4>1114197</vt:i4>
      </vt:variant>
      <vt:variant>
        <vt:i4>129</vt:i4>
      </vt:variant>
      <vt:variant>
        <vt:i4>0</vt:i4>
      </vt:variant>
      <vt:variant>
        <vt:i4>5</vt:i4>
      </vt:variant>
      <vt:variant>
        <vt:lpwstr>https://www.dffh.vic.gov.au/sites/default/files/documents/202410/Emergency Relief Handbook - accessible.docx</vt:lpwstr>
      </vt:variant>
      <vt:variant>
        <vt:lpwstr/>
      </vt:variant>
      <vt:variant>
        <vt:i4>6750314</vt:i4>
      </vt:variant>
      <vt:variant>
        <vt:i4>126</vt:i4>
      </vt:variant>
      <vt:variant>
        <vt:i4>0</vt:i4>
      </vt:variant>
      <vt:variant>
        <vt:i4>5</vt:i4>
      </vt:variant>
      <vt:variant>
        <vt:lpwstr>https://www.dffh.vic.gov.au/sites/default/files/documents/202410/Emergency Relief Handbook.pdf</vt:lpwstr>
      </vt:variant>
      <vt:variant>
        <vt:lpwstr/>
      </vt:variant>
      <vt:variant>
        <vt:i4>6029404</vt:i4>
      </vt:variant>
      <vt:variant>
        <vt:i4>123</vt:i4>
      </vt:variant>
      <vt:variant>
        <vt:i4>0</vt:i4>
      </vt:variant>
      <vt:variant>
        <vt:i4>5</vt:i4>
      </vt:variant>
      <vt:variant>
        <vt:lpwstr>https://fac.dhhs.vic.gov.au/emergency-management-housing</vt:lpwstr>
      </vt:variant>
      <vt:variant>
        <vt:lpwstr/>
      </vt:variant>
      <vt:variant>
        <vt:i4>2687078</vt:i4>
      </vt:variant>
      <vt:variant>
        <vt:i4>120</vt:i4>
      </vt:variant>
      <vt:variant>
        <vt:i4>0</vt:i4>
      </vt:variant>
      <vt:variant>
        <vt:i4>5</vt:i4>
      </vt:variant>
      <vt:variant>
        <vt:lpwstr>https://files.emv.vic.gov.au/2023-12/State Emergency Management Plan (SEMP).pdf</vt:lpwstr>
      </vt:variant>
      <vt:variant>
        <vt:lpwstr/>
      </vt:variant>
      <vt:variant>
        <vt:i4>3801203</vt:i4>
      </vt:variant>
      <vt:variant>
        <vt:i4>117</vt:i4>
      </vt:variant>
      <vt:variant>
        <vt:i4>0</vt:i4>
      </vt:variant>
      <vt:variant>
        <vt:i4>5</vt:i4>
      </vt:variant>
      <vt:variant>
        <vt:lpwstr>https://dhhsvicgovau.sharepoint.com/sites/dffh/Groups Forms and other/Forms/AllItems.aspx?id=%2Fsites%2Fdffh%2FGroups%20Forms%20and%20other%2FCentral%2DPrecinct%2DEmergency%2DManagement%2FFirst%205%20Minutes%20%2D%20Emergency%20Management%20Manual%2Epdf&amp;parent=%2Fsites%2Fdffh%2FGroups%20Forms%20and%20other%2FCentral%2DPrecinct%2DEmergency%2DManagement&amp;isSPOFile=1</vt:lpwstr>
      </vt:variant>
      <vt:variant>
        <vt:lpwstr/>
      </vt:variant>
      <vt:variant>
        <vt:i4>4522078</vt:i4>
      </vt:variant>
      <vt:variant>
        <vt:i4>114</vt:i4>
      </vt:variant>
      <vt:variant>
        <vt:i4>0</vt:i4>
      </vt:variant>
      <vt:variant>
        <vt:i4>5</vt:i4>
      </vt:variant>
      <vt:variant>
        <vt:lpwstr>https://providers.dffh.vic.gov.au/capital-development-guidelines-series-7</vt:lpwstr>
      </vt:variant>
      <vt:variant>
        <vt:lpwstr/>
      </vt:variant>
      <vt:variant>
        <vt:i4>4522078</vt:i4>
      </vt:variant>
      <vt:variant>
        <vt:i4>111</vt:i4>
      </vt:variant>
      <vt:variant>
        <vt:i4>0</vt:i4>
      </vt:variant>
      <vt:variant>
        <vt:i4>5</vt:i4>
      </vt:variant>
      <vt:variant>
        <vt:lpwstr>https://providers.dffh.vic.gov.au/capital-development-guidelines-series-7</vt:lpwstr>
      </vt:variant>
      <vt:variant>
        <vt:lpwstr/>
      </vt:variant>
      <vt:variant>
        <vt:i4>5832809</vt:i4>
      </vt:variant>
      <vt:variant>
        <vt:i4>108</vt:i4>
      </vt:variant>
      <vt:variant>
        <vt:i4>0</vt:i4>
      </vt:variant>
      <vt:variant>
        <vt:i4>5</vt:i4>
      </vt:variant>
      <vt:variant>
        <vt:lpwstr>https://dhhsvicgovau.sharepoint.com/:w:/r/sites/Publichousingresources/_layouts/15/Doc.aspx?sourcedoc=%7BB885912B-7065-41A7-BA62-45E4E61A08A9%7D&amp;file=DFFH-Afterhours-Maintenance-Guidelines-2023.docx&amp;action=default&amp;mobileredirect=true&amp;DefaultItemOpen=1%3Fweb%3D1&amp;xsdata=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%3D&amp;sdata=N2tVWG9HU3huZUJQTVUwcFUwZHFwa1BrNWkyVE53ZnZHVnhvTXRDemtTRT0%3D&amp;ovuser=c0e0601f-0fac-449c-9c88-a104c4eb9f28%2Csofia.messina%40homes.vic.gov.au</vt:lpwstr>
      </vt:variant>
      <vt:variant>
        <vt:lpwstr/>
      </vt:variant>
      <vt:variant>
        <vt:i4>4784210</vt:i4>
      </vt:variant>
      <vt:variant>
        <vt:i4>105</vt:i4>
      </vt:variant>
      <vt:variant>
        <vt:i4>0</vt:i4>
      </vt:variant>
      <vt:variant>
        <vt:i4>5</vt:i4>
      </vt:variant>
      <vt:variant>
        <vt:lpwstr>https://fac.dffh.vic.gov.au/emergency-management-housing</vt:lpwstr>
      </vt:variant>
      <vt:variant>
        <vt:lpwstr/>
      </vt:variant>
      <vt:variant>
        <vt:i4>6160411</vt:i4>
      </vt:variant>
      <vt:variant>
        <vt:i4>102</vt:i4>
      </vt:variant>
      <vt:variant>
        <vt:i4>0</vt:i4>
      </vt:variant>
      <vt:variant>
        <vt:i4>5</vt:i4>
      </vt:variant>
      <vt:variant>
        <vt:lpwstr>https://providers.dffh.vic.gov.au/sites/default/files/2024-09/Social services sector emergency management policy.docx</vt:lpwstr>
      </vt:variant>
      <vt:variant>
        <vt:lpwstr/>
      </vt:variant>
      <vt:variant>
        <vt:i4>4194319</vt:i4>
      </vt:variant>
      <vt:variant>
        <vt:i4>99</vt:i4>
      </vt:variant>
      <vt:variant>
        <vt:i4>0</vt:i4>
      </vt:variant>
      <vt:variant>
        <vt:i4>5</vt:i4>
      </vt:variant>
      <vt:variant>
        <vt:lpwstr>https://www.emv.vic.gov.au/responsibilities/semp</vt:lpwstr>
      </vt:variant>
      <vt:variant>
        <vt:lpwstr/>
      </vt:variant>
      <vt:variant>
        <vt:i4>7209082</vt:i4>
      </vt:variant>
      <vt:variant>
        <vt:i4>96</vt:i4>
      </vt:variant>
      <vt:variant>
        <vt:i4>0</vt:i4>
      </vt:variant>
      <vt:variant>
        <vt:i4>5</vt:i4>
      </vt:variant>
      <vt:variant>
        <vt:lpwstr>https://www.legislation.vic.gov.au/in-force/acts/emergency-management-act-2013/020</vt:lpwstr>
      </vt:variant>
      <vt:variant>
        <vt:lpwstr/>
      </vt:variant>
      <vt:variant>
        <vt:i4>1179747</vt:i4>
      </vt:variant>
      <vt:variant>
        <vt:i4>93</vt:i4>
      </vt:variant>
      <vt:variant>
        <vt:i4>0</vt:i4>
      </vt:variant>
      <vt:variant>
        <vt:i4>5</vt:i4>
      </vt:variant>
      <vt:variant>
        <vt:lpwstr>https://dhhsvicgovau-my.sharepoint.com/personal/sofia_messina_homes_vic_gov_au/Documents/Emergency Management Act (2013 update)</vt:lpwstr>
      </vt:variant>
      <vt:variant>
        <vt:lpwstr/>
      </vt:variant>
      <vt:variant>
        <vt:i4>6488183</vt:i4>
      </vt:variant>
      <vt:variant>
        <vt:i4>90</vt:i4>
      </vt:variant>
      <vt:variant>
        <vt:i4>0</vt:i4>
      </vt:variant>
      <vt:variant>
        <vt:i4>5</vt:i4>
      </vt:variant>
      <vt:variant>
        <vt:lpwstr>https://www.legislation.vic.gov.au/in-force/acts/emergency-management-act-1986/051</vt:lpwstr>
      </vt:variant>
      <vt:variant>
        <vt:lpwstr/>
      </vt:variant>
      <vt:variant>
        <vt:i4>1507386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_Toc179816398</vt:lpwstr>
      </vt:variant>
      <vt:variant>
        <vt:i4>1507386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_Toc179816397</vt:lpwstr>
      </vt:variant>
      <vt:variant>
        <vt:i4>1507386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_Toc179816396</vt:lpwstr>
      </vt:variant>
      <vt:variant>
        <vt:i4>1507386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_Toc179816395</vt:lpwstr>
      </vt:variant>
      <vt:variant>
        <vt:i4>1507386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_Toc179816394</vt:lpwstr>
      </vt:variant>
      <vt:variant>
        <vt:i4>1507386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_Toc179816393</vt:lpwstr>
      </vt:variant>
      <vt:variant>
        <vt:i4>1507386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_Toc179816392</vt:lpwstr>
      </vt:variant>
      <vt:variant>
        <vt:i4>1507386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_Toc179816391</vt:lpwstr>
      </vt:variant>
      <vt:variant>
        <vt:i4>1507386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_Toc179816390</vt:lpwstr>
      </vt:variant>
      <vt:variant>
        <vt:i4>1441850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_Toc179816389</vt:lpwstr>
      </vt:variant>
      <vt:variant>
        <vt:i4>1441850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_Toc179816388</vt:lpwstr>
      </vt:variant>
      <vt:variant>
        <vt:i4>1441850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_Toc179816387</vt:lpwstr>
      </vt:variant>
      <vt:variant>
        <vt:i4>1441850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_Toc179816386</vt:lpwstr>
      </vt:variant>
      <vt:variant>
        <vt:i4>1441850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_Toc179816385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Management for High-Rise Buildings Operational Guidelines</dc:title>
  <dc:subject>Emergency Management for High-Rise Buildings Operational Guidelines</dc:subject>
  <cp:keywords/>
  <cp:revision>7</cp:revision>
  <cp:lastPrinted>2021-02-01T09:27:00Z</cp:lastPrinted>
  <dcterms:created xsi:type="dcterms:W3CDTF">2024-10-28T22:44:00Z</dcterms:created>
  <dcterms:modified xsi:type="dcterms:W3CDTF">2024-10-28T23:03:00Z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2022-02-28T01:49:00Z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63f486b4-8569-4046-8df0-77b8936f4c9d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r8>2600</vt:r8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Report</vt:lpwstr>
  </property>
  <property fmtid="{D5CDD505-2E9C-101B-9397-08002B2CF9AE}" pid="18" name="_ExtendedDescription">
    <vt:lpwstr/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https://dhhsvicgovau.sharepoint.com/:w:/s/dffh/Ec1sUX29ovVNg1yz-k3q1CIBvxIHfUXXZlqlU8WV6A4LBA</vt:lpwstr>
  </property>
  <property fmtid="{D5CDD505-2E9C-101B-9397-08002B2CF9AE}" pid="21" name="Link">
    <vt:lpwstr>https://dhhsvicgovau.sharepoint.com/:w:/s/dffh/Ec1sUX29ovVNg1yz-k3q1CIBvxIHfUXXZlqlU8WV6A4LBA, https://dhhsvicgovau.sharepoint.com/:w:/s/dffh/Ec1sUX29ovVNg1yz-k3q1CIBvxIHfUXXZlqlU8WV6A4LBA</vt:lpwstr>
  </property>
  <property fmtid="{D5CDD505-2E9C-101B-9397-08002B2CF9AE}" pid="22" name="xd_Signature">
    <vt:bool>false</vt:bool>
  </property>
</Properties>
</file>