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Sexually Abusive Behaviour Treatment Services 38020</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vic.gov.au/family-violence-information-sharing-scheme" TargetMode="External"/>
<Relationship Id="rId12" Type="http://schemas.openxmlformats.org/officeDocument/2006/relationships/hyperlink" Target="https://www.cpmanual.vic.gov.au/our-approach/best-interests-case-practice-model/adolescents-sexually-abusive-behaviours" TargetMode="External"/>
<Relationship Id="rId13" Type="http://schemas.openxmlformats.org/officeDocument/2006/relationships/hyperlink" Target="https://static1.squarespace.com/static/5fa0db2b7ce66d7cda3bbe00/t/613583f510e00a0ac7b416bd/1630897152974/Standards+of+Practice+Manual+for+Services+Against+Sexual+Violence+3rd+Edition+-+Booklet.PDF" TargetMode="External"/>
<Relationship Id="rId14" Type="http://schemas.openxmlformats.org/officeDocument/2006/relationships/hyperlink" Target="https://www.cpmanual.vic.gov.au/sites/default/files/Children%20problem%20sexual%20behaviours%20specialist%20practice%20resource%202012%203013%20.pdf" TargetMode="External"/>
<Relationship Id="rId15" Type="http://schemas.openxmlformats.org/officeDocument/2006/relationships/hyperlink" Target="https://providers.dffh.vic.gov.au/human-services-standards" TargetMode="External"/>
<Relationship Id="rId16" Type="http://schemas.openxmlformats.org/officeDocument/2006/relationships/hyperlink" Target="http://www.dhs.vic.gov.au/about-the-department/documents-and-resources/policies,-guidelines-and-legislation/assessing-children-and-young-people-experiencing-family-violence-practice-guide" TargetMode="External"/>
<Relationship Id="rId17" Type="http://schemas.openxmlformats.org/officeDocument/2006/relationships/hyperlink" Target="https://www.cpmanual.vic.gov.au/sites/default/files/Protecting-Children-CP-and-VicPol-protocol-2012-2825.pdf" TargetMode="External"/>
<Relationship Id="rId18" Type="http://schemas.openxmlformats.org/officeDocument/2006/relationships/hyperlink" Target="https://www.casa.org.au/assets/Documents/victorian-casa-standards-of-practice-manual.pdf" TargetMode="External"/>
<Relationship Id="rId19" Type="http://schemas.openxmlformats.org/officeDocument/2006/relationships/hyperlink" Target="https://www.vic.gov.au/family-violence-multi-agency-risk-assessment-and-management" TargetMode="External"/>
<Relationship Id="rId20" Type="http://schemas.openxmlformats.org/officeDocument/2006/relationships/hyperlink" Target="http://providers.dffh.vic.gov.au/families-fairness-housing-health-activity-search" TargetMode="External"/>
<Relationship Id="rId21"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Sexually Abusive Behaviour Treatment Services</w:t>
            </w:r>
          </w:p>
          <w:p>
            <w:pPr>
              <w:spacing w:line="560" w:lineRule="atLeast"/>
              <w:rPr>
                <w:rFonts w:ascii="Arial" w:hAnsi="Arial" w:eastAsia="Arial" w:cs="Arial"/>
                <w:color w:val="201547"/>
                <w:sz w:val="44"/>
              </w:rPr>
            </w:pPr>
            <w:r>
              <w:rPr>
                <w:rFonts w:ascii="Arial" w:hAnsi="Arial" w:eastAsia="Arial" w:cs="Arial"/>
                <w:color w:val="201547"/>
                <w:sz w:val="44"/>
              </w:rPr>
              <w:t>38020</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Family Violence Service Delivery</w:t>
            </w:r>
          </w:p>
          <w:p>
            <w:pPr>
              <w:spacing w:after="120"/>
              <w:rPr>
                <w:rFonts w:ascii="Arial" w:hAnsi="Arial" w:eastAsia="Arial" w:cs="Arial"/>
                <w:color w:val="201547"/>
                <w:sz w:val="28"/>
              </w:rPr>
            </w:pPr>
            <w:r>
              <w:rPr>
                <w:rFonts w:ascii="Arial" w:hAnsi="Arial" w:eastAsia="Arial" w:cs="Arial"/>
                <w:color w:val="201547"/>
                <w:sz w:val="28"/>
              </w:rPr>
              <w:t>Output: Family Violence Service Delivery</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Sexually Abusive Behaviour Treatment Services aim to provide high quality service responses to children and young people who display problem sexual behaviour or sexually abusive behaviour</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Sexually abusive behaviour treatment services provide a service to children and young people (up to and including 17 years of age) who display problem sexual behaviour or sexually abusive behaviour towards others (but do not have a conviction related to sexual offending). Using an ecological model, these services use a common assessment framework, an increased focus on interventions with the child/young person’s family, school and community and collaborative service provision with child protection and police (where required) to address the broader needs of children/young people (rather than a narrow focus on the behaviours).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client group for this activity is children and young people up to and including 17 years old who are engaging in problem sexual behaviour or sexually abusive behaviour and do not have a conviction for a sexual offence.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Family Violence Information Sharing Guidelines: Guidance for Information Sharing Entities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&lt;https://www.vic.gov.au/family-violence-information-sharing-scheme&gt;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Adolescents with sexually abusive behavious and their families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&lt;https://www.cpmanual.vic.gov.au/our-approach/best-interests-case-practice-model/adolescents-sexually-abusive-behaviours&gt;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Standards of Practice Manual for Services Against Sexual Violence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&lt;https://static1.squarespace.com/static/5fa0db2b7ce66d7cda3bbe00/t/613583f510e00a0ac7b416bd/1630897152974/Standards+of+Practice+Manual+for+Services+Against+Sexual+Violence+3rd+Edition+-+Booklet.PDF&gt;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Children with problem sexual behaviours and their families 2012</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&lt;https://www.cpmanual.vic.gov.au/sites/default/files/Children%20problem%20sexual%20behaviours%20specialist%20practice%20resource%202012%203013%20.pdf&gt;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Human Services Standards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Problem sexual behaviour or sexually abusive behaviour 2012</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&lt;http://www.dhs.vic.gov.au/about-the-department/documents-and-resources/policies,-guidelines-and-legislation/assessing-children-and-young-people-experiencing-family-violence-practice-guide&gt;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Protecting Children: Protocol between Department of Health and Human Services - Child Protection and Victoria Police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&lt;https://www.cpmanual.vic.gov.au/sites/default/files/Protecting-Children-CP-and-VicPol-protocol-2012-2825.pdf&gt;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Standards of Practice for Victorian Centres Against Sexual Assault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&lt;https://www.casa.org.au/assets/Documents/victorian-casa-standards-of-practice-manual.pdf&gt;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Family Violence Multi-Agency Risk Assessment and Management Framework (MARAM)</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&lt;https://www.vic.gov.au/family-violence-multi-agency-risk-assessment-and-management&gt;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cases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new cases opened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new cases that are opened during the reporting period.</w:t>
            </w:r>
            <w:r>
              <w:br/>
            </w:r>
            <w:r>
              <w:rPr>
                <w:rFonts w:ascii="Arial" w:hAnsi="Arial" w:eastAsia="Arial" w:cs="Arial"/>
                <w:color w:val="000000"/>
                <w:sz w:val="20"/>
              </w:rPr>
              <w:t>The counting rule seeks to capture new instances where support is provided to a person.</w:t>
            </w:r>
            <w:r>
              <w:br/>
            </w:r>
            <w:r>
              <w:rPr>
                <w:rFonts w:ascii="Arial" w:hAnsi="Arial" w:eastAsia="Arial" w:cs="Arial"/>
                <w:color w:val="000000"/>
                <w:sz w:val="20"/>
              </w:rPr>
              <w:t>A new case is counted when a client receives services from a service provider for the first time within the past three months.</w:t>
            </w:r>
            <w:r>
              <w:br/>
            </w:r>
            <w:r>
              <w:rPr>
                <w:rFonts w:ascii="Arial" w:hAnsi="Arial" w:eastAsia="Arial" w:cs="Arial"/>
                <w:color w:val="000000"/>
                <w:sz w:val="20"/>
              </w:rPr>
              <w:t>When to count a new case:</w:t>
            </w:r>
            <w:r>
              <w:br/>
            </w:r>
            <w:r>
              <w:rPr>
                <w:rFonts w:ascii="Arial" w:hAnsi="Arial" w:eastAsia="Arial" w:cs="Arial"/>
                <w:color w:val="000000"/>
                <w:sz w:val="20"/>
              </w:rPr>
              <w:t>•	when a client receives services from this service provider for the first time</w:t>
            </w:r>
            <w:r>
              <w:br/>
            </w:r>
            <w:r>
              <w:rPr>
                <w:rFonts w:ascii="Arial" w:hAnsi="Arial" w:eastAsia="Arial" w:cs="Arial"/>
                <w:color w:val="000000"/>
                <w:sz w:val="20"/>
              </w:rPr>
              <w:t>•	when a client presents for services after a previous case has been closed</w:t>
            </w:r>
            <w:r>
              <w:br/>
            </w:r>
            <w:r>
              <w:rPr>
                <w:rFonts w:ascii="Arial" w:hAnsi="Arial" w:eastAsia="Arial" w:cs="Arial"/>
                <w:color w:val="000000"/>
                <w:sz w:val="20"/>
              </w:rPr>
              <w:t>•	when a client presents for services relating to the same incident, but has not received services from this service provider for three months or more.</w:t>
            </w:r>
            <w:r>
              <w:br/>
            </w:r>
            <w:r>
              <w:rPr>
                <w:rFonts w:ascii="Arial" w:hAnsi="Arial" w:eastAsia="Arial" w:cs="Arial"/>
                <w:color w:val="000000"/>
                <w:sz w:val="20"/>
              </w:rPr>
              <w:t>When not to count a new case:</w:t>
            </w:r>
            <w:r>
              <w:br/>
            </w:r>
            <w:r>
              <w:rPr>
                <w:rFonts w:ascii="Arial" w:hAnsi="Arial" w:eastAsia="Arial" w:cs="Arial"/>
                <w:color w:val="000000"/>
                <w:sz w:val="20"/>
              </w:rPr>
              <w:t>•	when the client has received the same service from the service provider relating to the same incident within the last three months</w:t>
            </w:r>
            <w:r>
              <w:br/>
            </w:r>
            <w:r>
              <w:rPr>
                <w:rFonts w:ascii="Arial" w:hAnsi="Arial" w:eastAsia="Arial" w:cs="Arial"/>
                <w:color w:val="000000"/>
                <w:sz w:val="20"/>
              </w:rPr>
              <w:t>•	when an existing case carries over into a new financial or calendar year</w:t>
            </w:r>
            <w:r>
              <w:br/>
            </w:r>
            <w:r>
              <w:rPr>
                <w:rFonts w:ascii="Arial" w:hAnsi="Arial" w:eastAsia="Arial" w:cs="Arial"/>
                <w:color w:val="000000"/>
                <w:sz w:val="20"/>
              </w:rPr>
              <w:t>•	when an existing case carries over into a new month.</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Sexually Abusive Behaviours Treatment Service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 client refers to a child or young person (up to and including those 17 years old) who has been referred to the service provider in relation to problem sexual behaviour or sexually abusive behaviour (but does not have a conviction related to sexual offending).</w:t>
            </w:r>
            <w:r>
              <w:br/>
            </w:r>
            <w:r>
              <w:rPr>
                <w:rFonts w:ascii="Arial" w:hAnsi="Arial" w:eastAsia="Arial" w:cs="Arial"/>
                <w:color w:val="000000"/>
                <w:sz w:val="20"/>
              </w:rPr>
              <w:t>The receipt of a service during the reporting period is defined as having provided at least one hour of continuous service to the client during the reporting period</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SABTS Wait list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Template provided to funded services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SAMS2/Service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Sexually Abusive Behaviours Treatment Service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IRIS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IRIS sexual assault services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December 2023</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0"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Family Violence Service Delivery 38020 Sexually Abusive Behaviour Treatment Services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