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7747" w14:textId="77777777" w:rsidR="003C49E4" w:rsidRDefault="008F681F">
      <w:pPr>
        <w:spacing w:before="100" w:line="288" w:lineRule="auto"/>
        <w:ind w:left="-699"/>
      </w:pPr>
      <w:r>
        <w:rPr>
          <w:noProof/>
        </w:rPr>
        <w:drawing>
          <wp:inline distT="0" distB="0" distL="0" distR="0" wp14:anchorId="6F862E58" wp14:editId="09ACE68D">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3C49E4" w14:paraId="18A35CF6" w14:textId="77777777">
        <w:tc>
          <w:tcPr>
            <w:tcW w:w="10206" w:type="dxa"/>
            <w:shd w:val="clear" w:color="auto" w:fill="FFFFFF"/>
            <w:vAlign w:val="bottom"/>
          </w:tcPr>
          <w:p w14:paraId="1F709D5C" w14:textId="77777777" w:rsidR="003C49E4" w:rsidRDefault="003C49E4">
            <w:pPr>
              <w:spacing w:line="560" w:lineRule="atLeast"/>
              <w:rPr>
                <w:rFonts w:ascii="Arial" w:eastAsia="Arial" w:hAnsi="Arial" w:cs="Arial"/>
                <w:color w:val="000000"/>
                <w:sz w:val="20"/>
              </w:rPr>
            </w:pPr>
          </w:p>
          <w:p w14:paraId="3E519F99" w14:textId="77777777" w:rsidR="003C49E4" w:rsidRPr="008F3B55" w:rsidRDefault="008F681F" w:rsidP="008F3B55">
            <w:pPr>
              <w:pStyle w:val="Heading1"/>
            </w:pPr>
            <w:r w:rsidRPr="008F3B55">
              <w:t>Home Based Care - Therapeutic Foster Care</w:t>
            </w:r>
          </w:p>
          <w:p w14:paraId="5C648DDE" w14:textId="77777777" w:rsidR="003C49E4" w:rsidRDefault="008F681F" w:rsidP="008F3B55">
            <w:pPr>
              <w:pStyle w:val="Heading1"/>
            </w:pPr>
            <w:r w:rsidRPr="008F3B55">
              <w:t>31413</w:t>
            </w:r>
          </w:p>
        </w:tc>
      </w:tr>
      <w:tr w:rsidR="003C49E4" w14:paraId="3FDF70C3" w14:textId="77777777">
        <w:tc>
          <w:tcPr>
            <w:tcW w:w="10206" w:type="dxa"/>
            <w:shd w:val="clear" w:color="auto" w:fill="FFFFFF"/>
          </w:tcPr>
          <w:p w14:paraId="4E31FEA4" w14:textId="77777777" w:rsidR="003C49E4" w:rsidRPr="008F3B55" w:rsidRDefault="008F681F" w:rsidP="008F3B55">
            <w:pPr>
              <w:pStyle w:val="Subtitle"/>
            </w:pPr>
            <w:r w:rsidRPr="008F3B55">
              <w:t>Outcome objective: Victorians have capabilities to participate</w:t>
            </w:r>
          </w:p>
          <w:p w14:paraId="6F02B909" w14:textId="77777777" w:rsidR="003C49E4" w:rsidRPr="008F3B55" w:rsidRDefault="008F681F" w:rsidP="008F3B55">
            <w:pPr>
              <w:pStyle w:val="Subtitle"/>
            </w:pPr>
            <w:r w:rsidRPr="008F3B55">
              <w:t>Output group: Child Protection and Family Services</w:t>
            </w:r>
          </w:p>
          <w:p w14:paraId="568177D8" w14:textId="77777777" w:rsidR="003C49E4" w:rsidRDefault="008F681F" w:rsidP="008F3B55">
            <w:pPr>
              <w:pStyle w:val="Subtitle"/>
            </w:pPr>
            <w:r w:rsidRPr="008F3B55">
              <w:t>Output: Placement Services</w:t>
            </w:r>
          </w:p>
        </w:tc>
      </w:tr>
    </w:tbl>
    <w:p w14:paraId="79F5B3C4" w14:textId="77777777" w:rsidR="003C49E4" w:rsidRDefault="008F681F">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1FE589E" w14:textId="77777777" w:rsidR="003C49E4" w:rsidRPr="008F3B55" w:rsidRDefault="008F681F" w:rsidP="008F3B55">
      <w:pPr>
        <w:pStyle w:val="Heading2"/>
      </w:pPr>
      <w:r w:rsidRPr="008F3B55">
        <w:t>1. Service objective</w:t>
      </w:r>
    </w:p>
    <w:p w14:paraId="759A8D52" w14:textId="77777777" w:rsidR="003C49E4" w:rsidRDefault="008F681F">
      <w:pPr>
        <w:spacing w:line="270" w:lineRule="atLeast"/>
        <w:ind w:left="111" w:right="105"/>
        <w:rPr>
          <w:rFonts w:ascii="Arial" w:eastAsia="Arial" w:hAnsi="Arial" w:cs="Arial"/>
          <w:color w:val="000000"/>
          <w:sz w:val="20"/>
        </w:rPr>
      </w:pPr>
      <w:r>
        <w:rPr>
          <w:rFonts w:ascii="Arial" w:eastAsia="Arial" w:hAnsi="Arial" w:cs="Arial"/>
          <w:color w:val="000000"/>
          <w:sz w:val="20"/>
        </w:rPr>
        <w:t>To provide temporary, short-term or long-term therapeutic home-based care to children and young people subject to Children’s Court orders who are unable to live with their parents due to issues of abuse or neglect.</w:t>
      </w:r>
    </w:p>
    <w:p w14:paraId="452C8085" w14:textId="77777777" w:rsidR="003C49E4" w:rsidRDefault="008F681F" w:rsidP="008F3B55">
      <w:pPr>
        <w:pStyle w:val="Heading2"/>
      </w:pPr>
      <w:r>
        <w:t>2. Description of the service</w:t>
      </w:r>
    </w:p>
    <w:p w14:paraId="2A422788" w14:textId="46F365A5" w:rsidR="008F3B55" w:rsidRDefault="008F3B55" w:rsidP="008F3B55">
      <w:pPr>
        <w:pStyle w:val="Heading3"/>
      </w:pPr>
      <w:r>
        <w:t>Therapeutic foster care (Circle)</w:t>
      </w:r>
    </w:p>
    <w:p w14:paraId="4F3A0836" w14:textId="77777777" w:rsidR="008F3B55" w:rsidRDefault="008F3B55" w:rsidP="008F3B55">
      <w:pPr>
        <w:spacing w:line="270" w:lineRule="atLeast"/>
        <w:ind w:left="111" w:right="105"/>
        <w:rPr>
          <w:rFonts w:ascii="Arial" w:eastAsia="Arial" w:hAnsi="Arial" w:cs="Arial"/>
          <w:color w:val="000000"/>
          <w:sz w:val="20"/>
        </w:rPr>
      </w:pPr>
    </w:p>
    <w:p w14:paraId="5F419617" w14:textId="7A0844BE" w:rsidR="008F3B55" w:rsidRDefault="008F681F" w:rsidP="008F3B55">
      <w:pPr>
        <w:spacing w:line="270" w:lineRule="atLeast"/>
        <w:ind w:left="111" w:right="105"/>
      </w:pPr>
      <w:r>
        <w:rPr>
          <w:rFonts w:ascii="Arial" w:eastAsia="Arial" w:hAnsi="Arial" w:cs="Arial"/>
          <w:color w:val="000000"/>
          <w:sz w:val="20"/>
        </w:rPr>
        <w:t>Therapeutic</w:t>
      </w:r>
      <w:r w:rsidR="008F3B55">
        <w:rPr>
          <w:rFonts w:ascii="Arial" w:eastAsia="Arial" w:hAnsi="Arial" w:cs="Arial"/>
          <w:color w:val="000000"/>
          <w:sz w:val="20"/>
        </w:rPr>
        <w:t xml:space="preserve"> </w:t>
      </w:r>
      <w:r>
        <w:rPr>
          <w:rFonts w:ascii="Arial" w:eastAsia="Arial" w:hAnsi="Arial" w:cs="Arial"/>
          <w:color w:val="000000"/>
          <w:sz w:val="20"/>
        </w:rPr>
        <w:t>foster care (Circle) is a home-based care service provided by voluntary carers specifically recruited, trained and supported to provide a therapeutic model of care. Therapeutic foster care supports child centred practices and recognises that children entering out-of-home care require a therapeutic response.</w:t>
      </w:r>
    </w:p>
    <w:p w14:paraId="7EA3CDE1" w14:textId="77777777" w:rsidR="008F3B55" w:rsidRDefault="008F3B55" w:rsidP="008F3B55">
      <w:pPr>
        <w:spacing w:line="270" w:lineRule="atLeast"/>
        <w:ind w:left="111" w:right="105"/>
      </w:pPr>
    </w:p>
    <w:p w14:paraId="1AC61456" w14:textId="77777777" w:rsidR="008F3B55" w:rsidRDefault="008F681F" w:rsidP="008F3B55">
      <w:pPr>
        <w:spacing w:line="270" w:lineRule="atLeast"/>
        <w:ind w:left="111" w:right="105"/>
      </w:pPr>
      <w:r>
        <w:rPr>
          <w:rFonts w:ascii="Arial" w:eastAsia="Arial" w:hAnsi="Arial" w:cs="Arial"/>
          <w:color w:val="000000"/>
          <w:sz w:val="20"/>
        </w:rPr>
        <w:t>Each Circle placement has a care team with a therapeutic specialist who provides focused training and support to the child, carer and significant others to facilitate the ability of those in the care environment to effectively support the child to recover from the effects of abuse related trauma.</w:t>
      </w:r>
    </w:p>
    <w:p w14:paraId="6E075641" w14:textId="77777777" w:rsidR="008F3B55" w:rsidRDefault="008F3B55" w:rsidP="008F3B55">
      <w:pPr>
        <w:spacing w:line="270" w:lineRule="atLeast"/>
        <w:ind w:left="111" w:right="105"/>
      </w:pPr>
    </w:p>
    <w:p w14:paraId="6F519416" w14:textId="77777777" w:rsidR="008F3B55" w:rsidRDefault="008F681F" w:rsidP="008F3B55">
      <w:pPr>
        <w:spacing w:line="270" w:lineRule="atLeast"/>
        <w:ind w:left="111" w:right="105"/>
      </w:pPr>
      <w:r>
        <w:rPr>
          <w:rFonts w:ascii="Arial" w:eastAsia="Arial" w:hAnsi="Arial" w:cs="Arial"/>
          <w:color w:val="000000"/>
          <w:sz w:val="20"/>
        </w:rPr>
        <w:t>Community service organisations providing the Circle program are responsible for the specialised recruitment, supervision and training of carers and the provision of enhanced placement support. In addition, they work in partnership with a specialist therapeutic support service which provides therapeutic assessment, guidance and support to placements.</w:t>
      </w:r>
    </w:p>
    <w:p w14:paraId="649F8DB1" w14:textId="77777777" w:rsidR="008F3B55" w:rsidRDefault="008F3B55" w:rsidP="008F3B55">
      <w:pPr>
        <w:spacing w:line="270" w:lineRule="atLeast"/>
        <w:ind w:left="111" w:right="105"/>
      </w:pPr>
    </w:p>
    <w:p w14:paraId="7EA32518" w14:textId="77777777" w:rsidR="008F3B55" w:rsidRDefault="008F681F" w:rsidP="008F3B55">
      <w:pPr>
        <w:pStyle w:val="Heading3"/>
      </w:pPr>
      <w:r>
        <w:t>Aboriginal therapeutic home-based car</w:t>
      </w:r>
      <w:r w:rsidR="008F3B55">
        <w:t>e</w:t>
      </w:r>
    </w:p>
    <w:p w14:paraId="605EC96E" w14:textId="77777777" w:rsidR="008F3B55" w:rsidRDefault="008F3B55" w:rsidP="008F3B55">
      <w:pPr>
        <w:spacing w:line="270" w:lineRule="atLeast"/>
        <w:ind w:left="111" w:right="105"/>
      </w:pPr>
    </w:p>
    <w:p w14:paraId="574B405D" w14:textId="53D2FDC8" w:rsidR="003C49E4" w:rsidRPr="008F3B55" w:rsidRDefault="008F681F" w:rsidP="008F3B55">
      <w:pPr>
        <w:spacing w:line="270" w:lineRule="atLeast"/>
        <w:ind w:left="111" w:right="105"/>
      </w:pPr>
      <w:r>
        <w:rPr>
          <w:rFonts w:ascii="Arial" w:eastAsia="Arial" w:hAnsi="Arial" w:cs="Arial"/>
          <w:color w:val="000000"/>
          <w:sz w:val="20"/>
        </w:rPr>
        <w:t>Aboriginal therapeutic home-based care provides enhanced therapeutic care for Aboriginal children and young people in foster and kinship care placements through the enhanced capacity of care teams and staff to deliver a trauma-informed therapeutic response.</w:t>
      </w:r>
      <w:r>
        <w:br/>
      </w:r>
      <w:r>
        <w:rPr>
          <w:rFonts w:ascii="Arial" w:eastAsia="Arial" w:hAnsi="Arial" w:cs="Arial"/>
          <w:color w:val="000000"/>
          <w:sz w:val="20"/>
        </w:rPr>
        <w:lastRenderedPageBreak/>
        <w:t>This model includes a statewide therapeutic clinician to work in collaboration with locally based therapeutic clinicians/services. This role will provide focused training and support to assist the child, carer and significant others in the care environment to effectively support the child to recover from the effects of abuse related trauma.</w:t>
      </w:r>
      <w:r>
        <w:br/>
      </w:r>
      <w:r>
        <w:rPr>
          <w:rFonts w:ascii="Arial" w:eastAsia="Arial" w:hAnsi="Arial" w:cs="Arial"/>
          <w:color w:val="000000"/>
          <w:sz w:val="20"/>
        </w:rPr>
        <w:t>The development of local models of service delivery is achieved through regional service planning processes, which are self-determining, holistic and responsive to Aboriginal communities..</w:t>
      </w:r>
    </w:p>
    <w:p w14:paraId="7CF105A6" w14:textId="77777777" w:rsidR="003C49E4" w:rsidRDefault="008F681F" w:rsidP="008F3B55">
      <w:pPr>
        <w:pStyle w:val="Heading2"/>
      </w:pPr>
      <w:r>
        <w:t>3. Client group</w:t>
      </w:r>
    </w:p>
    <w:p w14:paraId="74C7D088" w14:textId="77777777" w:rsidR="008F3B55" w:rsidRDefault="008F681F" w:rsidP="008F3B55">
      <w:pPr>
        <w:pStyle w:val="Heading3"/>
      </w:pPr>
      <w:r>
        <w:t>Therapeutic foster care</w:t>
      </w:r>
    </w:p>
    <w:p w14:paraId="4DEF1882" w14:textId="77777777" w:rsidR="008F3B55" w:rsidRDefault="008F3B55">
      <w:pPr>
        <w:spacing w:line="288" w:lineRule="auto"/>
        <w:ind w:left="111" w:right="105"/>
        <w:rPr>
          <w:rFonts w:ascii="Arial" w:eastAsia="Arial" w:hAnsi="Arial" w:cs="Arial"/>
          <w:color w:val="000000"/>
          <w:sz w:val="20"/>
        </w:rPr>
      </w:pPr>
    </w:p>
    <w:p w14:paraId="0D7F6DAE" w14:textId="77777777" w:rsidR="008F3B55" w:rsidRDefault="008F681F">
      <w:pPr>
        <w:spacing w:line="288" w:lineRule="auto"/>
        <w:ind w:left="111" w:right="105"/>
      </w:pPr>
      <w:r>
        <w:rPr>
          <w:rFonts w:ascii="Arial" w:eastAsia="Arial" w:hAnsi="Arial" w:cs="Arial"/>
          <w:color w:val="000000"/>
          <w:sz w:val="20"/>
        </w:rPr>
        <w:t>Children aged 0 to 17 years who are entering care for the first time and who have not been in care at any time in the past six months, these children represent two thirds of the target group.</w:t>
      </w:r>
    </w:p>
    <w:p w14:paraId="37B1056C" w14:textId="77777777" w:rsidR="008F3B55" w:rsidRDefault="008F3B55">
      <w:pPr>
        <w:spacing w:line="288" w:lineRule="auto"/>
        <w:ind w:left="111" w:right="105"/>
      </w:pPr>
    </w:p>
    <w:p w14:paraId="5E43DF6A" w14:textId="77777777" w:rsidR="008F3B55" w:rsidRDefault="008F681F">
      <w:pPr>
        <w:spacing w:line="288" w:lineRule="auto"/>
        <w:ind w:left="111" w:right="105"/>
      </w:pPr>
      <w:r>
        <w:rPr>
          <w:rFonts w:ascii="Arial" w:eastAsia="Arial" w:hAnsi="Arial" w:cs="Arial"/>
          <w:color w:val="000000"/>
          <w:sz w:val="20"/>
        </w:rPr>
        <w:t>Children aged 0 to 12 years who have been in care for up to two years and who have experienced up to two placement breakdowns, these children represent one third of the target group.</w:t>
      </w:r>
    </w:p>
    <w:p w14:paraId="3B08CC5B" w14:textId="77777777" w:rsidR="008F3B55" w:rsidRDefault="008F3B55">
      <w:pPr>
        <w:spacing w:line="288" w:lineRule="auto"/>
        <w:ind w:left="111" w:right="105"/>
      </w:pPr>
    </w:p>
    <w:p w14:paraId="21F921B4" w14:textId="77777777" w:rsidR="008F3B55" w:rsidRDefault="008F681F">
      <w:pPr>
        <w:spacing w:line="288" w:lineRule="auto"/>
        <w:ind w:left="111" w:right="105"/>
      </w:pPr>
      <w:r>
        <w:rPr>
          <w:rFonts w:ascii="Arial" w:eastAsia="Arial" w:hAnsi="Arial" w:cs="Arial"/>
          <w:color w:val="000000"/>
          <w:sz w:val="20"/>
        </w:rPr>
        <w:t>Clients must be the subject of an interim accommodation order, family reunification order, care by Secretary order or long-term care order, and must have an active allocated case manager.</w:t>
      </w:r>
    </w:p>
    <w:p w14:paraId="1722A3C9" w14:textId="77777777" w:rsidR="008F3B55" w:rsidRDefault="008F3B55">
      <w:pPr>
        <w:spacing w:line="288" w:lineRule="auto"/>
        <w:ind w:left="111" w:right="105"/>
      </w:pPr>
    </w:p>
    <w:p w14:paraId="293E6C19" w14:textId="77777777" w:rsidR="008F3B55" w:rsidRDefault="008F681F" w:rsidP="008F3B55">
      <w:pPr>
        <w:pStyle w:val="Heading3"/>
      </w:pPr>
      <w:r>
        <w:t>Aboriginal therapeutic home-based care</w:t>
      </w:r>
    </w:p>
    <w:p w14:paraId="71DC9B09" w14:textId="77777777" w:rsidR="008F3B55" w:rsidRDefault="008F3B55">
      <w:pPr>
        <w:spacing w:line="288" w:lineRule="auto"/>
        <w:ind w:left="111" w:right="105"/>
      </w:pPr>
    </w:p>
    <w:p w14:paraId="4572B7A7" w14:textId="5AC5D080" w:rsidR="003C49E4" w:rsidRDefault="008F681F">
      <w:pPr>
        <w:spacing w:line="288" w:lineRule="auto"/>
        <w:ind w:left="111" w:right="105"/>
        <w:rPr>
          <w:rFonts w:ascii="Arial" w:eastAsia="Arial" w:hAnsi="Arial" w:cs="Arial"/>
          <w:color w:val="000000"/>
          <w:sz w:val="20"/>
        </w:rPr>
      </w:pPr>
      <w:r>
        <w:rPr>
          <w:rFonts w:ascii="Arial" w:eastAsia="Arial" w:hAnsi="Arial" w:cs="Arial"/>
          <w:color w:val="000000"/>
          <w:sz w:val="20"/>
        </w:rPr>
        <w:t>Aboriginal children aged 0 to17 years who are in foster care or kinship care (statutory).</w:t>
      </w:r>
    </w:p>
    <w:p w14:paraId="5CFC4F5E" w14:textId="77777777" w:rsidR="003C49E4" w:rsidRDefault="008F681F" w:rsidP="008F3B55">
      <w:pPr>
        <w:pStyle w:val="Heading2"/>
      </w:pPr>
      <w:r>
        <w:t>4. Obligations specific to this activity</w:t>
      </w:r>
    </w:p>
    <w:p w14:paraId="567DB0D9" w14:textId="77777777" w:rsidR="003C49E4" w:rsidRDefault="008F681F">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2EF65DA8" w14:textId="77777777" w:rsidR="003C49E4" w:rsidRPr="008F3B55" w:rsidRDefault="008F681F" w:rsidP="008F3B55">
      <w:pPr>
        <w:pStyle w:val="Heading3"/>
      </w:pPr>
      <w:r w:rsidRPr="008F3B55">
        <w:t>4a. Registration and Accreditation</w:t>
      </w:r>
    </w:p>
    <w:p w14:paraId="3C73D44B" w14:textId="77777777" w:rsidR="003C49E4" w:rsidRDefault="008F681F">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42A4080E" w14:textId="77777777" w:rsidR="003C49E4" w:rsidRDefault="008F681F">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Children, Youth and Families Act 2005</w:t>
      </w:r>
    </w:p>
    <w:p w14:paraId="29D5CD84" w14:textId="77777777" w:rsidR="003C49E4" w:rsidRDefault="008F681F" w:rsidP="008F3B55">
      <w:pPr>
        <w:pStyle w:val="Heading3"/>
        <w:rPr>
          <w:color w:val="000000"/>
        </w:rPr>
      </w:pPr>
      <w:r>
        <w:t>4b. Program requirements and other policy guidelines</w:t>
      </w:r>
    </w:p>
    <w:p w14:paraId="0A39FEEC" w14:textId="77777777" w:rsidR="003C49E4" w:rsidRDefault="00000000">
      <w:pPr>
        <w:numPr>
          <w:ilvl w:val="0"/>
          <w:numId w:val="13"/>
        </w:numPr>
        <w:spacing w:after="40" w:line="270" w:lineRule="atLeast"/>
        <w:rPr>
          <w:rFonts w:ascii="Arial" w:eastAsia="Arial" w:hAnsi="Arial" w:cs="Arial"/>
          <w:color w:val="3366FF"/>
          <w:sz w:val="20"/>
        </w:rPr>
      </w:pPr>
      <w:hyperlink r:id="rId8" w:tgtFrame="_blank" w:history="1">
        <w:r w:rsidR="008F681F">
          <w:rPr>
            <w:rFonts w:ascii="Arial" w:eastAsia="Arial" w:hAnsi="Arial" w:cs="Arial"/>
            <w:color w:val="3366FF"/>
            <w:sz w:val="20"/>
          </w:rPr>
          <w:t>Aboriginal Therapeutic Home Based Care Program and Funding Guidelines February 2012</w:t>
        </w:r>
      </w:hyperlink>
    </w:p>
    <w:p w14:paraId="6DF55F86" w14:textId="77777777"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&lt;https://providers.dffh.vic.gov.au/aboriginal-therapeutic-home-based-care-program-and-funding-guidelines-word&gt;</w:t>
      </w:r>
    </w:p>
    <w:p w14:paraId="795E95EE" w14:textId="77777777" w:rsidR="003C49E4" w:rsidRDefault="00000000">
      <w:pPr>
        <w:numPr>
          <w:ilvl w:val="0"/>
          <w:numId w:val="13"/>
        </w:numPr>
        <w:spacing w:after="40" w:line="270" w:lineRule="atLeast"/>
        <w:rPr>
          <w:rFonts w:ascii="Arial" w:eastAsia="Arial" w:hAnsi="Arial" w:cs="Arial"/>
          <w:color w:val="3366FF"/>
          <w:sz w:val="20"/>
        </w:rPr>
      </w:pPr>
      <w:hyperlink r:id="rId9" w:tgtFrame="_blank" w:history="1">
        <w:r w:rsidR="008F681F">
          <w:rPr>
            <w:rFonts w:ascii="Arial" w:eastAsia="Arial" w:hAnsi="Arial" w:cs="Arial"/>
            <w:color w:val="3366FF"/>
            <w:sz w:val="20"/>
          </w:rPr>
          <w:t>Circle Program: A Therapeutic Approach to Foster Care - Program Guidelines (November 2008)</w:t>
        </w:r>
      </w:hyperlink>
    </w:p>
    <w:p w14:paraId="3CAACE36" w14:textId="77777777"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&lt;http://www.dhs.vic.gov.au/__data/assets/pdf_file/0006/590496/circle-program-guidelines-may-2009.pdf&gt;</w:t>
      </w:r>
    </w:p>
    <w:p w14:paraId="7FB5C61B" w14:textId="3FB8C57B" w:rsidR="003C49E4" w:rsidRDefault="008F3B55" w:rsidP="008F3B55">
      <w:pPr>
        <w:pStyle w:val="ListParagraph"/>
        <w:numPr>
          <w:ilvl w:val="0"/>
          <w:numId w:val="13"/>
        </w:numPr>
      </w:pPr>
      <w:hyperlink r:id="rId10" w:history="1">
        <w:r w:rsidR="008F681F" w:rsidRPr="008F3B55">
          <w:rPr>
            <w:rStyle w:val="Hyperlink"/>
          </w:rPr>
          <w:t>Home-bas</w:t>
        </w:r>
        <w:r w:rsidR="008F681F" w:rsidRPr="008F3B55">
          <w:rPr>
            <w:rStyle w:val="Hyperlink"/>
          </w:rPr>
          <w:t>e</w:t>
        </w:r>
        <w:r w:rsidR="008F681F" w:rsidRPr="008F3B55">
          <w:rPr>
            <w:rStyle w:val="Hyperlink"/>
          </w:rPr>
          <w:t>d care performance and reporting requirements</w:t>
        </w:r>
      </w:hyperlink>
      <w:r>
        <w:t xml:space="preserve"> </w:t>
      </w:r>
      <w:r>
        <w:br/>
        <w:t>&lt;</w:t>
      </w:r>
      <w:r w:rsidRPr="008F3B55">
        <w:t>https://fac.dffh.vic.gov.au/home-based-care-performance-and-reporting-requirements-policy</w:t>
      </w:r>
      <w:r>
        <w:t>&gt;</w:t>
      </w:r>
    </w:p>
    <w:p w14:paraId="282716B5" w14:textId="77777777" w:rsidR="003C49E4" w:rsidRDefault="00000000">
      <w:pPr>
        <w:numPr>
          <w:ilvl w:val="0"/>
          <w:numId w:val="13"/>
        </w:numPr>
        <w:spacing w:after="40" w:line="270" w:lineRule="atLeast"/>
        <w:rPr>
          <w:rFonts w:ascii="Arial" w:eastAsia="Arial" w:hAnsi="Arial" w:cs="Arial"/>
          <w:color w:val="3366FF"/>
          <w:sz w:val="20"/>
        </w:rPr>
      </w:pPr>
      <w:hyperlink r:id="rId11" w:tgtFrame="_blank" w:history="1">
        <w:r w:rsidR="008F681F">
          <w:rPr>
            <w:rFonts w:ascii="Arial" w:eastAsia="Arial" w:hAnsi="Arial" w:cs="Arial"/>
            <w:color w:val="3366FF"/>
            <w:sz w:val="20"/>
          </w:rPr>
          <w:t>Human Services Standards policy</w:t>
        </w:r>
      </w:hyperlink>
    </w:p>
    <w:p w14:paraId="7E9EE54F" w14:textId="77777777"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&lt;https://providers.dffh.vic.gov.au/human-services-standards-policy&gt;</w:t>
      </w:r>
    </w:p>
    <w:p w14:paraId="30CFF373" w14:textId="77777777" w:rsidR="003C49E4" w:rsidRDefault="00000000">
      <w:pPr>
        <w:numPr>
          <w:ilvl w:val="0"/>
          <w:numId w:val="13"/>
        </w:numPr>
        <w:spacing w:after="40" w:line="270" w:lineRule="atLeast"/>
        <w:rPr>
          <w:rFonts w:ascii="Arial" w:eastAsia="Arial" w:hAnsi="Arial" w:cs="Arial"/>
          <w:color w:val="3366FF"/>
          <w:sz w:val="20"/>
        </w:rPr>
      </w:pPr>
      <w:hyperlink r:id="rId12" w:tgtFrame="_blank" w:history="1">
        <w:r w:rsidR="008F681F">
          <w:rPr>
            <w:rFonts w:ascii="Arial" w:eastAsia="Arial" w:hAnsi="Arial" w:cs="Arial"/>
            <w:color w:val="3366FF"/>
            <w:sz w:val="20"/>
          </w:rPr>
          <w:t>Program Requirements for Home-Based Care in Victoria</w:t>
        </w:r>
      </w:hyperlink>
    </w:p>
    <w:p w14:paraId="34BB3E0C" w14:textId="15F66D54"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&lt;https://providers.dffh.vic.gov.au/program-requirements-out-home-care-services&gt;</w:t>
      </w:r>
    </w:p>
    <w:p w14:paraId="0E481FD7" w14:textId="77777777" w:rsidR="003C49E4" w:rsidRDefault="00000000">
      <w:pPr>
        <w:numPr>
          <w:ilvl w:val="0"/>
          <w:numId w:val="13"/>
        </w:numPr>
        <w:spacing w:after="40" w:line="270" w:lineRule="atLeast"/>
        <w:rPr>
          <w:rFonts w:ascii="Arial" w:eastAsia="Arial" w:hAnsi="Arial" w:cs="Arial"/>
          <w:color w:val="3366FF"/>
          <w:sz w:val="20"/>
        </w:rPr>
      </w:pPr>
      <w:hyperlink r:id="rId13" w:tgtFrame="_blank" w:history="1">
        <w:r w:rsidR="008F681F">
          <w:rPr>
            <w:rFonts w:ascii="Arial" w:eastAsia="Arial" w:hAnsi="Arial" w:cs="Arial"/>
            <w:color w:val="3366FF"/>
            <w:sz w:val="20"/>
          </w:rPr>
          <w:t>Child Protection Practice Manual</w:t>
        </w:r>
      </w:hyperlink>
    </w:p>
    <w:p w14:paraId="7FFA2789" w14:textId="77777777"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&lt;http://www.cpmanual.vic.gov.au&gt;</w:t>
      </w:r>
    </w:p>
    <w:p w14:paraId="3ACBA7F5" w14:textId="77777777" w:rsidR="003C49E4" w:rsidRDefault="00000000">
      <w:pPr>
        <w:numPr>
          <w:ilvl w:val="0"/>
          <w:numId w:val="13"/>
        </w:numPr>
        <w:spacing w:after="40" w:line="270" w:lineRule="atLeast"/>
        <w:rPr>
          <w:rFonts w:ascii="Arial" w:eastAsia="Arial" w:hAnsi="Arial" w:cs="Arial"/>
          <w:color w:val="3366FF"/>
          <w:sz w:val="20"/>
        </w:rPr>
      </w:pPr>
      <w:hyperlink r:id="rId14" w:tgtFrame="_blank" w:history="1">
        <w:r w:rsidR="008F681F">
          <w:rPr>
            <w:rFonts w:ascii="Arial" w:eastAsia="Arial" w:hAnsi="Arial" w:cs="Arial"/>
            <w:color w:val="3366FF"/>
            <w:sz w:val="20"/>
          </w:rPr>
          <w:t>Guide to emergency use of physical restraint in out-of-home care</w:t>
        </w:r>
      </w:hyperlink>
    </w:p>
    <w:p w14:paraId="31F73F24" w14:textId="77777777" w:rsidR="003C49E4" w:rsidRDefault="008F68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&lt;http://providers.dffh.vic.gov.au/guide-emergency-use-physical-restraint-out-home-care&gt;</w:t>
      </w:r>
    </w:p>
    <w:p w14:paraId="753E1973" w14:textId="77777777" w:rsidR="003C49E4" w:rsidRDefault="003C49E4">
      <w:pPr>
        <w:spacing w:line="270" w:lineRule="atLeast"/>
        <w:ind w:left="111" w:right="105"/>
        <w:rPr>
          <w:rFonts w:ascii="Arial" w:eastAsia="Arial" w:hAnsi="Arial" w:cs="Arial"/>
          <w:color w:val="000000"/>
          <w:sz w:val="20"/>
        </w:rPr>
      </w:pPr>
    </w:p>
    <w:p w14:paraId="6A6334A8" w14:textId="77777777" w:rsidR="003C49E4" w:rsidRDefault="008F681F" w:rsidP="008F3B55">
      <w:pPr>
        <w:pStyle w:val="Heading2"/>
        <w:rPr>
          <w:color w:val="000000"/>
          <w:sz w:val="20"/>
        </w:rPr>
      </w:pPr>
      <w:r>
        <w:t>5. Performance</w:t>
      </w:r>
    </w:p>
    <w:p w14:paraId="7AE7EFD0" w14:textId="77777777" w:rsidR="003C49E4" w:rsidRDefault="008F681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2EE7F626" w14:textId="77777777" w:rsidR="003C49E4" w:rsidRDefault="008F681F">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3DAE5C0" w14:textId="77777777" w:rsidR="003C49E4" w:rsidRDefault="008F681F" w:rsidP="008F3B55">
      <w:pPr>
        <w:pStyle w:val="Heading3"/>
      </w:pPr>
      <w:r>
        <w:t>Key performance measure 1: Daily Average Occupancy</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3C49E4" w14:paraId="637B694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FACB756"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0024E1D"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measure provides quantitative information on the number of placements providing a therapeutic model of care</w:t>
            </w:r>
          </w:p>
        </w:tc>
      </w:tr>
      <w:tr w:rsidR="003C49E4" w14:paraId="588BE15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82B238"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0FBD7A1"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3C49E4" w14:paraId="16A5A5B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5022F2"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2594B2B"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3C49E4" w14:paraId="735929C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D3F376"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2FF1B9"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daily average occupancy refers to the total delivered placement days for each client in the reporting period, divided by the total number of days within the reporting period.</w:t>
            </w:r>
          </w:p>
        </w:tc>
      </w:tr>
      <w:tr w:rsidR="003C49E4" w14:paraId="2D29AA7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4ED38"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82D5815" w14:textId="77777777" w:rsidR="003C49E4" w:rsidRDefault="008F68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CRISSP</w:t>
            </w:r>
          </w:p>
          <w:p w14:paraId="5E98F631" w14:textId="77777777" w:rsidR="003C49E4" w:rsidRDefault="008F68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tc>
      </w:tr>
      <w:tr w:rsidR="003C49E4" w14:paraId="6119526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7D69F4"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567D80"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Approved carers are accredited through a registered community service organisation, are registered on the department’s Carer Register, have their details recorded in CRISSP and are in receipt of a carer allowance</w:t>
            </w:r>
          </w:p>
        </w:tc>
      </w:tr>
    </w:tbl>
    <w:p w14:paraId="237ABDB1" w14:textId="77777777" w:rsidR="003C49E4" w:rsidRDefault="008F681F" w:rsidP="008F3B55">
      <w:pPr>
        <w:pStyle w:val="Heading3"/>
      </w:pPr>
      <w:r>
        <w:t>Performance measure 2: Percentage of the total number of children and young people in placements greater than six months who are on family reunification, care by Secretary or long-term care orders that are contracted to the provider</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3C49E4" w14:paraId="6F98645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CBF057"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8D0068E"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about the number of longer-term contracted placements in the complex category (&gt; six months) as a proportion of all placements</w:t>
            </w:r>
          </w:p>
        </w:tc>
      </w:tr>
      <w:tr w:rsidR="003C49E4" w14:paraId="2D39392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4DD630"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1ECA06"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80 per cent</w:t>
            </w:r>
          </w:p>
        </w:tc>
      </w:tr>
      <w:tr w:rsidR="003C49E4" w14:paraId="1C1A9C5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532388"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B86C404"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3C49E4" w14:paraId="3AB05A7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3ED0CCD"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810E1B8"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 Identify and count the number of clients contracted to the provider on family reunification, care by Secretary or long-term care orders whose placements have been &gt; six months for each day over the reporting period</w:t>
            </w:r>
            <w:r>
              <w:br/>
            </w:r>
            <w:r>
              <w:rPr>
                <w:rFonts w:ascii="Arial" w:eastAsia="Arial" w:hAnsi="Arial" w:cs="Arial"/>
                <w:color w:val="000000"/>
                <w:sz w:val="20"/>
              </w:rPr>
              <w:t>2) Count all clients contracted to the provider on family reunification, care by Secretary or long-term care orders who are placed for each day over the reporting period</w:t>
            </w:r>
            <w:r>
              <w:br/>
            </w:r>
            <w:r>
              <w:rPr>
                <w:rFonts w:ascii="Arial" w:eastAsia="Arial" w:hAnsi="Arial" w:cs="Arial"/>
                <w:color w:val="000000"/>
                <w:sz w:val="20"/>
              </w:rPr>
              <w:t>Take the count of client numbers from 1)</w:t>
            </w:r>
            <w:r>
              <w:br/>
            </w:r>
            <w:r>
              <w:rPr>
                <w:rFonts w:ascii="Arial" w:eastAsia="Arial" w:hAnsi="Arial" w:cs="Arial"/>
                <w:color w:val="000000"/>
                <w:sz w:val="20"/>
              </w:rPr>
              <w:t>Divided by</w:t>
            </w:r>
            <w:r>
              <w:br/>
            </w:r>
            <w:r>
              <w:rPr>
                <w:rFonts w:ascii="Arial" w:eastAsia="Arial" w:hAnsi="Arial" w:cs="Arial"/>
                <w:color w:val="000000"/>
                <w:sz w:val="20"/>
              </w:rPr>
              <w:t>The total number of clients</w:t>
            </w:r>
            <w:r>
              <w:br/>
            </w:r>
            <w:r>
              <w:rPr>
                <w:rFonts w:ascii="Arial" w:eastAsia="Arial" w:hAnsi="Arial" w:cs="Arial"/>
                <w:color w:val="000000"/>
                <w:sz w:val="20"/>
              </w:rPr>
              <w:t>To obtain the proportion of clients in placements &gt; 6 months</w:t>
            </w:r>
            <w:r>
              <w:br/>
            </w:r>
            <w:r>
              <w:rPr>
                <w:rFonts w:ascii="Arial" w:eastAsia="Arial" w:hAnsi="Arial" w:cs="Arial"/>
                <w:color w:val="000000"/>
                <w:sz w:val="20"/>
              </w:rPr>
              <w:t>For example:</w:t>
            </w:r>
            <w:r>
              <w:br/>
            </w:r>
            <w:r>
              <w:rPr>
                <w:rFonts w:ascii="Arial" w:eastAsia="Arial" w:hAnsi="Arial" w:cs="Arial"/>
                <w:color w:val="000000"/>
                <w:sz w:val="20"/>
              </w:rPr>
              <w:t>For 1st quarter each financial year:</w:t>
            </w:r>
            <w:r>
              <w:br/>
            </w:r>
            <w:r>
              <w:rPr>
                <w:rFonts w:ascii="Arial" w:eastAsia="Arial" w:hAnsi="Arial" w:cs="Arial"/>
                <w:color w:val="000000"/>
                <w:sz w:val="20"/>
              </w:rPr>
              <w:t>Counting Rule 1)</w:t>
            </w:r>
            <w:r>
              <w:br/>
            </w:r>
            <w:r>
              <w:rPr>
                <w:rFonts w:ascii="Arial" w:eastAsia="Arial" w:hAnsi="Arial" w:cs="Arial"/>
                <w:color w:val="000000"/>
                <w:sz w:val="20"/>
              </w:rPr>
              <w:t>Day 1</w:t>
            </w:r>
            <w:r>
              <w:br/>
            </w:r>
            <w:r>
              <w:rPr>
                <w:rFonts w:ascii="Arial" w:eastAsia="Arial" w:hAnsi="Arial" w:cs="Arial"/>
                <w:color w:val="000000"/>
                <w:sz w:val="20"/>
              </w:rPr>
              <w:t>Client A &lt; 6 months (= 182 placement days)</w:t>
            </w:r>
            <w:r>
              <w:br/>
            </w:r>
            <w:r>
              <w:rPr>
                <w:rFonts w:ascii="Arial" w:eastAsia="Arial" w:hAnsi="Arial" w:cs="Arial"/>
                <w:color w:val="000000"/>
                <w:sz w:val="20"/>
              </w:rPr>
              <w:t>Client B &lt; 6 months</w:t>
            </w:r>
            <w:r>
              <w:br/>
            </w:r>
            <w:r>
              <w:rPr>
                <w:rFonts w:ascii="Arial" w:eastAsia="Arial" w:hAnsi="Arial" w:cs="Arial"/>
                <w:color w:val="000000"/>
                <w:sz w:val="20"/>
              </w:rPr>
              <w:t>Client C &gt; 6 months</w:t>
            </w:r>
            <w:r>
              <w:br/>
            </w:r>
            <w:r>
              <w:rPr>
                <w:rFonts w:ascii="Arial" w:eastAsia="Arial" w:hAnsi="Arial" w:cs="Arial"/>
                <w:color w:val="000000"/>
                <w:sz w:val="20"/>
              </w:rPr>
              <w:t>Client count = 1</w:t>
            </w:r>
            <w:r>
              <w:br/>
            </w:r>
            <w:r>
              <w:rPr>
                <w:rFonts w:ascii="Arial" w:eastAsia="Arial" w:hAnsi="Arial" w:cs="Arial"/>
                <w:color w:val="000000"/>
                <w:sz w:val="20"/>
              </w:rPr>
              <w:t>Day 2</w:t>
            </w:r>
            <w:r>
              <w:br/>
            </w:r>
            <w:r>
              <w:rPr>
                <w:rFonts w:ascii="Arial" w:eastAsia="Arial" w:hAnsi="Arial" w:cs="Arial"/>
                <w:color w:val="000000"/>
                <w:sz w:val="20"/>
              </w:rPr>
              <w:t>Client A &gt; 6 months (= 183 placements days)</w:t>
            </w:r>
            <w:r>
              <w:br/>
            </w:r>
            <w:r>
              <w:rPr>
                <w:rFonts w:ascii="Arial" w:eastAsia="Arial" w:hAnsi="Arial" w:cs="Arial"/>
                <w:color w:val="000000"/>
                <w:sz w:val="20"/>
              </w:rPr>
              <w:t>Client B &lt; 6 months</w:t>
            </w:r>
            <w:r>
              <w:br/>
            </w:r>
            <w:r>
              <w:rPr>
                <w:rFonts w:ascii="Arial" w:eastAsia="Arial" w:hAnsi="Arial" w:cs="Arial"/>
                <w:color w:val="000000"/>
                <w:sz w:val="20"/>
              </w:rPr>
              <w:t>Client D &gt; 6 months</w:t>
            </w:r>
            <w:r>
              <w:br/>
            </w:r>
            <w:r>
              <w:rPr>
                <w:rFonts w:ascii="Arial" w:eastAsia="Arial" w:hAnsi="Arial" w:cs="Arial"/>
                <w:color w:val="000000"/>
                <w:sz w:val="20"/>
              </w:rPr>
              <w:t>Client count = 2</w:t>
            </w:r>
            <w:r>
              <w:br/>
            </w:r>
            <w:r>
              <w:rPr>
                <w:rFonts w:ascii="Arial" w:eastAsia="Arial" w:hAnsi="Arial" w:cs="Arial"/>
                <w:color w:val="000000"/>
                <w:sz w:val="20"/>
              </w:rPr>
              <w:t>Total client count (Day 1 and 2) = 3</w:t>
            </w:r>
            <w:r>
              <w:br/>
            </w:r>
            <w:r>
              <w:rPr>
                <w:rFonts w:ascii="Arial" w:eastAsia="Arial" w:hAnsi="Arial" w:cs="Arial"/>
                <w:color w:val="000000"/>
                <w:sz w:val="20"/>
              </w:rPr>
              <w:t>Counting Rule 2)</w:t>
            </w:r>
            <w:r>
              <w:br/>
            </w:r>
            <w:r>
              <w:rPr>
                <w:rFonts w:ascii="Arial" w:eastAsia="Arial" w:hAnsi="Arial" w:cs="Arial"/>
                <w:color w:val="000000"/>
                <w:sz w:val="20"/>
              </w:rPr>
              <w:t>Day 1</w:t>
            </w:r>
            <w:r>
              <w:br/>
            </w:r>
            <w:r>
              <w:rPr>
                <w:rFonts w:ascii="Arial" w:eastAsia="Arial" w:hAnsi="Arial" w:cs="Arial"/>
                <w:color w:val="000000"/>
                <w:sz w:val="20"/>
              </w:rPr>
              <w:t>Client A – placed</w:t>
            </w:r>
            <w:r>
              <w:br/>
            </w:r>
            <w:r>
              <w:rPr>
                <w:rFonts w:ascii="Arial" w:eastAsia="Arial" w:hAnsi="Arial" w:cs="Arial"/>
                <w:color w:val="000000"/>
                <w:sz w:val="20"/>
              </w:rPr>
              <w:t>Client B – placed</w:t>
            </w:r>
            <w:r>
              <w:br/>
            </w:r>
            <w:r>
              <w:rPr>
                <w:rFonts w:ascii="Arial" w:eastAsia="Arial" w:hAnsi="Arial" w:cs="Arial"/>
                <w:color w:val="000000"/>
                <w:sz w:val="20"/>
              </w:rPr>
              <w:t>Client C – placed</w:t>
            </w:r>
            <w:r>
              <w:br/>
            </w:r>
            <w:r>
              <w:rPr>
                <w:rFonts w:ascii="Arial" w:eastAsia="Arial" w:hAnsi="Arial" w:cs="Arial"/>
                <w:color w:val="000000"/>
                <w:sz w:val="20"/>
              </w:rPr>
              <w:t>Client D – placed</w:t>
            </w:r>
            <w:r>
              <w:br/>
            </w:r>
            <w:r>
              <w:rPr>
                <w:rFonts w:ascii="Arial" w:eastAsia="Arial" w:hAnsi="Arial" w:cs="Arial"/>
                <w:color w:val="000000"/>
                <w:sz w:val="20"/>
              </w:rPr>
              <w:t>Client E – not placed</w:t>
            </w:r>
            <w:r>
              <w:br/>
            </w:r>
            <w:r>
              <w:rPr>
                <w:rFonts w:ascii="Arial" w:eastAsia="Arial" w:hAnsi="Arial" w:cs="Arial"/>
                <w:color w:val="000000"/>
                <w:sz w:val="20"/>
              </w:rPr>
              <w:t>Total clients placed = 4</w:t>
            </w:r>
            <w:r>
              <w:br/>
            </w:r>
            <w:r>
              <w:rPr>
                <w:rFonts w:ascii="Arial" w:eastAsia="Arial" w:hAnsi="Arial" w:cs="Arial"/>
                <w:color w:val="000000"/>
                <w:sz w:val="20"/>
              </w:rPr>
              <w:t>Take the count of clients from counting rule 1) – 3 clients</w:t>
            </w:r>
            <w:r>
              <w:br/>
            </w:r>
            <w:r>
              <w:rPr>
                <w:rFonts w:ascii="Arial" w:eastAsia="Arial" w:hAnsi="Arial" w:cs="Arial"/>
                <w:color w:val="000000"/>
                <w:sz w:val="20"/>
              </w:rPr>
              <w:t>Divided by</w:t>
            </w:r>
            <w:r>
              <w:br/>
            </w:r>
            <w:r>
              <w:rPr>
                <w:rFonts w:ascii="Arial" w:eastAsia="Arial" w:hAnsi="Arial" w:cs="Arial"/>
                <w:color w:val="000000"/>
                <w:sz w:val="20"/>
              </w:rPr>
              <w:t>Total number of clients from counting rule 2) – 4 clients</w:t>
            </w:r>
            <w:r>
              <w:br/>
            </w:r>
            <w:r>
              <w:rPr>
                <w:rFonts w:ascii="Arial" w:eastAsia="Arial" w:hAnsi="Arial" w:cs="Arial"/>
                <w:color w:val="000000"/>
                <w:sz w:val="20"/>
              </w:rPr>
              <w:t>(3/4) x 100 = 75%</w:t>
            </w:r>
          </w:p>
        </w:tc>
      </w:tr>
      <w:tr w:rsidR="003C49E4" w14:paraId="41E80D3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8B3C35"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A9180D6" w14:textId="77777777" w:rsidR="003C49E4" w:rsidRDefault="008F68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CRISSP</w:t>
            </w:r>
          </w:p>
          <w:p w14:paraId="6B088BCC" w14:textId="77777777" w:rsidR="003C49E4" w:rsidRDefault="008F68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tc>
      </w:tr>
      <w:tr w:rsidR="003C49E4" w14:paraId="3CC6D72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4EE2D8"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36174B3"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Placement refers to the accommodation provided.</w:t>
            </w:r>
            <w:r>
              <w:br/>
            </w:r>
            <w:r>
              <w:rPr>
                <w:rFonts w:ascii="Arial" w:eastAsia="Arial" w:hAnsi="Arial" w:cs="Arial"/>
                <w:color w:val="000000"/>
                <w:sz w:val="20"/>
              </w:rPr>
              <w:t>&gt; six months refers to placements &gt; 182 days</w:t>
            </w:r>
            <w:r>
              <w:br/>
            </w:r>
            <w:r>
              <w:rPr>
                <w:rFonts w:ascii="Arial" w:eastAsia="Arial" w:hAnsi="Arial" w:cs="Arial"/>
                <w:color w:val="000000"/>
                <w:sz w:val="20"/>
              </w:rPr>
              <w:t>Contracted means case management or case management functions, formally agreed by DHHS and the service provider, undertaken by the service provider</w:t>
            </w:r>
          </w:p>
        </w:tc>
      </w:tr>
    </w:tbl>
    <w:p w14:paraId="33391B75" w14:textId="77777777" w:rsidR="003C49E4" w:rsidRDefault="008F681F">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3: Percentage of total exits from placement that are planned</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3C49E4" w14:paraId="4434D0F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DF2FFF"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D4110F7"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required to plan placement transition</w:t>
            </w:r>
          </w:p>
        </w:tc>
      </w:tr>
      <w:tr w:rsidR="003C49E4" w14:paraId="3D1EF90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9404EBF"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319BAC4"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90 per cent</w:t>
            </w:r>
          </w:p>
        </w:tc>
      </w:tr>
      <w:tr w:rsidR="003C49E4" w14:paraId="4BC7913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8452756"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002F040"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3C49E4" w14:paraId="65AFEE1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1A5C72"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859521E"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Number of planned exits during the reporting period divided by total number of exits x 100.</w:t>
            </w:r>
            <w:r>
              <w:br/>
            </w:r>
            <w:r>
              <w:rPr>
                <w:rFonts w:ascii="Arial" w:eastAsia="Arial" w:hAnsi="Arial" w:cs="Arial"/>
                <w:color w:val="000000"/>
                <w:sz w:val="20"/>
              </w:rPr>
              <w:t>For example:</w:t>
            </w:r>
            <w:r>
              <w:br/>
            </w:r>
            <w:r>
              <w:rPr>
                <w:rFonts w:ascii="Arial" w:eastAsia="Arial" w:hAnsi="Arial" w:cs="Arial"/>
                <w:color w:val="000000"/>
                <w:sz w:val="20"/>
              </w:rPr>
              <w:t>Number of planned exits during the quarter = 32</w:t>
            </w:r>
            <w:r>
              <w:br/>
            </w:r>
            <w:r>
              <w:rPr>
                <w:rFonts w:ascii="Arial" w:eastAsia="Arial" w:hAnsi="Arial" w:cs="Arial"/>
                <w:color w:val="000000"/>
                <w:sz w:val="20"/>
              </w:rPr>
              <w:t>Total number of exits during the quarter = 145</w:t>
            </w:r>
            <w:r>
              <w:br/>
            </w:r>
            <w:r>
              <w:rPr>
                <w:rFonts w:ascii="Arial" w:eastAsia="Arial" w:hAnsi="Arial" w:cs="Arial"/>
                <w:color w:val="000000"/>
                <w:sz w:val="20"/>
              </w:rPr>
              <w:t>Percentage of total planned exits (32 / 145) x 100 = 22.0%</w:t>
            </w:r>
          </w:p>
        </w:tc>
      </w:tr>
      <w:tr w:rsidR="003C49E4" w14:paraId="5CF852B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4CB940"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F6B9321" w14:textId="77777777" w:rsidR="003C49E4" w:rsidRDefault="008F68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CRISSP</w:t>
            </w:r>
          </w:p>
        </w:tc>
      </w:tr>
      <w:tr w:rsidR="003C49E4" w14:paraId="4EBBBA0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8B49AC" w14:textId="77777777" w:rsidR="003C49E4" w:rsidRDefault="008F68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960E9F"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Exit refers to when the placement ends and the client leaves the placement.</w:t>
            </w:r>
            <w:r>
              <w:br/>
            </w:r>
            <w:r>
              <w:rPr>
                <w:rFonts w:ascii="Arial" w:eastAsia="Arial" w:hAnsi="Arial" w:cs="Arial"/>
                <w:color w:val="000000"/>
                <w:sz w:val="20"/>
              </w:rPr>
              <w:t>Placement refers to the accommodation provided.</w:t>
            </w:r>
            <w:r>
              <w:br/>
            </w:r>
            <w:r>
              <w:rPr>
                <w:rFonts w:ascii="Arial" w:eastAsia="Arial" w:hAnsi="Arial" w:cs="Arial"/>
                <w:color w:val="000000"/>
                <w:sz w:val="20"/>
              </w:rPr>
              <w:t>Planned (exits) means the case planning process which ensures that exits from placements are planned, notwithstanding the possible unanticipated or premature termination of the placement</w:t>
            </w:r>
          </w:p>
        </w:tc>
      </w:tr>
    </w:tbl>
    <w:p w14:paraId="12DBCD2D" w14:textId="77777777" w:rsidR="003C49E4" w:rsidRDefault="008F681F" w:rsidP="008F3B55">
      <w:pPr>
        <w:pStyle w:val="Heading2"/>
      </w:pPr>
      <w:r>
        <w:t>6. Data collection</w:t>
      </w:r>
    </w:p>
    <w:p w14:paraId="155AE0C9" w14:textId="77777777" w:rsidR="003C49E4" w:rsidRDefault="008F681F">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3C49E4" w14:paraId="2FDD48F5"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A6E43A7" w14:textId="77777777" w:rsidR="003C49E4" w:rsidRDefault="008F681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3264631" w14:textId="77777777" w:rsidR="003C49E4" w:rsidRDefault="008F681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E5FAE8C" w14:textId="77777777" w:rsidR="003C49E4" w:rsidRDefault="008F681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7B82E84" w14:textId="77777777" w:rsidR="003C49E4" w:rsidRDefault="008F681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3C49E4" w14:paraId="71A19BF5"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744B206"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CRISSP</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16E73EA"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561826C"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8D5155F"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3C49E4" w14:paraId="6A9B0259"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FE8FAA6"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Delivery 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7E48CE6"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5FDF7D1"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SAMS/Service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B1909D4" w14:textId="77777777" w:rsidR="003C49E4" w:rsidRDefault="008F681F">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57B60598" w14:textId="77777777" w:rsidR="003C49E4" w:rsidRDefault="003C49E4">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3C49E4" w14:paraId="76295727"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017C52" w14:textId="77777777" w:rsidR="003C49E4" w:rsidRDefault="008F681F">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3D0B4967" w14:textId="77777777" w:rsidR="003C49E4" w:rsidRDefault="008F68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Authorised and published by the Victorian Government, 1 Treasury Place, Melbourne.</w:t>
            </w:r>
          </w:p>
          <w:p w14:paraId="750BD8BE" w14:textId="77777777" w:rsidR="003C49E4" w:rsidRDefault="008F68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November 2020. </w:t>
            </w:r>
          </w:p>
          <w:p w14:paraId="6286F98A" w14:textId="77777777" w:rsidR="003C49E4" w:rsidRDefault="008F68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6F202189" w14:textId="77777777" w:rsidR="003C49E4" w:rsidRDefault="008F68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3EB36F05" w14:textId="77777777" w:rsidR="003C49E4" w:rsidRDefault="008F68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04B6DC2D" w14:textId="77777777" w:rsidR="003C49E4" w:rsidRDefault="00000000">
            <w:pPr>
              <w:keepLines/>
              <w:spacing w:before="100" w:line="288" w:lineRule="auto"/>
              <w:ind w:left="108" w:right="108"/>
              <w:rPr>
                <w:rFonts w:ascii="Arial" w:eastAsia="Arial" w:hAnsi="Arial" w:cs="Arial"/>
                <w:color w:val="000000"/>
                <w:sz w:val="20"/>
              </w:rPr>
            </w:pPr>
            <w:hyperlink r:id="rId15" w:tgtFrame="_blank" w:history="1">
              <w:r w:rsidR="008F681F">
                <w:rPr>
                  <w:rFonts w:ascii="Arial" w:eastAsia="Arial" w:hAnsi="Arial" w:cs="Arial"/>
                  <w:color w:val="3366FF"/>
                  <w:sz w:val="20"/>
                </w:rPr>
                <w:t>&lt;http://providers.dffh.vic.gov.au/families-fairness-housing-health-activity-search</w:t>
              </w:r>
            </w:hyperlink>
            <w:r w:rsidR="008F681F">
              <w:rPr>
                <w:rFonts w:ascii="Arial" w:eastAsia="Arial" w:hAnsi="Arial" w:cs="Arial"/>
                <w:color w:val="000000"/>
                <w:sz w:val="20"/>
              </w:rPr>
              <w:t>&gt;</w:t>
            </w:r>
          </w:p>
        </w:tc>
      </w:tr>
    </w:tbl>
    <w:p w14:paraId="2B0164D6" w14:textId="77777777" w:rsidR="003C49E4" w:rsidRDefault="003C49E4">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3C49E4">
      <w:headerReference w:type="even" r:id="rId16"/>
      <w:headerReference w:type="default" r:id="rId17"/>
      <w:footerReference w:type="even" r:id="rId18"/>
      <w:footerReference w:type="default" r:id="rId19"/>
      <w:headerReference w:type="first" r:id="rId20"/>
      <w:footerReference w:type="first" r:id="rId21"/>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259F" w14:textId="77777777" w:rsidR="00B114F2" w:rsidRDefault="00B114F2">
      <w:r>
        <w:separator/>
      </w:r>
    </w:p>
  </w:endnote>
  <w:endnote w:type="continuationSeparator" w:id="0">
    <w:p w14:paraId="444D09CF" w14:textId="77777777" w:rsidR="00B114F2" w:rsidRDefault="00B1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DE0F" w14:textId="77777777" w:rsidR="008F681F" w:rsidRDefault="008F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4857" w14:textId="77777777" w:rsidR="003C49E4" w:rsidRDefault="008F681F">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E80DE29" wp14:editId="00D79082">
              <wp:simplePos x="0" y="0"/>
              <wp:positionH relativeFrom="page">
                <wp:posOffset>0</wp:posOffset>
              </wp:positionH>
              <wp:positionV relativeFrom="page">
                <wp:posOffset>10177780</wp:posOffset>
              </wp:positionV>
              <wp:extent cx="7556500" cy="311785"/>
              <wp:effectExtent l="0" t="0" r="0" b="12065"/>
              <wp:wrapNone/>
              <wp:docPr id="4" name="MSIPCM51b6486ea8b87bc1b0acaf6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C524" w14:textId="77777777" w:rsidR="008F681F" w:rsidRPr="008F681F" w:rsidRDefault="008F681F" w:rsidP="008F681F">
                          <w:pPr>
                            <w:jc w:val="center"/>
                            <w:rPr>
                              <w:rFonts w:ascii="Arial Black" w:hAnsi="Arial Black"/>
                              <w:color w:val="000000"/>
                              <w:sz w:val="20"/>
                            </w:rPr>
                          </w:pPr>
                          <w:r w:rsidRPr="008F68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80DE29" id="_x0000_t202" coordsize="21600,21600" o:spt="202" path="m,l,21600r21600,l21600,xe">
              <v:stroke joinstyle="miter"/>
              <v:path gradientshapeok="t" o:connecttype="rect"/>
            </v:shapetype>
            <v:shape id="MSIPCM51b6486ea8b87bc1b0acaf61"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2EA1C524" w14:textId="77777777" w:rsidR="008F681F" w:rsidRPr="008F681F" w:rsidRDefault="008F681F" w:rsidP="008F681F">
                    <w:pPr>
                      <w:jc w:val="center"/>
                      <w:rPr>
                        <w:rFonts w:ascii="Arial Black" w:hAnsi="Arial Black"/>
                        <w:color w:val="000000"/>
                        <w:sz w:val="20"/>
                      </w:rPr>
                    </w:pPr>
                    <w:r w:rsidRPr="008F681F">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3C49E4" w14:paraId="369694BA" w14:textId="77777777">
      <w:tc>
        <w:tcPr>
          <w:tcW w:w="3473" w:type="dxa"/>
          <w:shd w:val="clear" w:color="auto" w:fill="FFFFFF"/>
        </w:tcPr>
        <w:p w14:paraId="15BE05C1" w14:textId="77777777" w:rsidR="003C49E4" w:rsidRDefault="003C49E4">
          <w:pPr>
            <w:ind w:left="108" w:right="108"/>
          </w:pPr>
        </w:p>
      </w:tc>
      <w:tc>
        <w:tcPr>
          <w:tcW w:w="3473" w:type="dxa"/>
          <w:shd w:val="clear" w:color="auto" w:fill="FFFFFF"/>
          <w:vAlign w:val="bottom"/>
        </w:tcPr>
        <w:p w14:paraId="35EF6FEA" w14:textId="77777777" w:rsidR="003C49E4" w:rsidRDefault="008F681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3DA543B1" w14:textId="77777777" w:rsidR="003C49E4" w:rsidRDefault="008F681F">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0822B56C" w14:textId="77777777" w:rsidR="003C49E4" w:rsidRDefault="008F681F">
          <w:pPr>
            <w:tabs>
              <w:tab w:val="right" w:pos="10314"/>
            </w:tabs>
            <w:spacing w:before="240"/>
            <w:ind w:left="108"/>
            <w:jc w:val="center"/>
          </w:pPr>
          <w:r>
            <w:rPr>
              <w:noProof/>
            </w:rPr>
            <w:drawing>
              <wp:inline distT="0" distB="0" distL="0" distR="0" wp14:anchorId="68CF74E2" wp14:editId="79C40201">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49D468A7" w14:textId="77777777" w:rsidR="003C49E4" w:rsidRDefault="003C49E4">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3C49E4" w14:paraId="4DA2BE9B" w14:textId="77777777">
      <w:tc>
        <w:tcPr>
          <w:tcW w:w="3473" w:type="dxa"/>
          <w:shd w:val="clear" w:color="auto" w:fill="FFFFFF"/>
        </w:tcPr>
        <w:p w14:paraId="72DAE748" w14:textId="77777777" w:rsidR="003C49E4" w:rsidRDefault="008F681F">
          <w:pPr>
            <w:ind w:left="108" w:right="108"/>
          </w:pPr>
          <w:r>
            <w:rPr>
              <w:noProof/>
            </w:rPr>
            <mc:AlternateContent>
              <mc:Choice Requires="wps">
                <w:drawing>
                  <wp:anchor distT="0" distB="0" distL="114300" distR="114300" simplePos="0" relativeHeight="251660288" behindDoc="0" locked="0" layoutInCell="0" allowOverlap="1" wp14:anchorId="6F8DC7FD" wp14:editId="2D3E16D8">
                    <wp:simplePos x="0" y="0"/>
                    <wp:positionH relativeFrom="page">
                      <wp:posOffset>0</wp:posOffset>
                    </wp:positionH>
                    <wp:positionV relativeFrom="page">
                      <wp:posOffset>10177780</wp:posOffset>
                    </wp:positionV>
                    <wp:extent cx="7556500" cy="311785"/>
                    <wp:effectExtent l="0" t="0" r="0" b="12065"/>
                    <wp:wrapNone/>
                    <wp:docPr id="5" name="MSIPCMf4834ade918511ae26b97bd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C8DE4" w14:textId="77777777" w:rsidR="008F681F" w:rsidRPr="008F681F" w:rsidRDefault="008F681F" w:rsidP="008F681F">
                                <w:pPr>
                                  <w:jc w:val="center"/>
                                  <w:rPr>
                                    <w:rFonts w:ascii="Arial Black" w:hAnsi="Arial Black"/>
                                    <w:color w:val="000000"/>
                                    <w:sz w:val="20"/>
                                  </w:rPr>
                                </w:pPr>
                                <w:r w:rsidRPr="008F68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8DC7FD" id="_x0000_t202" coordsize="21600,21600" o:spt="202" path="m,l,21600r21600,l21600,xe">
                    <v:stroke joinstyle="miter"/>
                    <v:path gradientshapeok="t" o:connecttype="rect"/>
                  </v:shapetype>
                  <v:shape id="MSIPCMf4834ade918511ae26b97bdd"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2AEC8DE4" w14:textId="77777777" w:rsidR="008F681F" w:rsidRPr="008F681F" w:rsidRDefault="008F681F" w:rsidP="008F681F">
                          <w:pPr>
                            <w:jc w:val="center"/>
                            <w:rPr>
                              <w:rFonts w:ascii="Arial Black" w:hAnsi="Arial Black"/>
                              <w:color w:val="000000"/>
                              <w:sz w:val="20"/>
                            </w:rPr>
                          </w:pPr>
                          <w:r w:rsidRPr="008F681F">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52E7A600" w14:textId="77777777" w:rsidR="003C49E4" w:rsidRDefault="008F681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1BD82226" w14:textId="77777777" w:rsidR="003C49E4" w:rsidRDefault="008F681F">
          <w:pPr>
            <w:tabs>
              <w:tab w:val="right" w:pos="10314"/>
            </w:tabs>
            <w:spacing w:before="240"/>
            <w:ind w:left="108"/>
            <w:jc w:val="center"/>
          </w:pPr>
          <w:r>
            <w:rPr>
              <w:noProof/>
            </w:rPr>
            <w:drawing>
              <wp:inline distT="0" distB="0" distL="0" distR="0" wp14:anchorId="41FF1F88" wp14:editId="73696DAF">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77771FFD" w14:textId="77777777" w:rsidR="003C49E4" w:rsidRDefault="008F681F">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993B" w14:textId="77777777" w:rsidR="00B114F2" w:rsidRDefault="00B114F2">
      <w:r>
        <w:separator/>
      </w:r>
    </w:p>
  </w:footnote>
  <w:footnote w:type="continuationSeparator" w:id="0">
    <w:p w14:paraId="677BA954" w14:textId="77777777" w:rsidR="00B114F2" w:rsidRDefault="00B1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D68A" w14:textId="77777777" w:rsidR="008F681F" w:rsidRDefault="008F6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724C" w14:textId="77777777" w:rsidR="003C49E4" w:rsidRDefault="008F681F">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Child Protection and Family Services 31413 Home Based Care - Therapeutic Foster Care</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2B2BA2BB" w14:textId="77777777" w:rsidR="003C49E4" w:rsidRDefault="003C49E4">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F599" w14:textId="77777777" w:rsidR="003C49E4" w:rsidRDefault="003C49E4">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D9D"/>
    <w:multiLevelType w:val="hybridMultilevel"/>
    <w:tmpl w:val="A3FC900A"/>
    <w:lvl w:ilvl="0" w:tplc="724C2B70">
      <w:start w:val="1"/>
      <w:numFmt w:val="decimal"/>
      <w:lvlText w:val="%1."/>
      <w:lvlJc w:val="left"/>
      <w:pPr>
        <w:ind w:left="828" w:hanging="360"/>
      </w:pPr>
      <w:rPr>
        <w:rFonts w:ascii="Calibri" w:eastAsia="Calibri" w:hAnsi="Calibri" w:cs="Calibri" w:hint="default"/>
        <w:color w:val="000000"/>
        <w:sz w:val="24"/>
      </w:rPr>
    </w:lvl>
    <w:lvl w:ilvl="1" w:tplc="D0AAA238">
      <w:start w:val="1"/>
      <w:numFmt w:val="lowerLetter"/>
      <w:lvlText w:val="%2."/>
      <w:lvlJc w:val="left"/>
      <w:pPr>
        <w:ind w:left="1548" w:hanging="360"/>
      </w:pPr>
      <w:rPr>
        <w:rFonts w:ascii="Calibri" w:eastAsia="Calibri" w:hAnsi="Calibri" w:cs="Calibri" w:hint="default"/>
        <w:color w:val="000000"/>
        <w:sz w:val="24"/>
      </w:rPr>
    </w:lvl>
    <w:lvl w:ilvl="2" w:tplc="B52A98BA">
      <w:start w:val="1"/>
      <w:numFmt w:val="lowerRoman"/>
      <w:lvlText w:val="%3."/>
      <w:lvlJc w:val="right"/>
      <w:pPr>
        <w:ind w:left="2268" w:hanging="180"/>
      </w:pPr>
      <w:rPr>
        <w:rFonts w:ascii="Calibri" w:eastAsia="Calibri" w:hAnsi="Calibri" w:cs="Calibri" w:hint="default"/>
        <w:color w:val="000000"/>
        <w:sz w:val="24"/>
      </w:rPr>
    </w:lvl>
    <w:lvl w:ilvl="3" w:tplc="B90C9CA8">
      <w:start w:val="1"/>
      <w:numFmt w:val="decimal"/>
      <w:lvlText w:val="%4."/>
      <w:lvlJc w:val="left"/>
      <w:pPr>
        <w:ind w:left="2988" w:hanging="360"/>
      </w:pPr>
      <w:rPr>
        <w:rFonts w:ascii="Calibri" w:eastAsia="Calibri" w:hAnsi="Calibri" w:cs="Calibri" w:hint="default"/>
        <w:color w:val="000000"/>
        <w:sz w:val="24"/>
      </w:rPr>
    </w:lvl>
    <w:lvl w:ilvl="4" w:tplc="52C6FA92">
      <w:start w:val="1"/>
      <w:numFmt w:val="lowerLetter"/>
      <w:lvlText w:val="%5."/>
      <w:lvlJc w:val="left"/>
      <w:pPr>
        <w:ind w:left="3708" w:hanging="360"/>
      </w:pPr>
      <w:rPr>
        <w:rFonts w:ascii="Calibri" w:eastAsia="Calibri" w:hAnsi="Calibri" w:cs="Calibri" w:hint="default"/>
        <w:color w:val="000000"/>
        <w:sz w:val="24"/>
      </w:rPr>
    </w:lvl>
    <w:lvl w:ilvl="5" w:tplc="6052ACAC">
      <w:start w:val="1"/>
      <w:numFmt w:val="lowerRoman"/>
      <w:lvlText w:val="%6."/>
      <w:lvlJc w:val="right"/>
      <w:pPr>
        <w:ind w:left="4428" w:hanging="180"/>
      </w:pPr>
      <w:rPr>
        <w:rFonts w:ascii="Calibri" w:eastAsia="Calibri" w:hAnsi="Calibri" w:cs="Calibri" w:hint="default"/>
        <w:color w:val="000000"/>
        <w:sz w:val="24"/>
      </w:rPr>
    </w:lvl>
    <w:lvl w:ilvl="6" w:tplc="C1AA10E6">
      <w:start w:val="1"/>
      <w:numFmt w:val="decimal"/>
      <w:lvlText w:val="%7."/>
      <w:lvlJc w:val="left"/>
      <w:pPr>
        <w:ind w:left="5148" w:hanging="360"/>
      </w:pPr>
      <w:rPr>
        <w:rFonts w:ascii="Calibri" w:eastAsia="Calibri" w:hAnsi="Calibri" w:cs="Calibri" w:hint="default"/>
        <w:color w:val="000000"/>
        <w:sz w:val="24"/>
      </w:rPr>
    </w:lvl>
    <w:lvl w:ilvl="7" w:tplc="B6F69B5E">
      <w:start w:val="1"/>
      <w:numFmt w:val="lowerLetter"/>
      <w:lvlText w:val="%8."/>
      <w:lvlJc w:val="left"/>
      <w:pPr>
        <w:ind w:left="5868" w:hanging="360"/>
      </w:pPr>
      <w:rPr>
        <w:rFonts w:ascii="Calibri" w:eastAsia="Calibri" w:hAnsi="Calibri" w:cs="Calibri" w:hint="default"/>
        <w:color w:val="000000"/>
        <w:sz w:val="24"/>
      </w:rPr>
    </w:lvl>
    <w:lvl w:ilvl="8" w:tplc="08F29DC0">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12922BB9"/>
    <w:multiLevelType w:val="hybridMultilevel"/>
    <w:tmpl w:val="4B462120"/>
    <w:lvl w:ilvl="0" w:tplc="273CB478">
      <w:start w:val="1"/>
      <w:numFmt w:val="bullet"/>
      <w:lvlText w:val=""/>
      <w:lvlJc w:val="left"/>
      <w:pPr>
        <w:ind w:left="392" w:hanging="284"/>
      </w:pPr>
      <w:rPr>
        <w:rFonts w:ascii="Symbol" w:eastAsia="Symbol" w:hAnsi="Symbol" w:cs="Symbol" w:hint="default"/>
        <w:color w:val="000000"/>
        <w:sz w:val="24"/>
      </w:rPr>
    </w:lvl>
    <w:lvl w:ilvl="1" w:tplc="F7AAE43C">
      <w:start w:val="1"/>
      <w:numFmt w:val="bullet"/>
      <w:lvlText w:val=""/>
      <w:lvlJc w:val="left"/>
      <w:pPr>
        <w:ind w:left="392" w:hanging="284"/>
      </w:pPr>
      <w:rPr>
        <w:rFonts w:ascii="Symbol" w:eastAsia="Symbol" w:hAnsi="Symbol" w:cs="Symbol" w:hint="default"/>
        <w:color w:val="000000"/>
        <w:sz w:val="24"/>
      </w:rPr>
    </w:lvl>
    <w:lvl w:ilvl="2" w:tplc="7CFAEC06">
      <w:start w:val="1"/>
      <w:numFmt w:val="bullet"/>
      <w:lvlText w:val="–"/>
      <w:lvlJc w:val="left"/>
      <w:pPr>
        <w:ind w:left="675" w:hanging="283"/>
      </w:pPr>
      <w:rPr>
        <w:rFonts w:ascii="Calibri" w:eastAsia="Calibri" w:hAnsi="Calibri" w:cs="Calibri" w:hint="default"/>
        <w:color w:val="000000"/>
        <w:sz w:val="24"/>
      </w:rPr>
    </w:lvl>
    <w:lvl w:ilvl="3" w:tplc="20FCE5BE">
      <w:start w:val="1"/>
      <w:numFmt w:val="bullet"/>
      <w:lvlText w:val="–"/>
      <w:lvlJc w:val="left"/>
      <w:pPr>
        <w:ind w:left="675" w:hanging="283"/>
      </w:pPr>
      <w:rPr>
        <w:rFonts w:ascii="Calibri" w:eastAsia="Calibri" w:hAnsi="Calibri" w:cs="Calibri" w:hint="default"/>
        <w:color w:val="000000"/>
        <w:sz w:val="24"/>
      </w:rPr>
    </w:lvl>
    <w:lvl w:ilvl="4" w:tplc="39642D44">
      <w:start w:val="1"/>
      <w:numFmt w:val="bullet"/>
      <w:lvlText w:val=""/>
      <w:lvlJc w:val="left"/>
      <w:pPr>
        <w:ind w:left="788" w:hanging="283"/>
      </w:pPr>
      <w:rPr>
        <w:rFonts w:ascii="Symbol" w:eastAsia="Symbol" w:hAnsi="Symbol" w:cs="Symbol" w:hint="default"/>
        <w:color w:val="000000"/>
        <w:sz w:val="24"/>
      </w:rPr>
    </w:lvl>
    <w:lvl w:ilvl="5" w:tplc="084C997C">
      <w:start w:val="1"/>
      <w:numFmt w:val="bullet"/>
      <w:lvlText w:val=""/>
      <w:lvlJc w:val="left"/>
      <w:pPr>
        <w:ind w:left="788" w:hanging="283"/>
      </w:pPr>
      <w:rPr>
        <w:rFonts w:ascii="Symbol" w:eastAsia="Symbol" w:hAnsi="Symbol" w:cs="Symbol" w:hint="default"/>
        <w:color w:val="000000"/>
        <w:sz w:val="24"/>
      </w:rPr>
    </w:lvl>
    <w:lvl w:ilvl="6" w:tplc="BBA073B4">
      <w:start w:val="1"/>
      <w:numFmt w:val="bullet"/>
      <w:lvlText w:val=""/>
      <w:lvlJc w:val="left"/>
      <w:pPr>
        <w:ind w:left="335" w:hanging="227"/>
      </w:pPr>
      <w:rPr>
        <w:rFonts w:ascii="Symbol" w:eastAsia="Symbol" w:hAnsi="Symbol" w:cs="Symbol" w:hint="default"/>
        <w:color w:val="000000"/>
        <w:sz w:val="24"/>
      </w:rPr>
    </w:lvl>
    <w:lvl w:ilvl="7" w:tplc="6288577C">
      <w:start w:val="1"/>
      <w:numFmt w:val="none"/>
      <w:lvlText w:val=""/>
      <w:lvlJc w:val="left"/>
      <w:pPr>
        <w:ind w:left="108" w:firstLine="0"/>
      </w:pPr>
      <w:rPr>
        <w:rFonts w:ascii="Calibri" w:eastAsia="Calibri" w:hAnsi="Calibri" w:cs="Calibri" w:hint="default"/>
        <w:color w:val="000000"/>
        <w:sz w:val="24"/>
      </w:rPr>
    </w:lvl>
    <w:lvl w:ilvl="8" w:tplc="BA18A6B8">
      <w:start w:val="1"/>
      <w:numFmt w:val="none"/>
      <w:lvlText w:val=""/>
      <w:lvlJc w:val="left"/>
      <w:pPr>
        <w:ind w:left="108" w:firstLine="0"/>
      </w:pPr>
      <w:rPr>
        <w:rFonts w:ascii="Calibri" w:eastAsia="Calibri" w:hAnsi="Calibri" w:cs="Calibri" w:hint="default"/>
        <w:color w:val="000000"/>
        <w:sz w:val="24"/>
      </w:rPr>
    </w:lvl>
  </w:abstractNum>
  <w:abstractNum w:abstractNumId="2" w15:restartNumberingAfterBreak="0">
    <w:nsid w:val="1ACA74CD"/>
    <w:multiLevelType w:val="hybridMultilevel"/>
    <w:tmpl w:val="400A2E0C"/>
    <w:lvl w:ilvl="0" w:tplc="F7F291E0">
      <w:start w:val="1"/>
      <w:numFmt w:val="decimal"/>
      <w:lvlText w:val="%1."/>
      <w:lvlJc w:val="left"/>
      <w:pPr>
        <w:ind w:left="828" w:hanging="360"/>
      </w:pPr>
      <w:rPr>
        <w:rFonts w:ascii="Calibri" w:eastAsia="Calibri" w:hAnsi="Calibri" w:cs="Calibri" w:hint="default"/>
        <w:color w:val="000000"/>
        <w:sz w:val="24"/>
      </w:rPr>
    </w:lvl>
    <w:lvl w:ilvl="1" w:tplc="AB0437E2">
      <w:start w:val="1"/>
      <w:numFmt w:val="lowerLetter"/>
      <w:lvlText w:val="%2."/>
      <w:lvlJc w:val="left"/>
      <w:pPr>
        <w:ind w:left="1548" w:hanging="360"/>
      </w:pPr>
      <w:rPr>
        <w:rFonts w:ascii="Calibri" w:eastAsia="Calibri" w:hAnsi="Calibri" w:cs="Calibri" w:hint="default"/>
        <w:color w:val="000000"/>
        <w:sz w:val="24"/>
      </w:rPr>
    </w:lvl>
    <w:lvl w:ilvl="2" w:tplc="5EFC4616">
      <w:start w:val="1"/>
      <w:numFmt w:val="lowerRoman"/>
      <w:lvlText w:val="%3."/>
      <w:lvlJc w:val="right"/>
      <w:pPr>
        <w:ind w:left="2268" w:hanging="180"/>
      </w:pPr>
      <w:rPr>
        <w:rFonts w:ascii="Calibri" w:eastAsia="Calibri" w:hAnsi="Calibri" w:cs="Calibri" w:hint="default"/>
        <w:color w:val="000000"/>
        <w:sz w:val="24"/>
      </w:rPr>
    </w:lvl>
    <w:lvl w:ilvl="3" w:tplc="33E8BFEE">
      <w:start w:val="1"/>
      <w:numFmt w:val="decimal"/>
      <w:lvlText w:val="%4."/>
      <w:lvlJc w:val="left"/>
      <w:pPr>
        <w:ind w:left="2988" w:hanging="360"/>
      </w:pPr>
      <w:rPr>
        <w:rFonts w:ascii="Calibri" w:eastAsia="Calibri" w:hAnsi="Calibri" w:cs="Calibri" w:hint="default"/>
        <w:color w:val="000000"/>
        <w:sz w:val="24"/>
      </w:rPr>
    </w:lvl>
    <w:lvl w:ilvl="4" w:tplc="A88CA42C">
      <w:start w:val="1"/>
      <w:numFmt w:val="lowerLetter"/>
      <w:lvlText w:val="%5."/>
      <w:lvlJc w:val="left"/>
      <w:pPr>
        <w:ind w:left="3708" w:hanging="360"/>
      </w:pPr>
      <w:rPr>
        <w:rFonts w:ascii="Calibri" w:eastAsia="Calibri" w:hAnsi="Calibri" w:cs="Calibri" w:hint="default"/>
        <w:color w:val="000000"/>
        <w:sz w:val="24"/>
      </w:rPr>
    </w:lvl>
    <w:lvl w:ilvl="5" w:tplc="D40C6D4C">
      <w:start w:val="1"/>
      <w:numFmt w:val="lowerRoman"/>
      <w:lvlText w:val="%6."/>
      <w:lvlJc w:val="right"/>
      <w:pPr>
        <w:ind w:left="4428" w:hanging="180"/>
      </w:pPr>
      <w:rPr>
        <w:rFonts w:ascii="Calibri" w:eastAsia="Calibri" w:hAnsi="Calibri" w:cs="Calibri" w:hint="default"/>
        <w:color w:val="000000"/>
        <w:sz w:val="24"/>
      </w:rPr>
    </w:lvl>
    <w:lvl w:ilvl="6" w:tplc="55AE4AE8">
      <w:start w:val="1"/>
      <w:numFmt w:val="decimal"/>
      <w:lvlText w:val="%7."/>
      <w:lvlJc w:val="left"/>
      <w:pPr>
        <w:ind w:left="5148" w:hanging="360"/>
      </w:pPr>
      <w:rPr>
        <w:rFonts w:ascii="Calibri" w:eastAsia="Calibri" w:hAnsi="Calibri" w:cs="Calibri" w:hint="default"/>
        <w:color w:val="000000"/>
        <w:sz w:val="24"/>
      </w:rPr>
    </w:lvl>
    <w:lvl w:ilvl="7" w:tplc="F5464090">
      <w:start w:val="1"/>
      <w:numFmt w:val="lowerLetter"/>
      <w:lvlText w:val="%8."/>
      <w:lvlJc w:val="left"/>
      <w:pPr>
        <w:ind w:left="5868" w:hanging="360"/>
      </w:pPr>
      <w:rPr>
        <w:rFonts w:ascii="Calibri" w:eastAsia="Calibri" w:hAnsi="Calibri" w:cs="Calibri" w:hint="default"/>
        <w:color w:val="000000"/>
        <w:sz w:val="24"/>
      </w:rPr>
    </w:lvl>
    <w:lvl w:ilvl="8" w:tplc="65D40784">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2D9C7C89"/>
    <w:multiLevelType w:val="hybridMultilevel"/>
    <w:tmpl w:val="DE2CDDBA"/>
    <w:lvl w:ilvl="0" w:tplc="E7C2898C">
      <w:start w:val="1"/>
      <w:numFmt w:val="decimal"/>
      <w:lvlText w:val="%1."/>
      <w:lvlJc w:val="left"/>
      <w:pPr>
        <w:ind w:left="468" w:hanging="360"/>
      </w:pPr>
      <w:rPr>
        <w:rFonts w:ascii="Calibri" w:eastAsia="Calibri" w:hAnsi="Calibri" w:cs="Calibri" w:hint="default"/>
        <w:color w:val="000000"/>
        <w:sz w:val="24"/>
      </w:rPr>
    </w:lvl>
    <w:lvl w:ilvl="1" w:tplc="2704069C">
      <w:start w:val="1"/>
      <w:numFmt w:val="lowerLetter"/>
      <w:lvlText w:val="%2."/>
      <w:lvlJc w:val="left"/>
      <w:pPr>
        <w:ind w:left="1188" w:hanging="360"/>
      </w:pPr>
      <w:rPr>
        <w:rFonts w:ascii="Calibri" w:eastAsia="Calibri" w:hAnsi="Calibri" w:cs="Calibri" w:hint="default"/>
        <w:color w:val="000000"/>
        <w:sz w:val="24"/>
      </w:rPr>
    </w:lvl>
    <w:lvl w:ilvl="2" w:tplc="0374DE92">
      <w:start w:val="1"/>
      <w:numFmt w:val="lowerRoman"/>
      <w:lvlText w:val="%3."/>
      <w:lvlJc w:val="right"/>
      <w:pPr>
        <w:ind w:left="1908" w:hanging="180"/>
      </w:pPr>
      <w:rPr>
        <w:rFonts w:ascii="Calibri" w:eastAsia="Calibri" w:hAnsi="Calibri" w:cs="Calibri" w:hint="default"/>
        <w:color w:val="000000"/>
        <w:sz w:val="24"/>
      </w:rPr>
    </w:lvl>
    <w:lvl w:ilvl="3" w:tplc="3AC64DEE">
      <w:start w:val="1"/>
      <w:numFmt w:val="decimal"/>
      <w:lvlText w:val="%4."/>
      <w:lvlJc w:val="left"/>
      <w:pPr>
        <w:ind w:left="2628" w:hanging="360"/>
      </w:pPr>
      <w:rPr>
        <w:rFonts w:ascii="Calibri" w:eastAsia="Calibri" w:hAnsi="Calibri" w:cs="Calibri" w:hint="default"/>
        <w:color w:val="000000"/>
        <w:sz w:val="24"/>
      </w:rPr>
    </w:lvl>
    <w:lvl w:ilvl="4" w:tplc="175EEFB2">
      <w:start w:val="1"/>
      <w:numFmt w:val="lowerLetter"/>
      <w:lvlText w:val="%5."/>
      <w:lvlJc w:val="left"/>
      <w:pPr>
        <w:ind w:left="3348" w:hanging="360"/>
      </w:pPr>
      <w:rPr>
        <w:rFonts w:ascii="Calibri" w:eastAsia="Calibri" w:hAnsi="Calibri" w:cs="Calibri" w:hint="default"/>
        <w:color w:val="000000"/>
        <w:sz w:val="24"/>
      </w:rPr>
    </w:lvl>
    <w:lvl w:ilvl="5" w:tplc="03308F28">
      <w:start w:val="1"/>
      <w:numFmt w:val="lowerRoman"/>
      <w:lvlText w:val="%6."/>
      <w:lvlJc w:val="right"/>
      <w:pPr>
        <w:ind w:left="4068" w:hanging="180"/>
      </w:pPr>
      <w:rPr>
        <w:rFonts w:ascii="Calibri" w:eastAsia="Calibri" w:hAnsi="Calibri" w:cs="Calibri" w:hint="default"/>
        <w:color w:val="000000"/>
        <w:sz w:val="24"/>
      </w:rPr>
    </w:lvl>
    <w:lvl w:ilvl="6" w:tplc="613E13EA">
      <w:start w:val="1"/>
      <w:numFmt w:val="decimal"/>
      <w:lvlText w:val="%7."/>
      <w:lvlJc w:val="left"/>
      <w:pPr>
        <w:ind w:left="4788" w:hanging="360"/>
      </w:pPr>
      <w:rPr>
        <w:rFonts w:ascii="Calibri" w:eastAsia="Calibri" w:hAnsi="Calibri" w:cs="Calibri" w:hint="default"/>
        <w:color w:val="000000"/>
        <w:sz w:val="24"/>
      </w:rPr>
    </w:lvl>
    <w:lvl w:ilvl="7" w:tplc="6F78DCDA">
      <w:start w:val="1"/>
      <w:numFmt w:val="lowerLetter"/>
      <w:lvlText w:val="%8."/>
      <w:lvlJc w:val="left"/>
      <w:pPr>
        <w:ind w:left="5508" w:hanging="360"/>
      </w:pPr>
      <w:rPr>
        <w:rFonts w:ascii="Calibri" w:eastAsia="Calibri" w:hAnsi="Calibri" w:cs="Calibri" w:hint="default"/>
        <w:color w:val="000000"/>
        <w:sz w:val="24"/>
      </w:rPr>
    </w:lvl>
    <w:lvl w:ilvl="8" w:tplc="4FEED9FC">
      <w:start w:val="1"/>
      <w:numFmt w:val="lowerRoman"/>
      <w:lvlText w:val="%9."/>
      <w:lvlJc w:val="right"/>
      <w:pPr>
        <w:ind w:left="6228" w:hanging="180"/>
      </w:pPr>
      <w:rPr>
        <w:rFonts w:ascii="Calibri" w:eastAsia="Calibri" w:hAnsi="Calibri" w:cs="Calibri" w:hint="default"/>
        <w:color w:val="000000"/>
        <w:sz w:val="24"/>
      </w:rPr>
    </w:lvl>
  </w:abstractNum>
  <w:abstractNum w:abstractNumId="4" w15:restartNumberingAfterBreak="0">
    <w:nsid w:val="36AD38EB"/>
    <w:multiLevelType w:val="hybridMultilevel"/>
    <w:tmpl w:val="1194DF12"/>
    <w:lvl w:ilvl="0" w:tplc="6414EB10">
      <w:start w:val="1"/>
      <w:numFmt w:val="bullet"/>
      <w:lvlText w:val="•"/>
      <w:lvlJc w:val="left"/>
      <w:pPr>
        <w:ind w:left="392" w:hanging="284"/>
      </w:pPr>
      <w:rPr>
        <w:rFonts w:ascii="Calibri" w:eastAsia="Calibri" w:hAnsi="Calibri" w:cs="Calibri" w:hint="default"/>
        <w:color w:val="000000"/>
        <w:sz w:val="20"/>
      </w:rPr>
    </w:lvl>
    <w:lvl w:ilvl="1" w:tplc="6470AC5C">
      <w:start w:val="1"/>
      <w:numFmt w:val="bullet"/>
      <w:lvlText w:val="•"/>
      <w:lvlJc w:val="left"/>
      <w:pPr>
        <w:ind w:left="392" w:hanging="284"/>
      </w:pPr>
      <w:rPr>
        <w:rFonts w:ascii="Calibri" w:eastAsia="Calibri" w:hAnsi="Calibri" w:cs="Calibri" w:hint="default"/>
        <w:color w:val="000000"/>
        <w:sz w:val="24"/>
      </w:rPr>
    </w:lvl>
    <w:lvl w:ilvl="2" w:tplc="B1963F98">
      <w:start w:val="1"/>
      <w:numFmt w:val="bullet"/>
      <w:lvlText w:val="–"/>
      <w:lvlJc w:val="left"/>
      <w:pPr>
        <w:ind w:left="675" w:hanging="283"/>
      </w:pPr>
      <w:rPr>
        <w:rFonts w:ascii="Arial" w:eastAsia="Arial" w:hAnsi="Arial" w:cs="Arial" w:hint="default"/>
        <w:color w:val="000000"/>
        <w:sz w:val="24"/>
      </w:rPr>
    </w:lvl>
    <w:lvl w:ilvl="3" w:tplc="22B855A2">
      <w:start w:val="1"/>
      <w:numFmt w:val="bullet"/>
      <w:lvlText w:val="–"/>
      <w:lvlJc w:val="left"/>
      <w:pPr>
        <w:ind w:left="675" w:hanging="283"/>
      </w:pPr>
      <w:rPr>
        <w:rFonts w:ascii="Arial" w:eastAsia="Arial" w:hAnsi="Arial" w:cs="Arial" w:hint="default"/>
        <w:color w:val="000000"/>
        <w:sz w:val="24"/>
      </w:rPr>
    </w:lvl>
    <w:lvl w:ilvl="4" w:tplc="8D02F8F0">
      <w:start w:val="1"/>
      <w:numFmt w:val="bullet"/>
      <w:lvlText w:val="•"/>
      <w:lvlJc w:val="left"/>
      <w:pPr>
        <w:ind w:left="788" w:hanging="283"/>
      </w:pPr>
      <w:rPr>
        <w:rFonts w:ascii="Calibri" w:eastAsia="Calibri" w:hAnsi="Calibri" w:cs="Calibri" w:hint="default"/>
        <w:color w:val="000000"/>
        <w:sz w:val="24"/>
      </w:rPr>
    </w:lvl>
    <w:lvl w:ilvl="5" w:tplc="C7300F02">
      <w:start w:val="1"/>
      <w:numFmt w:val="bullet"/>
      <w:lvlText w:val="•"/>
      <w:lvlJc w:val="left"/>
      <w:pPr>
        <w:ind w:left="788" w:hanging="283"/>
      </w:pPr>
      <w:rPr>
        <w:rFonts w:ascii="Calibri" w:eastAsia="Calibri" w:hAnsi="Calibri" w:cs="Calibri" w:hint="default"/>
        <w:color w:val="000000"/>
        <w:sz w:val="24"/>
      </w:rPr>
    </w:lvl>
    <w:lvl w:ilvl="6" w:tplc="0B96C238">
      <w:start w:val="1"/>
      <w:numFmt w:val="bullet"/>
      <w:lvlText w:val="•"/>
      <w:lvlJc w:val="left"/>
      <w:pPr>
        <w:ind w:left="335" w:hanging="227"/>
      </w:pPr>
      <w:rPr>
        <w:rFonts w:ascii="Calibri" w:eastAsia="Calibri" w:hAnsi="Calibri" w:cs="Calibri" w:hint="default"/>
        <w:color w:val="000000"/>
        <w:sz w:val="24"/>
      </w:rPr>
    </w:lvl>
    <w:lvl w:ilvl="7" w:tplc="5B2ADD00">
      <w:start w:val="1"/>
      <w:numFmt w:val="none"/>
      <w:lvlText w:val=""/>
      <w:lvlJc w:val="left"/>
      <w:pPr>
        <w:ind w:left="108" w:firstLine="0"/>
      </w:pPr>
      <w:rPr>
        <w:rFonts w:ascii="Calibri" w:eastAsia="Calibri" w:hAnsi="Calibri" w:cs="Calibri" w:hint="default"/>
        <w:color w:val="000000"/>
        <w:sz w:val="24"/>
      </w:rPr>
    </w:lvl>
    <w:lvl w:ilvl="8" w:tplc="F6524A96">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4FB92E04"/>
    <w:multiLevelType w:val="hybridMultilevel"/>
    <w:tmpl w:val="3B5CBA12"/>
    <w:lvl w:ilvl="0" w:tplc="DC58DB66">
      <w:start w:val="1"/>
      <w:numFmt w:val="decimal"/>
      <w:lvlText w:val="%1."/>
      <w:lvlJc w:val="left"/>
      <w:pPr>
        <w:ind w:left="505" w:hanging="397"/>
      </w:pPr>
      <w:rPr>
        <w:rFonts w:ascii="Calibri" w:eastAsia="Calibri" w:hAnsi="Calibri" w:cs="Calibri" w:hint="default"/>
        <w:color w:val="000000"/>
        <w:sz w:val="24"/>
      </w:rPr>
    </w:lvl>
    <w:lvl w:ilvl="1" w:tplc="88FC9F5A">
      <w:start w:val="1"/>
      <w:numFmt w:val="decimal"/>
      <w:lvlText w:val="%2."/>
      <w:lvlJc w:val="left"/>
      <w:pPr>
        <w:ind w:left="902" w:hanging="397"/>
      </w:pPr>
      <w:rPr>
        <w:rFonts w:ascii="Calibri" w:eastAsia="Calibri" w:hAnsi="Calibri" w:cs="Calibri" w:hint="default"/>
        <w:color w:val="000000"/>
        <w:sz w:val="24"/>
      </w:rPr>
    </w:lvl>
    <w:lvl w:ilvl="2" w:tplc="CC3A63A4">
      <w:start w:val="1"/>
      <w:numFmt w:val="lowerLetter"/>
      <w:lvlText w:val="(%3)"/>
      <w:lvlJc w:val="left"/>
      <w:pPr>
        <w:ind w:left="505" w:hanging="397"/>
      </w:pPr>
      <w:rPr>
        <w:rFonts w:ascii="Calibri" w:eastAsia="Calibri" w:hAnsi="Calibri" w:cs="Calibri" w:hint="default"/>
        <w:color w:val="000000"/>
        <w:sz w:val="24"/>
      </w:rPr>
    </w:lvl>
    <w:lvl w:ilvl="3" w:tplc="044E9414">
      <w:start w:val="1"/>
      <w:numFmt w:val="lowerLetter"/>
      <w:lvlText w:val="(%4)"/>
      <w:lvlJc w:val="left"/>
      <w:pPr>
        <w:ind w:left="902" w:hanging="397"/>
      </w:pPr>
      <w:rPr>
        <w:rFonts w:ascii="Calibri" w:eastAsia="Calibri" w:hAnsi="Calibri" w:cs="Calibri" w:hint="default"/>
        <w:color w:val="000000"/>
        <w:sz w:val="24"/>
      </w:rPr>
    </w:lvl>
    <w:lvl w:ilvl="4" w:tplc="44387788">
      <w:start w:val="1"/>
      <w:numFmt w:val="lowerRoman"/>
      <w:lvlText w:val="(%5)"/>
      <w:lvlJc w:val="left"/>
      <w:pPr>
        <w:ind w:left="505" w:hanging="397"/>
      </w:pPr>
      <w:rPr>
        <w:rFonts w:ascii="Calibri" w:eastAsia="Calibri" w:hAnsi="Calibri" w:cs="Calibri" w:hint="default"/>
        <w:color w:val="000000"/>
        <w:sz w:val="24"/>
      </w:rPr>
    </w:lvl>
    <w:lvl w:ilvl="5" w:tplc="03C88880">
      <w:start w:val="1"/>
      <w:numFmt w:val="lowerRoman"/>
      <w:lvlText w:val="(%6)"/>
      <w:lvlJc w:val="left"/>
      <w:pPr>
        <w:ind w:left="902" w:hanging="397"/>
      </w:pPr>
      <w:rPr>
        <w:rFonts w:ascii="Calibri" w:eastAsia="Calibri" w:hAnsi="Calibri" w:cs="Calibri" w:hint="default"/>
        <w:color w:val="000000"/>
        <w:sz w:val="24"/>
      </w:rPr>
    </w:lvl>
    <w:lvl w:ilvl="6" w:tplc="06D43C4C">
      <w:start w:val="1"/>
      <w:numFmt w:val="none"/>
      <w:lvlText w:val=""/>
      <w:lvlJc w:val="left"/>
      <w:pPr>
        <w:ind w:left="108" w:firstLine="0"/>
      </w:pPr>
      <w:rPr>
        <w:rFonts w:ascii="Calibri" w:eastAsia="Calibri" w:hAnsi="Calibri" w:cs="Calibri" w:hint="default"/>
        <w:color w:val="000000"/>
        <w:sz w:val="24"/>
      </w:rPr>
    </w:lvl>
    <w:lvl w:ilvl="7" w:tplc="99BC2746">
      <w:start w:val="1"/>
      <w:numFmt w:val="none"/>
      <w:lvlText w:val=""/>
      <w:lvlJc w:val="left"/>
      <w:pPr>
        <w:ind w:left="108" w:firstLine="0"/>
      </w:pPr>
      <w:rPr>
        <w:rFonts w:ascii="Calibri" w:eastAsia="Calibri" w:hAnsi="Calibri" w:cs="Calibri" w:hint="default"/>
        <w:color w:val="000000"/>
        <w:sz w:val="24"/>
      </w:rPr>
    </w:lvl>
    <w:lvl w:ilvl="8" w:tplc="F252DE5E">
      <w:start w:val="1"/>
      <w:numFmt w:val="none"/>
      <w:lvlText w:val=""/>
      <w:lvlJc w:val="right"/>
      <w:pPr>
        <w:ind w:left="108" w:firstLine="0"/>
      </w:pPr>
      <w:rPr>
        <w:rFonts w:ascii="Calibri" w:eastAsia="Calibri" w:hAnsi="Calibri" w:cs="Calibri" w:hint="default"/>
        <w:color w:val="000000"/>
        <w:sz w:val="24"/>
      </w:rPr>
    </w:lvl>
  </w:abstractNum>
  <w:abstractNum w:abstractNumId="6" w15:restartNumberingAfterBreak="0">
    <w:nsid w:val="525E2879"/>
    <w:multiLevelType w:val="hybridMultilevel"/>
    <w:tmpl w:val="D8828456"/>
    <w:lvl w:ilvl="0" w:tplc="6C8471DC">
      <w:start w:val="1"/>
      <w:numFmt w:val="decimal"/>
      <w:lvlText w:val="%1."/>
      <w:lvlJc w:val="left"/>
      <w:pPr>
        <w:ind w:left="505" w:hanging="397"/>
      </w:pPr>
      <w:rPr>
        <w:rFonts w:ascii="Calibri" w:eastAsia="Calibri" w:hAnsi="Calibri" w:cs="Calibri" w:hint="default"/>
        <w:color w:val="000000"/>
        <w:sz w:val="24"/>
      </w:rPr>
    </w:lvl>
    <w:lvl w:ilvl="1" w:tplc="770EB86E">
      <w:start w:val="1"/>
      <w:numFmt w:val="decimal"/>
      <w:lvlText w:val="%2."/>
      <w:lvlJc w:val="left"/>
      <w:pPr>
        <w:ind w:left="902" w:hanging="397"/>
      </w:pPr>
      <w:rPr>
        <w:rFonts w:ascii="Calibri" w:eastAsia="Calibri" w:hAnsi="Calibri" w:cs="Calibri" w:hint="default"/>
        <w:color w:val="000000"/>
        <w:sz w:val="24"/>
      </w:rPr>
    </w:lvl>
    <w:lvl w:ilvl="2" w:tplc="EBD6FCEA">
      <w:start w:val="1"/>
      <w:numFmt w:val="lowerLetter"/>
      <w:lvlText w:val="(%3)"/>
      <w:lvlJc w:val="left"/>
      <w:pPr>
        <w:ind w:left="505" w:hanging="397"/>
      </w:pPr>
      <w:rPr>
        <w:rFonts w:ascii="Calibri" w:eastAsia="Calibri" w:hAnsi="Calibri" w:cs="Calibri" w:hint="default"/>
        <w:color w:val="000000"/>
        <w:sz w:val="24"/>
      </w:rPr>
    </w:lvl>
    <w:lvl w:ilvl="3" w:tplc="60AACA70">
      <w:start w:val="1"/>
      <w:numFmt w:val="lowerLetter"/>
      <w:lvlText w:val="(%4)"/>
      <w:lvlJc w:val="left"/>
      <w:pPr>
        <w:ind w:left="902" w:hanging="397"/>
      </w:pPr>
      <w:rPr>
        <w:rFonts w:ascii="Calibri" w:eastAsia="Calibri" w:hAnsi="Calibri" w:cs="Calibri" w:hint="default"/>
        <w:color w:val="000000"/>
        <w:sz w:val="24"/>
      </w:rPr>
    </w:lvl>
    <w:lvl w:ilvl="4" w:tplc="D2CC87FC">
      <w:start w:val="1"/>
      <w:numFmt w:val="lowerRoman"/>
      <w:lvlText w:val="(%5)"/>
      <w:lvlJc w:val="left"/>
      <w:pPr>
        <w:ind w:left="505" w:hanging="397"/>
      </w:pPr>
      <w:rPr>
        <w:rFonts w:ascii="Calibri" w:eastAsia="Calibri" w:hAnsi="Calibri" w:cs="Calibri" w:hint="default"/>
        <w:color w:val="000000"/>
        <w:sz w:val="24"/>
      </w:rPr>
    </w:lvl>
    <w:lvl w:ilvl="5" w:tplc="5C023CF0">
      <w:start w:val="1"/>
      <w:numFmt w:val="lowerRoman"/>
      <w:lvlText w:val="(%6)"/>
      <w:lvlJc w:val="left"/>
      <w:pPr>
        <w:ind w:left="902" w:hanging="397"/>
      </w:pPr>
      <w:rPr>
        <w:rFonts w:ascii="Calibri" w:eastAsia="Calibri" w:hAnsi="Calibri" w:cs="Calibri" w:hint="default"/>
        <w:color w:val="000000"/>
        <w:sz w:val="24"/>
      </w:rPr>
    </w:lvl>
    <w:lvl w:ilvl="6" w:tplc="51989A48">
      <w:start w:val="1"/>
      <w:numFmt w:val="none"/>
      <w:lvlText w:val=""/>
      <w:lvlJc w:val="left"/>
      <w:pPr>
        <w:ind w:left="108" w:firstLine="0"/>
      </w:pPr>
      <w:rPr>
        <w:rFonts w:ascii="Calibri" w:eastAsia="Calibri" w:hAnsi="Calibri" w:cs="Calibri" w:hint="default"/>
        <w:color w:val="000000"/>
        <w:sz w:val="24"/>
      </w:rPr>
    </w:lvl>
    <w:lvl w:ilvl="7" w:tplc="2A8EF63C">
      <w:start w:val="1"/>
      <w:numFmt w:val="none"/>
      <w:lvlText w:val=""/>
      <w:lvlJc w:val="left"/>
      <w:pPr>
        <w:ind w:left="108" w:firstLine="0"/>
      </w:pPr>
      <w:rPr>
        <w:rFonts w:ascii="Calibri" w:eastAsia="Calibri" w:hAnsi="Calibri" w:cs="Calibri" w:hint="default"/>
        <w:color w:val="000000"/>
        <w:sz w:val="24"/>
      </w:rPr>
    </w:lvl>
    <w:lvl w:ilvl="8" w:tplc="1744F886">
      <w:start w:val="1"/>
      <w:numFmt w:val="none"/>
      <w:lvlText w:val=""/>
      <w:lvlJc w:val="right"/>
      <w:pPr>
        <w:ind w:left="108" w:firstLine="0"/>
      </w:pPr>
      <w:rPr>
        <w:rFonts w:ascii="Calibri" w:eastAsia="Calibri" w:hAnsi="Calibri" w:cs="Calibri" w:hint="default"/>
        <w:color w:val="000000"/>
        <w:sz w:val="24"/>
      </w:rPr>
    </w:lvl>
  </w:abstractNum>
  <w:abstractNum w:abstractNumId="7" w15:restartNumberingAfterBreak="0">
    <w:nsid w:val="550C7B9F"/>
    <w:multiLevelType w:val="hybridMultilevel"/>
    <w:tmpl w:val="BA2A672E"/>
    <w:lvl w:ilvl="0" w:tplc="D4EE4E60">
      <w:start w:val="1"/>
      <w:numFmt w:val="decimal"/>
      <w:lvlText w:val="%1."/>
      <w:lvlJc w:val="left"/>
      <w:pPr>
        <w:ind w:left="505" w:hanging="397"/>
      </w:pPr>
      <w:rPr>
        <w:rFonts w:ascii="Calibri" w:eastAsia="Calibri" w:hAnsi="Calibri" w:cs="Calibri" w:hint="default"/>
        <w:color w:val="000000"/>
        <w:sz w:val="24"/>
      </w:rPr>
    </w:lvl>
    <w:lvl w:ilvl="1" w:tplc="11BA653C">
      <w:start w:val="1"/>
      <w:numFmt w:val="decimal"/>
      <w:lvlText w:val="%2."/>
      <w:lvlJc w:val="left"/>
      <w:pPr>
        <w:ind w:left="902" w:hanging="397"/>
      </w:pPr>
      <w:rPr>
        <w:rFonts w:ascii="Calibri" w:eastAsia="Calibri" w:hAnsi="Calibri" w:cs="Calibri" w:hint="default"/>
        <w:color w:val="000000"/>
        <w:sz w:val="24"/>
      </w:rPr>
    </w:lvl>
    <w:lvl w:ilvl="2" w:tplc="1D24611E">
      <w:start w:val="1"/>
      <w:numFmt w:val="lowerLetter"/>
      <w:lvlText w:val="(%3)"/>
      <w:lvlJc w:val="left"/>
      <w:pPr>
        <w:ind w:left="505" w:hanging="397"/>
      </w:pPr>
      <w:rPr>
        <w:rFonts w:ascii="Calibri" w:eastAsia="Calibri" w:hAnsi="Calibri" w:cs="Calibri" w:hint="default"/>
        <w:color w:val="000000"/>
        <w:sz w:val="24"/>
      </w:rPr>
    </w:lvl>
    <w:lvl w:ilvl="3" w:tplc="25EAEC62">
      <w:start w:val="1"/>
      <w:numFmt w:val="lowerLetter"/>
      <w:lvlText w:val="(%4)"/>
      <w:lvlJc w:val="left"/>
      <w:pPr>
        <w:ind w:left="902" w:hanging="397"/>
      </w:pPr>
      <w:rPr>
        <w:rFonts w:ascii="Calibri" w:eastAsia="Calibri" w:hAnsi="Calibri" w:cs="Calibri" w:hint="default"/>
        <w:color w:val="000000"/>
        <w:sz w:val="24"/>
      </w:rPr>
    </w:lvl>
    <w:lvl w:ilvl="4" w:tplc="2D8E0358">
      <w:start w:val="1"/>
      <w:numFmt w:val="lowerRoman"/>
      <w:lvlText w:val="(%5)"/>
      <w:lvlJc w:val="left"/>
      <w:pPr>
        <w:ind w:left="505" w:hanging="397"/>
      </w:pPr>
      <w:rPr>
        <w:rFonts w:ascii="Calibri" w:eastAsia="Calibri" w:hAnsi="Calibri" w:cs="Calibri" w:hint="default"/>
        <w:color w:val="000000"/>
        <w:sz w:val="24"/>
      </w:rPr>
    </w:lvl>
    <w:lvl w:ilvl="5" w:tplc="C5422D78">
      <w:start w:val="1"/>
      <w:numFmt w:val="lowerRoman"/>
      <w:lvlText w:val="(%6)"/>
      <w:lvlJc w:val="left"/>
      <w:pPr>
        <w:ind w:left="902" w:hanging="397"/>
      </w:pPr>
      <w:rPr>
        <w:rFonts w:ascii="Calibri" w:eastAsia="Calibri" w:hAnsi="Calibri" w:cs="Calibri" w:hint="default"/>
        <w:color w:val="000000"/>
        <w:sz w:val="24"/>
      </w:rPr>
    </w:lvl>
    <w:lvl w:ilvl="6" w:tplc="B954518A">
      <w:start w:val="1"/>
      <w:numFmt w:val="none"/>
      <w:lvlText w:val=""/>
      <w:lvlJc w:val="left"/>
      <w:pPr>
        <w:ind w:left="108" w:firstLine="0"/>
      </w:pPr>
      <w:rPr>
        <w:rFonts w:ascii="Calibri" w:eastAsia="Calibri" w:hAnsi="Calibri" w:cs="Calibri" w:hint="default"/>
        <w:color w:val="000000"/>
        <w:sz w:val="24"/>
      </w:rPr>
    </w:lvl>
    <w:lvl w:ilvl="7" w:tplc="925A23AA">
      <w:start w:val="1"/>
      <w:numFmt w:val="none"/>
      <w:lvlText w:val=""/>
      <w:lvlJc w:val="left"/>
      <w:pPr>
        <w:ind w:left="108" w:firstLine="0"/>
      </w:pPr>
      <w:rPr>
        <w:rFonts w:ascii="Calibri" w:eastAsia="Calibri" w:hAnsi="Calibri" w:cs="Calibri" w:hint="default"/>
        <w:color w:val="000000"/>
        <w:sz w:val="24"/>
      </w:rPr>
    </w:lvl>
    <w:lvl w:ilvl="8" w:tplc="83D85DDA">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5677611E"/>
    <w:multiLevelType w:val="hybridMultilevel"/>
    <w:tmpl w:val="0F602DE2"/>
    <w:lvl w:ilvl="0" w:tplc="AEE88BAE">
      <w:start w:val="1"/>
      <w:numFmt w:val="bullet"/>
      <w:lvlText w:val=""/>
      <w:lvlJc w:val="left"/>
      <w:pPr>
        <w:ind w:left="828" w:hanging="360"/>
      </w:pPr>
      <w:rPr>
        <w:rFonts w:ascii="Symbol" w:eastAsia="Symbol" w:hAnsi="Symbol" w:cs="Symbol" w:hint="default"/>
        <w:color w:val="000000"/>
        <w:sz w:val="24"/>
      </w:rPr>
    </w:lvl>
    <w:lvl w:ilvl="1" w:tplc="104EE74E">
      <w:start w:val="1"/>
      <w:numFmt w:val="bullet"/>
      <w:lvlText w:val="o"/>
      <w:lvlJc w:val="left"/>
      <w:pPr>
        <w:ind w:left="1548" w:hanging="360"/>
      </w:pPr>
      <w:rPr>
        <w:rFonts w:ascii="Courier New" w:eastAsia="Courier New" w:hAnsi="Courier New" w:cs="Courier New" w:hint="default"/>
        <w:color w:val="000000"/>
        <w:sz w:val="24"/>
      </w:rPr>
    </w:lvl>
    <w:lvl w:ilvl="2" w:tplc="2EC6D470">
      <w:start w:val="1"/>
      <w:numFmt w:val="bullet"/>
      <w:lvlText w:val=""/>
      <w:lvlJc w:val="left"/>
      <w:pPr>
        <w:ind w:left="2268" w:hanging="360"/>
      </w:pPr>
      <w:rPr>
        <w:rFonts w:ascii="Wingdings" w:eastAsia="Wingdings" w:hAnsi="Wingdings" w:cs="Wingdings" w:hint="default"/>
        <w:color w:val="000000"/>
        <w:sz w:val="24"/>
      </w:rPr>
    </w:lvl>
    <w:lvl w:ilvl="3" w:tplc="659C9406">
      <w:start w:val="1"/>
      <w:numFmt w:val="bullet"/>
      <w:lvlText w:val=""/>
      <w:lvlJc w:val="left"/>
      <w:pPr>
        <w:ind w:left="2988" w:hanging="360"/>
      </w:pPr>
      <w:rPr>
        <w:rFonts w:ascii="Symbol" w:eastAsia="Symbol" w:hAnsi="Symbol" w:cs="Symbol" w:hint="default"/>
        <w:color w:val="000000"/>
        <w:sz w:val="24"/>
      </w:rPr>
    </w:lvl>
    <w:lvl w:ilvl="4" w:tplc="4C46AD0E">
      <w:start w:val="1"/>
      <w:numFmt w:val="bullet"/>
      <w:lvlText w:val="o"/>
      <w:lvlJc w:val="left"/>
      <w:pPr>
        <w:ind w:left="3708" w:hanging="360"/>
      </w:pPr>
      <w:rPr>
        <w:rFonts w:ascii="Courier New" w:eastAsia="Courier New" w:hAnsi="Courier New" w:cs="Courier New" w:hint="default"/>
        <w:color w:val="000000"/>
        <w:sz w:val="24"/>
      </w:rPr>
    </w:lvl>
    <w:lvl w:ilvl="5" w:tplc="977A909C">
      <w:start w:val="1"/>
      <w:numFmt w:val="bullet"/>
      <w:lvlText w:val=""/>
      <w:lvlJc w:val="left"/>
      <w:pPr>
        <w:ind w:left="4428" w:hanging="360"/>
      </w:pPr>
      <w:rPr>
        <w:rFonts w:ascii="Wingdings" w:eastAsia="Wingdings" w:hAnsi="Wingdings" w:cs="Wingdings" w:hint="default"/>
        <w:color w:val="000000"/>
        <w:sz w:val="24"/>
      </w:rPr>
    </w:lvl>
    <w:lvl w:ilvl="6" w:tplc="1BF25B1A">
      <w:start w:val="1"/>
      <w:numFmt w:val="bullet"/>
      <w:lvlText w:val=""/>
      <w:lvlJc w:val="left"/>
      <w:pPr>
        <w:ind w:left="5148" w:hanging="360"/>
      </w:pPr>
      <w:rPr>
        <w:rFonts w:ascii="Symbol" w:eastAsia="Symbol" w:hAnsi="Symbol" w:cs="Symbol" w:hint="default"/>
        <w:color w:val="000000"/>
        <w:sz w:val="24"/>
      </w:rPr>
    </w:lvl>
    <w:lvl w:ilvl="7" w:tplc="73F2A366">
      <w:start w:val="1"/>
      <w:numFmt w:val="bullet"/>
      <w:lvlText w:val="o"/>
      <w:lvlJc w:val="left"/>
      <w:pPr>
        <w:ind w:left="5868" w:hanging="360"/>
      </w:pPr>
      <w:rPr>
        <w:rFonts w:ascii="Courier New" w:eastAsia="Courier New" w:hAnsi="Courier New" w:cs="Courier New" w:hint="default"/>
        <w:color w:val="000000"/>
        <w:sz w:val="24"/>
      </w:rPr>
    </w:lvl>
    <w:lvl w:ilvl="8" w:tplc="19C87698">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5B2E4C40"/>
    <w:multiLevelType w:val="hybridMultilevel"/>
    <w:tmpl w:val="EB12A41A"/>
    <w:lvl w:ilvl="0" w:tplc="2374908A">
      <w:start w:val="1"/>
      <w:numFmt w:val="bullet"/>
      <w:lvlText w:val=""/>
      <w:lvlJc w:val="left"/>
      <w:pPr>
        <w:ind w:left="828" w:hanging="360"/>
      </w:pPr>
      <w:rPr>
        <w:rFonts w:ascii="Symbol" w:eastAsia="Symbol" w:hAnsi="Symbol" w:cs="Symbol" w:hint="default"/>
        <w:color w:val="000000"/>
        <w:sz w:val="24"/>
      </w:rPr>
    </w:lvl>
    <w:lvl w:ilvl="1" w:tplc="6FE042EE">
      <w:start w:val="1"/>
      <w:numFmt w:val="bullet"/>
      <w:lvlText w:val="o"/>
      <w:lvlJc w:val="left"/>
      <w:pPr>
        <w:ind w:left="1548" w:hanging="360"/>
      </w:pPr>
      <w:rPr>
        <w:rFonts w:ascii="Courier New" w:eastAsia="Courier New" w:hAnsi="Courier New" w:cs="Courier New" w:hint="default"/>
        <w:color w:val="000000"/>
        <w:sz w:val="24"/>
      </w:rPr>
    </w:lvl>
    <w:lvl w:ilvl="2" w:tplc="109EB8B8">
      <w:start w:val="1"/>
      <w:numFmt w:val="bullet"/>
      <w:lvlText w:val=""/>
      <w:lvlJc w:val="left"/>
      <w:pPr>
        <w:ind w:left="2268" w:hanging="360"/>
      </w:pPr>
      <w:rPr>
        <w:rFonts w:ascii="Wingdings" w:eastAsia="Wingdings" w:hAnsi="Wingdings" w:cs="Wingdings" w:hint="default"/>
        <w:color w:val="000000"/>
        <w:sz w:val="24"/>
      </w:rPr>
    </w:lvl>
    <w:lvl w:ilvl="3" w:tplc="07443C50">
      <w:start w:val="1"/>
      <w:numFmt w:val="bullet"/>
      <w:lvlText w:val=""/>
      <w:lvlJc w:val="left"/>
      <w:pPr>
        <w:ind w:left="2988" w:hanging="360"/>
      </w:pPr>
      <w:rPr>
        <w:rFonts w:ascii="Symbol" w:eastAsia="Symbol" w:hAnsi="Symbol" w:cs="Symbol" w:hint="default"/>
        <w:color w:val="000000"/>
        <w:sz w:val="24"/>
      </w:rPr>
    </w:lvl>
    <w:lvl w:ilvl="4" w:tplc="182E0170">
      <w:start w:val="1"/>
      <w:numFmt w:val="bullet"/>
      <w:lvlText w:val="o"/>
      <w:lvlJc w:val="left"/>
      <w:pPr>
        <w:ind w:left="3708" w:hanging="360"/>
      </w:pPr>
      <w:rPr>
        <w:rFonts w:ascii="Courier New" w:eastAsia="Courier New" w:hAnsi="Courier New" w:cs="Courier New" w:hint="default"/>
        <w:color w:val="000000"/>
        <w:sz w:val="24"/>
      </w:rPr>
    </w:lvl>
    <w:lvl w:ilvl="5" w:tplc="7C8A50F8">
      <w:start w:val="1"/>
      <w:numFmt w:val="bullet"/>
      <w:lvlText w:val=""/>
      <w:lvlJc w:val="left"/>
      <w:pPr>
        <w:ind w:left="4428" w:hanging="360"/>
      </w:pPr>
      <w:rPr>
        <w:rFonts w:ascii="Wingdings" w:eastAsia="Wingdings" w:hAnsi="Wingdings" w:cs="Wingdings" w:hint="default"/>
        <w:color w:val="000000"/>
        <w:sz w:val="24"/>
      </w:rPr>
    </w:lvl>
    <w:lvl w:ilvl="6" w:tplc="D506C942">
      <w:start w:val="1"/>
      <w:numFmt w:val="bullet"/>
      <w:lvlText w:val=""/>
      <w:lvlJc w:val="left"/>
      <w:pPr>
        <w:ind w:left="5148" w:hanging="360"/>
      </w:pPr>
      <w:rPr>
        <w:rFonts w:ascii="Symbol" w:eastAsia="Symbol" w:hAnsi="Symbol" w:cs="Symbol" w:hint="default"/>
        <w:color w:val="000000"/>
        <w:sz w:val="24"/>
      </w:rPr>
    </w:lvl>
    <w:lvl w:ilvl="7" w:tplc="722A59C6">
      <w:start w:val="1"/>
      <w:numFmt w:val="bullet"/>
      <w:lvlText w:val="o"/>
      <w:lvlJc w:val="left"/>
      <w:pPr>
        <w:ind w:left="5868" w:hanging="360"/>
      </w:pPr>
      <w:rPr>
        <w:rFonts w:ascii="Courier New" w:eastAsia="Courier New" w:hAnsi="Courier New" w:cs="Courier New" w:hint="default"/>
        <w:color w:val="000000"/>
        <w:sz w:val="24"/>
      </w:rPr>
    </w:lvl>
    <w:lvl w:ilvl="8" w:tplc="73EECE00">
      <w:start w:val="1"/>
      <w:numFmt w:val="bullet"/>
      <w:lvlText w:val=""/>
      <w:lvlJc w:val="left"/>
      <w:pPr>
        <w:ind w:left="6588" w:hanging="360"/>
      </w:pPr>
      <w:rPr>
        <w:rFonts w:ascii="Wingdings" w:eastAsia="Wingdings" w:hAnsi="Wingdings" w:cs="Wingdings" w:hint="default"/>
        <w:color w:val="000000"/>
        <w:sz w:val="24"/>
      </w:rPr>
    </w:lvl>
  </w:abstractNum>
  <w:abstractNum w:abstractNumId="10" w15:restartNumberingAfterBreak="0">
    <w:nsid w:val="5BC855DE"/>
    <w:multiLevelType w:val="hybridMultilevel"/>
    <w:tmpl w:val="CAC0E256"/>
    <w:lvl w:ilvl="0" w:tplc="A75E666C">
      <w:start w:val="1"/>
      <w:numFmt w:val="bullet"/>
      <w:lvlText w:val=""/>
      <w:lvlJc w:val="left"/>
      <w:pPr>
        <w:ind w:left="828" w:hanging="360"/>
      </w:pPr>
      <w:rPr>
        <w:rFonts w:ascii="Symbol" w:eastAsia="Symbol" w:hAnsi="Symbol" w:cs="Symbol" w:hint="default"/>
        <w:color w:val="000000"/>
        <w:sz w:val="24"/>
      </w:rPr>
    </w:lvl>
    <w:lvl w:ilvl="1" w:tplc="DB583706">
      <w:start w:val="1"/>
      <w:numFmt w:val="bullet"/>
      <w:lvlText w:val="o"/>
      <w:lvlJc w:val="left"/>
      <w:pPr>
        <w:ind w:left="1548" w:hanging="360"/>
      </w:pPr>
      <w:rPr>
        <w:rFonts w:ascii="Courier New" w:eastAsia="Courier New" w:hAnsi="Courier New" w:cs="Courier New" w:hint="default"/>
        <w:color w:val="000000"/>
        <w:sz w:val="24"/>
      </w:rPr>
    </w:lvl>
    <w:lvl w:ilvl="2" w:tplc="6A04A9BC">
      <w:start w:val="1"/>
      <w:numFmt w:val="bullet"/>
      <w:lvlText w:val=""/>
      <w:lvlJc w:val="left"/>
      <w:pPr>
        <w:ind w:left="2268" w:hanging="360"/>
      </w:pPr>
      <w:rPr>
        <w:rFonts w:ascii="Wingdings" w:eastAsia="Wingdings" w:hAnsi="Wingdings" w:cs="Wingdings" w:hint="default"/>
        <w:color w:val="000000"/>
        <w:sz w:val="24"/>
      </w:rPr>
    </w:lvl>
    <w:lvl w:ilvl="3" w:tplc="1AEC4330">
      <w:start w:val="1"/>
      <w:numFmt w:val="bullet"/>
      <w:lvlText w:val=""/>
      <w:lvlJc w:val="left"/>
      <w:pPr>
        <w:ind w:left="2988" w:hanging="360"/>
      </w:pPr>
      <w:rPr>
        <w:rFonts w:ascii="Symbol" w:eastAsia="Symbol" w:hAnsi="Symbol" w:cs="Symbol" w:hint="default"/>
        <w:color w:val="000000"/>
        <w:sz w:val="24"/>
      </w:rPr>
    </w:lvl>
    <w:lvl w:ilvl="4" w:tplc="1436BD64">
      <w:start w:val="1"/>
      <w:numFmt w:val="bullet"/>
      <w:lvlText w:val="o"/>
      <w:lvlJc w:val="left"/>
      <w:pPr>
        <w:ind w:left="3708" w:hanging="360"/>
      </w:pPr>
      <w:rPr>
        <w:rFonts w:ascii="Courier New" w:eastAsia="Courier New" w:hAnsi="Courier New" w:cs="Courier New" w:hint="default"/>
        <w:color w:val="000000"/>
        <w:sz w:val="24"/>
      </w:rPr>
    </w:lvl>
    <w:lvl w:ilvl="5" w:tplc="57629E48">
      <w:start w:val="1"/>
      <w:numFmt w:val="bullet"/>
      <w:lvlText w:val=""/>
      <w:lvlJc w:val="left"/>
      <w:pPr>
        <w:ind w:left="4428" w:hanging="360"/>
      </w:pPr>
      <w:rPr>
        <w:rFonts w:ascii="Wingdings" w:eastAsia="Wingdings" w:hAnsi="Wingdings" w:cs="Wingdings" w:hint="default"/>
        <w:color w:val="000000"/>
        <w:sz w:val="24"/>
      </w:rPr>
    </w:lvl>
    <w:lvl w:ilvl="6" w:tplc="CA6C3026">
      <w:start w:val="1"/>
      <w:numFmt w:val="bullet"/>
      <w:lvlText w:val=""/>
      <w:lvlJc w:val="left"/>
      <w:pPr>
        <w:ind w:left="5148" w:hanging="360"/>
      </w:pPr>
      <w:rPr>
        <w:rFonts w:ascii="Symbol" w:eastAsia="Symbol" w:hAnsi="Symbol" w:cs="Symbol" w:hint="default"/>
        <w:color w:val="000000"/>
        <w:sz w:val="24"/>
      </w:rPr>
    </w:lvl>
    <w:lvl w:ilvl="7" w:tplc="A614E542">
      <w:start w:val="1"/>
      <w:numFmt w:val="bullet"/>
      <w:lvlText w:val="o"/>
      <w:lvlJc w:val="left"/>
      <w:pPr>
        <w:ind w:left="5868" w:hanging="360"/>
      </w:pPr>
      <w:rPr>
        <w:rFonts w:ascii="Courier New" w:eastAsia="Courier New" w:hAnsi="Courier New" w:cs="Courier New" w:hint="default"/>
        <w:color w:val="000000"/>
        <w:sz w:val="24"/>
      </w:rPr>
    </w:lvl>
    <w:lvl w:ilvl="8" w:tplc="C5F01E64">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62BE6DB0"/>
    <w:multiLevelType w:val="hybridMultilevel"/>
    <w:tmpl w:val="9C5844CE"/>
    <w:lvl w:ilvl="0" w:tplc="0DBE8AC2">
      <w:start w:val="1"/>
      <w:numFmt w:val="bullet"/>
      <w:lvlText w:val=""/>
      <w:lvlJc w:val="left"/>
      <w:pPr>
        <w:ind w:left="468" w:hanging="360"/>
      </w:pPr>
      <w:rPr>
        <w:rFonts w:ascii="Symbol" w:eastAsia="Symbol" w:hAnsi="Symbol" w:cs="Symbol" w:hint="default"/>
        <w:color w:val="000000"/>
        <w:sz w:val="24"/>
      </w:rPr>
    </w:lvl>
    <w:lvl w:ilvl="1" w:tplc="99FCD83A">
      <w:start w:val="1"/>
      <w:numFmt w:val="bullet"/>
      <w:lvlText w:val="o"/>
      <w:lvlJc w:val="left"/>
      <w:pPr>
        <w:ind w:left="1188" w:hanging="360"/>
      </w:pPr>
      <w:rPr>
        <w:rFonts w:ascii="Courier New" w:eastAsia="Courier New" w:hAnsi="Courier New" w:cs="Courier New" w:hint="default"/>
        <w:color w:val="000000"/>
        <w:sz w:val="24"/>
      </w:rPr>
    </w:lvl>
    <w:lvl w:ilvl="2" w:tplc="AB5A1C9C">
      <w:start w:val="1"/>
      <w:numFmt w:val="bullet"/>
      <w:lvlText w:val=""/>
      <w:lvlJc w:val="left"/>
      <w:pPr>
        <w:ind w:left="1908" w:hanging="360"/>
      </w:pPr>
      <w:rPr>
        <w:rFonts w:ascii="Wingdings" w:eastAsia="Wingdings" w:hAnsi="Wingdings" w:cs="Wingdings" w:hint="default"/>
        <w:color w:val="000000"/>
        <w:sz w:val="24"/>
      </w:rPr>
    </w:lvl>
    <w:lvl w:ilvl="3" w:tplc="05E815E8">
      <w:start w:val="1"/>
      <w:numFmt w:val="bullet"/>
      <w:lvlText w:val=""/>
      <w:lvlJc w:val="left"/>
      <w:pPr>
        <w:ind w:left="2628" w:hanging="360"/>
      </w:pPr>
      <w:rPr>
        <w:rFonts w:ascii="Symbol" w:eastAsia="Symbol" w:hAnsi="Symbol" w:cs="Symbol" w:hint="default"/>
        <w:color w:val="000000"/>
        <w:sz w:val="24"/>
      </w:rPr>
    </w:lvl>
    <w:lvl w:ilvl="4" w:tplc="EE828530">
      <w:start w:val="1"/>
      <w:numFmt w:val="bullet"/>
      <w:lvlText w:val="o"/>
      <w:lvlJc w:val="left"/>
      <w:pPr>
        <w:ind w:left="3348" w:hanging="360"/>
      </w:pPr>
      <w:rPr>
        <w:rFonts w:ascii="Courier New" w:eastAsia="Courier New" w:hAnsi="Courier New" w:cs="Courier New" w:hint="default"/>
        <w:color w:val="000000"/>
        <w:sz w:val="24"/>
      </w:rPr>
    </w:lvl>
    <w:lvl w:ilvl="5" w:tplc="221ABA52">
      <w:start w:val="1"/>
      <w:numFmt w:val="bullet"/>
      <w:lvlText w:val=""/>
      <w:lvlJc w:val="left"/>
      <w:pPr>
        <w:ind w:left="4068" w:hanging="360"/>
      </w:pPr>
      <w:rPr>
        <w:rFonts w:ascii="Wingdings" w:eastAsia="Wingdings" w:hAnsi="Wingdings" w:cs="Wingdings" w:hint="default"/>
        <w:color w:val="000000"/>
        <w:sz w:val="24"/>
      </w:rPr>
    </w:lvl>
    <w:lvl w:ilvl="6" w:tplc="583C8962">
      <w:start w:val="1"/>
      <w:numFmt w:val="bullet"/>
      <w:lvlText w:val=""/>
      <w:lvlJc w:val="left"/>
      <w:pPr>
        <w:ind w:left="4788" w:hanging="360"/>
      </w:pPr>
      <w:rPr>
        <w:rFonts w:ascii="Symbol" w:eastAsia="Symbol" w:hAnsi="Symbol" w:cs="Symbol" w:hint="default"/>
        <w:color w:val="000000"/>
        <w:sz w:val="24"/>
      </w:rPr>
    </w:lvl>
    <w:lvl w:ilvl="7" w:tplc="EF960458">
      <w:start w:val="1"/>
      <w:numFmt w:val="bullet"/>
      <w:lvlText w:val="o"/>
      <w:lvlJc w:val="left"/>
      <w:pPr>
        <w:ind w:left="5508" w:hanging="360"/>
      </w:pPr>
      <w:rPr>
        <w:rFonts w:ascii="Courier New" w:eastAsia="Courier New" w:hAnsi="Courier New" w:cs="Courier New" w:hint="default"/>
        <w:color w:val="000000"/>
        <w:sz w:val="24"/>
      </w:rPr>
    </w:lvl>
    <w:lvl w:ilvl="8" w:tplc="0950B372">
      <w:start w:val="1"/>
      <w:numFmt w:val="bullet"/>
      <w:lvlText w:val=""/>
      <w:lvlJc w:val="left"/>
      <w:pPr>
        <w:ind w:left="6228" w:hanging="360"/>
      </w:pPr>
      <w:rPr>
        <w:rFonts w:ascii="Wingdings" w:eastAsia="Wingdings" w:hAnsi="Wingdings" w:cs="Wingdings" w:hint="default"/>
        <w:color w:val="000000"/>
        <w:sz w:val="24"/>
      </w:rPr>
    </w:lvl>
  </w:abstractNum>
  <w:abstractNum w:abstractNumId="12" w15:restartNumberingAfterBreak="0">
    <w:nsid w:val="63044E2E"/>
    <w:multiLevelType w:val="hybridMultilevel"/>
    <w:tmpl w:val="19A2C99A"/>
    <w:lvl w:ilvl="0" w:tplc="A03495CA">
      <w:start w:val="1"/>
      <w:numFmt w:val="bullet"/>
      <w:lvlText w:val=""/>
      <w:lvlJc w:val="left"/>
      <w:pPr>
        <w:ind w:left="828" w:hanging="360"/>
      </w:pPr>
      <w:rPr>
        <w:rFonts w:ascii="Symbol" w:eastAsia="Symbol" w:hAnsi="Symbol" w:cs="Symbol" w:hint="default"/>
        <w:color w:val="000000"/>
        <w:sz w:val="24"/>
      </w:rPr>
    </w:lvl>
    <w:lvl w:ilvl="1" w:tplc="E6FA8C04">
      <w:start w:val="1"/>
      <w:numFmt w:val="bullet"/>
      <w:lvlText w:val="o"/>
      <w:lvlJc w:val="left"/>
      <w:pPr>
        <w:ind w:left="1548" w:hanging="360"/>
      </w:pPr>
      <w:rPr>
        <w:rFonts w:ascii="Courier New" w:eastAsia="Courier New" w:hAnsi="Courier New" w:cs="Courier New" w:hint="default"/>
        <w:color w:val="000000"/>
        <w:sz w:val="24"/>
      </w:rPr>
    </w:lvl>
    <w:lvl w:ilvl="2" w:tplc="E8C808DA">
      <w:start w:val="1"/>
      <w:numFmt w:val="bullet"/>
      <w:lvlText w:val=""/>
      <w:lvlJc w:val="left"/>
      <w:pPr>
        <w:ind w:left="2268" w:hanging="360"/>
      </w:pPr>
      <w:rPr>
        <w:rFonts w:ascii="Wingdings" w:eastAsia="Wingdings" w:hAnsi="Wingdings" w:cs="Wingdings" w:hint="default"/>
        <w:color w:val="000000"/>
        <w:sz w:val="24"/>
      </w:rPr>
    </w:lvl>
    <w:lvl w:ilvl="3" w:tplc="FF121EA6">
      <w:start w:val="1"/>
      <w:numFmt w:val="bullet"/>
      <w:lvlText w:val=""/>
      <w:lvlJc w:val="left"/>
      <w:pPr>
        <w:ind w:left="2988" w:hanging="360"/>
      </w:pPr>
      <w:rPr>
        <w:rFonts w:ascii="Symbol" w:eastAsia="Symbol" w:hAnsi="Symbol" w:cs="Symbol" w:hint="default"/>
        <w:color w:val="000000"/>
        <w:sz w:val="24"/>
      </w:rPr>
    </w:lvl>
    <w:lvl w:ilvl="4" w:tplc="38403F4E">
      <w:start w:val="1"/>
      <w:numFmt w:val="bullet"/>
      <w:lvlText w:val="o"/>
      <w:lvlJc w:val="left"/>
      <w:pPr>
        <w:ind w:left="3708" w:hanging="360"/>
      </w:pPr>
      <w:rPr>
        <w:rFonts w:ascii="Courier New" w:eastAsia="Courier New" w:hAnsi="Courier New" w:cs="Courier New" w:hint="default"/>
        <w:color w:val="000000"/>
        <w:sz w:val="24"/>
      </w:rPr>
    </w:lvl>
    <w:lvl w:ilvl="5" w:tplc="0EDA3DDE">
      <w:start w:val="1"/>
      <w:numFmt w:val="bullet"/>
      <w:lvlText w:val=""/>
      <w:lvlJc w:val="left"/>
      <w:pPr>
        <w:ind w:left="4428" w:hanging="360"/>
      </w:pPr>
      <w:rPr>
        <w:rFonts w:ascii="Wingdings" w:eastAsia="Wingdings" w:hAnsi="Wingdings" w:cs="Wingdings" w:hint="default"/>
        <w:color w:val="000000"/>
        <w:sz w:val="24"/>
      </w:rPr>
    </w:lvl>
    <w:lvl w:ilvl="6" w:tplc="BB4AB252">
      <w:start w:val="1"/>
      <w:numFmt w:val="bullet"/>
      <w:lvlText w:val=""/>
      <w:lvlJc w:val="left"/>
      <w:pPr>
        <w:ind w:left="5148" w:hanging="360"/>
      </w:pPr>
      <w:rPr>
        <w:rFonts w:ascii="Symbol" w:eastAsia="Symbol" w:hAnsi="Symbol" w:cs="Symbol" w:hint="default"/>
        <w:color w:val="000000"/>
        <w:sz w:val="24"/>
      </w:rPr>
    </w:lvl>
    <w:lvl w:ilvl="7" w:tplc="78AAACB6">
      <w:start w:val="1"/>
      <w:numFmt w:val="bullet"/>
      <w:lvlText w:val="o"/>
      <w:lvlJc w:val="left"/>
      <w:pPr>
        <w:ind w:left="5868" w:hanging="360"/>
      </w:pPr>
      <w:rPr>
        <w:rFonts w:ascii="Courier New" w:eastAsia="Courier New" w:hAnsi="Courier New" w:cs="Courier New" w:hint="default"/>
        <w:color w:val="000000"/>
        <w:sz w:val="24"/>
      </w:rPr>
    </w:lvl>
    <w:lvl w:ilvl="8" w:tplc="6256117C">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762F3461"/>
    <w:multiLevelType w:val="hybridMultilevel"/>
    <w:tmpl w:val="37D8A37C"/>
    <w:lvl w:ilvl="0" w:tplc="7A00E66E">
      <w:start w:val="1"/>
      <w:numFmt w:val="bullet"/>
      <w:lvlText w:val=""/>
      <w:lvlJc w:val="left"/>
      <w:pPr>
        <w:ind w:left="468" w:hanging="360"/>
      </w:pPr>
      <w:rPr>
        <w:rFonts w:ascii="Symbol" w:eastAsia="Symbol" w:hAnsi="Symbol" w:cs="Symbol" w:hint="default"/>
        <w:color w:val="000000"/>
        <w:sz w:val="24"/>
      </w:rPr>
    </w:lvl>
    <w:lvl w:ilvl="1" w:tplc="8C866804">
      <w:start w:val="1"/>
      <w:numFmt w:val="bullet"/>
      <w:lvlText w:val="o"/>
      <w:lvlJc w:val="left"/>
      <w:pPr>
        <w:ind w:left="1188" w:hanging="360"/>
      </w:pPr>
      <w:rPr>
        <w:rFonts w:ascii="Courier New" w:eastAsia="Courier New" w:hAnsi="Courier New" w:cs="Courier New" w:hint="default"/>
        <w:color w:val="000000"/>
        <w:sz w:val="24"/>
      </w:rPr>
    </w:lvl>
    <w:lvl w:ilvl="2" w:tplc="C402F458">
      <w:start w:val="1"/>
      <w:numFmt w:val="bullet"/>
      <w:lvlText w:val=""/>
      <w:lvlJc w:val="left"/>
      <w:pPr>
        <w:ind w:left="1908" w:hanging="360"/>
      </w:pPr>
      <w:rPr>
        <w:rFonts w:ascii="Wingdings" w:eastAsia="Wingdings" w:hAnsi="Wingdings" w:cs="Wingdings" w:hint="default"/>
        <w:color w:val="000000"/>
        <w:sz w:val="24"/>
      </w:rPr>
    </w:lvl>
    <w:lvl w:ilvl="3" w:tplc="6568CF0A">
      <w:start w:val="1"/>
      <w:numFmt w:val="bullet"/>
      <w:lvlText w:val=""/>
      <w:lvlJc w:val="left"/>
      <w:pPr>
        <w:ind w:left="2628" w:hanging="360"/>
      </w:pPr>
      <w:rPr>
        <w:rFonts w:ascii="Symbol" w:eastAsia="Symbol" w:hAnsi="Symbol" w:cs="Symbol" w:hint="default"/>
        <w:color w:val="000000"/>
        <w:sz w:val="24"/>
      </w:rPr>
    </w:lvl>
    <w:lvl w:ilvl="4" w:tplc="71367F3C">
      <w:start w:val="1"/>
      <w:numFmt w:val="bullet"/>
      <w:lvlText w:val="o"/>
      <w:lvlJc w:val="left"/>
      <w:pPr>
        <w:ind w:left="3348" w:hanging="360"/>
      </w:pPr>
      <w:rPr>
        <w:rFonts w:ascii="Courier New" w:eastAsia="Courier New" w:hAnsi="Courier New" w:cs="Courier New" w:hint="default"/>
        <w:color w:val="000000"/>
        <w:sz w:val="24"/>
      </w:rPr>
    </w:lvl>
    <w:lvl w:ilvl="5" w:tplc="7D9401D8">
      <w:start w:val="1"/>
      <w:numFmt w:val="bullet"/>
      <w:lvlText w:val=""/>
      <w:lvlJc w:val="left"/>
      <w:pPr>
        <w:ind w:left="4068" w:hanging="360"/>
      </w:pPr>
      <w:rPr>
        <w:rFonts w:ascii="Wingdings" w:eastAsia="Wingdings" w:hAnsi="Wingdings" w:cs="Wingdings" w:hint="default"/>
        <w:color w:val="000000"/>
        <w:sz w:val="24"/>
      </w:rPr>
    </w:lvl>
    <w:lvl w:ilvl="6" w:tplc="3618C0FA">
      <w:start w:val="1"/>
      <w:numFmt w:val="bullet"/>
      <w:lvlText w:val=""/>
      <w:lvlJc w:val="left"/>
      <w:pPr>
        <w:ind w:left="4788" w:hanging="360"/>
      </w:pPr>
      <w:rPr>
        <w:rFonts w:ascii="Symbol" w:eastAsia="Symbol" w:hAnsi="Symbol" w:cs="Symbol" w:hint="default"/>
        <w:color w:val="000000"/>
        <w:sz w:val="24"/>
      </w:rPr>
    </w:lvl>
    <w:lvl w:ilvl="7" w:tplc="EAB6D6F0">
      <w:start w:val="1"/>
      <w:numFmt w:val="bullet"/>
      <w:lvlText w:val="o"/>
      <w:lvlJc w:val="left"/>
      <w:pPr>
        <w:ind w:left="5508" w:hanging="360"/>
      </w:pPr>
      <w:rPr>
        <w:rFonts w:ascii="Courier New" w:eastAsia="Courier New" w:hAnsi="Courier New" w:cs="Courier New" w:hint="default"/>
        <w:color w:val="000000"/>
        <w:sz w:val="24"/>
      </w:rPr>
    </w:lvl>
    <w:lvl w:ilvl="8" w:tplc="3C22421C">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DB6076D"/>
    <w:multiLevelType w:val="hybridMultilevel"/>
    <w:tmpl w:val="1DCEDC58"/>
    <w:lvl w:ilvl="0" w:tplc="DA78AA2E">
      <w:start w:val="1"/>
      <w:numFmt w:val="decimal"/>
      <w:lvlText w:val="%1."/>
      <w:lvlJc w:val="left"/>
      <w:pPr>
        <w:ind w:left="828" w:hanging="360"/>
      </w:pPr>
      <w:rPr>
        <w:rFonts w:ascii="Calibri" w:eastAsia="Calibri" w:hAnsi="Calibri" w:cs="Calibri" w:hint="default"/>
        <w:color w:val="000000"/>
        <w:sz w:val="24"/>
      </w:rPr>
    </w:lvl>
    <w:lvl w:ilvl="1" w:tplc="597EC374">
      <w:start w:val="1"/>
      <w:numFmt w:val="lowerLetter"/>
      <w:lvlText w:val="%2."/>
      <w:lvlJc w:val="left"/>
      <w:pPr>
        <w:ind w:left="1548" w:hanging="360"/>
      </w:pPr>
      <w:rPr>
        <w:rFonts w:ascii="Calibri" w:eastAsia="Calibri" w:hAnsi="Calibri" w:cs="Calibri" w:hint="default"/>
        <w:color w:val="000000"/>
        <w:sz w:val="24"/>
      </w:rPr>
    </w:lvl>
    <w:lvl w:ilvl="2" w:tplc="CF964A6C">
      <w:start w:val="1"/>
      <w:numFmt w:val="lowerRoman"/>
      <w:lvlText w:val="%3."/>
      <w:lvlJc w:val="right"/>
      <w:pPr>
        <w:ind w:left="2268" w:hanging="180"/>
      </w:pPr>
      <w:rPr>
        <w:rFonts w:ascii="Calibri" w:eastAsia="Calibri" w:hAnsi="Calibri" w:cs="Calibri" w:hint="default"/>
        <w:color w:val="000000"/>
        <w:sz w:val="24"/>
      </w:rPr>
    </w:lvl>
    <w:lvl w:ilvl="3" w:tplc="86A84BAC">
      <w:start w:val="1"/>
      <w:numFmt w:val="decimal"/>
      <w:lvlText w:val="%4."/>
      <w:lvlJc w:val="left"/>
      <w:pPr>
        <w:ind w:left="2988" w:hanging="360"/>
      </w:pPr>
      <w:rPr>
        <w:rFonts w:ascii="Calibri" w:eastAsia="Calibri" w:hAnsi="Calibri" w:cs="Calibri" w:hint="default"/>
        <w:color w:val="000000"/>
        <w:sz w:val="24"/>
      </w:rPr>
    </w:lvl>
    <w:lvl w:ilvl="4" w:tplc="56BCECAA">
      <w:start w:val="1"/>
      <w:numFmt w:val="lowerLetter"/>
      <w:lvlText w:val="%5."/>
      <w:lvlJc w:val="left"/>
      <w:pPr>
        <w:ind w:left="3708" w:hanging="360"/>
      </w:pPr>
      <w:rPr>
        <w:rFonts w:ascii="Calibri" w:eastAsia="Calibri" w:hAnsi="Calibri" w:cs="Calibri" w:hint="default"/>
        <w:color w:val="000000"/>
        <w:sz w:val="24"/>
      </w:rPr>
    </w:lvl>
    <w:lvl w:ilvl="5" w:tplc="BD7006A4">
      <w:start w:val="1"/>
      <w:numFmt w:val="lowerRoman"/>
      <w:lvlText w:val="%6."/>
      <w:lvlJc w:val="right"/>
      <w:pPr>
        <w:ind w:left="4428" w:hanging="180"/>
      </w:pPr>
      <w:rPr>
        <w:rFonts w:ascii="Calibri" w:eastAsia="Calibri" w:hAnsi="Calibri" w:cs="Calibri" w:hint="default"/>
        <w:color w:val="000000"/>
        <w:sz w:val="24"/>
      </w:rPr>
    </w:lvl>
    <w:lvl w:ilvl="6" w:tplc="15501838">
      <w:start w:val="1"/>
      <w:numFmt w:val="decimal"/>
      <w:lvlText w:val="%7."/>
      <w:lvlJc w:val="left"/>
      <w:pPr>
        <w:ind w:left="5148" w:hanging="360"/>
      </w:pPr>
      <w:rPr>
        <w:rFonts w:ascii="Calibri" w:eastAsia="Calibri" w:hAnsi="Calibri" w:cs="Calibri" w:hint="default"/>
        <w:color w:val="000000"/>
        <w:sz w:val="24"/>
      </w:rPr>
    </w:lvl>
    <w:lvl w:ilvl="7" w:tplc="6622B1F4">
      <w:start w:val="1"/>
      <w:numFmt w:val="lowerLetter"/>
      <w:lvlText w:val="%8."/>
      <w:lvlJc w:val="left"/>
      <w:pPr>
        <w:ind w:left="5868" w:hanging="360"/>
      </w:pPr>
      <w:rPr>
        <w:rFonts w:ascii="Calibri" w:eastAsia="Calibri" w:hAnsi="Calibri" w:cs="Calibri" w:hint="default"/>
        <w:color w:val="000000"/>
        <w:sz w:val="24"/>
      </w:rPr>
    </w:lvl>
    <w:lvl w:ilvl="8" w:tplc="65F8580A">
      <w:start w:val="1"/>
      <w:numFmt w:val="lowerRoman"/>
      <w:lvlText w:val="%9."/>
      <w:lvlJc w:val="right"/>
      <w:pPr>
        <w:ind w:left="6588" w:hanging="180"/>
      </w:pPr>
      <w:rPr>
        <w:rFonts w:ascii="Calibri" w:eastAsia="Calibri" w:hAnsi="Calibri" w:cs="Calibri" w:hint="default"/>
        <w:color w:val="000000"/>
        <w:sz w:val="24"/>
      </w:rPr>
    </w:lvl>
  </w:abstractNum>
  <w:num w:numId="1" w16cid:durableId="394014447">
    <w:abstractNumId w:val="9"/>
  </w:num>
  <w:num w:numId="2" w16cid:durableId="101194832">
    <w:abstractNumId w:val="4"/>
  </w:num>
  <w:num w:numId="3" w16cid:durableId="1986932920">
    <w:abstractNumId w:val="0"/>
  </w:num>
  <w:num w:numId="4" w16cid:durableId="1244337152">
    <w:abstractNumId w:val="14"/>
  </w:num>
  <w:num w:numId="5" w16cid:durableId="1643995991">
    <w:abstractNumId w:val="11"/>
  </w:num>
  <w:num w:numId="6" w16cid:durableId="42677492">
    <w:abstractNumId w:val="13"/>
  </w:num>
  <w:num w:numId="7" w16cid:durableId="1560239941">
    <w:abstractNumId w:val="8"/>
  </w:num>
  <w:num w:numId="8" w16cid:durableId="1311593129">
    <w:abstractNumId w:val="10"/>
  </w:num>
  <w:num w:numId="9" w16cid:durableId="1195775112">
    <w:abstractNumId w:val="12"/>
  </w:num>
  <w:num w:numId="10" w16cid:durableId="1056053189">
    <w:abstractNumId w:val="3"/>
  </w:num>
  <w:num w:numId="11" w16cid:durableId="759565331">
    <w:abstractNumId w:val="2"/>
  </w:num>
  <w:num w:numId="12" w16cid:durableId="1056120597">
    <w:abstractNumId w:val="7"/>
  </w:num>
  <w:num w:numId="13" w16cid:durableId="1191065242">
    <w:abstractNumId w:val="4"/>
  </w:num>
  <w:num w:numId="14" w16cid:durableId="1313871424">
    <w:abstractNumId w:val="5"/>
  </w:num>
  <w:num w:numId="15" w16cid:durableId="635842557">
    <w:abstractNumId w:val="5"/>
  </w:num>
  <w:num w:numId="16" w16cid:durableId="1284844165">
    <w:abstractNumId w:val="5"/>
  </w:num>
  <w:num w:numId="17" w16cid:durableId="502743817">
    <w:abstractNumId w:val="6"/>
  </w:num>
  <w:num w:numId="18" w16cid:durableId="2034063586">
    <w:abstractNumId w:val="5"/>
  </w:num>
  <w:num w:numId="19" w16cid:durableId="212638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9E4"/>
    <w:rsid w:val="003C49E4"/>
    <w:rsid w:val="003F6E7D"/>
    <w:rsid w:val="008F3B55"/>
    <w:rsid w:val="008F681F"/>
    <w:rsid w:val="00B114F2"/>
    <w:rsid w:val="00FC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B55"/>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8F3B55"/>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8F3B55"/>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F681F"/>
    <w:pPr>
      <w:tabs>
        <w:tab w:val="center" w:pos="4513"/>
        <w:tab w:val="right" w:pos="9026"/>
      </w:tabs>
    </w:pPr>
  </w:style>
  <w:style w:type="character" w:customStyle="1" w:styleId="HeaderChar">
    <w:name w:val="Header Char"/>
    <w:basedOn w:val="DefaultParagraphFont"/>
    <w:link w:val="Header"/>
    <w:uiPriority w:val="99"/>
    <w:rsid w:val="008F681F"/>
  </w:style>
  <w:style w:type="paragraph" w:styleId="Footer">
    <w:name w:val="footer"/>
    <w:basedOn w:val="Normal"/>
    <w:link w:val="FooterChar"/>
    <w:uiPriority w:val="99"/>
    <w:unhideWhenUsed/>
    <w:rsid w:val="008F681F"/>
    <w:pPr>
      <w:tabs>
        <w:tab w:val="center" w:pos="4513"/>
        <w:tab w:val="right" w:pos="9026"/>
      </w:tabs>
    </w:pPr>
  </w:style>
  <w:style w:type="character" w:customStyle="1" w:styleId="FooterChar">
    <w:name w:val="Footer Char"/>
    <w:basedOn w:val="DefaultParagraphFont"/>
    <w:link w:val="Footer"/>
    <w:uiPriority w:val="99"/>
    <w:rsid w:val="008F681F"/>
  </w:style>
  <w:style w:type="character" w:customStyle="1" w:styleId="Heading1Char">
    <w:name w:val="Heading 1 Char"/>
    <w:basedOn w:val="DefaultParagraphFont"/>
    <w:link w:val="Heading1"/>
    <w:uiPriority w:val="9"/>
    <w:rsid w:val="008F3B55"/>
    <w:rPr>
      <w:rFonts w:ascii="Arial" w:eastAsia="Arial" w:hAnsi="Arial" w:cs="Arial"/>
      <w:color w:val="201547"/>
      <w:sz w:val="44"/>
    </w:rPr>
  </w:style>
  <w:style w:type="paragraph" w:styleId="Subtitle">
    <w:name w:val="Subtitle"/>
    <w:basedOn w:val="Normal"/>
    <w:next w:val="Normal"/>
    <w:link w:val="SubtitleChar"/>
    <w:uiPriority w:val="11"/>
    <w:qFormat/>
    <w:rsid w:val="008F3B55"/>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8F3B55"/>
    <w:rPr>
      <w:rFonts w:ascii="Arial" w:eastAsia="Arial" w:hAnsi="Arial" w:cs="Arial"/>
      <w:color w:val="201547"/>
      <w:sz w:val="28"/>
    </w:rPr>
  </w:style>
  <w:style w:type="character" w:customStyle="1" w:styleId="Heading2Char">
    <w:name w:val="Heading 2 Char"/>
    <w:basedOn w:val="DefaultParagraphFont"/>
    <w:link w:val="Heading2"/>
    <w:uiPriority w:val="9"/>
    <w:rsid w:val="008F3B55"/>
    <w:rPr>
      <w:rFonts w:ascii="Arial" w:eastAsia="Arial" w:hAnsi="Arial" w:cs="Arial"/>
      <w:b/>
      <w:bCs/>
      <w:color w:val="201547"/>
      <w:sz w:val="28"/>
    </w:rPr>
  </w:style>
  <w:style w:type="character" w:customStyle="1" w:styleId="Heading3Char">
    <w:name w:val="Heading 3 Char"/>
    <w:basedOn w:val="DefaultParagraphFont"/>
    <w:link w:val="Heading3"/>
    <w:uiPriority w:val="9"/>
    <w:rsid w:val="008F3B55"/>
    <w:rPr>
      <w:rFonts w:ascii="Arial" w:eastAsia="Arial" w:hAnsi="Arial" w:cs="Arial"/>
      <w:b/>
      <w:bCs/>
      <w:color w:val="201547"/>
    </w:rPr>
  </w:style>
  <w:style w:type="character" w:styleId="Hyperlink">
    <w:name w:val="Hyperlink"/>
    <w:basedOn w:val="DefaultParagraphFont"/>
    <w:uiPriority w:val="99"/>
    <w:unhideWhenUsed/>
    <w:rsid w:val="008F3B55"/>
    <w:rPr>
      <w:color w:val="0000FF" w:themeColor="hyperlink"/>
      <w:u w:val="single"/>
    </w:rPr>
  </w:style>
  <w:style w:type="character" w:styleId="UnresolvedMention">
    <w:name w:val="Unresolved Mention"/>
    <w:basedOn w:val="DefaultParagraphFont"/>
    <w:uiPriority w:val="99"/>
    <w:semiHidden/>
    <w:unhideWhenUsed/>
    <w:rsid w:val="008F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aboriginal-therapeutic-home-based-care-program-and-funding-guidelines-word" TargetMode="External"/><Relationship Id="rId13" Type="http://schemas.openxmlformats.org/officeDocument/2006/relationships/hyperlink" Target="http://www.cpmanual.vic.gov.au"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providers.dffh.vic.gov.au/program-requirements-out-home-care-services%3e"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iders.dffh.vic.gov.au/human-services-standards-policy"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providers.dffh.vic.gov.au/families-fairness-housing-health-activity-search" TargetMode="External"/><Relationship Id="rId23" Type="http://schemas.openxmlformats.org/officeDocument/2006/relationships/theme" Target="theme/theme1.xml"/><Relationship Id="rId10" Type="http://schemas.openxmlformats.org/officeDocument/2006/relationships/hyperlink" Target="https://fac.dffh.vic.gov.au/home-based-care-performance-and-reporting-requirements-polic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dhs.vic.gov.au/__data/assets/pdf_file/0006/590496/circle-program-guidelines-may-2009.pdf" TargetMode="External"/><Relationship Id="rId14" Type="http://schemas.openxmlformats.org/officeDocument/2006/relationships/hyperlink" Target="http://providers.dffh.vic.gov.au/guide-emergency-use-physical-restraint-out-home-car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83BC80D-9E06-49ED-874F-EDD11D7DCA47}"/>
</file>

<file path=customXml/itemProps2.xml><?xml version="1.0" encoding="utf-8"?>
<ds:datastoreItem xmlns:ds="http://schemas.openxmlformats.org/officeDocument/2006/customXml" ds:itemID="{C89D73FA-2FA0-43C3-BE31-2AF828FF331E}"/>
</file>

<file path=customXml/itemProps3.xml><?xml version="1.0" encoding="utf-8"?>
<ds:datastoreItem xmlns:ds="http://schemas.openxmlformats.org/officeDocument/2006/customXml" ds:itemID="{5FB947DE-1BB5-4CB8-97BD-4E6D6DCA7B76}"/>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8650</Characters>
  <Application>Microsoft Office Word</Application>
  <DocSecurity>0</DocSecurity>
  <Lines>221</Lines>
  <Paragraphs>134</Paragraphs>
  <ScaleCrop>false</ScaleCrop>
  <HeadingPairs>
    <vt:vector size="2" baseType="variant">
      <vt:variant>
        <vt:lpstr>Title</vt:lpstr>
      </vt:variant>
      <vt:variant>
        <vt:i4>1</vt:i4>
      </vt:variant>
    </vt:vector>
  </HeadingPairs>
  <TitlesOfParts>
    <vt:vector size="1" baseType="lpstr">
      <vt:lpstr>Activity Description Health and Human Services Home Based Care - Therapeutic Foster Care 31413</vt:lpstr>
    </vt:vector>
  </TitlesOfParts>
  <Manager/>
  <Company/>
  <LinksUpToDate>false</LinksUpToDate>
  <CharactersWithSpaces>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Therapeutic Foster Care 31413</dc:title>
  <dc:subject>Activity Description Health and Human Services Home Based Care - Therapeutic Foster Care 31413</dc:subject>
  <dc:creator/>
  <cp:keywords/>
  <dc:description/>
  <cp:lastModifiedBy/>
  <cp:revision>2</cp:revision>
  <dcterms:created xsi:type="dcterms:W3CDTF">2023-09-13T06:19:00Z</dcterms:created>
  <dcterms:modified xsi:type="dcterms:W3CDTF">2023-10-01T23:34:00Z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2023-09-13T06:18:24Z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ce20394b-1bdb-4593-88ad-da0cbb32a08e</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