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526DE" w14:textId="77777777" w:rsidR="0074696E" w:rsidRPr="004C6EEE" w:rsidRDefault="00457807"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7B0CA3D7" wp14:editId="2EF6700F">
            <wp:simplePos x="0" y="0"/>
            <wp:positionH relativeFrom="page">
              <wp:posOffset>0</wp:posOffset>
            </wp:positionH>
            <wp:positionV relativeFrom="page">
              <wp:posOffset>0</wp:posOffset>
            </wp:positionV>
            <wp:extent cx="7564755" cy="232029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4755" cy="2320290"/>
                    </a:xfrm>
                    <a:prstGeom prst="rect">
                      <a:avLst/>
                    </a:prstGeom>
                    <a:noFill/>
                  </pic:spPr>
                </pic:pic>
              </a:graphicData>
            </a:graphic>
            <wp14:sizeRelH relativeFrom="page">
              <wp14:pctWidth>0</wp14:pctWidth>
            </wp14:sizeRelH>
            <wp14:sizeRelV relativeFrom="page">
              <wp14:pctHeight>0</wp14:pctHeight>
            </wp14:sizeRelV>
          </wp:anchor>
        </w:drawing>
      </w:r>
    </w:p>
    <w:p w14:paraId="5351036A" w14:textId="77777777" w:rsidR="00A62D44" w:rsidRPr="004C6EEE" w:rsidRDefault="00A62D44" w:rsidP="00D1443D">
      <w:pPr>
        <w:pStyle w:val="Sectionbreakfirstpage"/>
        <w:rPr>
          <w:rFonts w:eastAsia="Times"/>
          <w:noProof/>
          <w:sz w:val="12"/>
        </w:rPr>
        <w:sectPr w:rsidR="00A62D44" w:rsidRPr="004C6EEE" w:rsidSect="00F922BE">
          <w:headerReference w:type="even" r:id="rId12"/>
          <w:headerReference w:type="default" r:id="rId13"/>
          <w:footerReference w:type="even" r:id="rId14"/>
          <w:footerReference w:type="default" r:id="rId15"/>
          <w:headerReference w:type="first" r:id="rId16"/>
          <w:footerReference w:type="first" r:id="rId17"/>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323"/>
      </w:tblGrid>
      <w:tr w:rsidR="00AD784C" w14:paraId="31641690" w14:textId="77777777" w:rsidTr="00AC4C04">
        <w:trPr>
          <w:trHeight w:val="929"/>
        </w:trPr>
        <w:tc>
          <w:tcPr>
            <w:tcW w:w="8323" w:type="dxa"/>
            <w:shd w:val="clear" w:color="auto" w:fill="auto"/>
            <w:vAlign w:val="bottom"/>
          </w:tcPr>
          <w:p w14:paraId="65FCE182" w14:textId="77777777" w:rsidR="00AD784C" w:rsidRPr="00DE4E5C" w:rsidRDefault="005B2A3A" w:rsidP="006D72EA">
            <w:pPr>
              <w:pStyle w:val="DHHSmainheading"/>
              <w:spacing w:line="270" w:lineRule="atLeast"/>
              <w:rPr>
                <w:sz w:val="44"/>
                <w:szCs w:val="44"/>
              </w:rPr>
            </w:pPr>
            <w:r w:rsidRPr="005B2A3A">
              <w:rPr>
                <w:rFonts w:cs="Arial"/>
                <w:sz w:val="44"/>
                <w:szCs w:val="44"/>
              </w:rPr>
              <w:t xml:space="preserve">Aboriginal community controlled organisations (ACCO) services </w:t>
            </w:r>
            <w:r w:rsidRPr="005B2A3A">
              <w:rPr>
                <w:rFonts w:cs="Arial"/>
                <w:sz w:val="36"/>
                <w:szCs w:val="36"/>
              </w:rPr>
              <w:t>– Family and community services</w:t>
            </w:r>
            <w:r w:rsidR="00F922BE" w:rsidRPr="005B2A3A">
              <w:rPr>
                <w:rFonts w:cs="Arial"/>
                <w:sz w:val="36"/>
                <w:szCs w:val="36"/>
              </w:rPr>
              <w:br/>
            </w:r>
            <w:r w:rsidRPr="005B2A3A">
              <w:rPr>
                <w:rFonts w:cs="Arial"/>
                <w:sz w:val="44"/>
                <w:szCs w:val="44"/>
              </w:rPr>
              <w:t>31260</w:t>
            </w:r>
          </w:p>
        </w:tc>
      </w:tr>
      <w:tr w:rsidR="00AD784C" w14:paraId="269E5FB8" w14:textId="77777777" w:rsidTr="00AC4C04">
        <w:trPr>
          <w:trHeight w:hRule="exact" w:val="1213"/>
        </w:trPr>
        <w:tc>
          <w:tcPr>
            <w:tcW w:w="8323" w:type="dxa"/>
            <w:shd w:val="clear" w:color="auto" w:fill="auto"/>
            <w:tcMar>
              <w:top w:w="170" w:type="dxa"/>
              <w:bottom w:w="510" w:type="dxa"/>
            </w:tcMar>
          </w:tcPr>
          <w:p w14:paraId="67C26016" w14:textId="77777777" w:rsidR="005B2A3A" w:rsidRDefault="00F922BE" w:rsidP="005B2A3A">
            <w:pPr>
              <w:pStyle w:val="DHHSmainsubheading"/>
              <w:rPr>
                <w:szCs w:val="28"/>
              </w:rPr>
            </w:pPr>
            <w:r>
              <w:rPr>
                <w:szCs w:val="28"/>
              </w:rPr>
              <w:t>Outcome objective</w:t>
            </w:r>
            <w:r w:rsidR="00DE4E5C">
              <w:rPr>
                <w:szCs w:val="28"/>
              </w:rPr>
              <w:t>:</w:t>
            </w:r>
            <w:r>
              <w:rPr>
                <w:szCs w:val="28"/>
              </w:rPr>
              <w:t xml:space="preserve"> </w:t>
            </w:r>
            <w:r w:rsidR="005B2A3A" w:rsidRPr="005B2A3A">
              <w:rPr>
                <w:szCs w:val="28"/>
              </w:rPr>
              <w:t>Victorians are safe and secure</w:t>
            </w:r>
          </w:p>
          <w:p w14:paraId="26ED1AAA" w14:textId="77777777" w:rsidR="00DE4E5C" w:rsidRDefault="00F922BE" w:rsidP="005B2A3A">
            <w:pPr>
              <w:pStyle w:val="DHHSmainsubheading"/>
              <w:rPr>
                <w:szCs w:val="28"/>
              </w:rPr>
            </w:pPr>
            <w:r>
              <w:rPr>
                <w:szCs w:val="28"/>
              </w:rPr>
              <w:t xml:space="preserve">Output group: </w:t>
            </w:r>
            <w:r w:rsidR="005B2A3A" w:rsidRPr="005B2A3A">
              <w:rPr>
                <w:szCs w:val="28"/>
              </w:rPr>
              <w:t>Child protection and family services</w:t>
            </w:r>
          </w:p>
          <w:p w14:paraId="7124AA18" w14:textId="77777777" w:rsidR="00F922BE" w:rsidRPr="00AD784C" w:rsidRDefault="00F922BE" w:rsidP="00D1443D">
            <w:pPr>
              <w:pStyle w:val="DHHSmainsubheading"/>
              <w:rPr>
                <w:szCs w:val="28"/>
              </w:rPr>
            </w:pPr>
            <w:r>
              <w:rPr>
                <w:szCs w:val="28"/>
              </w:rPr>
              <w:t xml:space="preserve">Output: </w:t>
            </w:r>
            <w:r w:rsidR="005B2A3A" w:rsidRPr="005B2A3A">
              <w:rPr>
                <w:szCs w:val="28"/>
              </w:rPr>
              <w:t>Family and community services</w:t>
            </w:r>
          </w:p>
        </w:tc>
      </w:tr>
    </w:tbl>
    <w:p w14:paraId="24CAD935" w14:textId="77777777" w:rsidR="007173CA" w:rsidRDefault="007173CA" w:rsidP="006C7A1F">
      <w:pPr>
        <w:pStyle w:val="DHHSbody"/>
        <w:spacing w:beforeLines="40" w:before="96"/>
        <w:sectPr w:rsidR="007173CA" w:rsidSect="00F922BE">
          <w:headerReference w:type="default" r:id="rId18"/>
          <w:footerReference w:type="default" r:id="rId19"/>
          <w:type w:val="continuous"/>
          <w:pgSz w:w="11906" w:h="16838" w:code="9"/>
          <w:pgMar w:top="993" w:right="851" w:bottom="1134" w:left="851" w:header="567" w:footer="510" w:gutter="0"/>
          <w:cols w:space="340"/>
          <w:titlePg/>
          <w:docGrid w:linePitch="360"/>
        </w:sectPr>
      </w:pPr>
      <w:bookmarkStart w:id="1" w:name="_Toc440566508"/>
    </w:p>
    <w:bookmarkEnd w:id="1"/>
    <w:p w14:paraId="14FB850C" w14:textId="77777777" w:rsidR="00A62D44" w:rsidRDefault="00B70F76" w:rsidP="00AC29F4">
      <w:pPr>
        <w:pStyle w:val="Heading1"/>
      </w:pPr>
      <w:r w:rsidRPr="00B70F76">
        <w:t>1.</w:t>
      </w:r>
      <w:r>
        <w:t xml:space="preserve"> </w:t>
      </w:r>
      <w:r w:rsidR="00DF6BAF">
        <w:t xml:space="preserve">Service Objective </w:t>
      </w:r>
    </w:p>
    <w:p w14:paraId="102BD915" w14:textId="77777777" w:rsidR="005B2A3A" w:rsidRPr="00AC29F4" w:rsidRDefault="005B2A3A" w:rsidP="00AC29F4">
      <w:pPr>
        <w:pStyle w:val="DHHSbody"/>
      </w:pPr>
      <w:bookmarkStart w:id="2" w:name="_Toc256778633"/>
      <w:r w:rsidRPr="00AC29F4">
        <w:t>Aboriginal community controlled organisations services – Family and community services aims to promote the health, wellbeing and safety of Aboriginal children, women and families.</w:t>
      </w:r>
    </w:p>
    <w:p w14:paraId="7D33A52F" w14:textId="77777777" w:rsidR="00DF6BAF" w:rsidRDefault="00DE4E5C" w:rsidP="00AC29F4">
      <w:pPr>
        <w:pStyle w:val="Heading1"/>
      </w:pPr>
      <w:r>
        <w:t>2</w:t>
      </w:r>
      <w:r w:rsidR="00B70F76" w:rsidRPr="00B70F76">
        <w:t xml:space="preserve">. </w:t>
      </w:r>
      <w:r w:rsidR="00DF6BAF">
        <w:t>Description of the service</w:t>
      </w:r>
    </w:p>
    <w:p w14:paraId="415502DF" w14:textId="77777777" w:rsidR="005B2A3A" w:rsidRPr="005B2A3A" w:rsidRDefault="005B2A3A" w:rsidP="005B2A3A">
      <w:pPr>
        <w:pStyle w:val="DHHSbody"/>
      </w:pPr>
      <w:r w:rsidRPr="005B2A3A">
        <w:t>Aboriginal community controlled organisations services (ACCO) – Family and community services comprises the following activities:</w:t>
      </w:r>
    </w:p>
    <w:p w14:paraId="755BF628" w14:textId="77777777" w:rsidR="005B2A3A" w:rsidRPr="00AC29F4" w:rsidRDefault="005B2A3A" w:rsidP="005B2A3A">
      <w:pPr>
        <w:pStyle w:val="DHHSbullet1"/>
        <w:rPr>
          <w:b/>
        </w:rPr>
      </w:pPr>
      <w:r w:rsidRPr="00AC29F4">
        <w:rPr>
          <w:b/>
        </w:rPr>
        <w:t>31165 – Aboriginal family services</w:t>
      </w:r>
    </w:p>
    <w:p w14:paraId="63BA7BAF" w14:textId="77777777" w:rsidR="00777F1E" w:rsidRPr="00AC29F4" w:rsidRDefault="005B2A3A" w:rsidP="00777F1E">
      <w:pPr>
        <w:pStyle w:val="DHHSbullet1"/>
        <w:rPr>
          <w:b/>
        </w:rPr>
      </w:pPr>
      <w:r w:rsidRPr="00AC29F4">
        <w:rPr>
          <w:b/>
        </w:rPr>
        <w:t>Aboriginal family-led decision making</w:t>
      </w:r>
    </w:p>
    <w:p w14:paraId="1A7731A8" w14:textId="06F2F244" w:rsidR="00777F1E" w:rsidRDefault="00777F1E" w:rsidP="00AC29F4">
      <w:pPr>
        <w:pStyle w:val="DHHSbody"/>
        <w:rPr>
          <w:lang w:eastAsia="en-AU"/>
        </w:rPr>
      </w:pPr>
      <w:r>
        <w:t xml:space="preserve">Aboriginal family-led decision making (AFLDM) is a culturally based approach to decision making and planning with Aboriginal families </w:t>
      </w:r>
      <w:r w:rsidR="008A231C">
        <w:t xml:space="preserve">involved with child protection </w:t>
      </w:r>
      <w:r>
        <w:t>about the safety needs of their children and how these can be met. Referrals to the program from child protection are considered once abuse or neglect of an Aboriginal child is substantiated. The AFLDM conveners – one from DHHS child protection and one from the Aboriginal community – meet with the family and relevant community members to make decisions about how to respond to protective concerns and keep the child safe in future.</w:t>
      </w:r>
    </w:p>
    <w:p w14:paraId="1CCC01E4" w14:textId="69B8AF4E" w:rsidR="00777F1E" w:rsidRDefault="00777F1E" w:rsidP="00AC29F4">
      <w:pPr>
        <w:pStyle w:val="DHHSbody"/>
      </w:pPr>
      <w:r>
        <w:t>The model utilises traditional Aboriginal approaches to solving family problems and involves Aboriginal elders, the child and extended family. Consideration is to be given to an AFLDM for decision making in relation to best interests planning and placement planning. Funding provides for employment of Aboriginal conveners by ACCOs.</w:t>
      </w:r>
    </w:p>
    <w:p w14:paraId="3291574D" w14:textId="77777777" w:rsidR="00777F1E" w:rsidRPr="00AC29F4" w:rsidRDefault="00777F1E" w:rsidP="00777F1E">
      <w:pPr>
        <w:pStyle w:val="DHHSbullet1"/>
      </w:pPr>
      <w:r w:rsidRPr="00AC29F4">
        <w:t>Aboriginal cultural planning (including brokerage funding)</w:t>
      </w:r>
    </w:p>
    <w:p w14:paraId="0CCEFD2B" w14:textId="188055BD" w:rsidR="00777F1E" w:rsidRPr="00D426F2" w:rsidRDefault="00777F1E" w:rsidP="00AC29F4">
      <w:pPr>
        <w:pStyle w:val="DHHSbody"/>
      </w:pPr>
      <w:r w:rsidRPr="00D426F2">
        <w:t>A cultural plan</w:t>
      </w:r>
      <w:r w:rsidR="004525CA">
        <w:t xml:space="preserve"> </w:t>
      </w:r>
      <w:r w:rsidRPr="00D426F2">
        <w:t>is a requirement under s.176 of the C</w:t>
      </w:r>
      <w:r w:rsidR="008A231C">
        <w:t>hildren, Youth and Families Act 2005 and is to be provided to each</w:t>
      </w:r>
      <w:r w:rsidRPr="00D426F2">
        <w:t xml:space="preserve"> Aboriginal child placed in out-of-home care</w:t>
      </w:r>
      <w:r w:rsidR="008A231C">
        <w:t>.</w:t>
      </w:r>
      <w:r w:rsidR="004525CA">
        <w:t xml:space="preserve"> </w:t>
      </w:r>
      <w:r w:rsidR="008A231C">
        <w:t>Aligned to the case plan i</w:t>
      </w:r>
      <w:r w:rsidRPr="00D426F2">
        <w:t xml:space="preserve">t sets out how an Aboriginal child is to remain connected to his or her Aboriginal community and Aboriginal culture. Funding provides for Senior Advisers – Aboriginal Cultural Planning to be employed by ACCOs to support care teams to develop cultural plans. Brokerage funds are provided to support the implementation of cultural plans. </w:t>
      </w:r>
    </w:p>
    <w:p w14:paraId="7BD30614" w14:textId="77777777" w:rsidR="00777F1E" w:rsidRDefault="00777F1E" w:rsidP="00AC29F4">
      <w:pPr>
        <w:pStyle w:val="DHHSbody"/>
      </w:pPr>
      <w:r>
        <w:t>Funding also provides for statewide coordination of the cultural planning program and for development and maintenance of an online cultural portal to assist in the development of cultural plans.</w:t>
      </w:r>
    </w:p>
    <w:p w14:paraId="699D1497" w14:textId="77777777" w:rsidR="00777F1E" w:rsidRPr="00AC29F4" w:rsidRDefault="00777F1E" w:rsidP="00777F1E">
      <w:pPr>
        <w:pStyle w:val="DHHSbullet1"/>
        <w:rPr>
          <w:b/>
        </w:rPr>
      </w:pPr>
      <w:r w:rsidRPr="00AC29F4">
        <w:rPr>
          <w:b/>
        </w:rPr>
        <w:t>Aboriginal kinship finding</w:t>
      </w:r>
    </w:p>
    <w:p w14:paraId="4A2BD147" w14:textId="77777777" w:rsidR="00777F1E" w:rsidRPr="00D426F2" w:rsidRDefault="00777F1E" w:rsidP="00AC29F4">
      <w:pPr>
        <w:pStyle w:val="DHHSbody"/>
      </w:pPr>
      <w:r w:rsidRPr="00D426F2">
        <w:t>Aboriginal kinship finding services support connections to family, community and culture for Victorian Aboriginal children in kinship care. Funding provides for</w:t>
      </w:r>
      <w:r w:rsidRPr="00D426F2">
        <w:br/>
        <w:t>1. Delivering services according to submission reference number P14441</w:t>
      </w:r>
      <w:r w:rsidRPr="00D426F2">
        <w:br/>
        <w:t>2. Establishment of a genealogy database</w:t>
      </w:r>
      <w:r w:rsidRPr="00D426F2">
        <w:br/>
        <w:t>3. Establishment of an Aboriginal Kinship Finding Advisory Committee</w:t>
      </w:r>
      <w:r w:rsidRPr="00D426F2">
        <w:br/>
      </w:r>
      <w:r w:rsidRPr="00D426F2">
        <w:lastRenderedPageBreak/>
        <w:t>4. Establishment and provision of kinship finding services and supports</w:t>
      </w:r>
      <w:r w:rsidRPr="00D426F2">
        <w:br/>
        <w:t>5. Outreach services as required.</w:t>
      </w:r>
    </w:p>
    <w:p w14:paraId="0E086444" w14:textId="77777777" w:rsidR="00777F1E" w:rsidRPr="002D7CD8" w:rsidRDefault="00777F1E" w:rsidP="00777F1E">
      <w:pPr>
        <w:pStyle w:val="DHHSbullet1"/>
        <w:keepNext/>
        <w:rPr>
          <w:b/>
        </w:rPr>
      </w:pPr>
      <w:r w:rsidRPr="002D7CD8">
        <w:rPr>
          <w:b/>
        </w:rPr>
        <w:t xml:space="preserve">Aboriginal Children in Aboriginal Care </w:t>
      </w:r>
    </w:p>
    <w:p w14:paraId="72FB4583" w14:textId="77777777" w:rsidR="00777F1E" w:rsidRPr="001E70B4" w:rsidRDefault="00777F1E" w:rsidP="00AC29F4">
      <w:pPr>
        <w:pStyle w:val="DHHSbody"/>
      </w:pPr>
      <w:r w:rsidRPr="009C617E">
        <w:t xml:space="preserve">Aboriginal Children in Aboriginal Care (ACAC) is the program name for Section 18 of the </w:t>
      </w:r>
      <w:r w:rsidRPr="00641B6B">
        <w:rPr>
          <w:i/>
        </w:rPr>
        <w:t>Children, Youth and Families Act 2005</w:t>
      </w:r>
      <w:r>
        <w:t>. Section 18</w:t>
      </w:r>
      <w:r w:rsidRPr="009C617E">
        <w:t xml:space="preserve"> enables the Secretary to the Department of Health and Human Services to authorise the Principal Officer of an Aboriginal agency to perform specified functions and powers conferred on the Secretary in relation to Aboriginal child</w:t>
      </w:r>
      <w:r>
        <w:t>ren</w:t>
      </w:r>
      <w:r w:rsidRPr="009C617E">
        <w:t xml:space="preserve"> or young </w:t>
      </w:r>
      <w:r>
        <w:t xml:space="preserve">people </w:t>
      </w:r>
      <w:r w:rsidRPr="009C617E">
        <w:t>subject to protection order</w:t>
      </w:r>
      <w:r>
        <w:t>s</w:t>
      </w:r>
      <w:r w:rsidRPr="009C617E">
        <w:t>.</w:t>
      </w:r>
      <w:r>
        <w:t xml:space="preserve"> Funding provides for employment of ACAC practitioners, legal services and administration support to deliver the program.</w:t>
      </w:r>
    </w:p>
    <w:p w14:paraId="54F49CDF" w14:textId="77777777" w:rsidR="005B2A3A" w:rsidRPr="00AC29F4" w:rsidRDefault="005B2A3A" w:rsidP="005B2A3A">
      <w:pPr>
        <w:pStyle w:val="DHHSbullet1"/>
        <w:rPr>
          <w:b/>
        </w:rPr>
      </w:pPr>
      <w:r w:rsidRPr="00AC29F4">
        <w:rPr>
          <w:b/>
        </w:rPr>
        <w:t>31301 – Child protection and family services sector development.</w:t>
      </w:r>
    </w:p>
    <w:p w14:paraId="4732EE14" w14:textId="77777777" w:rsidR="005B2A3A" w:rsidRPr="005B2A3A" w:rsidRDefault="005B2A3A" w:rsidP="005B2A3A">
      <w:pPr>
        <w:pStyle w:val="DHHSbody"/>
      </w:pPr>
      <w:r w:rsidRPr="005B2A3A">
        <w:t>This service has been created as part of the Flexible funding arrangements, one of three components of the Simplifying funding and reporting for Aboriginal community controlled organisations initiative.</w:t>
      </w:r>
    </w:p>
    <w:p w14:paraId="07E451A8" w14:textId="77777777" w:rsidR="005B2A3A" w:rsidRPr="005B2A3A" w:rsidRDefault="005B2A3A" w:rsidP="005B2A3A">
      <w:pPr>
        <w:pStyle w:val="DHHSbody"/>
      </w:pPr>
      <w:r w:rsidRPr="005B2A3A">
        <w:t>If organisations are not utilising flexible funding arrangements they should refer to the original activities in the Human services policy and funding plan:</w:t>
      </w:r>
    </w:p>
    <w:p w14:paraId="5D1D4C15" w14:textId="77777777" w:rsidR="005B2A3A" w:rsidRPr="00AC29F4" w:rsidRDefault="005B2A3A" w:rsidP="00D93566">
      <w:pPr>
        <w:pStyle w:val="DHHSbullet1"/>
        <w:rPr>
          <w:b/>
        </w:rPr>
      </w:pPr>
      <w:r w:rsidRPr="00AC29F4">
        <w:rPr>
          <w:b/>
        </w:rPr>
        <w:t>Aboriginal family services (31165)</w:t>
      </w:r>
    </w:p>
    <w:p w14:paraId="47FCA85B" w14:textId="6EA7A1F0" w:rsidR="005B2A3A" w:rsidRPr="00AC29F4" w:rsidRDefault="005B2A3A" w:rsidP="005B2A3A">
      <w:pPr>
        <w:pStyle w:val="DHHSbullet1"/>
        <w:rPr>
          <w:b/>
        </w:rPr>
      </w:pPr>
      <w:r w:rsidRPr="00AC29F4">
        <w:rPr>
          <w:b/>
        </w:rPr>
        <w:t>Child protection and family services sector development (31301)</w:t>
      </w:r>
    </w:p>
    <w:p w14:paraId="42D38606" w14:textId="7EE261EC" w:rsidR="005B2A3A" w:rsidRPr="00AC29F4" w:rsidRDefault="00777F1E" w:rsidP="00AC29F4">
      <w:pPr>
        <w:pStyle w:val="DHHSbody"/>
      </w:pPr>
      <w:r w:rsidRPr="00AC29F4">
        <w:t>ACCOs</w:t>
      </w:r>
      <w:r w:rsidR="005B2A3A" w:rsidRPr="00AC29F4">
        <w:t xml:space="preserve">, in consultation with department staff, </w:t>
      </w:r>
      <w:r w:rsidR="00AC29F4" w:rsidRPr="00AC29F4">
        <w:t>can</w:t>
      </w:r>
      <w:r w:rsidR="005B2A3A" w:rsidRPr="00AC29F4">
        <w:t xml:space="preserve"> review and redirect some or all of their funding within this service. This provides Aboriginal community controlled organisations with the opportunity to realign their funding to further meet their community’s needs.</w:t>
      </w:r>
    </w:p>
    <w:p w14:paraId="47C95B49" w14:textId="77777777" w:rsidR="005B2A3A" w:rsidRPr="00AC29F4" w:rsidRDefault="005B2A3A" w:rsidP="00AC29F4">
      <w:pPr>
        <w:pStyle w:val="DHHSbody"/>
      </w:pPr>
      <w:r w:rsidRPr="00AC29F4">
        <w:t>Service changes are to reflect this output group’s objective, the community’s needs, departmental requirements and state and national objectives.</w:t>
      </w:r>
    </w:p>
    <w:p w14:paraId="12BFE7D3" w14:textId="77777777" w:rsidR="005B2A3A" w:rsidRPr="00AC29F4" w:rsidRDefault="005B2A3A" w:rsidP="00AC29F4">
      <w:pPr>
        <w:pStyle w:val="DHHSbody"/>
      </w:pPr>
      <w:r w:rsidRPr="00AC29F4">
        <w:t>Where a change in service is negotiated; departmental staff within the division, in conjunction with Aboriginal community controlled organisations staff, will document the proposed changes on the Flexible funding planning template.</w:t>
      </w:r>
    </w:p>
    <w:p w14:paraId="672D3722" w14:textId="77777777" w:rsidR="005B2A3A" w:rsidRPr="00AC29F4" w:rsidRDefault="005B2A3A" w:rsidP="00AC29F4">
      <w:pPr>
        <w:pStyle w:val="DHHSbody"/>
      </w:pPr>
      <w:r w:rsidRPr="00AC29F4">
        <w:t>The department’s Divisional Director is required to endorse the template prior to service changes being implemented.</w:t>
      </w:r>
    </w:p>
    <w:p w14:paraId="4CA8F701" w14:textId="77777777" w:rsidR="005B2A3A" w:rsidRPr="00AC29F4" w:rsidRDefault="005B2A3A" w:rsidP="00AC29F4">
      <w:pPr>
        <w:pStyle w:val="DHHSbody"/>
      </w:pPr>
      <w:r w:rsidRPr="00AC29F4">
        <w:t>It is not mandatory for Aboriginal community controlled organisations to implement flexible funding arrangements. Aboriginal community controlled organisations can continue delivering their current service mix or opt to change some or all of their service mix at any stage of the current or future service agreements.</w:t>
      </w:r>
    </w:p>
    <w:p w14:paraId="0918D189" w14:textId="77777777" w:rsidR="00B70F76" w:rsidRPr="00B70F76" w:rsidRDefault="00DF6BAF" w:rsidP="00AC29F4">
      <w:pPr>
        <w:pStyle w:val="Heading1"/>
      </w:pPr>
      <w:r>
        <w:t xml:space="preserve">3. </w:t>
      </w:r>
      <w:r w:rsidR="00B70F76" w:rsidRPr="00B70F76">
        <w:t>Client group</w:t>
      </w:r>
    </w:p>
    <w:p w14:paraId="182B2507" w14:textId="77777777" w:rsidR="00B70F76" w:rsidRDefault="00B70F76" w:rsidP="005B2A3A">
      <w:pPr>
        <w:pStyle w:val="DHHSbody"/>
      </w:pPr>
      <w:r>
        <w:t xml:space="preserve">The client group this </w:t>
      </w:r>
      <w:r w:rsidR="00EC4117">
        <w:t xml:space="preserve">activity </w:t>
      </w:r>
      <w:r>
        <w:t xml:space="preserve">is targeted at </w:t>
      </w:r>
      <w:r w:rsidR="005B2A3A" w:rsidRPr="005B2A3A">
        <w:t>Aboriginal children, young people and families whose health, wellbeing, safety and development are at risk or those who have come into contact with the child protection system.</w:t>
      </w:r>
    </w:p>
    <w:p w14:paraId="4A38301F" w14:textId="77777777" w:rsidR="002D1AA5" w:rsidRDefault="00DF6BAF" w:rsidP="00AC29F4">
      <w:pPr>
        <w:pStyle w:val="Heading1"/>
      </w:pPr>
      <w:r>
        <w:t>4</w:t>
      </w:r>
      <w:r w:rsidR="00B70F76">
        <w:t xml:space="preserve">. Obligations specific to this </w:t>
      </w:r>
      <w:r w:rsidR="00EC4117">
        <w:t>activity</w:t>
      </w:r>
    </w:p>
    <w:p w14:paraId="689AE00A"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1891C41D" w14:textId="77777777" w:rsidR="00EF5C28" w:rsidRPr="001F3DE2" w:rsidRDefault="00EF5C28" w:rsidP="00AC29F4">
      <w:pPr>
        <w:pStyle w:val="Heading2"/>
      </w:pPr>
      <w:r w:rsidRPr="001F3DE2">
        <w:t xml:space="preserve">4a.  Registration and Accreditation </w:t>
      </w:r>
    </w:p>
    <w:p w14:paraId="2B1D5644" w14:textId="77777777" w:rsidR="00EF5C28" w:rsidRPr="00AC29F4" w:rsidRDefault="00EF5C28" w:rsidP="00AC29F4">
      <w:pPr>
        <w:pStyle w:val="DHHSbullet1"/>
        <w:rPr>
          <w:rStyle w:val="DHHSbodyChar"/>
        </w:rPr>
      </w:pPr>
      <w:r w:rsidRPr="00AC29F4">
        <w:rPr>
          <w:rStyle w:val="DHHSbodyChar"/>
        </w:rPr>
        <w:t>Independent review and accreditation against the department’s Human Services Standards, unless exempted</w:t>
      </w:r>
    </w:p>
    <w:p w14:paraId="1F833E5B" w14:textId="77777777" w:rsidR="00EF5C28" w:rsidRPr="00AC29F4" w:rsidRDefault="00EF5C28" w:rsidP="00AC29F4">
      <w:pPr>
        <w:pStyle w:val="DHHSbullet1"/>
        <w:rPr>
          <w:rStyle w:val="DHHSbodyChar"/>
        </w:rPr>
      </w:pPr>
      <w:r w:rsidRPr="00AC29F4">
        <w:rPr>
          <w:rStyle w:val="DHHSbodyChar"/>
        </w:rPr>
        <w:t>Registration under the Children, Youth and Families Act 2005</w:t>
      </w:r>
    </w:p>
    <w:p w14:paraId="41C3DFE1" w14:textId="74570A7A" w:rsidR="00EF5C28" w:rsidRPr="001F3DE2" w:rsidRDefault="00EF5C28" w:rsidP="00AC29F4">
      <w:pPr>
        <w:pStyle w:val="Heading2"/>
      </w:pPr>
      <w:r w:rsidRPr="001F3DE2">
        <w:t xml:space="preserve">4b. Program requirements and other policy guidelines </w:t>
      </w:r>
    </w:p>
    <w:bookmarkStart w:id="3" w:name="_Toc421023841"/>
    <w:bookmarkStart w:id="4" w:name="_Toc475953722"/>
    <w:bookmarkStart w:id="5" w:name="_Toc477437702"/>
    <w:bookmarkStart w:id="6" w:name="_Toc529373787"/>
    <w:p w14:paraId="355539A7" w14:textId="77777777" w:rsidR="00F57CB3" w:rsidRPr="00F57CB3" w:rsidRDefault="00F57CB3" w:rsidP="00564831">
      <w:pPr>
        <w:pStyle w:val="DHHSbullet1"/>
        <w:rPr>
          <w:rStyle w:val="Hyperlink"/>
        </w:rPr>
      </w:pPr>
      <w:r w:rsidRPr="00F57CB3">
        <w:rPr>
          <w:rStyle w:val="Hyperlink"/>
        </w:rPr>
        <w:fldChar w:fldCharType="begin"/>
      </w:r>
      <w:r w:rsidRPr="00F57CB3">
        <w:rPr>
          <w:rStyle w:val="Hyperlink"/>
        </w:rPr>
        <w:instrText xml:space="preserve"> HYPERLINK "http://www.cpmanual.vic.gov.au/advice-and-protocols/advice/aboriginal-children/cultural-support-plans" </w:instrText>
      </w:r>
      <w:r w:rsidRPr="00F57CB3">
        <w:rPr>
          <w:rStyle w:val="Hyperlink"/>
        </w:rPr>
        <w:fldChar w:fldCharType="separate"/>
      </w:r>
      <w:r w:rsidR="005B2A3A" w:rsidRPr="00F57CB3">
        <w:rPr>
          <w:rStyle w:val="Hyperlink"/>
        </w:rPr>
        <w:t>Cultural plans</w:t>
      </w:r>
      <w:r w:rsidRPr="00F57CB3">
        <w:rPr>
          <w:rStyle w:val="Hyperlink"/>
        </w:rPr>
        <w:fldChar w:fldCharType="end"/>
      </w:r>
      <w:r w:rsidRPr="00F57CB3">
        <w:rPr>
          <w:rStyle w:val="Hyperlink"/>
        </w:rPr>
        <w:t xml:space="preserve"> </w:t>
      </w:r>
    </w:p>
    <w:p w14:paraId="1270A2BE" w14:textId="0B396E9D" w:rsidR="005B2A3A" w:rsidRPr="00F57CB3" w:rsidRDefault="00AC29F4" w:rsidP="00F57CB3">
      <w:pPr>
        <w:pStyle w:val="DHHSbullet1"/>
        <w:numPr>
          <w:ilvl w:val="0"/>
          <w:numId w:val="0"/>
        </w:numPr>
        <w:ind w:left="284"/>
      </w:pPr>
      <w:r w:rsidRPr="00F57CB3">
        <w:t>&lt;</w:t>
      </w:r>
      <w:r w:rsidR="005B2A3A" w:rsidRPr="00F57CB3">
        <w:t>http://www.cpmanual.vic.gov.au/advice-and-protocols/advice/aboriginal-children/cultural-support-plans</w:t>
      </w:r>
      <w:r w:rsidRPr="00F57CB3">
        <w:t>&gt;</w:t>
      </w:r>
    </w:p>
    <w:p w14:paraId="06200B00" w14:textId="77777777" w:rsidR="00575BC9" w:rsidRPr="00575BC9" w:rsidRDefault="00DF6BAF" w:rsidP="00AC29F4">
      <w:pPr>
        <w:pStyle w:val="Heading1"/>
      </w:pPr>
      <w:r>
        <w:lastRenderedPageBreak/>
        <w:t>5</w:t>
      </w:r>
      <w:r w:rsidR="00575BC9">
        <w:t xml:space="preserve">. </w:t>
      </w:r>
      <w:bookmarkEnd w:id="3"/>
      <w:bookmarkEnd w:id="4"/>
      <w:bookmarkEnd w:id="5"/>
      <w:bookmarkEnd w:id="6"/>
      <w:r w:rsidR="0017293C">
        <w:t>Performance</w:t>
      </w:r>
    </w:p>
    <w:p w14:paraId="1652A66A" w14:textId="77777777" w:rsidR="00575BC9" w:rsidRPr="001F1A17" w:rsidRDefault="00E05E8D" w:rsidP="00AC29F4">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7BC6F8CF" w14:textId="77777777" w:rsidR="00575BC9" w:rsidRPr="000E2F2F" w:rsidRDefault="00E05E8D" w:rsidP="00AC29F4">
      <w:pPr>
        <w:pStyle w:val="Heading2"/>
        <w:rPr>
          <w:color w:val="FF0000"/>
        </w:rPr>
      </w:pPr>
      <w:r>
        <w:t>Key performance measure</w:t>
      </w:r>
      <w:r w:rsidR="005B2A3A">
        <w:t xml:space="preserve"> 1</w:t>
      </w:r>
      <w:r w:rsidR="00575BC9" w:rsidRPr="00575BC9">
        <w:t xml:space="preserve">: </w:t>
      </w:r>
      <w:r w:rsidR="005B2A3A" w:rsidRPr="005B2A3A">
        <w:rPr>
          <w:rStyle w:val="DHHSbodyChar"/>
        </w:rPr>
        <w:t>Number of 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5B2A3A" w:rsidRPr="00C237A0" w14:paraId="70BFA7E3" w14:textId="77777777" w:rsidTr="00AC29F4">
        <w:trPr>
          <w:cantSplit/>
          <w:trHeight w:hRule="exact" w:val="458"/>
        </w:trPr>
        <w:tc>
          <w:tcPr>
            <w:tcW w:w="2835" w:type="dxa"/>
          </w:tcPr>
          <w:p w14:paraId="1B442845" w14:textId="77777777" w:rsidR="005B2A3A" w:rsidRPr="0017293C" w:rsidRDefault="005B2A3A" w:rsidP="0017293C">
            <w:pPr>
              <w:pStyle w:val="DHHStablecolhead"/>
            </w:pPr>
            <w:r w:rsidRPr="00575BC9">
              <w:t>Aim/objective</w:t>
            </w:r>
          </w:p>
        </w:tc>
        <w:tc>
          <w:tcPr>
            <w:tcW w:w="7379" w:type="dxa"/>
          </w:tcPr>
          <w:p w14:paraId="20C99757" w14:textId="7F20434B" w:rsidR="005B2A3A" w:rsidRPr="002E413F" w:rsidRDefault="00B536AF" w:rsidP="00976103">
            <w:pPr>
              <w:pStyle w:val="DHHStabletext"/>
            </w:pPr>
            <w:r w:rsidRPr="00B536AF">
              <w:t>This performance measure is the number of clients receiving service</w:t>
            </w:r>
          </w:p>
        </w:tc>
      </w:tr>
      <w:tr w:rsidR="00B8690F" w:rsidRPr="00C237A0" w14:paraId="45F396AA" w14:textId="77777777" w:rsidTr="00AC29F4">
        <w:trPr>
          <w:cantSplit/>
          <w:trHeight w:hRule="exact" w:val="340"/>
        </w:trPr>
        <w:tc>
          <w:tcPr>
            <w:tcW w:w="2835" w:type="dxa"/>
          </w:tcPr>
          <w:p w14:paraId="0398B404" w14:textId="77777777" w:rsidR="00B8690F" w:rsidRPr="0017293C" w:rsidRDefault="00B8690F" w:rsidP="0017293C">
            <w:pPr>
              <w:pStyle w:val="DHHStablecolhead"/>
            </w:pPr>
            <w:r w:rsidRPr="00575BC9">
              <w:t>Target</w:t>
            </w:r>
          </w:p>
        </w:tc>
        <w:tc>
          <w:tcPr>
            <w:tcW w:w="7379" w:type="dxa"/>
          </w:tcPr>
          <w:p w14:paraId="143EBD5F" w14:textId="77777777" w:rsidR="00B8690F" w:rsidRPr="002F7C4B" w:rsidRDefault="00B8690F" w:rsidP="0017293C">
            <w:pPr>
              <w:pStyle w:val="DHHSbody"/>
              <w:spacing w:after="0"/>
              <w:rPr>
                <w:color w:val="7030A0"/>
              </w:rPr>
            </w:pPr>
            <w:r>
              <w:t>The performance measure target is provided in the Service Agreement.</w:t>
            </w:r>
          </w:p>
        </w:tc>
      </w:tr>
      <w:tr w:rsidR="00B8690F" w:rsidRPr="00C237A0" w14:paraId="11BE2A42" w14:textId="77777777" w:rsidTr="00AC29F4">
        <w:trPr>
          <w:cantSplit/>
          <w:trHeight w:hRule="exact" w:val="340"/>
        </w:trPr>
        <w:tc>
          <w:tcPr>
            <w:tcW w:w="2835" w:type="dxa"/>
          </w:tcPr>
          <w:p w14:paraId="2CE7D798" w14:textId="77777777" w:rsidR="00B8690F" w:rsidRPr="0017293C" w:rsidRDefault="00B8690F" w:rsidP="0017293C">
            <w:pPr>
              <w:pStyle w:val="DHHStablecolhead"/>
            </w:pPr>
            <w:r w:rsidRPr="00575BC9">
              <w:t>Type of count</w:t>
            </w:r>
          </w:p>
        </w:tc>
        <w:tc>
          <w:tcPr>
            <w:tcW w:w="7379" w:type="dxa"/>
          </w:tcPr>
          <w:p w14:paraId="5546A1E8" w14:textId="6D6F3228" w:rsidR="00B8690F" w:rsidRPr="00C237A0" w:rsidRDefault="00B8690F" w:rsidP="0017293C">
            <w:pPr>
              <w:pStyle w:val="DHHStabletext"/>
              <w:spacing w:before="0" w:after="0"/>
            </w:pPr>
            <w:r>
              <w:t xml:space="preserve">Cumulative          </w:t>
            </w:r>
          </w:p>
        </w:tc>
      </w:tr>
      <w:tr w:rsidR="005B2A3A" w:rsidRPr="00C237A0" w14:paraId="405E0AD2" w14:textId="77777777" w:rsidTr="00AC29F4">
        <w:trPr>
          <w:cantSplit/>
          <w:trHeight w:hRule="exact" w:val="1722"/>
        </w:trPr>
        <w:tc>
          <w:tcPr>
            <w:tcW w:w="2835" w:type="dxa"/>
          </w:tcPr>
          <w:p w14:paraId="4767EBCF" w14:textId="77777777" w:rsidR="005B2A3A" w:rsidRPr="0017293C" w:rsidRDefault="005B2A3A" w:rsidP="0017293C">
            <w:pPr>
              <w:pStyle w:val="DHHStablecolhead"/>
            </w:pPr>
            <w:r w:rsidRPr="00575BC9">
              <w:t>Counting rule</w:t>
            </w:r>
          </w:p>
        </w:tc>
        <w:tc>
          <w:tcPr>
            <w:tcW w:w="7379" w:type="dxa"/>
          </w:tcPr>
          <w:p w14:paraId="78CE4920" w14:textId="77777777" w:rsidR="005B2A3A" w:rsidRPr="00B137A8" w:rsidRDefault="005B2A3A" w:rsidP="00976103">
            <w:pPr>
              <w:pStyle w:val="DHHStabletext"/>
            </w:pPr>
            <w:r w:rsidRPr="00B137A8">
              <w:t>Count clients in the first quarter of each financial year as:</w:t>
            </w:r>
          </w:p>
          <w:p w14:paraId="1CD8442B" w14:textId="77777777" w:rsidR="005B2A3A" w:rsidRPr="00B137A8" w:rsidRDefault="005B2A3A" w:rsidP="00976103">
            <w:pPr>
              <w:pStyle w:val="DHHStablebullet"/>
            </w:pPr>
            <w:r w:rsidRPr="00B137A8">
              <w:t>cases o</w:t>
            </w:r>
            <w:r>
              <w:t>pen at the start of the period</w:t>
            </w:r>
          </w:p>
          <w:p w14:paraId="2FBBDCB2" w14:textId="77777777" w:rsidR="005B2A3A" w:rsidRPr="00B137A8" w:rsidRDefault="005B2A3A" w:rsidP="00976103">
            <w:pPr>
              <w:pStyle w:val="DHHStablebullet"/>
            </w:pPr>
            <w:r w:rsidRPr="00B137A8">
              <w:t>new cases opened during the period</w:t>
            </w:r>
            <w:r>
              <w:t>.</w:t>
            </w:r>
          </w:p>
          <w:p w14:paraId="550E5F8C" w14:textId="77777777" w:rsidR="005B2A3A" w:rsidRPr="00B137A8" w:rsidRDefault="005B2A3A" w:rsidP="00976103">
            <w:pPr>
              <w:pStyle w:val="DHHStabletext"/>
            </w:pPr>
            <w:r w:rsidRPr="00B137A8">
              <w:t>Count cases in the remaining three quarters of the financial years as:</w:t>
            </w:r>
          </w:p>
          <w:p w14:paraId="23745142" w14:textId="77777777" w:rsidR="005B2A3A" w:rsidRPr="00C237A0" w:rsidRDefault="005B2A3A" w:rsidP="00976103">
            <w:pPr>
              <w:pStyle w:val="DHHStablebullet"/>
            </w:pPr>
            <w:r w:rsidRPr="00B137A8">
              <w:t>new cases opened</w:t>
            </w:r>
            <w:r>
              <w:t xml:space="preserve"> during the period.</w:t>
            </w:r>
          </w:p>
        </w:tc>
      </w:tr>
      <w:tr w:rsidR="005B2A3A" w:rsidRPr="00C237A0" w14:paraId="5CCDDF95" w14:textId="77777777" w:rsidTr="00AC29F4">
        <w:trPr>
          <w:cantSplit/>
          <w:trHeight w:hRule="exact" w:val="1280"/>
        </w:trPr>
        <w:tc>
          <w:tcPr>
            <w:tcW w:w="2835" w:type="dxa"/>
          </w:tcPr>
          <w:p w14:paraId="72D1FCD1" w14:textId="77777777" w:rsidR="005B2A3A" w:rsidRPr="0017293C" w:rsidRDefault="005B2A3A" w:rsidP="0017293C">
            <w:pPr>
              <w:pStyle w:val="DHHStablecolhead"/>
            </w:pPr>
            <w:r w:rsidRPr="00575BC9">
              <w:t>Data source(s) collection</w:t>
            </w:r>
          </w:p>
        </w:tc>
        <w:tc>
          <w:tcPr>
            <w:tcW w:w="7379" w:type="dxa"/>
          </w:tcPr>
          <w:p w14:paraId="7CDCD8A8" w14:textId="77777777" w:rsidR="005B2A3A" w:rsidRPr="00C00539" w:rsidRDefault="004E0DB5" w:rsidP="00C00539">
            <w:pPr>
              <w:pStyle w:val="DHHStabletext"/>
              <w:rPr>
                <w:rStyle w:val="Hyperlink"/>
                <w:rFonts w:eastAsia="Times"/>
                <w:color w:val="auto"/>
                <w:u w:val="none"/>
              </w:rPr>
            </w:pPr>
            <w:hyperlink r:id="rId20" w:history="1">
              <w:r w:rsidR="005B2A3A" w:rsidRPr="00C00539">
                <w:rPr>
                  <w:rStyle w:val="Hyperlink"/>
                  <w:rFonts w:eastAsia="Times"/>
                  <w:color w:val="auto"/>
                  <w:u w:val="none"/>
                </w:rPr>
                <w:t>Simplifying funding and reporting for Aboriginal Community Controlled organisations Planning process template ACCO Services – Family and community services (31260)</w:t>
              </w:r>
            </w:hyperlink>
          </w:p>
          <w:p w14:paraId="3F709340" w14:textId="77777777" w:rsidR="005B2A3A" w:rsidRPr="00B137A8" w:rsidRDefault="005B2A3A" w:rsidP="00976103">
            <w:pPr>
              <w:pStyle w:val="DHHStabletext"/>
            </w:pPr>
            <w:r w:rsidRPr="00B137A8">
              <w:rPr>
                <w:rFonts w:cs="Arial"/>
              </w:rPr>
              <w:t>&lt;</w:t>
            </w:r>
            <w:r w:rsidRPr="003F311C">
              <w:t>http://providers.dhhs.vic.gov.au/aboriginal-children-care</w:t>
            </w:r>
            <w:r w:rsidRPr="00B137A8">
              <w:rPr>
                <w:rFonts w:cs="Arial"/>
              </w:rPr>
              <w:t>&gt;</w:t>
            </w:r>
          </w:p>
        </w:tc>
      </w:tr>
      <w:tr w:rsidR="005B2A3A" w:rsidRPr="00C237A0" w14:paraId="6FC8C053" w14:textId="77777777" w:rsidTr="00AC29F4">
        <w:trPr>
          <w:cantSplit/>
          <w:trHeight w:hRule="exact" w:val="841"/>
        </w:trPr>
        <w:tc>
          <w:tcPr>
            <w:tcW w:w="2835" w:type="dxa"/>
          </w:tcPr>
          <w:p w14:paraId="61072F18" w14:textId="77777777" w:rsidR="005B2A3A" w:rsidRPr="0017293C" w:rsidRDefault="005B2A3A" w:rsidP="0017293C">
            <w:pPr>
              <w:pStyle w:val="DHHStablecolhead"/>
            </w:pPr>
            <w:r w:rsidRPr="00575BC9">
              <w:t>Definition of terms</w:t>
            </w:r>
          </w:p>
        </w:tc>
        <w:tc>
          <w:tcPr>
            <w:tcW w:w="7379" w:type="dxa"/>
          </w:tcPr>
          <w:p w14:paraId="6BA68EFF" w14:textId="77777777" w:rsidR="005B2A3A" w:rsidRPr="00C237A0" w:rsidRDefault="005B2A3A" w:rsidP="00976103">
            <w:pPr>
              <w:pStyle w:val="DHHStabletext"/>
            </w:pPr>
            <w:r w:rsidRPr="003B7592">
              <w:t>A client is defined as an Aboriginal family with a child/ren aged between 0 and 17 years old or an unborn child who meets the target group requirements. Definition is inclusive of kinship and foster care families.</w:t>
            </w:r>
          </w:p>
        </w:tc>
      </w:tr>
    </w:tbl>
    <w:p w14:paraId="03871B61" w14:textId="77777777" w:rsidR="00575BC9" w:rsidRPr="00575BC9" w:rsidRDefault="00DF6BAF" w:rsidP="00AC29F4">
      <w:pPr>
        <w:pStyle w:val="Heading1"/>
      </w:pPr>
      <w:r>
        <w:t>6</w:t>
      </w:r>
      <w:r w:rsidR="00575BC9">
        <w:t>. Data collection</w:t>
      </w:r>
    </w:p>
    <w:p w14:paraId="71320904" w14:textId="77777777" w:rsidR="00575BC9" w:rsidRPr="00AC29F4" w:rsidRDefault="00A11FC5" w:rsidP="00AC29F4">
      <w:pPr>
        <w:pStyle w:val="DHHSbody"/>
      </w:pPr>
      <w:r w:rsidRPr="00AC29F4">
        <w:t>The r</w:t>
      </w:r>
      <w:r w:rsidR="0087683C" w:rsidRPr="00AC29F4">
        <w:t>eporting requirements for this service</w:t>
      </w:r>
      <w:r w:rsidRPr="00AC29F4">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2EEA28F0" w14:textId="77777777" w:rsidTr="006C7A1F">
        <w:trPr>
          <w:trHeight w:hRule="exact" w:val="340"/>
          <w:tblHeader/>
        </w:trPr>
        <w:tc>
          <w:tcPr>
            <w:tcW w:w="2580" w:type="dxa"/>
            <w:vAlign w:val="center"/>
          </w:tcPr>
          <w:p w14:paraId="2790C1CF" w14:textId="77777777" w:rsidR="00575BC9" w:rsidRPr="00575BC9" w:rsidRDefault="00575BC9" w:rsidP="0017293C">
            <w:pPr>
              <w:pStyle w:val="DHHStablecolhead"/>
              <w:spacing w:before="0" w:after="0"/>
            </w:pPr>
            <w:r w:rsidRPr="00575BC9">
              <w:t>Data collection name</w:t>
            </w:r>
          </w:p>
        </w:tc>
        <w:tc>
          <w:tcPr>
            <w:tcW w:w="2580" w:type="dxa"/>
            <w:vAlign w:val="center"/>
          </w:tcPr>
          <w:p w14:paraId="7767F6A4"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6A6DE69D"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15350AC0" w14:textId="77777777" w:rsidR="00575BC9" w:rsidRPr="00575BC9" w:rsidRDefault="00575BC9" w:rsidP="0017293C">
            <w:pPr>
              <w:pStyle w:val="DHHStablecolhead"/>
              <w:spacing w:before="0" w:after="0"/>
            </w:pPr>
            <w:r w:rsidRPr="00575BC9">
              <w:t>Reporting cycle</w:t>
            </w:r>
          </w:p>
        </w:tc>
      </w:tr>
      <w:tr w:rsidR="005B2A3A" w:rsidRPr="00C237A0" w14:paraId="349B9594" w14:textId="77777777" w:rsidTr="00976103">
        <w:trPr>
          <w:trHeight w:val="776"/>
        </w:trPr>
        <w:tc>
          <w:tcPr>
            <w:tcW w:w="2580" w:type="dxa"/>
          </w:tcPr>
          <w:p w14:paraId="68315A13" w14:textId="77777777" w:rsidR="005B2A3A" w:rsidRPr="00713F6C" w:rsidRDefault="005B2A3A" w:rsidP="00976103">
            <w:pPr>
              <w:pStyle w:val="DHHStabletext"/>
            </w:pPr>
            <w:r w:rsidRPr="003B7592">
              <w:t>Department of Human Services flexible funding model: ACCO services –family and community services</w:t>
            </w:r>
          </w:p>
        </w:tc>
        <w:tc>
          <w:tcPr>
            <w:tcW w:w="2580" w:type="dxa"/>
          </w:tcPr>
          <w:p w14:paraId="48597167" w14:textId="77777777" w:rsidR="005B2A3A" w:rsidRPr="003B7592" w:rsidRDefault="005B2A3A" w:rsidP="00976103">
            <w:pPr>
              <w:pStyle w:val="DHHStabletext"/>
            </w:pPr>
            <w:r w:rsidRPr="003B7592">
              <w:t>Manual</w:t>
            </w:r>
          </w:p>
        </w:tc>
        <w:tc>
          <w:tcPr>
            <w:tcW w:w="2580" w:type="dxa"/>
          </w:tcPr>
          <w:p w14:paraId="2A6068D7" w14:textId="77777777" w:rsidR="005B2A3A" w:rsidRPr="003B7592" w:rsidRDefault="005B2A3A" w:rsidP="00976103">
            <w:pPr>
              <w:pStyle w:val="DHHStabletext"/>
            </w:pPr>
            <w:r>
              <w:t>ACCO s</w:t>
            </w:r>
            <w:r w:rsidRPr="003B7592">
              <w:t>ervices –</w:t>
            </w:r>
            <w:r>
              <w:t xml:space="preserve"> F</w:t>
            </w:r>
            <w:r w:rsidRPr="003B7592">
              <w:t>amily and community services</w:t>
            </w:r>
          </w:p>
        </w:tc>
        <w:tc>
          <w:tcPr>
            <w:tcW w:w="2508" w:type="dxa"/>
          </w:tcPr>
          <w:p w14:paraId="4FA2D393" w14:textId="77777777" w:rsidR="005B2A3A" w:rsidRPr="003B7592" w:rsidRDefault="005B2A3A" w:rsidP="00976103">
            <w:pPr>
              <w:pStyle w:val="DHHStabletext"/>
            </w:pPr>
            <w:r w:rsidRPr="003B7592">
              <w:t>Quarterly</w:t>
            </w:r>
          </w:p>
        </w:tc>
      </w:tr>
      <w:bookmarkEnd w:id="2"/>
    </w:tbl>
    <w:p w14:paraId="4FC62D2D" w14:textId="77777777" w:rsidR="006C7A1F" w:rsidRDefault="006C7A1F" w:rsidP="00AA3CA8">
      <w:pPr>
        <w:rPr>
          <w:sz w:val="4"/>
          <w:szCs w:val="4"/>
        </w:rPr>
      </w:pPr>
    </w:p>
    <w:p w14:paraId="00BFEC19" w14:textId="77777777" w:rsidR="006C7A1F" w:rsidRDefault="006C7A1F" w:rsidP="00AA3CA8">
      <w:pPr>
        <w:rPr>
          <w:sz w:val="4"/>
          <w:szCs w:val="4"/>
        </w:rPr>
      </w:pPr>
    </w:p>
    <w:tbl>
      <w:tblPr>
        <w:tblW w:w="5000" w:type="pct"/>
        <w:tblInd w:w="113" w:type="dxa"/>
        <w:tblCellMar>
          <w:top w:w="113" w:type="dxa"/>
          <w:bottom w:w="57" w:type="dxa"/>
        </w:tblCellMar>
        <w:tblLook w:val="00A0" w:firstRow="1" w:lastRow="0" w:firstColumn="1" w:lastColumn="0" w:noHBand="0" w:noVBand="0"/>
      </w:tblPr>
      <w:tblGrid>
        <w:gridCol w:w="10194"/>
      </w:tblGrid>
      <w:tr w:rsidR="006A7939" w:rsidRPr="002802E3" w14:paraId="2209A86D" w14:textId="77777777" w:rsidTr="00AC4C04">
        <w:trPr>
          <w:cantSplit/>
          <w:trHeight w:val="2490"/>
        </w:trPr>
        <w:tc>
          <w:tcPr>
            <w:tcW w:w="5000" w:type="pct"/>
            <w:tcBorders>
              <w:top w:val="single" w:sz="4" w:space="0" w:color="auto"/>
              <w:left w:val="single" w:sz="4" w:space="0" w:color="auto"/>
              <w:bottom w:val="single" w:sz="4" w:space="0" w:color="auto"/>
              <w:right w:val="single" w:sz="4" w:space="0" w:color="auto"/>
            </w:tcBorders>
            <w:vAlign w:val="bottom"/>
          </w:tcPr>
          <w:p w14:paraId="5685B251" w14:textId="77777777" w:rsidR="00AC4C04" w:rsidRDefault="00AC4C04" w:rsidP="00AC4C04">
            <w:pPr>
              <w:pStyle w:val="DHHSaccessibilitypara"/>
            </w:pPr>
            <w:r>
              <w:t xml:space="preserve">To receive this publication in an accessible format </w:t>
            </w:r>
            <w:hyperlink r:id="rId21" w:history="1">
              <w:r>
                <w:rPr>
                  <w:rStyle w:val="Hyperlink"/>
                </w:rPr>
                <w:t>email Service Agreement Policy</w:t>
              </w:r>
            </w:hyperlink>
            <w:r>
              <w:t xml:space="preserve"> &lt;</w:t>
            </w:r>
            <w:hyperlink r:id="rId22" w:history="1">
              <w:r>
                <w:rPr>
                  <w:rStyle w:val="Hyperlink"/>
                </w:rPr>
                <w:t>sapolicy@dhhs.vic.gov.au</w:t>
              </w:r>
            </w:hyperlink>
            <w:r>
              <w:t>&gt;</w:t>
            </w:r>
          </w:p>
          <w:p w14:paraId="6216B80C" w14:textId="700CC503" w:rsidR="00AC4C04" w:rsidRDefault="00AC4C04" w:rsidP="00AC4C04">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146A4D">
              <w:rPr>
                <w:sz w:val="16"/>
                <w:szCs w:val="16"/>
              </w:rPr>
              <w:t>Updated October 2020.</w:t>
            </w:r>
            <w:r>
              <w:rPr>
                <w:sz w:val="16"/>
                <w:szCs w:val="16"/>
              </w:rPr>
              <w:t>Where the term ‘Aboriginal’ is used it refers to both Aboriginal and Torres Strait Islander people. Indigenous is retained when it is part of the title of a report, program or quotation. ISSN 2207-8347 (online/PDF/Word)</w:t>
            </w:r>
          </w:p>
          <w:p w14:paraId="7FD83445" w14:textId="1C9F9069" w:rsidR="00AC29F4" w:rsidRDefault="00AC4C04" w:rsidP="00AC4C04">
            <w:pPr>
              <w:rPr>
                <w:lang w:eastAsia="en-US"/>
              </w:rPr>
            </w:pPr>
            <w:r>
              <w:t xml:space="preserve">Available on the department’s </w:t>
            </w:r>
            <w:hyperlink r:id="rId23" w:history="1">
              <w:r>
                <w:rPr>
                  <w:rStyle w:val="Hyperlink"/>
                </w:rPr>
                <w:t>Health and human services activity search</w:t>
              </w:r>
            </w:hyperlink>
            <w:r>
              <w:t xml:space="preserve"> &lt;</w:t>
            </w:r>
            <w:hyperlink r:id="rId24" w:history="1">
              <w:r>
                <w:rPr>
                  <w:rStyle w:val="Hyperlink"/>
                </w:rPr>
                <w:t>http://providers.dhhs.vic.gov.au/health-human-services-activity-search</w:t>
              </w:r>
            </w:hyperlink>
            <w:r>
              <w:rPr>
                <w:color w:val="000000"/>
              </w:rPr>
              <w:t>&gt;</w:t>
            </w:r>
          </w:p>
          <w:p w14:paraId="1BCBACE1" w14:textId="77777777" w:rsidR="006A7939" w:rsidRPr="00AC29F4" w:rsidRDefault="006A7939" w:rsidP="00AC29F4">
            <w:pPr>
              <w:rPr>
                <w:lang w:eastAsia="en-US"/>
              </w:rPr>
            </w:pPr>
          </w:p>
        </w:tc>
      </w:tr>
    </w:tbl>
    <w:p w14:paraId="678F2F0B"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1C89D" w14:textId="77777777" w:rsidR="002C3D25" w:rsidRDefault="002C3D25">
      <w:r>
        <w:separator/>
      </w:r>
    </w:p>
  </w:endnote>
  <w:endnote w:type="continuationSeparator" w:id="0">
    <w:p w14:paraId="3A212E06" w14:textId="77777777" w:rsidR="002C3D25" w:rsidRDefault="002C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821A0" w14:textId="77777777" w:rsidR="004E0DB5" w:rsidRDefault="004E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20A49"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62D3AC77" wp14:editId="6D8C44C4">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D3A1" w14:textId="77777777" w:rsidR="004E0DB5" w:rsidRDefault="004E0D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CA93" w14:textId="2D82D4CB" w:rsidR="009D70A4" w:rsidRPr="00A11421" w:rsidRDefault="00146A4D" w:rsidP="0051568D">
    <w:pPr>
      <w:pStyle w:val="DHHSfooter"/>
    </w:pPr>
    <w:r w:rsidRPr="00146A4D">
      <w:t xml:space="preserve">Child Protection Family Services </w:t>
    </w:r>
    <w:r>
      <w:t xml:space="preserve">31260 </w:t>
    </w:r>
    <w:r w:rsidR="00AC29F4">
      <w:t xml:space="preserve">ACCO Family Community Services </w:t>
    </w:r>
    <w:r w:rsidR="009D70A4" w:rsidRPr="00A11421">
      <w:tab/>
    </w:r>
    <w:r w:rsidR="009D70A4" w:rsidRPr="00A11421">
      <w:fldChar w:fldCharType="begin"/>
    </w:r>
    <w:r w:rsidR="009D70A4" w:rsidRPr="00A11421">
      <w:instrText xml:space="preserve"> PAGE </w:instrText>
    </w:r>
    <w:r w:rsidR="009D70A4" w:rsidRPr="00A11421">
      <w:fldChar w:fldCharType="separate"/>
    </w:r>
    <w:r w:rsidR="00777F1E">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38A9C" w14:textId="77777777" w:rsidR="002C3D25" w:rsidRDefault="002C3D25" w:rsidP="002862F1">
      <w:pPr>
        <w:spacing w:before="120"/>
      </w:pPr>
      <w:r>
        <w:separator/>
      </w:r>
    </w:p>
  </w:footnote>
  <w:footnote w:type="continuationSeparator" w:id="0">
    <w:p w14:paraId="35AA694C" w14:textId="77777777" w:rsidR="002C3D25" w:rsidRDefault="002C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5B8D9" w14:textId="77777777" w:rsidR="004E0DB5" w:rsidRDefault="004E0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2CE8" w14:textId="77777777" w:rsidR="004E0DB5" w:rsidRDefault="004E0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BAFE6" w14:textId="77777777" w:rsidR="004E0DB5" w:rsidRDefault="004E0D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737D"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F215B7"/>
    <w:multiLevelType w:val="hybridMultilevel"/>
    <w:tmpl w:val="93D6235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EA3B19"/>
    <w:multiLevelType w:val="hybridMultilevel"/>
    <w:tmpl w:val="CC1491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4C5F195B"/>
    <w:multiLevelType w:val="hybridMultilevel"/>
    <w:tmpl w:val="F24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2"/>
  </w:num>
  <w:num w:numId="10">
    <w:abstractNumId w:val="14"/>
  </w:num>
  <w:num w:numId="11">
    <w:abstractNumId w:val="7"/>
  </w:num>
  <w:num w:numId="12">
    <w:abstractNumId w:val="8"/>
  </w:num>
  <w:num w:numId="13">
    <w:abstractNumId w:val="4"/>
  </w:num>
  <w:num w:numId="14">
    <w:abstractNumId w:val="13"/>
  </w:num>
  <w:num w:numId="15">
    <w:abstractNumId w:val="2"/>
  </w:num>
  <w:num w:numId="16">
    <w:abstractNumId w:val="10"/>
  </w:num>
  <w:num w:numId="17">
    <w:abstractNumId w:val="9"/>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0209"/>
    <w:rsid w:val="000214DC"/>
    <w:rsid w:val="00024D89"/>
    <w:rsid w:val="000250B6"/>
    <w:rsid w:val="00033D81"/>
    <w:rsid w:val="00041BF0"/>
    <w:rsid w:val="0004536B"/>
    <w:rsid w:val="00046B68"/>
    <w:rsid w:val="0004755F"/>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0F2B4A"/>
    <w:rsid w:val="0010392D"/>
    <w:rsid w:val="0010447F"/>
    <w:rsid w:val="00104FE3"/>
    <w:rsid w:val="00120AF7"/>
    <w:rsid w:val="00120BD3"/>
    <w:rsid w:val="00121D8F"/>
    <w:rsid w:val="00122FEA"/>
    <w:rsid w:val="001232BD"/>
    <w:rsid w:val="00124ED5"/>
    <w:rsid w:val="001447B3"/>
    <w:rsid w:val="00146A4D"/>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2A43"/>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871"/>
    <w:rsid w:val="002C2728"/>
    <w:rsid w:val="002C3D25"/>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25CA"/>
    <w:rsid w:val="00457337"/>
    <w:rsid w:val="0045780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0DB5"/>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2A3A"/>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77F1E"/>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231C"/>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900"/>
    <w:rsid w:val="00AB06E8"/>
    <w:rsid w:val="00AB1CD3"/>
    <w:rsid w:val="00AB352F"/>
    <w:rsid w:val="00AC0C15"/>
    <w:rsid w:val="00AC274B"/>
    <w:rsid w:val="00AC29F4"/>
    <w:rsid w:val="00AC4764"/>
    <w:rsid w:val="00AC4C0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36AF"/>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0539"/>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2D55"/>
    <w:rsid w:val="00D93566"/>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EF5C28"/>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57CB3"/>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1748895"/>
  <w15:docId w15:val="{819E2EF8-ACDB-4C2E-B47B-8D76462A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AC29F4"/>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AC29F4"/>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AC29F4"/>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AC29F4"/>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C00539"/>
    <w:rPr>
      <w:sz w:val="16"/>
      <w:szCs w:val="16"/>
    </w:rPr>
  </w:style>
  <w:style w:type="paragraph" w:styleId="CommentText">
    <w:name w:val="annotation text"/>
    <w:basedOn w:val="Normal"/>
    <w:link w:val="CommentTextChar"/>
    <w:uiPriority w:val="99"/>
    <w:semiHidden/>
    <w:unhideWhenUsed/>
    <w:rsid w:val="00C00539"/>
    <w:pPr>
      <w:spacing w:line="240" w:lineRule="auto"/>
    </w:pPr>
  </w:style>
  <w:style w:type="character" w:customStyle="1" w:styleId="CommentTextChar">
    <w:name w:val="Comment Text Char"/>
    <w:basedOn w:val="DefaultParagraphFont"/>
    <w:link w:val="CommentText"/>
    <w:uiPriority w:val="99"/>
    <w:semiHidden/>
    <w:rsid w:val="00C00539"/>
    <w:rPr>
      <w:rFonts w:ascii="Arial" w:hAnsi="Arial"/>
    </w:rPr>
  </w:style>
  <w:style w:type="paragraph" w:styleId="CommentSubject">
    <w:name w:val="annotation subject"/>
    <w:basedOn w:val="CommentText"/>
    <w:next w:val="CommentText"/>
    <w:link w:val="CommentSubjectChar"/>
    <w:uiPriority w:val="99"/>
    <w:semiHidden/>
    <w:unhideWhenUsed/>
    <w:rsid w:val="00C00539"/>
    <w:rPr>
      <w:b/>
      <w:bCs/>
    </w:rPr>
  </w:style>
  <w:style w:type="character" w:customStyle="1" w:styleId="CommentSubjectChar">
    <w:name w:val="Comment Subject Char"/>
    <w:basedOn w:val="CommentTextChar"/>
    <w:link w:val="CommentSubject"/>
    <w:uiPriority w:val="99"/>
    <w:semiHidden/>
    <w:rsid w:val="00C00539"/>
    <w:rPr>
      <w:rFonts w:ascii="Arial" w:hAnsi="Arial"/>
      <w:b/>
      <w:bCs/>
    </w:rPr>
  </w:style>
  <w:style w:type="character" w:styleId="UnresolvedMention">
    <w:name w:val="Unresolved Mention"/>
    <w:basedOn w:val="DefaultParagraphFont"/>
    <w:uiPriority w:val="99"/>
    <w:semiHidden/>
    <w:unhideWhenUsed/>
    <w:rsid w:val="00AC2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312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714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apolicy@dhh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providers.dhhs.vic.gov.au/aboriginal-children-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roviders.dhhs.vic.gov.au/health-human-services-activity-search"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providers.dhhs.vic.gov.au/health-human-services-activity-search"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sapolicy@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mple_x0020_1a_x0020_Commitment_x0020_1_x002d_E5FS19_x0020_Approvals xmlns="a0a1cdb3-76af-40bd-93b0-f7d150250b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3" ma:contentTypeDescription="Create a new document." ma:contentTypeScope="" ma:versionID="187e90b0ac00a2330b195ecae27927ce">
  <xsd:schema xmlns:xsd="http://www.w3.org/2001/XMLSchema" xmlns:xs="http://www.w3.org/2001/XMLSchema" xmlns:p="http://schemas.microsoft.com/office/2006/metadata/properties" xmlns:ns2="a0a1cdb3-76af-40bd-93b0-f7d150250ba2" xmlns:ns3="2fd516b9-533a-4c39-aa95-d1ccfc9bb0de" targetNamespace="http://schemas.microsoft.com/office/2006/metadata/properties" ma:root="true" ma:fieldsID="376235cfd3afa3eacf102912c048d73d" ns2:_="" ns3:_="">
    <xsd:import namespace="a0a1cdb3-76af-40bd-93b0-f7d150250ba2"/>
    <xsd:import namespace="2fd516b9-533a-4c39-aa95-d1ccfc9bb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CFDDE-CFE9-40B7-86A5-8A56D7FFF5B0}">
  <ds:schemaRefs>
    <ds:schemaRef ds:uri="http://schemas.microsoft.com/sharepoint/v3/contenttype/forms"/>
  </ds:schemaRefs>
</ds:datastoreItem>
</file>

<file path=customXml/itemProps2.xml><?xml version="1.0" encoding="utf-8"?>
<ds:datastoreItem xmlns:ds="http://schemas.openxmlformats.org/officeDocument/2006/customXml" ds:itemID="{77A571F6-EB31-4C0D-B4A4-BE3445315E10}">
  <ds:schemaRefs>
    <ds:schemaRef ds:uri="http://schemas.microsoft.com/office/2006/metadata/properties"/>
    <ds:schemaRef ds:uri="http://schemas.microsoft.com/office/infopath/2007/PartnerControls"/>
    <ds:schemaRef ds:uri="a0a1cdb3-76af-40bd-93b0-f7d150250ba2"/>
  </ds:schemaRefs>
</ds:datastoreItem>
</file>

<file path=customXml/itemProps3.xml><?xml version="1.0" encoding="utf-8"?>
<ds:datastoreItem xmlns:ds="http://schemas.openxmlformats.org/officeDocument/2006/customXml" ds:itemID="{A66AB499-B7C7-491B-BBD9-0EC5B6344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7E2EB-9E38-413D-82F3-C485B19A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Activity description human services  ACCO Family Community Services 31260</vt:lpstr>
    </vt:vector>
  </TitlesOfParts>
  <Company>Department of Health and Human Services</Company>
  <LinksUpToDate>false</LinksUpToDate>
  <CharactersWithSpaces>8386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ACCO Family Community Services 31260</dc:title>
  <dc:subject>service agreement activity descriptions</dc:subject>
  <dc:creator>Service Agreement Policy unit</dc:creator>
  <cp:keywords>service agreement; activity description; human services; Child protection and family services;  ACCO Family Community Services;31260</cp:keywords>
  <cp:lastModifiedBy>Alice York (DHHS)</cp:lastModifiedBy>
  <cp:revision>2</cp:revision>
  <cp:lastPrinted>2019-01-08T23:20:00Z</cp:lastPrinted>
  <dcterms:created xsi:type="dcterms:W3CDTF">2020-12-31T03:54:00Z</dcterms:created>
  <dcterms:modified xsi:type="dcterms:W3CDTF">2020-12-31T03:54:00Z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MSIP_Label_efdf5488-3066-4b6c-8fea-9472b8a1f34c_Enabled">
    <vt:lpwstr>true</vt:lpwstr>
  </property>
  <property fmtid="{D5CDD505-2E9C-101B-9397-08002B2CF9AE}" pid="5" name="MSIP_Label_efdf5488-3066-4b6c-8fea-9472b8a1f34c_SetDate">
    <vt:lpwstr>2020-12-31T03:54:21Z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dd833eba-5383-4c62-807f-cfdcfe996b7e</vt:lpwstr>
  </property>
  <property fmtid="{D5CDD505-2E9C-101B-9397-08002B2CF9AE}" pid="10" name="MSIP_Label_efdf5488-3066-4b6c-8fea-9472b8a1f34c_ContentBits">
    <vt:lpwstr>0</vt:lpwstr>
  </property>
</Properties>
</file>