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7531"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01CC28E1" wp14:editId="1048FD08">
            <wp:simplePos x="0" y="0"/>
            <wp:positionH relativeFrom="page">
              <wp:posOffset>0</wp:posOffset>
            </wp:positionH>
            <wp:positionV relativeFrom="page">
              <wp:posOffset>0</wp:posOffset>
            </wp:positionV>
            <wp:extent cx="7564755" cy="2052955"/>
            <wp:effectExtent l="0" t="0" r="0" b="4445"/>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052955"/>
                    </a:xfrm>
                    <a:prstGeom prst="rect">
                      <a:avLst/>
                    </a:prstGeom>
                    <a:noFill/>
                  </pic:spPr>
                </pic:pic>
              </a:graphicData>
            </a:graphic>
            <wp14:sizeRelH relativeFrom="page">
              <wp14:pctWidth>0</wp14:pctWidth>
            </wp14:sizeRelH>
            <wp14:sizeRelV relativeFrom="page">
              <wp14:pctHeight>0</wp14:pctHeight>
            </wp14:sizeRelV>
          </wp:anchor>
        </w:drawing>
      </w:r>
    </w:p>
    <w:p w14:paraId="07C2847D" w14:textId="77777777" w:rsidR="00A62D44" w:rsidRPr="004C6EEE" w:rsidRDefault="00A62D44" w:rsidP="00D1443D">
      <w:pPr>
        <w:pStyle w:val="Sectionbreakfirstpage"/>
        <w:rPr>
          <w:rFonts w:eastAsia="Times"/>
          <w:noProof/>
          <w:sz w:val="12"/>
        </w:rPr>
        <w:sectPr w:rsidR="00A62D44" w:rsidRPr="004C6EEE" w:rsidSect="00F922BE">
          <w:headerReference w:type="default" r:id="rId9"/>
          <w:footerReference w:type="default" r:id="rId10"/>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61"/>
      </w:tblGrid>
      <w:tr w:rsidR="00AD784C" w14:paraId="4E8316FE" w14:textId="77777777" w:rsidTr="00FB5815">
        <w:trPr>
          <w:trHeight w:val="903"/>
        </w:trPr>
        <w:tc>
          <w:tcPr>
            <w:tcW w:w="8161" w:type="dxa"/>
            <w:shd w:val="clear" w:color="auto" w:fill="auto"/>
            <w:vAlign w:val="bottom"/>
          </w:tcPr>
          <w:p w14:paraId="4C615EEA" w14:textId="035A3D1B" w:rsidR="00AD784C" w:rsidRPr="00DE4E5C" w:rsidRDefault="00B01076" w:rsidP="00DC21DB">
            <w:pPr>
              <w:pStyle w:val="DHHSmainheading"/>
              <w:spacing w:line="270" w:lineRule="atLeast"/>
              <w:rPr>
                <w:sz w:val="44"/>
                <w:szCs w:val="44"/>
              </w:rPr>
            </w:pPr>
            <w:r w:rsidRPr="00B01076">
              <w:rPr>
                <w:rFonts w:cs="Arial"/>
                <w:sz w:val="44"/>
                <w:szCs w:val="44"/>
              </w:rPr>
              <w:t>Flexible Funding</w:t>
            </w:r>
            <w:r w:rsidR="00D31E67">
              <w:rPr>
                <w:rFonts w:cs="Arial"/>
                <w:sz w:val="44"/>
                <w:szCs w:val="44"/>
              </w:rPr>
              <w:t xml:space="preserve"> – Better Fu</w:t>
            </w:r>
            <w:r w:rsidR="001A1C98">
              <w:rPr>
                <w:rFonts w:cs="Arial"/>
                <w:sz w:val="44"/>
                <w:szCs w:val="44"/>
              </w:rPr>
              <w:t>t</w:t>
            </w:r>
            <w:r w:rsidR="00D31E67">
              <w:rPr>
                <w:rFonts w:cs="Arial"/>
                <w:sz w:val="44"/>
                <w:szCs w:val="44"/>
              </w:rPr>
              <w:t>ures</w:t>
            </w:r>
            <w:r w:rsidR="00653178">
              <w:rPr>
                <w:rFonts w:cs="Arial"/>
                <w:sz w:val="44"/>
                <w:szCs w:val="44"/>
              </w:rPr>
              <w:t xml:space="preserve"> </w:t>
            </w:r>
            <w:r w:rsidR="00F922BE" w:rsidRPr="00803B50">
              <w:rPr>
                <w:rFonts w:cs="Arial"/>
                <w:sz w:val="36"/>
                <w:szCs w:val="36"/>
              </w:rPr>
              <w:br/>
            </w:r>
            <w:r w:rsidR="00D01620">
              <w:rPr>
                <w:sz w:val="44"/>
                <w:szCs w:val="44"/>
              </w:rPr>
              <w:t>31292</w:t>
            </w:r>
          </w:p>
        </w:tc>
      </w:tr>
      <w:tr w:rsidR="00AD784C" w14:paraId="74415B1D" w14:textId="77777777" w:rsidTr="00FB5815">
        <w:trPr>
          <w:trHeight w:hRule="exact" w:val="1181"/>
        </w:trPr>
        <w:tc>
          <w:tcPr>
            <w:tcW w:w="8161" w:type="dxa"/>
            <w:shd w:val="clear" w:color="auto" w:fill="auto"/>
            <w:tcMar>
              <w:top w:w="170" w:type="dxa"/>
              <w:bottom w:w="510" w:type="dxa"/>
            </w:tcMar>
          </w:tcPr>
          <w:p w14:paraId="1615DBE7" w14:textId="77777777" w:rsidR="00803B50" w:rsidRDefault="00F922BE" w:rsidP="005E76EA">
            <w:pPr>
              <w:pStyle w:val="DHHSmainsubheading"/>
              <w:rPr>
                <w:szCs w:val="28"/>
              </w:rPr>
            </w:pPr>
            <w:r>
              <w:rPr>
                <w:szCs w:val="28"/>
              </w:rPr>
              <w:t>Outcome objective</w:t>
            </w:r>
            <w:r w:rsidR="00DE4E5C">
              <w:rPr>
                <w:szCs w:val="28"/>
              </w:rPr>
              <w:t>:</w:t>
            </w:r>
            <w:r>
              <w:rPr>
                <w:szCs w:val="28"/>
              </w:rPr>
              <w:t xml:space="preserve"> </w:t>
            </w:r>
            <w:r w:rsidR="00803B50">
              <w:rPr>
                <w:szCs w:val="28"/>
              </w:rPr>
              <w:t>Victorians are safe and secure</w:t>
            </w:r>
          </w:p>
          <w:p w14:paraId="5FA1E749" w14:textId="77777777" w:rsidR="00DE4E5C" w:rsidRDefault="00F922BE" w:rsidP="005E76EA">
            <w:pPr>
              <w:pStyle w:val="DHHSmainsubheading"/>
              <w:rPr>
                <w:szCs w:val="28"/>
              </w:rPr>
            </w:pPr>
            <w:r>
              <w:rPr>
                <w:szCs w:val="28"/>
              </w:rPr>
              <w:t xml:space="preserve">Output group: </w:t>
            </w:r>
            <w:r w:rsidR="00803B50" w:rsidRPr="00803B50">
              <w:rPr>
                <w:szCs w:val="28"/>
              </w:rPr>
              <w:t>Child protection and family services</w:t>
            </w:r>
          </w:p>
          <w:p w14:paraId="6132C877" w14:textId="77777777" w:rsidR="00F922BE" w:rsidRPr="00AD784C" w:rsidRDefault="00F922BE" w:rsidP="00D1443D">
            <w:pPr>
              <w:pStyle w:val="DHHSmainsubheading"/>
              <w:rPr>
                <w:szCs w:val="28"/>
              </w:rPr>
            </w:pPr>
            <w:r>
              <w:rPr>
                <w:szCs w:val="28"/>
              </w:rPr>
              <w:t xml:space="preserve">Output: </w:t>
            </w:r>
            <w:r w:rsidR="00803B50" w:rsidRPr="00803B50">
              <w:rPr>
                <w:szCs w:val="28"/>
              </w:rPr>
              <w:t>Family and community services</w:t>
            </w:r>
          </w:p>
        </w:tc>
      </w:tr>
    </w:tbl>
    <w:p w14:paraId="0A51583B" w14:textId="77777777" w:rsidR="007173CA" w:rsidRDefault="007173CA" w:rsidP="006C7A1F">
      <w:pPr>
        <w:pStyle w:val="DHHSbody"/>
        <w:spacing w:beforeLines="40" w:before="96"/>
        <w:sectPr w:rsidR="007173CA" w:rsidSect="00F922BE">
          <w:headerReference w:type="default" r:id="rId11"/>
          <w:footerReference w:type="default" r:id="rId12"/>
          <w:type w:val="continuous"/>
          <w:pgSz w:w="11906" w:h="16838" w:code="9"/>
          <w:pgMar w:top="993" w:right="851" w:bottom="1134" w:left="851" w:header="567" w:footer="510" w:gutter="0"/>
          <w:cols w:space="340"/>
          <w:titlePg/>
          <w:docGrid w:linePitch="360"/>
        </w:sectPr>
      </w:pPr>
      <w:bookmarkStart w:id="0" w:name="_Toc440566508"/>
    </w:p>
    <w:bookmarkEnd w:id="0"/>
    <w:p w14:paraId="664A81D4" w14:textId="1DA19F57" w:rsidR="00343B98" w:rsidRDefault="00B70F76" w:rsidP="00343B98">
      <w:pPr>
        <w:pStyle w:val="Heading1"/>
      </w:pPr>
      <w:r w:rsidRPr="00B70F76">
        <w:t>1.</w:t>
      </w:r>
      <w:r>
        <w:t xml:space="preserve"> </w:t>
      </w:r>
      <w:r w:rsidR="00DF6BAF">
        <w:t xml:space="preserve">Service </w:t>
      </w:r>
      <w:r w:rsidR="00F27486">
        <w:t>o</w:t>
      </w:r>
      <w:r w:rsidR="00DF6BAF">
        <w:t xml:space="preserve">bjective </w:t>
      </w:r>
      <w:bookmarkStart w:id="1" w:name="_Toc256778633"/>
    </w:p>
    <w:p w14:paraId="4055431B" w14:textId="672C7162" w:rsidR="00154254" w:rsidRDefault="00920CDA" w:rsidP="00154254">
      <w:pPr>
        <w:pStyle w:val="DHHSbody"/>
      </w:pPr>
      <w:r>
        <w:t>Fl</w:t>
      </w:r>
      <w:r w:rsidR="00C36150" w:rsidRPr="00B01076">
        <w:t xml:space="preserve">exible </w:t>
      </w:r>
      <w:r>
        <w:t>F</w:t>
      </w:r>
      <w:r w:rsidR="00C36150" w:rsidRPr="00B01076">
        <w:t>unding</w:t>
      </w:r>
      <w:r>
        <w:t xml:space="preserve"> – Better Futures</w:t>
      </w:r>
      <w:r w:rsidR="00C36150" w:rsidRPr="00B01076">
        <w:t xml:space="preserve"> </w:t>
      </w:r>
      <w:r w:rsidR="00293F7D">
        <w:t xml:space="preserve">supports </w:t>
      </w:r>
      <w:bookmarkStart w:id="2" w:name="_Hlk24359597"/>
      <w:r w:rsidR="009D011B">
        <w:t xml:space="preserve">young people </w:t>
      </w:r>
      <w:r w:rsidR="00C36150" w:rsidRPr="00B01076">
        <w:t xml:space="preserve">to </w:t>
      </w:r>
      <w:r w:rsidR="00DD0132">
        <w:t>achieve</w:t>
      </w:r>
      <w:r>
        <w:t xml:space="preserve"> their</w:t>
      </w:r>
      <w:r w:rsidR="00DD0132">
        <w:t xml:space="preserve"> goals that directly relate to </w:t>
      </w:r>
      <w:r>
        <w:t>their trans</w:t>
      </w:r>
      <w:r w:rsidR="00DD0132">
        <w:t>ition from care</w:t>
      </w:r>
      <w:r w:rsidR="00293F7D">
        <w:t>, including goals in relation to housing, education, employment, health and wellbeing and community connections.</w:t>
      </w:r>
    </w:p>
    <w:bookmarkEnd w:id="2"/>
    <w:p w14:paraId="39D76F2D" w14:textId="7B9C9035" w:rsidR="003E78DC" w:rsidRDefault="00DE4E5C" w:rsidP="002A6553">
      <w:pPr>
        <w:pStyle w:val="Heading1"/>
      </w:pPr>
      <w:r>
        <w:t>2</w:t>
      </w:r>
      <w:r w:rsidR="00B70F76" w:rsidRPr="00B70F76">
        <w:t xml:space="preserve">. </w:t>
      </w:r>
      <w:r w:rsidR="00DF6BAF">
        <w:t>Description of the servic</w:t>
      </w:r>
      <w:r w:rsidR="002A6553">
        <w:t>e</w:t>
      </w:r>
    </w:p>
    <w:p w14:paraId="597CEE89" w14:textId="77777777" w:rsidR="00293F7D" w:rsidRPr="00A433C7" w:rsidRDefault="00293F7D" w:rsidP="00293F7D">
      <w:pPr>
        <w:spacing w:before="0" w:after="120" w:line="270" w:lineRule="atLeast"/>
        <w:rPr>
          <w:rFonts w:eastAsia="Times"/>
          <w:lang w:eastAsia="en-US"/>
        </w:rPr>
      </w:pPr>
      <w:bookmarkStart w:id="3" w:name="_Hlk24275742"/>
      <w:r w:rsidRPr="00A433C7">
        <w:rPr>
          <w:rFonts w:eastAsia="Times"/>
          <w:lang w:eastAsia="en-US"/>
        </w:rPr>
        <w:t>Better Futures, a new way of supporting young people leaving care, rolled out across Victoria in November 2019.</w:t>
      </w:r>
    </w:p>
    <w:bookmarkEnd w:id="3"/>
    <w:p w14:paraId="28D7DFA1" w14:textId="77777777" w:rsidR="00293F7D" w:rsidRPr="00A433C7" w:rsidRDefault="00293F7D" w:rsidP="00293F7D">
      <w:pPr>
        <w:spacing w:before="0" w:after="120" w:line="270" w:lineRule="atLeast"/>
        <w:rPr>
          <w:rFonts w:eastAsia="Times"/>
          <w:lang w:eastAsia="en-US"/>
        </w:rPr>
      </w:pPr>
      <w:r w:rsidRPr="00A433C7">
        <w:rPr>
          <w:rFonts w:eastAsia="Times"/>
          <w:lang w:eastAsia="en-US"/>
        </w:rPr>
        <w:t xml:space="preserve">Young people in kinship, foster and residential care and on the relevant orders are referred to Better Futures by their Child Protection Case Manager (DHHS or contracted) at 15 years and 9 months of age, allowing for </w:t>
      </w:r>
      <w:r>
        <w:rPr>
          <w:rFonts w:eastAsia="Times"/>
          <w:lang w:eastAsia="en-US"/>
        </w:rPr>
        <w:t xml:space="preserve">earlier and more </w:t>
      </w:r>
      <w:r w:rsidRPr="00A433C7">
        <w:rPr>
          <w:rFonts w:eastAsia="Times"/>
          <w:lang w:eastAsia="en-US"/>
        </w:rPr>
        <w:t xml:space="preserve">comprehensive transition planning, preparing </w:t>
      </w:r>
      <w:r>
        <w:rPr>
          <w:rFonts w:eastAsia="Times"/>
          <w:lang w:eastAsia="en-US"/>
        </w:rPr>
        <w:t>young people f</w:t>
      </w:r>
      <w:r w:rsidRPr="00A433C7">
        <w:rPr>
          <w:rFonts w:eastAsia="Times"/>
          <w:lang w:eastAsia="en-US"/>
        </w:rPr>
        <w:t>or a successful transition to adulthood.</w:t>
      </w:r>
    </w:p>
    <w:p w14:paraId="7CAADF81" w14:textId="77777777" w:rsidR="00293F7D" w:rsidRPr="00A433C7" w:rsidRDefault="00293F7D" w:rsidP="00293F7D">
      <w:pPr>
        <w:spacing w:before="0" w:after="120" w:line="270" w:lineRule="atLeast"/>
        <w:rPr>
          <w:rFonts w:eastAsia="Times"/>
          <w:lang w:eastAsia="en-US"/>
        </w:rPr>
      </w:pPr>
      <w:r>
        <w:rPr>
          <w:rFonts w:eastAsia="Times"/>
          <w:lang w:eastAsia="en-US"/>
        </w:rPr>
        <w:t>The Better Futures model includes case work support and access to flexible funding to support the achievement of goals for independence.</w:t>
      </w:r>
      <w:r w:rsidRPr="00CA65D7">
        <w:rPr>
          <w:rFonts w:eastAsia="Times"/>
          <w:lang w:eastAsia="en-US"/>
        </w:rPr>
        <w:t xml:space="preserve"> </w:t>
      </w:r>
      <w:r w:rsidRPr="00A433C7">
        <w:rPr>
          <w:rFonts w:eastAsia="Times"/>
          <w:lang w:eastAsia="en-US"/>
        </w:rPr>
        <w:t>Better Futures workers work with young people (and/or care teams</w:t>
      </w:r>
      <w:r>
        <w:rPr>
          <w:rFonts w:eastAsia="Times"/>
          <w:lang w:eastAsia="en-US"/>
        </w:rPr>
        <w:t xml:space="preserve"> while a young person is in-care</w:t>
      </w:r>
      <w:r w:rsidRPr="00A433C7">
        <w:rPr>
          <w:rFonts w:eastAsia="Times"/>
          <w:lang w:eastAsia="en-US"/>
        </w:rPr>
        <w:t>) to identify goals across five service offers:</w:t>
      </w:r>
    </w:p>
    <w:p w14:paraId="424D44A9" w14:textId="4F812375" w:rsidR="00293F7D" w:rsidRPr="00A433C7" w:rsidRDefault="00293F7D" w:rsidP="00293F7D">
      <w:pPr>
        <w:numPr>
          <w:ilvl w:val="0"/>
          <w:numId w:val="18"/>
        </w:numPr>
        <w:spacing w:before="0" w:after="120" w:line="270" w:lineRule="atLeast"/>
        <w:rPr>
          <w:rFonts w:eastAsia="Times"/>
          <w:lang w:eastAsia="en-US"/>
        </w:rPr>
      </w:pPr>
      <w:r w:rsidRPr="00A433C7">
        <w:rPr>
          <w:rFonts w:eastAsia="Times"/>
          <w:lang w:eastAsia="en-US"/>
        </w:rPr>
        <w:t>Housing</w:t>
      </w:r>
      <w:r w:rsidR="00E23F31">
        <w:rPr>
          <w:rFonts w:eastAsia="Times"/>
          <w:lang w:eastAsia="en-US"/>
        </w:rPr>
        <w:t xml:space="preserve"> and Living Skills</w:t>
      </w:r>
    </w:p>
    <w:p w14:paraId="294FD758" w14:textId="77777777" w:rsidR="00293F7D" w:rsidRPr="00A433C7" w:rsidRDefault="00293F7D" w:rsidP="00293F7D">
      <w:pPr>
        <w:numPr>
          <w:ilvl w:val="0"/>
          <w:numId w:val="18"/>
        </w:numPr>
        <w:spacing w:before="0" w:after="120" w:line="270" w:lineRule="atLeast"/>
        <w:rPr>
          <w:rFonts w:eastAsia="Times"/>
          <w:lang w:eastAsia="en-US"/>
        </w:rPr>
      </w:pPr>
      <w:r w:rsidRPr="00A433C7">
        <w:rPr>
          <w:rFonts w:eastAsia="Times"/>
          <w:lang w:eastAsia="en-US"/>
        </w:rPr>
        <w:t>Health and Wellbeing</w:t>
      </w:r>
    </w:p>
    <w:p w14:paraId="77051D89" w14:textId="77777777" w:rsidR="00293F7D" w:rsidRPr="00A433C7" w:rsidRDefault="00293F7D" w:rsidP="00293F7D">
      <w:pPr>
        <w:numPr>
          <w:ilvl w:val="0"/>
          <w:numId w:val="18"/>
        </w:numPr>
        <w:spacing w:before="0" w:after="120" w:line="270" w:lineRule="atLeast"/>
        <w:rPr>
          <w:rFonts w:eastAsia="Times"/>
          <w:lang w:eastAsia="en-US"/>
        </w:rPr>
      </w:pPr>
      <w:r w:rsidRPr="00A433C7">
        <w:rPr>
          <w:rFonts w:eastAsia="Times"/>
          <w:lang w:eastAsia="en-US"/>
        </w:rPr>
        <w:t>Education</w:t>
      </w:r>
    </w:p>
    <w:p w14:paraId="1A4B176B" w14:textId="77777777" w:rsidR="00293F7D" w:rsidRPr="00A433C7" w:rsidRDefault="00293F7D" w:rsidP="00293F7D">
      <w:pPr>
        <w:numPr>
          <w:ilvl w:val="0"/>
          <w:numId w:val="18"/>
        </w:numPr>
        <w:spacing w:before="0" w:after="120" w:line="270" w:lineRule="atLeast"/>
        <w:rPr>
          <w:rFonts w:eastAsia="Times"/>
          <w:lang w:eastAsia="en-US"/>
        </w:rPr>
      </w:pPr>
      <w:r w:rsidRPr="00A433C7">
        <w:rPr>
          <w:rFonts w:eastAsia="Times"/>
          <w:lang w:eastAsia="en-US"/>
        </w:rPr>
        <w:t xml:space="preserve">Employment </w:t>
      </w:r>
    </w:p>
    <w:p w14:paraId="4DCE2715" w14:textId="77777777" w:rsidR="00293F7D" w:rsidRPr="00A433C7" w:rsidRDefault="00293F7D" w:rsidP="00293F7D">
      <w:pPr>
        <w:numPr>
          <w:ilvl w:val="0"/>
          <w:numId w:val="18"/>
        </w:numPr>
        <w:spacing w:before="0" w:after="120" w:line="270" w:lineRule="atLeast"/>
        <w:rPr>
          <w:rFonts w:eastAsia="Times"/>
          <w:lang w:eastAsia="en-US"/>
        </w:rPr>
      </w:pPr>
      <w:r w:rsidRPr="00A433C7">
        <w:rPr>
          <w:rFonts w:eastAsia="Times"/>
          <w:lang w:eastAsia="en-US"/>
        </w:rPr>
        <w:t>Community Connections</w:t>
      </w:r>
    </w:p>
    <w:p w14:paraId="1846201A" w14:textId="1F397529" w:rsidR="00293F7D" w:rsidRDefault="00DD0132" w:rsidP="00293F7D">
      <w:pPr>
        <w:pStyle w:val="DHHSbody"/>
      </w:pPr>
      <w:r>
        <w:t xml:space="preserve">Flexible </w:t>
      </w:r>
      <w:r w:rsidR="000D4777">
        <w:t>F</w:t>
      </w:r>
      <w:r>
        <w:t>unding</w:t>
      </w:r>
      <w:r w:rsidR="00AA6AF5">
        <w:t xml:space="preserve"> (Better Futures)</w:t>
      </w:r>
      <w:r w:rsidR="00293F7D">
        <w:t xml:space="preserve"> – </w:t>
      </w:r>
      <w:bookmarkStart w:id="4" w:name="_Hlk24359697"/>
      <w:r w:rsidR="00AA6AF5">
        <w:t xml:space="preserve">Packages - </w:t>
      </w:r>
      <w:r w:rsidR="00293F7D">
        <w:t xml:space="preserve">supports young people </w:t>
      </w:r>
      <w:r w:rsidR="00293F7D" w:rsidRPr="00B01076">
        <w:t xml:space="preserve">to </w:t>
      </w:r>
      <w:r w:rsidR="00293F7D">
        <w:t>achieve their goals that directly relate to their transition from care, including goals in relation to housing, education, employment, health and wellbeing and community connections. Flexible funding should only be used to support goals included in</w:t>
      </w:r>
      <w:r w:rsidR="00BA6239">
        <w:t xml:space="preserve"> </w:t>
      </w:r>
      <w:r w:rsidR="00293F7D">
        <w:t xml:space="preserve">a young person’s 15+ </w:t>
      </w:r>
      <w:r w:rsidR="00BA6239">
        <w:t>C</w:t>
      </w:r>
      <w:r w:rsidR="00293F7D">
        <w:t>are and Transition Plan, or Better Futures Support Plan.</w:t>
      </w:r>
    </w:p>
    <w:bookmarkEnd w:id="4"/>
    <w:p w14:paraId="30F3D318" w14:textId="4803F40D" w:rsidR="000D4777" w:rsidRDefault="00AA6AF5" w:rsidP="002B563B">
      <w:pPr>
        <w:pStyle w:val="DHHSbody"/>
      </w:pPr>
      <w:r>
        <w:t>Flexible Funding (</w:t>
      </w:r>
      <w:r w:rsidR="00920CDA">
        <w:t>Home Stretch</w:t>
      </w:r>
      <w:r>
        <w:t>)</w:t>
      </w:r>
      <w:r w:rsidR="00920CDA">
        <w:t xml:space="preserve"> </w:t>
      </w:r>
      <w:r>
        <w:t>–</w:t>
      </w:r>
      <w:r w:rsidR="00293F7D">
        <w:t xml:space="preserve"> </w:t>
      </w:r>
      <w:r>
        <w:t xml:space="preserve">Packages - </w:t>
      </w:r>
      <w:r w:rsidR="00293F7D">
        <w:t xml:space="preserve">supports young people </w:t>
      </w:r>
      <w:r w:rsidR="00293F7D" w:rsidRPr="00B01076">
        <w:t xml:space="preserve">to </w:t>
      </w:r>
      <w:r w:rsidR="00293F7D">
        <w:t xml:space="preserve">achieve their goals that directly relate to their transition from care, including goals in relation to housing, education, employment, health and wellbeing and community connections. Flexible funding should only be used to support goals included in a young person’s 15+ Care and Transition Plan, or Better Futures Support Plan. </w:t>
      </w:r>
    </w:p>
    <w:p w14:paraId="196CBB00" w14:textId="0D8D9273" w:rsidR="00AA6AF5" w:rsidRPr="00AA6AF5" w:rsidRDefault="00293F7D" w:rsidP="00AA6AF5">
      <w:pPr>
        <w:pStyle w:val="DHHSbody"/>
      </w:pPr>
      <w:r>
        <w:t>Flexible Funding (</w:t>
      </w:r>
      <w:r w:rsidR="00AA6AF5">
        <w:t>Home Stretch) – Packages - A</w:t>
      </w:r>
      <w:r w:rsidR="00DF145F">
        <w:t>ccommodation Allowance</w:t>
      </w:r>
      <w:r w:rsidR="00AA6AF5">
        <w:t xml:space="preserve"> </w:t>
      </w:r>
      <w:r w:rsidR="00AA6AF5" w:rsidRPr="00AA6AF5">
        <w:t>is a contribution towards the day-to-day costs of housing, including rent, utilities, telephone and internet</w:t>
      </w:r>
      <w:r w:rsidR="00AA6AF5">
        <w:t xml:space="preserve">. </w:t>
      </w:r>
      <w:r w:rsidR="00AA6AF5" w:rsidRPr="00AA6AF5">
        <w:t>Other costs that have a direct positive impact on a young person’s ability to maintain stable housing, including costs to support engagement or re-engagement with education, training and employment</w:t>
      </w:r>
      <w:r w:rsidR="00BA189A">
        <w:t>,</w:t>
      </w:r>
      <w:r w:rsidR="00AA6AF5" w:rsidRPr="00AA6AF5">
        <w:t xml:space="preserve"> may also be funded via the allowance.</w:t>
      </w:r>
    </w:p>
    <w:p w14:paraId="4AB7A272" w14:textId="6EE14B0D" w:rsidR="00DF145F" w:rsidRDefault="00AA6AF5" w:rsidP="002B563B">
      <w:pPr>
        <w:pStyle w:val="DHHSbody"/>
      </w:pPr>
      <w:r>
        <w:t>The allowance is brokered by Better Futures providers and must be in accordance with an agreed and approved Home Stretch Independent Accommodation Proposal. Costs are paid on invoice.</w:t>
      </w:r>
      <w:r w:rsidR="00C71F5E">
        <w:t xml:space="preserve"> </w:t>
      </w:r>
    </w:p>
    <w:p w14:paraId="540935D2" w14:textId="5DEC1159" w:rsidR="008213C4" w:rsidRDefault="008213C4" w:rsidP="002B563B">
      <w:pPr>
        <w:pStyle w:val="DHHSbody"/>
      </w:pPr>
      <w:r>
        <w:lastRenderedPageBreak/>
        <w:t>Flexible Funding – Better Futures should not replace or duplicate existing funding sources, including Client Expenses (31302) or the Commonwealth’s Transition to Independent Living Allowance (TILA).</w:t>
      </w:r>
    </w:p>
    <w:p w14:paraId="5407EE82" w14:textId="02FC6E72" w:rsidR="00B70F76" w:rsidRDefault="00DF6BAF" w:rsidP="0045263F">
      <w:pPr>
        <w:pStyle w:val="Heading1"/>
      </w:pPr>
      <w:r>
        <w:t xml:space="preserve">3. </w:t>
      </w:r>
      <w:r w:rsidR="00B70F76" w:rsidRPr="00B70F76">
        <w:t>Client group</w:t>
      </w:r>
    </w:p>
    <w:p w14:paraId="0F85F4C9" w14:textId="05492B42" w:rsidR="00BA6239" w:rsidRDefault="00BA6239" w:rsidP="00BA6239">
      <w:pPr>
        <w:pStyle w:val="DHHSbody"/>
      </w:pPr>
      <w:bookmarkStart w:id="5" w:name="_Hlk20411394"/>
      <w:r w:rsidRPr="00DC21DB">
        <w:t>The target group</w:t>
      </w:r>
      <w:r>
        <w:t xml:space="preserve"> for Flexible Funding - Better Futures </w:t>
      </w:r>
      <w:r w:rsidRPr="00DC21DB">
        <w:t>is young people</w:t>
      </w:r>
      <w:r>
        <w:t xml:space="preserve"> leaving care/post care aged 15 years and 9 months to 21 years.</w:t>
      </w:r>
    </w:p>
    <w:p w14:paraId="210C827C" w14:textId="0026C8DE" w:rsidR="00BA6239" w:rsidRDefault="00BA6239" w:rsidP="00BA6239">
      <w:pPr>
        <w:pStyle w:val="DHHSbody"/>
      </w:pPr>
      <w:r>
        <w:t>To be eligible for Better Futures support, a young person must be in/have been in kinship care, foster care or residential care on or after their 16th birthday and on one of the following orders</w:t>
      </w:r>
    </w:p>
    <w:p w14:paraId="77F6A31D" w14:textId="77777777" w:rsidR="00BA6239" w:rsidRDefault="00BA6239" w:rsidP="00BA6239">
      <w:pPr>
        <w:pStyle w:val="DHHSbody"/>
        <w:numPr>
          <w:ilvl w:val="0"/>
          <w:numId w:val="19"/>
        </w:numPr>
      </w:pPr>
      <w:r>
        <w:t>Care by Secretary Order</w:t>
      </w:r>
    </w:p>
    <w:p w14:paraId="4BDC8818" w14:textId="77777777" w:rsidR="00BA6239" w:rsidRDefault="00BA6239" w:rsidP="00BA6239">
      <w:pPr>
        <w:pStyle w:val="DHHSbody"/>
        <w:numPr>
          <w:ilvl w:val="0"/>
          <w:numId w:val="19"/>
        </w:numPr>
      </w:pPr>
      <w:r>
        <w:t>Long-Term Care Order</w:t>
      </w:r>
    </w:p>
    <w:p w14:paraId="665DE499" w14:textId="77777777" w:rsidR="00BA6239" w:rsidRDefault="00BA6239" w:rsidP="00BA6239">
      <w:pPr>
        <w:pStyle w:val="DHHSbody"/>
        <w:numPr>
          <w:ilvl w:val="0"/>
          <w:numId w:val="19"/>
        </w:numPr>
      </w:pPr>
      <w:r>
        <w:t>Family Reunification Order</w:t>
      </w:r>
    </w:p>
    <w:bookmarkEnd w:id="5"/>
    <w:p w14:paraId="3B17A04B" w14:textId="77777777" w:rsidR="00BA6239" w:rsidRDefault="00BA6239" w:rsidP="00BA6239">
      <w:pPr>
        <w:pStyle w:val="DHHSbody"/>
      </w:pPr>
      <w:r w:rsidRPr="00397FE3">
        <w:t>To be eligible for Home Stretch, young people will need to be engaged with (or demonstrate a willingness to engage) with their Better Futures worker and work towards goals for independence.</w:t>
      </w:r>
    </w:p>
    <w:p w14:paraId="2BC3412C" w14:textId="77777777" w:rsidR="002D1AA5" w:rsidRDefault="00DF6BAF" w:rsidP="0045263F">
      <w:pPr>
        <w:pStyle w:val="Heading1"/>
      </w:pPr>
      <w:r w:rsidRPr="00803B50">
        <w:t>4</w:t>
      </w:r>
      <w:r w:rsidR="00B70F76" w:rsidRPr="00803B50">
        <w:t xml:space="preserve">. Obligations specific to this </w:t>
      </w:r>
      <w:r w:rsidR="00EC4117" w:rsidRPr="00803B50">
        <w:t>activity</w:t>
      </w:r>
    </w:p>
    <w:p w14:paraId="7CA80ED2"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564D8653" w14:textId="77777777" w:rsidR="001A15EB" w:rsidRPr="001F3DE2" w:rsidRDefault="001A15EB" w:rsidP="0045263F">
      <w:pPr>
        <w:pStyle w:val="Heading2"/>
      </w:pPr>
      <w:r w:rsidRPr="001F3DE2">
        <w:t xml:space="preserve">4a.  Registration and Accreditation </w:t>
      </w:r>
    </w:p>
    <w:p w14:paraId="7726F7B0" w14:textId="77777777" w:rsidR="001A15EB" w:rsidRPr="0045263F" w:rsidRDefault="001A15EB" w:rsidP="0045263F">
      <w:pPr>
        <w:pStyle w:val="DHHSbullet1"/>
        <w:rPr>
          <w:rStyle w:val="DHHSbodyChar"/>
        </w:rPr>
      </w:pPr>
      <w:r w:rsidRPr="0045263F">
        <w:rPr>
          <w:rStyle w:val="DHHSbodyChar"/>
        </w:rPr>
        <w:t>Independent review and accreditation against the department’s Human Services Standards, unless exempted</w:t>
      </w:r>
    </w:p>
    <w:p w14:paraId="2CF91D77" w14:textId="77777777" w:rsidR="001A15EB" w:rsidRPr="0045263F" w:rsidRDefault="001A15EB" w:rsidP="0045263F">
      <w:pPr>
        <w:pStyle w:val="DHHSbullet1"/>
        <w:rPr>
          <w:rStyle w:val="DHHSbodyChar"/>
        </w:rPr>
      </w:pPr>
      <w:r w:rsidRPr="0045263F">
        <w:rPr>
          <w:rStyle w:val="DHHSbodyChar"/>
        </w:rPr>
        <w:t>Registration under the Children, Youth and Families Act 2005</w:t>
      </w:r>
    </w:p>
    <w:p w14:paraId="6BEC21E3" w14:textId="593F393C" w:rsidR="001A15EB" w:rsidRPr="00154254" w:rsidRDefault="001A15EB" w:rsidP="0045263F">
      <w:pPr>
        <w:pStyle w:val="Heading2"/>
        <w:rPr>
          <w:color w:val="FF0000"/>
        </w:rPr>
      </w:pPr>
      <w:r w:rsidRPr="001F3DE2">
        <w:t xml:space="preserve">4b. Program requirements and other policy guidelines </w:t>
      </w:r>
    </w:p>
    <w:bookmarkStart w:id="6" w:name="_Toc421023841"/>
    <w:bookmarkStart w:id="7" w:name="_Toc475953722"/>
    <w:bookmarkStart w:id="8" w:name="_Toc477437702"/>
    <w:bookmarkStart w:id="9" w:name="_Toc529373787"/>
    <w:bookmarkStart w:id="10" w:name="_Hlk22034651"/>
    <w:p w14:paraId="24970908" w14:textId="272194F7" w:rsidR="00B60585" w:rsidRDefault="004246CB" w:rsidP="00B60585">
      <w:pPr>
        <w:pStyle w:val="DHHSbullet1"/>
        <w:numPr>
          <w:ilvl w:val="0"/>
          <w:numId w:val="16"/>
        </w:numPr>
        <w:ind w:left="568"/>
        <w:rPr>
          <w:rStyle w:val="DHHSbodyChar"/>
        </w:rPr>
      </w:pPr>
      <w:r>
        <w:rPr>
          <w:rStyle w:val="DHHSbodyChar"/>
        </w:rPr>
        <w:fldChar w:fldCharType="begin"/>
      </w:r>
      <w:r>
        <w:rPr>
          <w:rStyle w:val="DHHSbodyChar"/>
        </w:rPr>
        <w:instrText xml:space="preserve"> HYPERLINK "https://providers.dhhs.vic.gov.au/leaving-care-planning" </w:instrText>
      </w:r>
      <w:r>
        <w:rPr>
          <w:rStyle w:val="DHHSbodyChar"/>
        </w:rPr>
        <w:fldChar w:fldCharType="separate"/>
      </w:r>
      <w:r w:rsidR="00B60585" w:rsidRPr="004246CB">
        <w:rPr>
          <w:rStyle w:val="Hyperlink"/>
        </w:rPr>
        <w:t>Better Futures Operational Guidelines</w:t>
      </w:r>
      <w:r>
        <w:rPr>
          <w:rStyle w:val="DHHSbodyChar"/>
        </w:rPr>
        <w:fldChar w:fldCharType="end"/>
      </w:r>
      <w:r w:rsidR="00B60585" w:rsidRPr="00C70696">
        <w:rPr>
          <w:rStyle w:val="DHHSbodyChar"/>
        </w:rPr>
        <w:t xml:space="preserve"> </w:t>
      </w:r>
    </w:p>
    <w:p w14:paraId="51424B00" w14:textId="45895856" w:rsidR="00B60585" w:rsidRPr="00C70696" w:rsidRDefault="00AA432E" w:rsidP="00B60585">
      <w:pPr>
        <w:pStyle w:val="DHHSbullet1"/>
        <w:numPr>
          <w:ilvl w:val="0"/>
          <w:numId w:val="0"/>
        </w:numPr>
        <w:ind w:left="568"/>
        <w:rPr>
          <w:rStyle w:val="DHHSbodyChar"/>
        </w:rPr>
      </w:pPr>
      <w:r>
        <w:t>&lt;</w:t>
      </w:r>
      <w:r w:rsidR="00B60585" w:rsidRPr="00AA432E">
        <w:t>https://providers.dhhs.vic.gov.au/leaving-care</w:t>
      </w:r>
      <w:r>
        <w:t>&gt;</w:t>
      </w:r>
    </w:p>
    <w:p w14:paraId="774429B2" w14:textId="1BC77EEE" w:rsidR="00B60585" w:rsidRDefault="002E05B5" w:rsidP="00B60585">
      <w:pPr>
        <w:pStyle w:val="DHHSbullet1"/>
        <w:numPr>
          <w:ilvl w:val="0"/>
          <w:numId w:val="16"/>
        </w:numPr>
        <w:ind w:left="568"/>
        <w:rPr>
          <w:rStyle w:val="DHHSbodyChar"/>
        </w:rPr>
      </w:pPr>
      <w:hyperlink r:id="rId13" w:history="1">
        <w:r w:rsidR="00B60585" w:rsidRPr="00AA432E">
          <w:rPr>
            <w:rStyle w:val="Hyperlink"/>
          </w:rPr>
          <w:t>Better Futures (Advantaged Thinking) Practice Framework</w:t>
        </w:r>
      </w:hyperlink>
    </w:p>
    <w:p w14:paraId="0D0084AF" w14:textId="0B846676" w:rsidR="00B60585" w:rsidRPr="00C70696" w:rsidRDefault="00AA432E" w:rsidP="00B60585">
      <w:pPr>
        <w:pStyle w:val="DHHSbullet1"/>
        <w:numPr>
          <w:ilvl w:val="0"/>
          <w:numId w:val="0"/>
        </w:numPr>
        <w:ind w:left="568"/>
        <w:rPr>
          <w:rStyle w:val="DHHSbodyChar"/>
        </w:rPr>
      </w:pPr>
      <w:r>
        <w:t>&lt;</w:t>
      </w:r>
      <w:r w:rsidR="00B60585" w:rsidRPr="00AA432E">
        <w:t>https://providers.dhhs.vic.gov.au/leaving-care</w:t>
      </w:r>
      <w:r>
        <w:t>&gt;</w:t>
      </w:r>
    </w:p>
    <w:p w14:paraId="54EECB24" w14:textId="28E1238B" w:rsidR="00B60585" w:rsidRPr="00C70696" w:rsidRDefault="002E05B5" w:rsidP="00B60585">
      <w:pPr>
        <w:pStyle w:val="DHHSbullet1"/>
        <w:numPr>
          <w:ilvl w:val="0"/>
          <w:numId w:val="16"/>
        </w:numPr>
        <w:ind w:left="568"/>
        <w:rPr>
          <w:rStyle w:val="DHHSbodyChar"/>
        </w:rPr>
      </w:pPr>
      <w:hyperlink r:id="rId14" w:history="1">
        <w:r w:rsidR="00B60585" w:rsidRPr="00AA432E">
          <w:rPr>
            <w:rStyle w:val="Hyperlink"/>
          </w:rPr>
          <w:t xml:space="preserve">Leaving </w:t>
        </w:r>
        <w:r w:rsidR="00A63DFF" w:rsidRPr="00AA432E">
          <w:rPr>
            <w:rStyle w:val="Hyperlink"/>
          </w:rPr>
          <w:t>C</w:t>
        </w:r>
        <w:r w:rsidR="00B60585" w:rsidRPr="00AA432E">
          <w:rPr>
            <w:rStyle w:val="Hyperlink"/>
          </w:rPr>
          <w:t>are information – Department of Health and Human Services</w:t>
        </w:r>
      </w:hyperlink>
    </w:p>
    <w:p w14:paraId="67F3F633" w14:textId="2622DD57" w:rsidR="00B60585" w:rsidRPr="00C70696" w:rsidRDefault="00AA432E" w:rsidP="00B60585">
      <w:pPr>
        <w:pStyle w:val="DHHSbullet1"/>
        <w:numPr>
          <w:ilvl w:val="0"/>
          <w:numId w:val="0"/>
        </w:numPr>
        <w:ind w:left="568"/>
        <w:rPr>
          <w:rStyle w:val="DHHSbodyChar"/>
        </w:rPr>
      </w:pPr>
      <w:r>
        <w:t>&lt;</w:t>
      </w:r>
      <w:r w:rsidR="00B60585" w:rsidRPr="00AA432E">
        <w:t>https://providers.dhhs.vic.gov.au/leaving-care</w:t>
      </w:r>
      <w:r>
        <w:t>&gt;</w:t>
      </w:r>
    </w:p>
    <w:p w14:paraId="1538DF5E" w14:textId="1394BD87" w:rsidR="00B60585" w:rsidRPr="00C70696" w:rsidRDefault="002E05B5" w:rsidP="00B60585">
      <w:pPr>
        <w:pStyle w:val="DHHSbullet1"/>
        <w:numPr>
          <w:ilvl w:val="0"/>
          <w:numId w:val="16"/>
        </w:numPr>
        <w:ind w:left="568"/>
        <w:rPr>
          <w:rStyle w:val="DHHSbodyChar"/>
        </w:rPr>
      </w:pPr>
      <w:hyperlink r:id="rId15" w:history="1">
        <w:r w:rsidR="00B60585" w:rsidRPr="00AA432E">
          <w:rPr>
            <w:rStyle w:val="Hyperlink"/>
          </w:rPr>
          <w:t xml:space="preserve">Child Protection Practice Manual – </w:t>
        </w:r>
        <w:r w:rsidR="00A63DFF" w:rsidRPr="00AA432E">
          <w:rPr>
            <w:rStyle w:val="Hyperlink"/>
          </w:rPr>
          <w:t>L</w:t>
        </w:r>
        <w:r w:rsidR="00B60585" w:rsidRPr="00AA432E">
          <w:rPr>
            <w:rStyle w:val="Hyperlink"/>
          </w:rPr>
          <w:t xml:space="preserve">eaving </w:t>
        </w:r>
        <w:r w:rsidR="00A63DFF" w:rsidRPr="00AA432E">
          <w:rPr>
            <w:rStyle w:val="Hyperlink"/>
          </w:rPr>
          <w:t>C</w:t>
        </w:r>
        <w:r w:rsidR="00B60585" w:rsidRPr="00AA432E">
          <w:rPr>
            <w:rStyle w:val="Hyperlink"/>
          </w:rPr>
          <w:t>are</w:t>
        </w:r>
      </w:hyperlink>
    </w:p>
    <w:p w14:paraId="41DDCEA6" w14:textId="590940E2" w:rsidR="00B60585" w:rsidRPr="00C70696" w:rsidRDefault="00AA432E" w:rsidP="00B60585">
      <w:pPr>
        <w:pStyle w:val="DHHSbullet1"/>
        <w:numPr>
          <w:ilvl w:val="0"/>
          <w:numId w:val="0"/>
        </w:numPr>
        <w:ind w:left="568"/>
        <w:rPr>
          <w:rStyle w:val="DHHSbodyChar"/>
        </w:rPr>
      </w:pPr>
      <w:r>
        <w:t>&lt;</w:t>
      </w:r>
      <w:r w:rsidR="00B60585" w:rsidRPr="00AA432E">
        <w:t>https://www.cpmanual.vic.gov.au/policies-and-procedures/out-home-care/leaving-care</w:t>
      </w:r>
      <w:r>
        <w:t>&gt;</w:t>
      </w:r>
    </w:p>
    <w:bookmarkStart w:id="11" w:name="_Hlk16158661"/>
    <w:p w14:paraId="754D844D" w14:textId="7216A1DB" w:rsidR="00B60585" w:rsidRDefault="00AA432E" w:rsidP="00B60585">
      <w:pPr>
        <w:pStyle w:val="DHHSbullet1"/>
        <w:numPr>
          <w:ilvl w:val="0"/>
          <w:numId w:val="16"/>
        </w:numPr>
        <w:ind w:left="568"/>
        <w:rPr>
          <w:rStyle w:val="DHHSbodyChar"/>
        </w:rPr>
      </w:pPr>
      <w:r>
        <w:rPr>
          <w:rStyle w:val="DHHSbodyChar"/>
        </w:rPr>
        <w:fldChar w:fldCharType="begin"/>
      </w:r>
      <w:r>
        <w:rPr>
          <w:rStyle w:val="DHHSbodyChar"/>
        </w:rPr>
        <w:instrText xml:space="preserve"> HYPERLINK "https://www.dhhs.vic.gov.au/sites/default/files/documents/201706/care-and-transition-planning-for-leaving-care-framework-1212_PDF.pdf" </w:instrText>
      </w:r>
      <w:r>
        <w:rPr>
          <w:rStyle w:val="DHHSbodyChar"/>
        </w:rPr>
        <w:fldChar w:fldCharType="separate"/>
      </w:r>
      <w:r w:rsidR="00B60585" w:rsidRPr="00AA432E">
        <w:rPr>
          <w:rStyle w:val="Hyperlink"/>
        </w:rPr>
        <w:t>Care and Transition Planning for Young People Leaving Care Framework</w:t>
      </w:r>
      <w:r>
        <w:rPr>
          <w:rStyle w:val="DHHSbodyChar"/>
        </w:rPr>
        <w:fldChar w:fldCharType="end"/>
      </w:r>
      <w:r w:rsidR="000013A7">
        <w:rPr>
          <w:rStyle w:val="DHHSbodyChar"/>
        </w:rPr>
        <w:t xml:space="preserve"> </w:t>
      </w:r>
    </w:p>
    <w:p w14:paraId="2449AD7C" w14:textId="747DBB66" w:rsidR="000013A7" w:rsidRPr="00C70696" w:rsidRDefault="00AA432E" w:rsidP="000013A7">
      <w:pPr>
        <w:pStyle w:val="DHHSbullet1"/>
        <w:numPr>
          <w:ilvl w:val="0"/>
          <w:numId w:val="0"/>
        </w:numPr>
        <w:ind w:left="568"/>
        <w:rPr>
          <w:rStyle w:val="DHHSbodyChar"/>
        </w:rPr>
      </w:pPr>
      <w:r>
        <w:t>&lt;</w:t>
      </w:r>
      <w:r w:rsidR="000013A7" w:rsidRPr="00AA432E">
        <w:t>https://www.dhhs.vic.gov.au/sites/default/files/documents/201706/care-and-transition-planning-for-leaving-care-framework-1212_PDF.pdf</w:t>
      </w:r>
      <w:r>
        <w:t>&gt;</w:t>
      </w:r>
    </w:p>
    <w:bookmarkEnd w:id="6"/>
    <w:bookmarkEnd w:id="7"/>
    <w:bookmarkEnd w:id="8"/>
    <w:bookmarkEnd w:id="9"/>
    <w:bookmarkEnd w:id="11"/>
    <w:bookmarkEnd w:id="10"/>
    <w:p w14:paraId="3ED059C5" w14:textId="619DCBAF" w:rsidR="00DC21DB" w:rsidRPr="00DC21DB" w:rsidRDefault="00DC21DB" w:rsidP="0045263F">
      <w:pPr>
        <w:pStyle w:val="Heading1"/>
      </w:pPr>
      <w:r w:rsidRPr="00DC21DB">
        <w:t xml:space="preserve">5. </w:t>
      </w:r>
      <w:r>
        <w:t>Performance</w:t>
      </w:r>
    </w:p>
    <w:p w14:paraId="5A10A305" w14:textId="77777777" w:rsidR="00575BC9" w:rsidRPr="001F1A17" w:rsidRDefault="00E05E8D" w:rsidP="0045263F">
      <w:pPr>
        <w:pStyle w:val="DHHSbody"/>
      </w:pPr>
      <w:r>
        <w:t>Funding is subject to</w:t>
      </w:r>
      <w:r w:rsidR="0017293C">
        <w:t xml:space="preserve"> achieving</w:t>
      </w:r>
      <w:r>
        <w:t xml:space="preserve"> the</w:t>
      </w:r>
      <w:r w:rsidR="00575BC9" w:rsidRPr="00171F04">
        <w:t xml:space="preserve"> </w:t>
      </w:r>
      <w:r w:rsidR="00895643" w:rsidRPr="00DB2CCD">
        <w:t xml:space="preserve">performance </w:t>
      </w:r>
      <w:r w:rsidRPr="00DB2CCD">
        <w:t xml:space="preserve">targets </w:t>
      </w:r>
      <w:r w:rsidR="00895643" w:rsidRPr="00DB2CCD">
        <w:t xml:space="preserve">specified in </w:t>
      </w:r>
      <w:r w:rsidR="00575BC9" w:rsidRPr="00DB2CCD">
        <w:t>Schedule 2</w:t>
      </w:r>
      <w:r w:rsidR="00575BC9">
        <w:t xml:space="preserve"> of the Service Agreement</w:t>
      </w:r>
      <w:r w:rsidR="00895643">
        <w:t>.</w:t>
      </w:r>
      <w:r w:rsidR="006C7A1F">
        <w:t xml:space="preserve"> </w:t>
      </w:r>
      <w:r>
        <w:t xml:space="preserve">Performance is measured as follows:  </w:t>
      </w:r>
    </w:p>
    <w:p w14:paraId="57E088E1" w14:textId="77777777" w:rsidR="006D0BB8" w:rsidRDefault="006D0BB8" w:rsidP="00154254">
      <w:pPr>
        <w:pStyle w:val="Heading2"/>
      </w:pPr>
    </w:p>
    <w:p w14:paraId="30AB0E0D" w14:textId="71D08F9E" w:rsidR="003D2F26" w:rsidRPr="00154254" w:rsidRDefault="00303377" w:rsidP="00154254">
      <w:pPr>
        <w:pStyle w:val="Heading2"/>
        <w:rPr>
          <w:rFonts w:eastAsia="Times"/>
          <w:strike/>
        </w:rPr>
      </w:pPr>
      <w:r>
        <w:t xml:space="preserve">Key performance measure </w:t>
      </w:r>
      <w:r w:rsidR="00774FAF">
        <w:t>1</w:t>
      </w:r>
      <w:r w:rsidRPr="00575BC9">
        <w:t xml:space="preserve">: </w:t>
      </w:r>
      <w:r w:rsidRPr="00B01076">
        <w:rPr>
          <w:rStyle w:val="DHHSbodyChar"/>
        </w:rPr>
        <w:t>Amount of Flexible Funding expended</w:t>
      </w:r>
      <w:r w:rsidR="00230453">
        <w:rPr>
          <w:rStyle w:val="DHHSbodyChar"/>
        </w:rPr>
        <w:t xml:space="preserve"> in the reporting period</w:t>
      </w:r>
      <w:r w:rsidR="003D2F26">
        <w:rPr>
          <w:rStyle w:val="DHHSbodyChar"/>
        </w:rPr>
        <w:t xml:space="preserve"> – Better Futures</w:t>
      </w:r>
      <w:r w:rsidR="00E07518">
        <w:rPr>
          <w:rStyle w:val="DHHSbodyChar"/>
        </w:rPr>
        <w:t xml:space="preserve"> </w:t>
      </w:r>
      <w:r w:rsidR="00154254">
        <w:rPr>
          <w:rStyle w:val="DHHSbodyChar"/>
        </w:rPr>
        <w:t>or Home Stretch</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03377" w:rsidRPr="00C237A0" w14:paraId="2A1FF7DE" w14:textId="77777777" w:rsidTr="00306AF2">
        <w:trPr>
          <w:cantSplit/>
          <w:trHeight w:hRule="exact" w:val="685"/>
        </w:trPr>
        <w:tc>
          <w:tcPr>
            <w:tcW w:w="2835" w:type="dxa"/>
          </w:tcPr>
          <w:p w14:paraId="2C9449C4" w14:textId="77777777" w:rsidR="00303377" w:rsidRPr="0017293C" w:rsidRDefault="00303377" w:rsidP="00306AF2">
            <w:pPr>
              <w:pStyle w:val="DHHStablecolhead"/>
            </w:pPr>
            <w:r w:rsidRPr="00575BC9">
              <w:t>Aim/objective</w:t>
            </w:r>
          </w:p>
        </w:tc>
        <w:tc>
          <w:tcPr>
            <w:tcW w:w="7379" w:type="dxa"/>
          </w:tcPr>
          <w:p w14:paraId="4FDE9C53" w14:textId="5904FED3" w:rsidR="00303377" w:rsidRPr="00FB1B0A" w:rsidRDefault="00303377" w:rsidP="00306AF2">
            <w:pPr>
              <w:pStyle w:val="DHHStabletext"/>
            </w:pPr>
            <w:r w:rsidRPr="003F09A2">
              <w:t xml:space="preserve">This performance measure is the amount of </w:t>
            </w:r>
            <w:r w:rsidR="00DB2CCD">
              <w:t>Better Futures</w:t>
            </w:r>
            <w:r w:rsidR="004478EC">
              <w:rPr>
                <w:color w:val="FF0000"/>
              </w:rPr>
              <w:t xml:space="preserve"> </w:t>
            </w:r>
            <w:r w:rsidR="004478EC" w:rsidRPr="00657F53">
              <w:t>or Home Stretch</w:t>
            </w:r>
            <w:r w:rsidR="00DB2CCD" w:rsidRPr="00657F53">
              <w:t xml:space="preserve"> </w:t>
            </w:r>
            <w:r w:rsidR="00943221">
              <w:t>F</w:t>
            </w:r>
            <w:r w:rsidRPr="003F09A2">
              <w:t xml:space="preserve">lexible </w:t>
            </w:r>
            <w:r w:rsidR="00943221">
              <w:t>F</w:t>
            </w:r>
            <w:r w:rsidRPr="003F09A2">
              <w:t>unding expended in the reporting period.</w:t>
            </w:r>
          </w:p>
        </w:tc>
      </w:tr>
      <w:tr w:rsidR="00303377" w:rsidRPr="00C237A0" w14:paraId="1BC94EA2" w14:textId="77777777" w:rsidTr="00306AF2">
        <w:trPr>
          <w:cantSplit/>
          <w:trHeight w:hRule="exact" w:val="340"/>
        </w:trPr>
        <w:tc>
          <w:tcPr>
            <w:tcW w:w="2835" w:type="dxa"/>
          </w:tcPr>
          <w:p w14:paraId="2774BFB7" w14:textId="77777777" w:rsidR="00303377" w:rsidRPr="0017293C" w:rsidRDefault="00303377" w:rsidP="00306AF2">
            <w:pPr>
              <w:pStyle w:val="DHHStablecolhead"/>
            </w:pPr>
            <w:r w:rsidRPr="00575BC9">
              <w:t>Target</w:t>
            </w:r>
          </w:p>
        </w:tc>
        <w:tc>
          <w:tcPr>
            <w:tcW w:w="7379" w:type="dxa"/>
          </w:tcPr>
          <w:p w14:paraId="44EB8E92" w14:textId="77777777" w:rsidR="00303377" w:rsidRPr="002F7C4B" w:rsidRDefault="00303377" w:rsidP="00306AF2">
            <w:pPr>
              <w:pStyle w:val="DHHSbody"/>
              <w:spacing w:after="0"/>
              <w:rPr>
                <w:color w:val="7030A0"/>
              </w:rPr>
            </w:pPr>
            <w:r>
              <w:t>The performance measure target is provided in the Service Agreement.</w:t>
            </w:r>
          </w:p>
        </w:tc>
      </w:tr>
      <w:tr w:rsidR="00303377" w:rsidRPr="00C237A0" w14:paraId="7ACD31E9" w14:textId="77777777" w:rsidTr="00306AF2">
        <w:trPr>
          <w:cantSplit/>
          <w:trHeight w:hRule="exact" w:val="340"/>
        </w:trPr>
        <w:tc>
          <w:tcPr>
            <w:tcW w:w="2835" w:type="dxa"/>
          </w:tcPr>
          <w:p w14:paraId="14DA5D4B" w14:textId="77777777" w:rsidR="00303377" w:rsidRPr="0017293C" w:rsidRDefault="00303377" w:rsidP="00306AF2">
            <w:pPr>
              <w:pStyle w:val="DHHStablecolhead"/>
            </w:pPr>
            <w:r w:rsidRPr="00575BC9">
              <w:t>Type of count</w:t>
            </w:r>
          </w:p>
        </w:tc>
        <w:tc>
          <w:tcPr>
            <w:tcW w:w="7379" w:type="dxa"/>
          </w:tcPr>
          <w:p w14:paraId="1839C1D1" w14:textId="77777777" w:rsidR="00303377" w:rsidRPr="00C237A0" w:rsidRDefault="00303377" w:rsidP="00306AF2">
            <w:pPr>
              <w:pStyle w:val="DHHStabletext"/>
              <w:spacing w:before="0" w:after="0"/>
            </w:pPr>
            <w:r>
              <w:rPr>
                <w:color w:val="7030A0"/>
              </w:rPr>
              <w:fldChar w:fldCharType="begin">
                <w:ffData>
                  <w:name w:val="Check2"/>
                  <w:enabled/>
                  <w:calcOnExit w:val="0"/>
                  <w:checkBox>
                    <w:sizeAuto/>
                    <w:default w:val="1"/>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Non-cumulative</w:t>
            </w:r>
          </w:p>
        </w:tc>
      </w:tr>
      <w:tr w:rsidR="00303377" w:rsidRPr="00C237A0" w14:paraId="5D59650F" w14:textId="77777777" w:rsidTr="00154254">
        <w:trPr>
          <w:cantSplit/>
          <w:trHeight w:hRule="exact" w:val="1224"/>
        </w:trPr>
        <w:tc>
          <w:tcPr>
            <w:tcW w:w="2835" w:type="dxa"/>
          </w:tcPr>
          <w:p w14:paraId="2D00A052" w14:textId="77777777" w:rsidR="00303377" w:rsidRPr="0017293C" w:rsidRDefault="00303377" w:rsidP="00306AF2">
            <w:pPr>
              <w:pStyle w:val="DHHStablecolhead"/>
            </w:pPr>
            <w:r w:rsidRPr="00575BC9">
              <w:t>Counting rule</w:t>
            </w:r>
          </w:p>
        </w:tc>
        <w:tc>
          <w:tcPr>
            <w:tcW w:w="7379" w:type="dxa"/>
          </w:tcPr>
          <w:p w14:paraId="0C133A31" w14:textId="4BD9FAD3" w:rsidR="00303377" w:rsidRPr="00FB1B0A" w:rsidRDefault="00303377" w:rsidP="00306AF2">
            <w:pPr>
              <w:pStyle w:val="DHHStabletext"/>
              <w:rPr>
                <w:rFonts w:cs="Arial"/>
                <w:lang w:eastAsia="en-AU"/>
              </w:rPr>
            </w:pPr>
            <w:r>
              <w:rPr>
                <w:rFonts w:cs="Arial"/>
                <w:lang w:eastAsia="en-AU"/>
              </w:rPr>
              <w:t>Count the total</w:t>
            </w:r>
            <w:r w:rsidR="00DB2CCD">
              <w:rPr>
                <w:rFonts w:cs="Arial"/>
                <w:lang w:eastAsia="en-AU"/>
              </w:rPr>
              <w:t xml:space="preserve"> Better Futures </w:t>
            </w:r>
            <w:r w:rsidR="004478EC" w:rsidRPr="00657F53">
              <w:rPr>
                <w:rFonts w:cs="Arial"/>
                <w:lang w:eastAsia="en-AU"/>
              </w:rPr>
              <w:t xml:space="preserve">or Home Stretch </w:t>
            </w:r>
            <w:r w:rsidR="00DB2CCD">
              <w:rPr>
                <w:rFonts w:cs="Arial"/>
                <w:lang w:eastAsia="en-AU"/>
              </w:rPr>
              <w:t>f</w:t>
            </w:r>
            <w:r>
              <w:rPr>
                <w:rFonts w:cs="Arial"/>
                <w:lang w:eastAsia="en-AU"/>
              </w:rPr>
              <w:t xml:space="preserve">lexible </w:t>
            </w:r>
            <w:r w:rsidR="00DB2CCD">
              <w:rPr>
                <w:rFonts w:cs="Arial"/>
                <w:lang w:eastAsia="en-AU"/>
              </w:rPr>
              <w:t>f</w:t>
            </w:r>
            <w:r w:rsidRPr="00FB1B0A">
              <w:rPr>
                <w:rFonts w:cs="Arial"/>
                <w:lang w:eastAsia="en-AU"/>
              </w:rPr>
              <w:t xml:space="preserve">unding expended in the reporting period. </w:t>
            </w:r>
          </w:p>
          <w:p w14:paraId="58AC1974" w14:textId="7A04AE24" w:rsidR="00303377" w:rsidRPr="00396DAE" w:rsidRDefault="00303377" w:rsidP="00306AF2">
            <w:pPr>
              <w:pStyle w:val="DHHStabletext"/>
              <w:rPr>
                <w:rFonts w:cs="Arial"/>
                <w:lang w:eastAsia="en-AU"/>
              </w:rPr>
            </w:pPr>
            <w:r>
              <w:rPr>
                <w:rFonts w:cs="Arial"/>
                <w:lang w:eastAsia="en-AU"/>
              </w:rPr>
              <w:t xml:space="preserve">The total yearly </w:t>
            </w:r>
            <w:r w:rsidR="006D0BB8">
              <w:rPr>
                <w:rFonts w:cs="Arial"/>
                <w:lang w:eastAsia="en-AU"/>
              </w:rPr>
              <w:t>F</w:t>
            </w:r>
            <w:r>
              <w:rPr>
                <w:rFonts w:cs="Arial"/>
                <w:lang w:eastAsia="en-AU"/>
              </w:rPr>
              <w:t>lexible</w:t>
            </w:r>
            <w:r w:rsidR="006D0BB8">
              <w:rPr>
                <w:rFonts w:cs="Arial"/>
                <w:lang w:eastAsia="en-AU"/>
              </w:rPr>
              <w:t xml:space="preserve"> F</w:t>
            </w:r>
            <w:r w:rsidRPr="00FB1B0A">
              <w:rPr>
                <w:rFonts w:cs="Arial"/>
                <w:lang w:eastAsia="en-AU"/>
              </w:rPr>
              <w:t>unding allocation is divided by 12 to translate to indicative monthly expenditure.</w:t>
            </w:r>
          </w:p>
        </w:tc>
      </w:tr>
      <w:tr w:rsidR="00303377" w:rsidRPr="00C237A0" w14:paraId="66F4DED8" w14:textId="77777777" w:rsidTr="00FA010A">
        <w:trPr>
          <w:cantSplit/>
          <w:trHeight w:hRule="exact" w:val="590"/>
        </w:trPr>
        <w:tc>
          <w:tcPr>
            <w:tcW w:w="2835" w:type="dxa"/>
          </w:tcPr>
          <w:p w14:paraId="4986DC32" w14:textId="77777777" w:rsidR="00303377" w:rsidRPr="0017293C" w:rsidRDefault="00303377" w:rsidP="00306AF2">
            <w:pPr>
              <w:pStyle w:val="DHHStablecolhead"/>
            </w:pPr>
            <w:r w:rsidRPr="00575BC9">
              <w:t>Data source(s) collection</w:t>
            </w:r>
          </w:p>
        </w:tc>
        <w:tc>
          <w:tcPr>
            <w:tcW w:w="7379" w:type="dxa"/>
          </w:tcPr>
          <w:p w14:paraId="74DF3B6E" w14:textId="7050D15B" w:rsidR="00DB2CCD" w:rsidRDefault="00303377" w:rsidP="00306AF2">
            <w:pPr>
              <w:pStyle w:val="Instructiontext"/>
              <w:rPr>
                <w:color w:val="auto"/>
              </w:rPr>
            </w:pPr>
            <w:r w:rsidRPr="00FB1B0A">
              <w:rPr>
                <w:color w:val="auto"/>
              </w:rPr>
              <w:t>Service Delivery Tracking System (via the Funded Agency Channel</w:t>
            </w:r>
            <w:r>
              <w:rPr>
                <w:color w:val="auto"/>
              </w:rPr>
              <w:t>)</w:t>
            </w:r>
          </w:p>
          <w:p w14:paraId="55BA4BA5" w14:textId="15B9E637" w:rsidR="00DB2CCD" w:rsidRPr="00F72742" w:rsidRDefault="00DB2CCD" w:rsidP="00306AF2">
            <w:pPr>
              <w:pStyle w:val="Instructiontext"/>
              <w:rPr>
                <w:color w:val="auto"/>
              </w:rPr>
            </w:pPr>
          </w:p>
        </w:tc>
      </w:tr>
      <w:tr w:rsidR="00303377" w:rsidRPr="00C237A0" w14:paraId="4B780A27" w14:textId="77777777" w:rsidTr="006D0BB8">
        <w:trPr>
          <w:cantSplit/>
          <w:trHeight w:hRule="exact" w:val="501"/>
        </w:trPr>
        <w:tc>
          <w:tcPr>
            <w:tcW w:w="2835" w:type="dxa"/>
          </w:tcPr>
          <w:p w14:paraId="5B15DF81" w14:textId="77777777" w:rsidR="00303377" w:rsidRPr="0017293C" w:rsidRDefault="00303377" w:rsidP="00306AF2">
            <w:pPr>
              <w:pStyle w:val="DHHStablecolhead"/>
            </w:pPr>
            <w:r w:rsidRPr="00575BC9">
              <w:t>Definition of terms</w:t>
            </w:r>
          </w:p>
        </w:tc>
        <w:tc>
          <w:tcPr>
            <w:tcW w:w="7379" w:type="dxa"/>
          </w:tcPr>
          <w:p w14:paraId="712C4C4D" w14:textId="13D439B9" w:rsidR="004478EC" w:rsidRPr="006D0BB8" w:rsidRDefault="00DB2CCD" w:rsidP="00306AF2">
            <w:pPr>
              <w:pStyle w:val="DHHStabletext"/>
            </w:pPr>
            <w:r>
              <w:t>‘</w:t>
            </w:r>
            <w:r w:rsidR="00303377" w:rsidRPr="00FB1B0A">
              <w:t>Expended</w:t>
            </w:r>
            <w:r>
              <w:t xml:space="preserve">’ </w:t>
            </w:r>
            <w:r w:rsidR="00303377">
              <w:t xml:space="preserve">refers to funds </w:t>
            </w:r>
            <w:r w:rsidR="006D0BB8">
              <w:t>spent</w:t>
            </w:r>
            <w:r w:rsidR="00303377" w:rsidRPr="00FB1B0A">
              <w:t xml:space="preserve"> and not funds approved for spending.</w:t>
            </w:r>
          </w:p>
        </w:tc>
      </w:tr>
    </w:tbl>
    <w:p w14:paraId="0EBE44F0" w14:textId="054884C3" w:rsidR="003D2F26" w:rsidRPr="004246CB" w:rsidRDefault="00E75693" w:rsidP="004246CB">
      <w:pPr>
        <w:pStyle w:val="Heading2"/>
        <w:rPr>
          <w:rFonts w:eastAsia="Times"/>
        </w:rPr>
      </w:pPr>
      <w:r w:rsidRPr="004246CB">
        <w:t xml:space="preserve">Key performance measure </w:t>
      </w:r>
      <w:r w:rsidR="00154254" w:rsidRPr="004246CB">
        <w:t>2</w:t>
      </w:r>
      <w:r w:rsidRPr="004246CB">
        <w:t xml:space="preserve">: </w:t>
      </w:r>
      <w:r w:rsidRPr="004246CB">
        <w:rPr>
          <w:rStyle w:val="DHHSbodyChar"/>
        </w:rPr>
        <w:t xml:space="preserve">Amount of </w:t>
      </w:r>
      <w:r w:rsidR="00C659B7" w:rsidRPr="004246CB">
        <w:rPr>
          <w:rStyle w:val="DHHSbodyChar"/>
        </w:rPr>
        <w:t>F</w:t>
      </w:r>
      <w:r w:rsidRPr="004246CB">
        <w:rPr>
          <w:rStyle w:val="DHHSbodyChar"/>
        </w:rPr>
        <w:t xml:space="preserve">lexible </w:t>
      </w:r>
      <w:r w:rsidR="00C659B7" w:rsidRPr="004246CB">
        <w:rPr>
          <w:rStyle w:val="DHHSbodyChar"/>
        </w:rPr>
        <w:t>F</w:t>
      </w:r>
      <w:r w:rsidRPr="004246CB">
        <w:rPr>
          <w:rStyle w:val="DHHSbodyChar"/>
        </w:rPr>
        <w:t>unding expended –</w:t>
      </w:r>
      <w:r w:rsidR="00720463" w:rsidRPr="004246CB">
        <w:rPr>
          <w:rStyle w:val="DHHSbodyChar"/>
        </w:rPr>
        <w:t xml:space="preserve"> </w:t>
      </w:r>
      <w:r w:rsidRPr="004246CB">
        <w:rPr>
          <w:rStyle w:val="DHHSbodyChar"/>
        </w:rPr>
        <w:t xml:space="preserve">Home Stretch </w:t>
      </w:r>
      <w:r w:rsidR="00D55F38" w:rsidRPr="004246CB">
        <w:rPr>
          <w:rStyle w:val="DHHSbodyChar"/>
        </w:rPr>
        <w:t>–</w:t>
      </w:r>
      <w:r w:rsidRPr="004246CB">
        <w:rPr>
          <w:rStyle w:val="DHHSbodyChar"/>
        </w:rPr>
        <w:t xml:space="preserve"> </w:t>
      </w:r>
      <w:r w:rsidR="00B52E97" w:rsidRPr="004246CB">
        <w:rPr>
          <w:rStyle w:val="DHHSbodyChar"/>
        </w:rPr>
        <w:t>Independent A</w:t>
      </w:r>
      <w:r w:rsidR="00D55F38" w:rsidRPr="004246CB">
        <w:rPr>
          <w:rStyle w:val="DHHSbodyChar"/>
        </w:rPr>
        <w:t>ccommodation Allowance</w:t>
      </w:r>
      <w:r w:rsidRPr="004246CB">
        <w:rPr>
          <w:rStyle w:val="DHHSbodyChar"/>
        </w:rPr>
        <w: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75693" w:rsidRPr="00C237A0" w14:paraId="246F0DF0" w14:textId="77777777" w:rsidTr="00657F53">
        <w:trPr>
          <w:cantSplit/>
          <w:trHeight w:hRule="exact" w:val="703"/>
        </w:trPr>
        <w:tc>
          <w:tcPr>
            <w:tcW w:w="2835" w:type="dxa"/>
          </w:tcPr>
          <w:p w14:paraId="222190A9" w14:textId="77777777" w:rsidR="00E75693" w:rsidRPr="0017293C" w:rsidRDefault="00E75693" w:rsidP="008A07EC">
            <w:pPr>
              <w:pStyle w:val="DHHStablecolhead"/>
            </w:pPr>
            <w:r w:rsidRPr="00575BC9">
              <w:t>Aim/objective</w:t>
            </w:r>
          </w:p>
        </w:tc>
        <w:tc>
          <w:tcPr>
            <w:tcW w:w="7379" w:type="dxa"/>
          </w:tcPr>
          <w:p w14:paraId="7CB770CB" w14:textId="293C6A66" w:rsidR="00E75693" w:rsidRPr="00FB1B0A" w:rsidRDefault="00E75693" w:rsidP="008A07EC">
            <w:pPr>
              <w:pStyle w:val="DHHStabletext"/>
            </w:pPr>
            <w:r w:rsidRPr="003F09A2">
              <w:t xml:space="preserve">This performance measure is the amount of </w:t>
            </w:r>
            <w:r w:rsidR="0018265D">
              <w:t xml:space="preserve">Home Stretch </w:t>
            </w:r>
            <w:r w:rsidRPr="003F09A2">
              <w:t xml:space="preserve">Flexible Funding </w:t>
            </w:r>
            <w:r w:rsidR="00224237">
              <w:t xml:space="preserve">Independent </w:t>
            </w:r>
            <w:r w:rsidR="00943221">
              <w:t xml:space="preserve">Accommodation Allowance </w:t>
            </w:r>
            <w:r w:rsidRPr="003F09A2">
              <w:t>expended in the reporting period.</w:t>
            </w:r>
          </w:p>
        </w:tc>
      </w:tr>
      <w:tr w:rsidR="00E75693" w:rsidRPr="00C237A0" w14:paraId="5EB9096D" w14:textId="77777777" w:rsidTr="008A07EC">
        <w:trPr>
          <w:cantSplit/>
          <w:trHeight w:hRule="exact" w:val="340"/>
        </w:trPr>
        <w:tc>
          <w:tcPr>
            <w:tcW w:w="2835" w:type="dxa"/>
          </w:tcPr>
          <w:p w14:paraId="53768322" w14:textId="77777777" w:rsidR="00E75693" w:rsidRPr="0017293C" w:rsidRDefault="00E75693" w:rsidP="008A07EC">
            <w:pPr>
              <w:pStyle w:val="DHHStablecolhead"/>
            </w:pPr>
            <w:r w:rsidRPr="00575BC9">
              <w:t>Target</w:t>
            </w:r>
          </w:p>
        </w:tc>
        <w:tc>
          <w:tcPr>
            <w:tcW w:w="7379" w:type="dxa"/>
          </w:tcPr>
          <w:p w14:paraId="04918C1E" w14:textId="77777777" w:rsidR="00E75693" w:rsidRPr="002F7C4B" w:rsidRDefault="00E75693" w:rsidP="008A07EC">
            <w:pPr>
              <w:pStyle w:val="DHHSbody"/>
              <w:spacing w:after="0"/>
              <w:rPr>
                <w:color w:val="7030A0"/>
              </w:rPr>
            </w:pPr>
            <w:r>
              <w:t>The performance measure target is provided in the Service Agreement.</w:t>
            </w:r>
          </w:p>
        </w:tc>
      </w:tr>
      <w:tr w:rsidR="00E75693" w:rsidRPr="00C237A0" w14:paraId="4278D62B" w14:textId="77777777" w:rsidTr="008A07EC">
        <w:trPr>
          <w:cantSplit/>
          <w:trHeight w:hRule="exact" w:val="340"/>
        </w:trPr>
        <w:tc>
          <w:tcPr>
            <w:tcW w:w="2835" w:type="dxa"/>
          </w:tcPr>
          <w:p w14:paraId="7BAB9314" w14:textId="77777777" w:rsidR="00E75693" w:rsidRPr="0017293C" w:rsidRDefault="00E75693" w:rsidP="008A07EC">
            <w:pPr>
              <w:pStyle w:val="DHHStablecolhead"/>
            </w:pPr>
            <w:r w:rsidRPr="00575BC9">
              <w:t>Type of count</w:t>
            </w:r>
          </w:p>
        </w:tc>
        <w:tc>
          <w:tcPr>
            <w:tcW w:w="7379" w:type="dxa"/>
          </w:tcPr>
          <w:p w14:paraId="00366978" w14:textId="77777777" w:rsidR="00E75693" w:rsidRPr="00C237A0" w:rsidRDefault="00E75693" w:rsidP="008A07EC">
            <w:pPr>
              <w:pStyle w:val="DHHStabletext"/>
              <w:spacing w:before="0" w:after="0"/>
            </w:pPr>
            <w:r>
              <w:rPr>
                <w:color w:val="7030A0"/>
              </w:rPr>
              <w:fldChar w:fldCharType="begin">
                <w:ffData>
                  <w:name w:val="Check2"/>
                  <w:enabled/>
                  <w:calcOnExit w:val="0"/>
                  <w:checkBox>
                    <w:sizeAuto/>
                    <w:default w:val="1"/>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Non-cumulative</w:t>
            </w:r>
          </w:p>
        </w:tc>
      </w:tr>
      <w:tr w:rsidR="00E75693" w:rsidRPr="00C237A0" w14:paraId="2BF3A8BC" w14:textId="77777777" w:rsidTr="006D0BB8">
        <w:trPr>
          <w:cantSplit/>
          <w:trHeight w:hRule="exact" w:val="1180"/>
        </w:trPr>
        <w:tc>
          <w:tcPr>
            <w:tcW w:w="2835" w:type="dxa"/>
          </w:tcPr>
          <w:p w14:paraId="30BD0498" w14:textId="77777777" w:rsidR="00E75693" w:rsidRPr="0017293C" w:rsidRDefault="00E75693" w:rsidP="008A07EC">
            <w:pPr>
              <w:pStyle w:val="DHHStablecolhead"/>
            </w:pPr>
            <w:r w:rsidRPr="00575BC9">
              <w:t>Counting rule</w:t>
            </w:r>
          </w:p>
        </w:tc>
        <w:tc>
          <w:tcPr>
            <w:tcW w:w="7379" w:type="dxa"/>
          </w:tcPr>
          <w:p w14:paraId="5E65FC54" w14:textId="221579BA" w:rsidR="00E75693" w:rsidRPr="00FB1B0A" w:rsidRDefault="00E75693" w:rsidP="008A07EC">
            <w:pPr>
              <w:pStyle w:val="DHHStabletext"/>
              <w:rPr>
                <w:rFonts w:cs="Arial"/>
                <w:lang w:eastAsia="en-AU"/>
              </w:rPr>
            </w:pPr>
            <w:r>
              <w:rPr>
                <w:rFonts w:cs="Arial"/>
                <w:lang w:eastAsia="en-AU"/>
              </w:rPr>
              <w:t>Count the total</w:t>
            </w:r>
            <w:r w:rsidR="00943221">
              <w:rPr>
                <w:rFonts w:cs="Arial"/>
                <w:lang w:eastAsia="en-AU"/>
              </w:rPr>
              <w:t xml:space="preserve"> Home Stretch</w:t>
            </w:r>
            <w:r>
              <w:rPr>
                <w:rFonts w:cs="Arial"/>
                <w:lang w:eastAsia="en-AU"/>
              </w:rPr>
              <w:t xml:space="preserve"> Flexible F</w:t>
            </w:r>
            <w:r w:rsidRPr="00FB1B0A">
              <w:rPr>
                <w:rFonts w:cs="Arial"/>
                <w:lang w:eastAsia="en-AU"/>
              </w:rPr>
              <w:t xml:space="preserve">unding </w:t>
            </w:r>
            <w:r w:rsidR="00224237">
              <w:rPr>
                <w:rFonts w:cs="Arial"/>
                <w:lang w:eastAsia="en-AU"/>
              </w:rPr>
              <w:t xml:space="preserve">Independent </w:t>
            </w:r>
            <w:r w:rsidR="00943221">
              <w:rPr>
                <w:rFonts w:cs="Arial"/>
                <w:lang w:eastAsia="en-AU"/>
              </w:rPr>
              <w:t>A</w:t>
            </w:r>
            <w:r w:rsidR="00D55F38">
              <w:rPr>
                <w:rFonts w:cs="Arial"/>
                <w:lang w:eastAsia="en-AU"/>
              </w:rPr>
              <w:t xml:space="preserve">ccommodation </w:t>
            </w:r>
            <w:r w:rsidR="00943221">
              <w:rPr>
                <w:rFonts w:cs="Arial"/>
                <w:lang w:eastAsia="en-AU"/>
              </w:rPr>
              <w:t>A</w:t>
            </w:r>
            <w:r w:rsidR="00D55F38">
              <w:rPr>
                <w:rFonts w:cs="Arial"/>
                <w:lang w:eastAsia="en-AU"/>
              </w:rPr>
              <w:t xml:space="preserve">llowance </w:t>
            </w:r>
            <w:r w:rsidRPr="00FB1B0A">
              <w:rPr>
                <w:rFonts w:cs="Arial"/>
                <w:lang w:eastAsia="en-AU"/>
              </w:rPr>
              <w:t xml:space="preserve">expended in the reporting period. </w:t>
            </w:r>
          </w:p>
          <w:p w14:paraId="098E1CCD" w14:textId="4BC38988" w:rsidR="00E75693" w:rsidRPr="00396DAE" w:rsidRDefault="006D0BB8" w:rsidP="008A07EC">
            <w:pPr>
              <w:pStyle w:val="DHHStabletext"/>
              <w:rPr>
                <w:rFonts w:cs="Arial"/>
                <w:lang w:eastAsia="en-AU"/>
              </w:rPr>
            </w:pPr>
            <w:r>
              <w:rPr>
                <w:rFonts w:cs="Arial"/>
                <w:lang w:eastAsia="en-AU"/>
              </w:rPr>
              <w:t>The total yearly Flexible F</w:t>
            </w:r>
            <w:r w:rsidRPr="00FB1B0A">
              <w:rPr>
                <w:rFonts w:cs="Arial"/>
                <w:lang w:eastAsia="en-AU"/>
              </w:rPr>
              <w:t>unding allocation is divided by 12 to translate to indicative monthly expenditure.</w:t>
            </w:r>
          </w:p>
        </w:tc>
      </w:tr>
      <w:tr w:rsidR="00E75693" w:rsidRPr="00C237A0" w14:paraId="04B438C5" w14:textId="77777777" w:rsidTr="00FA010A">
        <w:trPr>
          <w:cantSplit/>
          <w:trHeight w:hRule="exact" w:val="523"/>
        </w:trPr>
        <w:tc>
          <w:tcPr>
            <w:tcW w:w="2835" w:type="dxa"/>
          </w:tcPr>
          <w:p w14:paraId="3D9CF9FB" w14:textId="77777777" w:rsidR="00E75693" w:rsidRPr="0017293C" w:rsidRDefault="00E75693" w:rsidP="008A07EC">
            <w:pPr>
              <w:pStyle w:val="DHHStablecolhead"/>
            </w:pPr>
            <w:r w:rsidRPr="00575BC9">
              <w:t>Data source(s) collection</w:t>
            </w:r>
          </w:p>
        </w:tc>
        <w:tc>
          <w:tcPr>
            <w:tcW w:w="7379" w:type="dxa"/>
          </w:tcPr>
          <w:p w14:paraId="094CE0A3" w14:textId="77777777" w:rsidR="00E75693" w:rsidRDefault="00E75693" w:rsidP="008A07EC">
            <w:pPr>
              <w:pStyle w:val="Instructiontext"/>
              <w:rPr>
                <w:color w:val="auto"/>
              </w:rPr>
            </w:pPr>
            <w:r w:rsidRPr="00FB1B0A">
              <w:rPr>
                <w:color w:val="auto"/>
              </w:rPr>
              <w:t>Service Delivery Tracking System (via the Funded Agency Channel</w:t>
            </w:r>
            <w:r>
              <w:rPr>
                <w:color w:val="auto"/>
              </w:rPr>
              <w:t>)</w:t>
            </w:r>
          </w:p>
          <w:p w14:paraId="4A2EE92D" w14:textId="0F7B53DC" w:rsidR="00943221" w:rsidRPr="00F72742" w:rsidRDefault="00943221" w:rsidP="00FA010A">
            <w:pPr>
              <w:pStyle w:val="Instructiontext"/>
              <w:rPr>
                <w:color w:val="auto"/>
              </w:rPr>
            </w:pPr>
          </w:p>
        </w:tc>
      </w:tr>
      <w:tr w:rsidR="00E75693" w:rsidRPr="00C237A0" w14:paraId="3306F01E" w14:textId="77777777" w:rsidTr="00AB6360">
        <w:trPr>
          <w:cantSplit/>
          <w:trHeight w:hRule="exact" w:val="480"/>
        </w:trPr>
        <w:tc>
          <w:tcPr>
            <w:tcW w:w="2835" w:type="dxa"/>
          </w:tcPr>
          <w:p w14:paraId="10F293BE" w14:textId="77777777" w:rsidR="00E75693" w:rsidRPr="0017293C" w:rsidRDefault="00E75693" w:rsidP="008A07EC">
            <w:pPr>
              <w:pStyle w:val="DHHStablecolhead"/>
            </w:pPr>
            <w:r w:rsidRPr="00575BC9">
              <w:t>Definition of terms</w:t>
            </w:r>
          </w:p>
        </w:tc>
        <w:tc>
          <w:tcPr>
            <w:tcW w:w="7379" w:type="dxa"/>
          </w:tcPr>
          <w:p w14:paraId="29797193" w14:textId="3F3DCC20" w:rsidR="00E75693" w:rsidRPr="00943221" w:rsidRDefault="00E75693" w:rsidP="008A07EC">
            <w:pPr>
              <w:pStyle w:val="DHHStabletext"/>
            </w:pPr>
            <w:r w:rsidRPr="00FB1B0A">
              <w:t>‘Expended’</w:t>
            </w:r>
            <w:r>
              <w:t xml:space="preserve"> refers to funds </w:t>
            </w:r>
            <w:r w:rsidR="006D0BB8">
              <w:t>spent</w:t>
            </w:r>
            <w:r w:rsidRPr="00FB1B0A">
              <w:t xml:space="preserve"> and not funds approved for spending.</w:t>
            </w:r>
            <w:r w:rsidR="000B1121">
              <w:t xml:space="preserve"> </w:t>
            </w:r>
          </w:p>
        </w:tc>
      </w:tr>
    </w:tbl>
    <w:p w14:paraId="71949689" w14:textId="22F41E38" w:rsidR="003D2F26" w:rsidRPr="00BA189A" w:rsidRDefault="00303377" w:rsidP="004246CB">
      <w:pPr>
        <w:pStyle w:val="Heading2"/>
        <w:rPr>
          <w:rFonts w:eastAsia="Times"/>
          <w:strike/>
        </w:rPr>
      </w:pPr>
      <w:r>
        <w:t xml:space="preserve">Performance measure </w:t>
      </w:r>
      <w:r w:rsidR="00154254">
        <w:t>3</w:t>
      </w:r>
      <w:r w:rsidRPr="00575BC9">
        <w:t xml:space="preserve">: </w:t>
      </w:r>
      <w:r w:rsidRPr="00B01076">
        <w:rPr>
          <w:rStyle w:val="DHHSbodyChar"/>
        </w:rPr>
        <w:t>Number of Flexible Funding packages</w:t>
      </w:r>
      <w:r>
        <w:rPr>
          <w:rStyle w:val="DHHSbodyChar"/>
        </w:rPr>
        <w:t xml:space="preserve"> </w:t>
      </w:r>
      <w:r w:rsidR="003D2F26">
        <w:rPr>
          <w:rStyle w:val="DHHSbodyChar"/>
        </w:rPr>
        <w:t>– Better Futures</w:t>
      </w:r>
      <w:r w:rsidR="00154254">
        <w:rPr>
          <w:rStyle w:val="DHHSbodyChar"/>
        </w:rPr>
        <w:t xml:space="preserve"> or Home Stretch</w:t>
      </w:r>
      <w:r w:rsidR="003D2F26">
        <w:t xml:space="preserve">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03377" w:rsidRPr="00C237A0" w14:paraId="57DD9991" w14:textId="77777777" w:rsidTr="00306AF2">
        <w:trPr>
          <w:cantSplit/>
          <w:trHeight w:hRule="exact" w:val="790"/>
        </w:trPr>
        <w:tc>
          <w:tcPr>
            <w:tcW w:w="2835" w:type="dxa"/>
          </w:tcPr>
          <w:p w14:paraId="1964E416" w14:textId="77777777" w:rsidR="00303377" w:rsidRPr="0017293C" w:rsidRDefault="00303377" w:rsidP="00306AF2">
            <w:pPr>
              <w:pStyle w:val="DHHStablecolhead"/>
            </w:pPr>
            <w:r w:rsidRPr="00575BC9">
              <w:t>Aim/objective</w:t>
            </w:r>
          </w:p>
        </w:tc>
        <w:tc>
          <w:tcPr>
            <w:tcW w:w="7379" w:type="dxa"/>
          </w:tcPr>
          <w:p w14:paraId="4E8ED065" w14:textId="1627B170" w:rsidR="00303377" w:rsidRPr="00FB1B0A" w:rsidRDefault="00303377" w:rsidP="00306AF2">
            <w:pPr>
              <w:pStyle w:val="DHHStabletext"/>
            </w:pPr>
            <w:r w:rsidRPr="003F09A2">
              <w:t xml:space="preserve">This performance measure provides information about the total number of </w:t>
            </w:r>
            <w:r w:rsidR="0084464D">
              <w:t xml:space="preserve">Better </w:t>
            </w:r>
            <w:r w:rsidR="0084464D" w:rsidRPr="00657F53">
              <w:t xml:space="preserve">Futures </w:t>
            </w:r>
            <w:r w:rsidR="000B1121" w:rsidRPr="00657F53">
              <w:t xml:space="preserve">or Home Stretch </w:t>
            </w:r>
            <w:r w:rsidRPr="003F09A2">
              <w:t>Flexible Funding packages provided</w:t>
            </w:r>
            <w:r w:rsidR="00906C57">
              <w:t>, and the type of expenditure</w:t>
            </w:r>
            <w:r w:rsidRPr="003F09A2">
              <w:t>.</w:t>
            </w:r>
          </w:p>
        </w:tc>
      </w:tr>
      <w:tr w:rsidR="00303377" w:rsidRPr="00C237A0" w14:paraId="1541BD9E" w14:textId="77777777" w:rsidTr="00306AF2">
        <w:trPr>
          <w:cantSplit/>
          <w:trHeight w:hRule="exact" w:val="340"/>
        </w:trPr>
        <w:tc>
          <w:tcPr>
            <w:tcW w:w="2835" w:type="dxa"/>
          </w:tcPr>
          <w:p w14:paraId="6B593893" w14:textId="77777777" w:rsidR="00303377" w:rsidRPr="0017293C" w:rsidRDefault="00303377" w:rsidP="00306AF2">
            <w:pPr>
              <w:pStyle w:val="DHHStablecolhead"/>
            </w:pPr>
            <w:r w:rsidRPr="00575BC9">
              <w:t>Target</w:t>
            </w:r>
          </w:p>
        </w:tc>
        <w:tc>
          <w:tcPr>
            <w:tcW w:w="7379" w:type="dxa"/>
          </w:tcPr>
          <w:p w14:paraId="58DC44A1" w14:textId="77777777" w:rsidR="00303377" w:rsidRPr="002F7C4B" w:rsidRDefault="00303377" w:rsidP="00306AF2">
            <w:pPr>
              <w:pStyle w:val="DHHSbody"/>
              <w:spacing w:after="0"/>
              <w:rPr>
                <w:color w:val="7030A0"/>
              </w:rPr>
            </w:pPr>
            <w:r>
              <w:t>The performance measure target is provided in the Service Agreement.</w:t>
            </w:r>
          </w:p>
        </w:tc>
      </w:tr>
      <w:tr w:rsidR="00303377" w:rsidRPr="00C237A0" w14:paraId="50B32C9B" w14:textId="77777777" w:rsidTr="00306AF2">
        <w:trPr>
          <w:cantSplit/>
          <w:trHeight w:hRule="exact" w:val="340"/>
        </w:trPr>
        <w:tc>
          <w:tcPr>
            <w:tcW w:w="2835" w:type="dxa"/>
          </w:tcPr>
          <w:p w14:paraId="161403CF" w14:textId="77777777" w:rsidR="00303377" w:rsidRPr="0017293C" w:rsidRDefault="00303377" w:rsidP="00306AF2">
            <w:pPr>
              <w:pStyle w:val="DHHStablecolhead"/>
            </w:pPr>
            <w:r w:rsidRPr="00575BC9">
              <w:t>Type of count</w:t>
            </w:r>
          </w:p>
        </w:tc>
        <w:tc>
          <w:tcPr>
            <w:tcW w:w="7379" w:type="dxa"/>
          </w:tcPr>
          <w:p w14:paraId="18E2D286" w14:textId="77777777" w:rsidR="00303377" w:rsidRPr="00C237A0" w:rsidRDefault="00303377" w:rsidP="00306AF2">
            <w:pPr>
              <w:pStyle w:val="DHHStabletext"/>
              <w:spacing w:before="0" w:after="0"/>
            </w:pPr>
            <w:r>
              <w:rPr>
                <w:color w:val="7030A0"/>
              </w:rPr>
              <w:fldChar w:fldCharType="begin">
                <w:ffData>
                  <w:name w:val=""/>
                  <w:enabled/>
                  <w:calcOnExit w:val="0"/>
                  <w:checkBox>
                    <w:sizeAuto/>
                    <w:default w:val="1"/>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Non-cumulative</w:t>
            </w:r>
          </w:p>
        </w:tc>
      </w:tr>
      <w:tr w:rsidR="00303377" w:rsidRPr="00C237A0" w14:paraId="330E6DF6" w14:textId="77777777" w:rsidTr="00306AF2">
        <w:trPr>
          <w:cantSplit/>
          <w:trHeight w:hRule="exact" w:val="584"/>
        </w:trPr>
        <w:tc>
          <w:tcPr>
            <w:tcW w:w="2835" w:type="dxa"/>
          </w:tcPr>
          <w:p w14:paraId="04C30C8E" w14:textId="77777777" w:rsidR="00303377" w:rsidRPr="0017293C" w:rsidRDefault="00303377" w:rsidP="00306AF2">
            <w:pPr>
              <w:pStyle w:val="DHHStablecolhead"/>
            </w:pPr>
            <w:r w:rsidRPr="00575BC9">
              <w:t>Counting rule</w:t>
            </w:r>
          </w:p>
        </w:tc>
        <w:tc>
          <w:tcPr>
            <w:tcW w:w="7379" w:type="dxa"/>
          </w:tcPr>
          <w:p w14:paraId="49C559AF" w14:textId="2988B61F" w:rsidR="00303377" w:rsidRPr="00396DAE" w:rsidRDefault="00303377" w:rsidP="00306AF2">
            <w:pPr>
              <w:pStyle w:val="DHHStabletext"/>
            </w:pPr>
            <w:r w:rsidRPr="00FB1B0A">
              <w:t>Count the number of packag</w:t>
            </w:r>
            <w:r>
              <w:t>es during the reporting period</w:t>
            </w:r>
            <w:r w:rsidR="00B60585">
              <w:t xml:space="preserve"> and the type of expenditure.</w:t>
            </w:r>
          </w:p>
        </w:tc>
      </w:tr>
      <w:tr w:rsidR="00303377" w:rsidRPr="00C237A0" w14:paraId="127544AE" w14:textId="77777777" w:rsidTr="00FA010A">
        <w:trPr>
          <w:cantSplit/>
          <w:trHeight w:hRule="exact" w:val="421"/>
        </w:trPr>
        <w:tc>
          <w:tcPr>
            <w:tcW w:w="2835" w:type="dxa"/>
          </w:tcPr>
          <w:p w14:paraId="4B9D329C" w14:textId="77777777" w:rsidR="00303377" w:rsidRPr="0017293C" w:rsidRDefault="00303377" w:rsidP="00306AF2">
            <w:pPr>
              <w:pStyle w:val="DHHStablecolhead"/>
            </w:pPr>
            <w:r w:rsidRPr="00575BC9">
              <w:t>Data source(s) collection</w:t>
            </w:r>
          </w:p>
        </w:tc>
        <w:tc>
          <w:tcPr>
            <w:tcW w:w="7379" w:type="dxa"/>
          </w:tcPr>
          <w:p w14:paraId="68AB6602" w14:textId="073B592A" w:rsidR="009730EB" w:rsidRPr="00FB1B0A" w:rsidRDefault="00A66AB1" w:rsidP="00306AF2">
            <w:pPr>
              <w:pStyle w:val="DHHStabletext"/>
            </w:pPr>
            <w:r>
              <w:t>CRISSP</w:t>
            </w:r>
          </w:p>
        </w:tc>
      </w:tr>
      <w:tr w:rsidR="00303377" w:rsidRPr="00C237A0" w14:paraId="2822E607" w14:textId="77777777" w:rsidTr="00BA189A">
        <w:trPr>
          <w:cantSplit/>
          <w:trHeight w:hRule="exact" w:val="1995"/>
        </w:trPr>
        <w:tc>
          <w:tcPr>
            <w:tcW w:w="2835" w:type="dxa"/>
          </w:tcPr>
          <w:p w14:paraId="37D8748B" w14:textId="77777777" w:rsidR="00303377" w:rsidRPr="0017293C" w:rsidRDefault="00303377" w:rsidP="00306AF2">
            <w:pPr>
              <w:pStyle w:val="DHHStablecolhead"/>
            </w:pPr>
            <w:r w:rsidRPr="00575BC9">
              <w:lastRenderedPageBreak/>
              <w:t>Definition of terms</w:t>
            </w:r>
          </w:p>
        </w:tc>
        <w:tc>
          <w:tcPr>
            <w:tcW w:w="7379" w:type="dxa"/>
          </w:tcPr>
          <w:p w14:paraId="2DD834C6" w14:textId="16D6ADBB" w:rsidR="00A52123" w:rsidRDefault="0084464D" w:rsidP="00306AF2">
            <w:pPr>
              <w:pStyle w:val="DHHStabletext"/>
            </w:pPr>
            <w:r>
              <w:t xml:space="preserve">‘Packages’ refers to </w:t>
            </w:r>
            <w:r w:rsidR="00A52123">
              <w:t xml:space="preserve">an </w:t>
            </w:r>
            <w:r w:rsidR="005710F1">
              <w:t>instance</w:t>
            </w:r>
            <w:r w:rsidR="00A52123">
              <w:t xml:space="preserve"> of Better Futures or Home Stretch Flexible Funding expenditure.</w:t>
            </w:r>
          </w:p>
          <w:p w14:paraId="7DAD25E2" w14:textId="17C46A9B" w:rsidR="00B60585" w:rsidRDefault="005710F1" w:rsidP="00306AF2">
            <w:pPr>
              <w:pStyle w:val="DHHStabletext"/>
            </w:pPr>
            <w:r>
              <w:t xml:space="preserve">For example, one package may be </w:t>
            </w:r>
            <w:r w:rsidR="00A52123">
              <w:t xml:space="preserve">an instance of </w:t>
            </w:r>
            <w:r>
              <w:t xml:space="preserve">funding </w:t>
            </w:r>
            <w:r w:rsidR="00A52123">
              <w:t xml:space="preserve">a </w:t>
            </w:r>
            <w:r w:rsidR="00BA189A">
              <w:t>tele</w:t>
            </w:r>
            <w:r w:rsidR="00A52123">
              <w:t xml:space="preserve">phone for a young person </w:t>
            </w:r>
            <w:r>
              <w:t xml:space="preserve">or one package may be funding for a bed, a fridge, and a washing machine for a young person.  </w:t>
            </w:r>
          </w:p>
          <w:p w14:paraId="3301B4E9" w14:textId="4ABFA17C" w:rsidR="00B60585" w:rsidRDefault="00B60585" w:rsidP="00306AF2">
            <w:pPr>
              <w:pStyle w:val="DHHStabletext"/>
            </w:pPr>
            <w:r>
              <w:t xml:space="preserve">‘Type of expenditure’ refers to </w:t>
            </w:r>
            <w:r w:rsidR="00CF5C8D">
              <w:t xml:space="preserve">an itemised list of </w:t>
            </w:r>
            <w:r w:rsidR="00BB15FB">
              <w:t xml:space="preserve">expenditure </w:t>
            </w:r>
            <w:r w:rsidR="00906C57">
              <w:t xml:space="preserve">(such as purchase of travel tickets, a </w:t>
            </w:r>
            <w:r w:rsidR="00BB15FB">
              <w:t>lap top</w:t>
            </w:r>
            <w:r w:rsidR="00906C57">
              <w:t xml:space="preserve">, or </w:t>
            </w:r>
            <w:r w:rsidR="00BB15FB">
              <w:t>housing set up incl</w:t>
            </w:r>
            <w:r w:rsidR="005710F1">
              <w:t>uding</w:t>
            </w:r>
            <w:r w:rsidR="00BB15FB">
              <w:t xml:space="preserve"> whitegoods)</w:t>
            </w:r>
            <w:r w:rsidR="00906C57">
              <w:t>.</w:t>
            </w:r>
          </w:p>
          <w:p w14:paraId="25D7A196" w14:textId="77777777" w:rsidR="0084464D" w:rsidRPr="0084464D" w:rsidRDefault="0084464D" w:rsidP="0084464D">
            <w:pPr>
              <w:rPr>
                <w:lang w:eastAsia="en-US"/>
              </w:rPr>
            </w:pPr>
          </w:p>
          <w:p w14:paraId="05FBCE38" w14:textId="5C5EC604" w:rsidR="0084464D" w:rsidRPr="0084464D" w:rsidRDefault="0084464D" w:rsidP="0084464D">
            <w:pPr>
              <w:tabs>
                <w:tab w:val="left" w:pos="1188"/>
              </w:tabs>
              <w:rPr>
                <w:lang w:eastAsia="en-US"/>
              </w:rPr>
            </w:pPr>
            <w:r>
              <w:rPr>
                <w:lang w:eastAsia="en-US"/>
              </w:rPr>
              <w:tab/>
            </w:r>
          </w:p>
        </w:tc>
      </w:tr>
    </w:tbl>
    <w:p w14:paraId="41FD567B" w14:textId="59C54561" w:rsidR="00E75693" w:rsidRPr="000E2F2F" w:rsidRDefault="00E75693" w:rsidP="004246CB">
      <w:pPr>
        <w:pStyle w:val="Heading2"/>
        <w:rPr>
          <w:color w:val="FF0000"/>
        </w:rPr>
      </w:pPr>
      <w:r>
        <w:t xml:space="preserve">Performance measure </w:t>
      </w:r>
      <w:r w:rsidR="00154254">
        <w:t>4</w:t>
      </w:r>
      <w:r w:rsidRPr="00575BC9">
        <w:t xml:space="preserve">: </w:t>
      </w:r>
      <w:r w:rsidRPr="00B01076">
        <w:rPr>
          <w:rStyle w:val="DHHSbodyChar"/>
        </w:rPr>
        <w:t>Number of Flexible Funding packages</w:t>
      </w:r>
      <w:r>
        <w:rPr>
          <w:rStyle w:val="DHHSbodyChar"/>
        </w:rPr>
        <w:t xml:space="preserve"> –</w:t>
      </w:r>
      <w:r w:rsidR="00370206">
        <w:rPr>
          <w:rStyle w:val="DHHSbodyChar"/>
        </w:rPr>
        <w:t xml:space="preserve"> </w:t>
      </w:r>
      <w:r>
        <w:rPr>
          <w:rStyle w:val="DHHSbodyChar"/>
        </w:rPr>
        <w:t xml:space="preserve">Home Stretch </w:t>
      </w:r>
      <w:r w:rsidR="00D55F38">
        <w:rPr>
          <w:rStyle w:val="DHHSbodyChar"/>
        </w:rPr>
        <w:t>–</w:t>
      </w:r>
      <w:r>
        <w:rPr>
          <w:rStyle w:val="DHHSbodyChar"/>
        </w:rPr>
        <w:t xml:space="preserve"> </w:t>
      </w:r>
      <w:r w:rsidR="00B52E97">
        <w:rPr>
          <w:rStyle w:val="DHHSbodyChar"/>
        </w:rPr>
        <w:t xml:space="preserve">Independent </w:t>
      </w:r>
      <w:r w:rsidR="00D55F38">
        <w:rPr>
          <w:rStyle w:val="DHHSbodyChar"/>
        </w:rPr>
        <w:t>Accommodation Allowance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75693" w:rsidRPr="00C237A0" w14:paraId="189A90C0" w14:textId="77777777" w:rsidTr="008A07EC">
        <w:trPr>
          <w:cantSplit/>
          <w:trHeight w:hRule="exact" w:val="790"/>
        </w:trPr>
        <w:tc>
          <w:tcPr>
            <w:tcW w:w="2835" w:type="dxa"/>
          </w:tcPr>
          <w:p w14:paraId="2EEB8FAA" w14:textId="77777777" w:rsidR="00E75693" w:rsidRPr="0017293C" w:rsidRDefault="00E75693" w:rsidP="008A07EC">
            <w:pPr>
              <w:pStyle w:val="DHHStablecolhead"/>
            </w:pPr>
            <w:r w:rsidRPr="00575BC9">
              <w:t>Aim/objective</w:t>
            </w:r>
          </w:p>
        </w:tc>
        <w:tc>
          <w:tcPr>
            <w:tcW w:w="7379" w:type="dxa"/>
          </w:tcPr>
          <w:p w14:paraId="1DF34494" w14:textId="257E6FB1" w:rsidR="00E75693" w:rsidRPr="00FB1B0A" w:rsidRDefault="00E75693" w:rsidP="008A07EC">
            <w:pPr>
              <w:pStyle w:val="DHHStabletext"/>
            </w:pPr>
            <w:r w:rsidRPr="003F09A2">
              <w:t>This performance measure provides information about the total number of Flexible Funding packages</w:t>
            </w:r>
            <w:r w:rsidR="009C473D">
              <w:t xml:space="preserve"> – Home Stretch</w:t>
            </w:r>
            <w:r w:rsidR="00323977">
              <w:t xml:space="preserve"> Independent</w:t>
            </w:r>
            <w:r w:rsidR="009C473D">
              <w:t xml:space="preserve"> Accommodation Allowance</w:t>
            </w:r>
            <w:r w:rsidRPr="003F09A2">
              <w:t xml:space="preserve"> provided</w:t>
            </w:r>
            <w:r w:rsidR="00BB15FB">
              <w:t xml:space="preserve"> and the type of expenditure.</w:t>
            </w:r>
          </w:p>
        </w:tc>
      </w:tr>
      <w:tr w:rsidR="00E75693" w:rsidRPr="00C237A0" w14:paraId="3A01C9B9" w14:textId="77777777" w:rsidTr="008A07EC">
        <w:trPr>
          <w:cantSplit/>
          <w:trHeight w:hRule="exact" w:val="340"/>
        </w:trPr>
        <w:tc>
          <w:tcPr>
            <w:tcW w:w="2835" w:type="dxa"/>
          </w:tcPr>
          <w:p w14:paraId="7CAFC4F4" w14:textId="77777777" w:rsidR="00E75693" w:rsidRPr="0017293C" w:rsidRDefault="00E75693" w:rsidP="008A07EC">
            <w:pPr>
              <w:pStyle w:val="DHHStablecolhead"/>
            </w:pPr>
            <w:r w:rsidRPr="00575BC9">
              <w:t>Target</w:t>
            </w:r>
          </w:p>
        </w:tc>
        <w:tc>
          <w:tcPr>
            <w:tcW w:w="7379" w:type="dxa"/>
          </w:tcPr>
          <w:p w14:paraId="7E23AF1C" w14:textId="77777777" w:rsidR="00E75693" w:rsidRPr="002F7C4B" w:rsidRDefault="00E75693" w:rsidP="008A07EC">
            <w:pPr>
              <w:pStyle w:val="DHHSbody"/>
              <w:spacing w:after="0"/>
              <w:rPr>
                <w:color w:val="7030A0"/>
              </w:rPr>
            </w:pPr>
            <w:r>
              <w:t>The performance measure target is provided in the Service Agreement.</w:t>
            </w:r>
          </w:p>
        </w:tc>
      </w:tr>
      <w:tr w:rsidR="00E75693" w:rsidRPr="00C237A0" w14:paraId="3619AC21" w14:textId="77777777" w:rsidTr="008A07EC">
        <w:trPr>
          <w:cantSplit/>
          <w:trHeight w:hRule="exact" w:val="340"/>
        </w:trPr>
        <w:tc>
          <w:tcPr>
            <w:tcW w:w="2835" w:type="dxa"/>
          </w:tcPr>
          <w:p w14:paraId="71A47E1E" w14:textId="77777777" w:rsidR="00E75693" w:rsidRPr="0017293C" w:rsidRDefault="00E75693" w:rsidP="008A07EC">
            <w:pPr>
              <w:pStyle w:val="DHHStablecolhead"/>
            </w:pPr>
            <w:r w:rsidRPr="00575BC9">
              <w:t>Type of count</w:t>
            </w:r>
          </w:p>
        </w:tc>
        <w:tc>
          <w:tcPr>
            <w:tcW w:w="7379" w:type="dxa"/>
          </w:tcPr>
          <w:p w14:paraId="4E8742C7" w14:textId="77777777" w:rsidR="00E75693" w:rsidRPr="00C237A0" w:rsidRDefault="00E75693" w:rsidP="008A07EC">
            <w:pPr>
              <w:pStyle w:val="DHHStabletext"/>
              <w:spacing w:before="0" w:after="0"/>
            </w:pPr>
            <w:r>
              <w:rPr>
                <w:color w:val="7030A0"/>
              </w:rPr>
              <w:fldChar w:fldCharType="begin">
                <w:ffData>
                  <w:name w:val=""/>
                  <w:enabled/>
                  <w:calcOnExit w:val="0"/>
                  <w:checkBox>
                    <w:sizeAuto/>
                    <w:default w:val="1"/>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2E05B5">
              <w:rPr>
                <w:color w:val="7030A0"/>
              </w:rPr>
            </w:r>
            <w:r w:rsidR="002E05B5">
              <w:rPr>
                <w:color w:val="7030A0"/>
              </w:rPr>
              <w:fldChar w:fldCharType="separate"/>
            </w:r>
            <w:r>
              <w:rPr>
                <w:color w:val="7030A0"/>
              </w:rPr>
              <w:fldChar w:fldCharType="end"/>
            </w:r>
            <w:r>
              <w:rPr>
                <w:color w:val="7030A0"/>
              </w:rPr>
              <w:t xml:space="preserve"> </w:t>
            </w:r>
            <w:r>
              <w:t>Non-cumulative</w:t>
            </w:r>
          </w:p>
        </w:tc>
      </w:tr>
      <w:tr w:rsidR="00E75693" w:rsidRPr="00C237A0" w14:paraId="7C571A7B" w14:textId="77777777" w:rsidTr="008A07EC">
        <w:trPr>
          <w:cantSplit/>
          <w:trHeight w:hRule="exact" w:val="584"/>
        </w:trPr>
        <w:tc>
          <w:tcPr>
            <w:tcW w:w="2835" w:type="dxa"/>
          </w:tcPr>
          <w:p w14:paraId="11ED2DAE" w14:textId="77777777" w:rsidR="00E75693" w:rsidRPr="0017293C" w:rsidRDefault="00E75693" w:rsidP="008A07EC">
            <w:pPr>
              <w:pStyle w:val="DHHStablecolhead"/>
            </w:pPr>
            <w:r w:rsidRPr="00575BC9">
              <w:t>Counting rule</w:t>
            </w:r>
          </w:p>
        </w:tc>
        <w:tc>
          <w:tcPr>
            <w:tcW w:w="7379" w:type="dxa"/>
          </w:tcPr>
          <w:p w14:paraId="52FE2ED2" w14:textId="28080EE5" w:rsidR="00E75693" w:rsidRPr="00396DAE" w:rsidRDefault="00E75693" w:rsidP="008A07EC">
            <w:pPr>
              <w:pStyle w:val="DHHStabletext"/>
            </w:pPr>
            <w:r w:rsidRPr="00FB1B0A">
              <w:t>Count the number of packag</w:t>
            </w:r>
            <w:r>
              <w:t>es during the reporting period</w:t>
            </w:r>
            <w:r w:rsidR="00A52123">
              <w:t xml:space="preserve"> and the type of expenditure.</w:t>
            </w:r>
          </w:p>
        </w:tc>
      </w:tr>
      <w:tr w:rsidR="00E75693" w:rsidRPr="00C237A0" w14:paraId="2978CDCB" w14:textId="77777777" w:rsidTr="00FA010A">
        <w:trPr>
          <w:cantSplit/>
          <w:trHeight w:hRule="exact" w:val="383"/>
        </w:trPr>
        <w:tc>
          <w:tcPr>
            <w:tcW w:w="2835" w:type="dxa"/>
          </w:tcPr>
          <w:p w14:paraId="349FEBFA" w14:textId="77777777" w:rsidR="00E75693" w:rsidRPr="0017293C" w:rsidRDefault="00E75693" w:rsidP="008A07EC">
            <w:pPr>
              <w:pStyle w:val="DHHStablecolhead"/>
            </w:pPr>
            <w:r w:rsidRPr="00575BC9">
              <w:t>Data source(s) collection</w:t>
            </w:r>
          </w:p>
        </w:tc>
        <w:tc>
          <w:tcPr>
            <w:tcW w:w="7379" w:type="dxa"/>
          </w:tcPr>
          <w:p w14:paraId="762CA312" w14:textId="567305EF" w:rsidR="009730EB" w:rsidRPr="00FB1B0A" w:rsidRDefault="00BB15FB" w:rsidP="008A07EC">
            <w:pPr>
              <w:pStyle w:val="DHHStabletext"/>
            </w:pPr>
            <w:r>
              <w:t>CRISSP</w:t>
            </w:r>
            <w:r w:rsidR="00FA010A" w:rsidRPr="00FB1B0A">
              <w:t xml:space="preserve"> </w:t>
            </w:r>
          </w:p>
        </w:tc>
      </w:tr>
      <w:tr w:rsidR="00E75693" w:rsidRPr="00C237A0" w14:paraId="3A1C3476" w14:textId="77777777" w:rsidTr="00A52123">
        <w:trPr>
          <w:cantSplit/>
          <w:trHeight w:hRule="exact" w:val="1818"/>
        </w:trPr>
        <w:tc>
          <w:tcPr>
            <w:tcW w:w="2835" w:type="dxa"/>
          </w:tcPr>
          <w:p w14:paraId="1A7BC016" w14:textId="77777777" w:rsidR="00E75693" w:rsidRPr="0017293C" w:rsidRDefault="00E75693" w:rsidP="008A07EC">
            <w:pPr>
              <w:pStyle w:val="DHHStablecolhead"/>
            </w:pPr>
            <w:r w:rsidRPr="00575BC9">
              <w:t>Definition of terms</w:t>
            </w:r>
          </w:p>
        </w:tc>
        <w:tc>
          <w:tcPr>
            <w:tcW w:w="7379" w:type="dxa"/>
          </w:tcPr>
          <w:p w14:paraId="5D8B8BC9" w14:textId="4ED8E42B" w:rsidR="00BB15FB" w:rsidRDefault="00BB15FB" w:rsidP="00BB15FB">
            <w:pPr>
              <w:pStyle w:val="DHHStabletext"/>
            </w:pPr>
            <w:r>
              <w:t xml:space="preserve">Packages’ refers to </w:t>
            </w:r>
            <w:r w:rsidR="00A52123">
              <w:t>an instance of Home stretch Independent Accommodation Allowance expenditure.</w:t>
            </w:r>
            <w:r w:rsidR="005710F1">
              <w:t xml:space="preserve"> </w:t>
            </w:r>
          </w:p>
          <w:p w14:paraId="226FF952" w14:textId="5517EC1C" w:rsidR="00DD5007" w:rsidRDefault="00DD5007" w:rsidP="00DD5007">
            <w:pPr>
              <w:pStyle w:val="DHHStabletext"/>
            </w:pPr>
            <w:r>
              <w:t xml:space="preserve">For example, one package may be a </w:t>
            </w:r>
            <w:r w:rsidR="00CF5C8D">
              <w:t>‘</w:t>
            </w:r>
            <w:r>
              <w:t>recurring</w:t>
            </w:r>
            <w:r w:rsidR="00CF5C8D">
              <w:t>’</w:t>
            </w:r>
            <w:r>
              <w:t xml:space="preserve"> instance of rental subsidy (this would be reported each month).</w:t>
            </w:r>
          </w:p>
          <w:p w14:paraId="4D7E772F" w14:textId="637A68CE" w:rsidR="00BB15FB" w:rsidRDefault="00BB15FB" w:rsidP="00DD5007">
            <w:pPr>
              <w:pStyle w:val="DHHStabletext"/>
            </w:pPr>
            <w:r>
              <w:t xml:space="preserve">‘Type of expenditure’ refers </w:t>
            </w:r>
            <w:r w:rsidR="00E23F31">
              <w:t>to an</w:t>
            </w:r>
            <w:r w:rsidR="00CF5C8D">
              <w:t xml:space="preserve"> itemised list of </w:t>
            </w:r>
            <w:r>
              <w:t>expenditure (such as rental subsidy, utilities contribution).</w:t>
            </w:r>
          </w:p>
          <w:p w14:paraId="07AF25C3" w14:textId="77777777" w:rsidR="00BB15FB" w:rsidRPr="0084464D" w:rsidRDefault="00BB15FB" w:rsidP="00BB15FB">
            <w:pPr>
              <w:rPr>
                <w:lang w:eastAsia="en-US"/>
              </w:rPr>
            </w:pPr>
          </w:p>
          <w:p w14:paraId="57ECF6AD" w14:textId="77777777" w:rsidR="0052626C" w:rsidRDefault="0052626C" w:rsidP="00894870">
            <w:pPr>
              <w:pStyle w:val="DHHStabletext"/>
            </w:pPr>
          </w:p>
          <w:p w14:paraId="349CEC4B" w14:textId="2A3F6DD5" w:rsidR="00DB50FB" w:rsidRDefault="00DB50FB" w:rsidP="00894870">
            <w:pPr>
              <w:pStyle w:val="DHHStabletext"/>
            </w:pPr>
          </w:p>
          <w:p w14:paraId="1884CF95" w14:textId="6F72120F" w:rsidR="00E75693" w:rsidRPr="00C237A0" w:rsidRDefault="00E75693" w:rsidP="008A07EC">
            <w:pPr>
              <w:pStyle w:val="DHHStabletext"/>
            </w:pPr>
          </w:p>
        </w:tc>
      </w:tr>
    </w:tbl>
    <w:p w14:paraId="203A4899" w14:textId="5DDF7069" w:rsidR="00575BC9" w:rsidRPr="00575BC9" w:rsidRDefault="00DF6BAF" w:rsidP="0045263F">
      <w:pPr>
        <w:pStyle w:val="Heading1"/>
      </w:pPr>
      <w:r>
        <w:t>6</w:t>
      </w:r>
      <w:r w:rsidR="00575BC9">
        <w:t>. Data collection</w:t>
      </w:r>
    </w:p>
    <w:p w14:paraId="76FFEC1F" w14:textId="77777777" w:rsidR="00575BC9" w:rsidRDefault="00A11FC5" w:rsidP="0045263F">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388D2384" w14:textId="77777777" w:rsidTr="006C7A1F">
        <w:trPr>
          <w:trHeight w:hRule="exact" w:val="340"/>
          <w:tblHeader/>
        </w:trPr>
        <w:tc>
          <w:tcPr>
            <w:tcW w:w="2580" w:type="dxa"/>
            <w:vAlign w:val="center"/>
          </w:tcPr>
          <w:p w14:paraId="53125999" w14:textId="77777777" w:rsidR="00575BC9" w:rsidRPr="00575BC9" w:rsidRDefault="00575BC9" w:rsidP="0017293C">
            <w:pPr>
              <w:pStyle w:val="DHHStablecolhead"/>
              <w:spacing w:before="0" w:after="0"/>
            </w:pPr>
            <w:r w:rsidRPr="00575BC9">
              <w:t>Data collection name</w:t>
            </w:r>
          </w:p>
        </w:tc>
        <w:tc>
          <w:tcPr>
            <w:tcW w:w="2580" w:type="dxa"/>
            <w:vAlign w:val="center"/>
          </w:tcPr>
          <w:p w14:paraId="020411A3"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71253F87"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3D03096B" w14:textId="77777777" w:rsidR="00575BC9" w:rsidRPr="00575BC9" w:rsidRDefault="00575BC9" w:rsidP="0017293C">
            <w:pPr>
              <w:pStyle w:val="DHHStablecolhead"/>
              <w:spacing w:before="0" w:after="0"/>
            </w:pPr>
            <w:r w:rsidRPr="00575BC9">
              <w:t>Reporting cycle</w:t>
            </w:r>
          </w:p>
        </w:tc>
      </w:tr>
      <w:tr w:rsidR="00B01076" w:rsidRPr="00C237A0" w14:paraId="3E88D4BD" w14:textId="77777777" w:rsidTr="006805C7">
        <w:trPr>
          <w:trHeight w:val="776"/>
        </w:trPr>
        <w:tc>
          <w:tcPr>
            <w:tcW w:w="2580" w:type="dxa"/>
          </w:tcPr>
          <w:p w14:paraId="19984A09" w14:textId="77777777" w:rsidR="00B01076" w:rsidRPr="00FB1B0A" w:rsidRDefault="00B01076" w:rsidP="006805C7">
            <w:pPr>
              <w:pStyle w:val="DHHStabletext"/>
            </w:pPr>
            <w:r w:rsidRPr="00FB1B0A">
              <w:t>Service Delivery Tracking</w:t>
            </w:r>
          </w:p>
        </w:tc>
        <w:tc>
          <w:tcPr>
            <w:tcW w:w="2580" w:type="dxa"/>
          </w:tcPr>
          <w:p w14:paraId="025CEEE6" w14:textId="77777777" w:rsidR="00B01076" w:rsidRPr="00FB1B0A" w:rsidRDefault="00B01076" w:rsidP="00894870">
            <w:pPr>
              <w:pStyle w:val="DHHStabletext"/>
            </w:pPr>
            <w:r>
              <w:t xml:space="preserve">Funded Agency Channel </w:t>
            </w:r>
            <w:r w:rsidRPr="00FB1B0A">
              <w:t>/</w:t>
            </w:r>
            <w:r>
              <w:t xml:space="preserve"> </w:t>
            </w:r>
            <w:r w:rsidRPr="00FB1B0A">
              <w:t>SAMS2</w:t>
            </w:r>
          </w:p>
        </w:tc>
        <w:tc>
          <w:tcPr>
            <w:tcW w:w="2580" w:type="dxa"/>
          </w:tcPr>
          <w:p w14:paraId="4245A6CD" w14:textId="77777777" w:rsidR="00B01076" w:rsidRPr="00FB1B0A" w:rsidRDefault="00B01076" w:rsidP="006805C7">
            <w:pPr>
              <w:pStyle w:val="DHHStabletext"/>
            </w:pPr>
            <w:r>
              <w:t xml:space="preserve">Funded Agency Channel </w:t>
            </w:r>
            <w:r w:rsidRPr="00FB1B0A">
              <w:t>/</w:t>
            </w:r>
            <w:r>
              <w:t xml:space="preserve"> </w:t>
            </w:r>
            <w:r w:rsidRPr="00FB1B0A">
              <w:t>SAMS2</w:t>
            </w:r>
          </w:p>
        </w:tc>
        <w:tc>
          <w:tcPr>
            <w:tcW w:w="2508" w:type="dxa"/>
          </w:tcPr>
          <w:p w14:paraId="051CD7A0" w14:textId="13D47D6F" w:rsidR="00B01076" w:rsidRPr="00FB1B0A" w:rsidRDefault="00B01076" w:rsidP="006805C7">
            <w:pPr>
              <w:pStyle w:val="DHHStabletext"/>
            </w:pPr>
            <w:r w:rsidRPr="00FB1B0A">
              <w:t>Monthly</w:t>
            </w:r>
          </w:p>
        </w:tc>
      </w:tr>
      <w:tr w:rsidR="00B01076" w:rsidRPr="00C237A0" w14:paraId="78B11A6A" w14:textId="77777777" w:rsidTr="006805C7">
        <w:tblPrEx>
          <w:tblLook w:val="01E0" w:firstRow="1" w:lastRow="1" w:firstColumn="1" w:lastColumn="1" w:noHBand="0" w:noVBand="0"/>
        </w:tblPrEx>
        <w:trPr>
          <w:cantSplit/>
          <w:trHeight w:val="773"/>
        </w:trPr>
        <w:tc>
          <w:tcPr>
            <w:tcW w:w="2580" w:type="dxa"/>
          </w:tcPr>
          <w:p w14:paraId="225638AB" w14:textId="653A710E" w:rsidR="00B01076" w:rsidRPr="00FB1B0A" w:rsidDel="00326E44" w:rsidRDefault="002B4A68" w:rsidP="006805C7">
            <w:pPr>
              <w:pStyle w:val="DHHStabletext"/>
              <w:rPr>
                <w:rFonts w:cs="Arial"/>
                <w:b/>
              </w:rPr>
            </w:pPr>
            <w:r>
              <w:t xml:space="preserve">Better Futures </w:t>
            </w:r>
            <w:r w:rsidR="00B01076" w:rsidRPr="009C473D">
              <w:t xml:space="preserve">Flexible Funding acquittal </w:t>
            </w:r>
          </w:p>
        </w:tc>
        <w:tc>
          <w:tcPr>
            <w:tcW w:w="2580" w:type="dxa"/>
          </w:tcPr>
          <w:p w14:paraId="1A0495A1" w14:textId="77777777" w:rsidR="00A66AB1" w:rsidRDefault="00A66AB1" w:rsidP="00894870">
            <w:pPr>
              <w:pStyle w:val="DHHStabletext"/>
            </w:pPr>
            <w:r>
              <w:rPr>
                <w:rFonts w:cs="Arial"/>
              </w:rPr>
              <w:t>CRISSP</w:t>
            </w:r>
            <w:r>
              <w:t xml:space="preserve"> </w:t>
            </w:r>
          </w:p>
          <w:p w14:paraId="60C8C213" w14:textId="204B4DBB" w:rsidR="00B01076" w:rsidRPr="00FB1B0A" w:rsidRDefault="00B01076" w:rsidP="002F037D">
            <w:pPr>
              <w:pStyle w:val="DHHStabletext"/>
              <w:rPr>
                <w:rFonts w:cs="Arial"/>
              </w:rPr>
            </w:pPr>
          </w:p>
        </w:tc>
        <w:tc>
          <w:tcPr>
            <w:tcW w:w="2580" w:type="dxa"/>
          </w:tcPr>
          <w:p w14:paraId="10CA3776" w14:textId="3887FB62" w:rsidR="00B01076" w:rsidRPr="00815256" w:rsidRDefault="00B60585" w:rsidP="006805C7">
            <w:pPr>
              <w:pStyle w:val="DHHStabletext"/>
            </w:pPr>
            <w:r w:rsidRPr="00815256">
              <w:t>Monthly</w:t>
            </w:r>
          </w:p>
        </w:tc>
        <w:tc>
          <w:tcPr>
            <w:tcW w:w="2508" w:type="dxa"/>
          </w:tcPr>
          <w:p w14:paraId="38BE5434" w14:textId="6A138578" w:rsidR="00B01076" w:rsidRPr="00FB1B0A" w:rsidRDefault="0070167A" w:rsidP="006805C7">
            <w:pPr>
              <w:pStyle w:val="DHHStabletext"/>
            </w:pPr>
            <w:r>
              <w:t>Bi-annually to local advisor</w:t>
            </w:r>
          </w:p>
        </w:tc>
      </w:tr>
      <w:tr w:rsidR="002B4A68" w:rsidRPr="00C237A0" w14:paraId="17B6FF09" w14:textId="77777777" w:rsidTr="006805C7">
        <w:tblPrEx>
          <w:tblLook w:val="01E0" w:firstRow="1" w:lastRow="1" w:firstColumn="1" w:lastColumn="1" w:noHBand="0" w:noVBand="0"/>
        </w:tblPrEx>
        <w:trPr>
          <w:cantSplit/>
          <w:trHeight w:val="773"/>
        </w:trPr>
        <w:tc>
          <w:tcPr>
            <w:tcW w:w="2580" w:type="dxa"/>
          </w:tcPr>
          <w:p w14:paraId="77A6B67C" w14:textId="0E10217F" w:rsidR="002B4A68" w:rsidRDefault="002B4A68" w:rsidP="006805C7">
            <w:pPr>
              <w:pStyle w:val="DHHStabletext"/>
            </w:pPr>
            <w:r>
              <w:t>Home Stretch Flexible Funding acquittal</w:t>
            </w:r>
          </w:p>
        </w:tc>
        <w:tc>
          <w:tcPr>
            <w:tcW w:w="2580" w:type="dxa"/>
          </w:tcPr>
          <w:p w14:paraId="39305C7D" w14:textId="77777777" w:rsidR="00A66AB1" w:rsidRDefault="00A66AB1" w:rsidP="00894870">
            <w:pPr>
              <w:pStyle w:val="DHHStabletext"/>
            </w:pPr>
            <w:r>
              <w:rPr>
                <w:rFonts w:cs="Arial"/>
              </w:rPr>
              <w:t>CRISSP</w:t>
            </w:r>
            <w:r>
              <w:t xml:space="preserve"> </w:t>
            </w:r>
          </w:p>
          <w:p w14:paraId="51B3BC8A" w14:textId="208F7416" w:rsidR="002B4A68" w:rsidRPr="00FB1B0A" w:rsidRDefault="002B4A68" w:rsidP="00894870">
            <w:pPr>
              <w:pStyle w:val="DHHStabletext"/>
            </w:pPr>
          </w:p>
        </w:tc>
        <w:tc>
          <w:tcPr>
            <w:tcW w:w="2580" w:type="dxa"/>
          </w:tcPr>
          <w:p w14:paraId="7754DFF5" w14:textId="19281C49" w:rsidR="002B4A68" w:rsidRPr="00815256" w:rsidRDefault="00B60585" w:rsidP="006805C7">
            <w:pPr>
              <w:pStyle w:val="DHHStabletext"/>
            </w:pPr>
            <w:r w:rsidRPr="00815256">
              <w:t>Monthly</w:t>
            </w:r>
          </w:p>
        </w:tc>
        <w:tc>
          <w:tcPr>
            <w:tcW w:w="2508" w:type="dxa"/>
          </w:tcPr>
          <w:p w14:paraId="0E20B471" w14:textId="09F4363F" w:rsidR="002B4A68" w:rsidRPr="00FB1B0A" w:rsidDel="007B7149" w:rsidRDefault="0070167A" w:rsidP="006805C7">
            <w:pPr>
              <w:pStyle w:val="DHHStabletext"/>
            </w:pPr>
            <w:r>
              <w:t>Bi-annually to local advisor</w:t>
            </w:r>
          </w:p>
        </w:tc>
      </w:tr>
    </w:tbl>
    <w:bookmarkEnd w:id="1"/>
    <w:p w14:paraId="5E39B02C" w14:textId="2F1F676C" w:rsidR="003C68D5" w:rsidRDefault="003C68D5" w:rsidP="003C68D5">
      <w:pPr>
        <w:pStyle w:val="Heading1"/>
      </w:pPr>
      <w:r>
        <w:t>7. Activity mapping</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693"/>
        <w:gridCol w:w="3261"/>
      </w:tblGrid>
      <w:tr w:rsidR="003C68D5" w:rsidRPr="008E259E" w14:paraId="77D68238" w14:textId="77777777" w:rsidTr="002E05B5">
        <w:trPr>
          <w:trHeight w:val="53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23867" w14:textId="77777777" w:rsidR="003C68D5" w:rsidRPr="008E259E" w:rsidRDefault="003C68D5" w:rsidP="002E05B5">
            <w:pPr>
              <w:pStyle w:val="DHHStablecolhead"/>
            </w:pPr>
            <w:bookmarkStart w:id="12" w:name="_Hlk23315778"/>
            <w:r w:rsidRPr="008E259E">
              <w:t xml:space="preserve">NEW </w:t>
            </w:r>
            <w:r>
              <w:t>a</w:t>
            </w:r>
            <w:r w:rsidRPr="008E259E">
              <w:t>ctivity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AB317" w14:textId="77777777" w:rsidR="003C68D5" w:rsidRPr="002D3358" w:rsidRDefault="003C68D5" w:rsidP="002E05B5">
            <w:pPr>
              <w:pStyle w:val="DHHStablecolhead"/>
            </w:pPr>
            <w:r w:rsidRPr="00494AA7">
              <w:t>NEW sub activity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553DE" w14:textId="77777777" w:rsidR="003C68D5" w:rsidRPr="008E259E" w:rsidRDefault="003C68D5" w:rsidP="002E05B5">
            <w:pPr>
              <w:pStyle w:val="DHHStablecolhead"/>
            </w:pPr>
            <w:r w:rsidRPr="008E259E">
              <w:t>OLD activity</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F55AC" w14:textId="77777777" w:rsidR="003C68D5" w:rsidRPr="008E259E" w:rsidRDefault="003C68D5" w:rsidP="002E05B5">
            <w:pPr>
              <w:pStyle w:val="DHHStablecolhead"/>
            </w:pPr>
            <w:r w:rsidRPr="008E259E">
              <w:t>OLD sub activity</w:t>
            </w:r>
          </w:p>
        </w:tc>
      </w:tr>
      <w:tr w:rsidR="003C68D5" w:rsidRPr="008E259E" w14:paraId="40FE8603" w14:textId="77777777" w:rsidTr="00ED6CE7">
        <w:trPr>
          <w:trHeight w:val="520"/>
        </w:trPr>
        <w:tc>
          <w:tcPr>
            <w:tcW w:w="2263" w:type="dxa"/>
            <w:vMerge w:val="restart"/>
            <w:tcBorders>
              <w:top w:val="single" w:sz="4" w:space="0" w:color="auto"/>
              <w:left w:val="single" w:sz="4" w:space="0" w:color="auto"/>
              <w:bottom w:val="single" w:sz="4" w:space="0" w:color="auto"/>
              <w:right w:val="single" w:sz="4" w:space="0" w:color="auto"/>
            </w:tcBorders>
            <w:noWrap/>
            <w:hideMark/>
          </w:tcPr>
          <w:p w14:paraId="249BB0F3" w14:textId="77777777" w:rsidR="003C68D5" w:rsidRPr="008E259E" w:rsidRDefault="003C68D5" w:rsidP="00D82785">
            <w:pPr>
              <w:pStyle w:val="DHHStabletext"/>
            </w:pPr>
            <w:r w:rsidRPr="008E259E">
              <w:t>31292 - Flexible Funding - Better Futures</w:t>
            </w:r>
          </w:p>
        </w:tc>
        <w:tc>
          <w:tcPr>
            <w:tcW w:w="2410" w:type="dxa"/>
            <w:tcBorders>
              <w:top w:val="single" w:sz="4" w:space="0" w:color="auto"/>
              <w:left w:val="single" w:sz="4" w:space="0" w:color="auto"/>
              <w:bottom w:val="single" w:sz="4" w:space="0" w:color="auto"/>
              <w:right w:val="single" w:sz="4" w:space="0" w:color="auto"/>
            </w:tcBorders>
            <w:noWrap/>
            <w:hideMark/>
          </w:tcPr>
          <w:p w14:paraId="03E02489" w14:textId="77777777" w:rsidR="003C68D5" w:rsidRPr="008E259E" w:rsidRDefault="003C68D5" w:rsidP="00D82785">
            <w:pPr>
              <w:pStyle w:val="DHHStabletext"/>
            </w:pPr>
            <w:r w:rsidRPr="008E259E">
              <w:t>Better Futures Flexible Funding - Packages</w:t>
            </w:r>
          </w:p>
        </w:tc>
        <w:tc>
          <w:tcPr>
            <w:tcW w:w="2693" w:type="dxa"/>
            <w:tcBorders>
              <w:top w:val="single" w:sz="4" w:space="0" w:color="auto"/>
              <w:left w:val="single" w:sz="4" w:space="0" w:color="auto"/>
              <w:bottom w:val="single" w:sz="4" w:space="0" w:color="auto"/>
              <w:right w:val="single" w:sz="4" w:space="0" w:color="auto"/>
            </w:tcBorders>
            <w:noWrap/>
            <w:hideMark/>
          </w:tcPr>
          <w:p w14:paraId="48E64F78" w14:textId="77777777" w:rsidR="003C68D5" w:rsidRPr="008E259E" w:rsidRDefault="003C68D5" w:rsidP="00D82785">
            <w:pPr>
              <w:pStyle w:val="DHHStabletext"/>
            </w:pPr>
            <w:r w:rsidRPr="008E259E">
              <w:t>31414 - Leaving Care Support Services, 31421 - Springboard (Leaving Care)</w:t>
            </w:r>
          </w:p>
        </w:tc>
        <w:tc>
          <w:tcPr>
            <w:tcW w:w="3261" w:type="dxa"/>
            <w:tcBorders>
              <w:top w:val="single" w:sz="4" w:space="0" w:color="auto"/>
              <w:left w:val="single" w:sz="4" w:space="0" w:color="auto"/>
              <w:bottom w:val="single" w:sz="4" w:space="0" w:color="auto"/>
              <w:right w:val="single" w:sz="4" w:space="0" w:color="auto"/>
            </w:tcBorders>
            <w:hideMark/>
          </w:tcPr>
          <w:p w14:paraId="4683952C" w14:textId="77777777" w:rsidR="003C68D5" w:rsidRPr="008E259E" w:rsidRDefault="003C68D5" w:rsidP="00D82785">
            <w:pPr>
              <w:pStyle w:val="DHHStabletext"/>
            </w:pPr>
            <w:r w:rsidRPr="008E259E">
              <w:t>Brokerage</w:t>
            </w:r>
            <w:r w:rsidRPr="008E259E">
              <w:br/>
              <w:t>Better Futures: Brokerage (Low, Medium, High)</w:t>
            </w:r>
          </w:p>
        </w:tc>
      </w:tr>
      <w:tr w:rsidR="003C68D5" w:rsidRPr="008E259E" w14:paraId="5B84F920" w14:textId="77777777" w:rsidTr="00ED6CE7">
        <w:trPr>
          <w:trHeight w:val="29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F67F06F" w14:textId="77777777" w:rsidR="003C68D5" w:rsidRPr="00ED6CE7" w:rsidRDefault="003C68D5" w:rsidP="00D82785">
            <w:pPr>
              <w:pStyle w:val="DHHStabletext"/>
            </w:pPr>
          </w:p>
        </w:tc>
        <w:tc>
          <w:tcPr>
            <w:tcW w:w="2410" w:type="dxa"/>
            <w:tcBorders>
              <w:top w:val="single" w:sz="4" w:space="0" w:color="auto"/>
              <w:left w:val="single" w:sz="4" w:space="0" w:color="auto"/>
              <w:bottom w:val="single" w:sz="4" w:space="0" w:color="auto"/>
              <w:right w:val="single" w:sz="4" w:space="0" w:color="auto"/>
            </w:tcBorders>
            <w:noWrap/>
            <w:hideMark/>
          </w:tcPr>
          <w:p w14:paraId="517FE03D" w14:textId="77777777" w:rsidR="003C68D5" w:rsidRPr="008E259E" w:rsidRDefault="003C68D5" w:rsidP="00D82785">
            <w:pPr>
              <w:pStyle w:val="DHHStabletext"/>
            </w:pPr>
            <w:r w:rsidRPr="008E259E">
              <w:t>Home Stretch Flexible Funding - Packages</w:t>
            </w:r>
          </w:p>
        </w:tc>
        <w:tc>
          <w:tcPr>
            <w:tcW w:w="2693" w:type="dxa"/>
            <w:tcBorders>
              <w:top w:val="single" w:sz="4" w:space="0" w:color="auto"/>
              <w:left w:val="single" w:sz="4" w:space="0" w:color="auto"/>
              <w:bottom w:val="single" w:sz="4" w:space="0" w:color="auto"/>
              <w:right w:val="single" w:sz="4" w:space="0" w:color="auto"/>
            </w:tcBorders>
            <w:noWrap/>
            <w:hideMark/>
          </w:tcPr>
          <w:p w14:paraId="31CA5F33" w14:textId="77777777" w:rsidR="003C68D5" w:rsidRPr="008E259E" w:rsidRDefault="003C68D5" w:rsidP="00D82785">
            <w:pPr>
              <w:pStyle w:val="DHHStabletext"/>
            </w:pPr>
            <w:r w:rsidRPr="008E259E">
              <w:t>31414 - Leaving Care Support Services</w:t>
            </w:r>
          </w:p>
        </w:tc>
        <w:tc>
          <w:tcPr>
            <w:tcW w:w="3261" w:type="dxa"/>
            <w:tcBorders>
              <w:top w:val="single" w:sz="4" w:space="0" w:color="auto"/>
              <w:left w:val="single" w:sz="4" w:space="0" w:color="auto"/>
              <w:bottom w:val="single" w:sz="4" w:space="0" w:color="auto"/>
              <w:right w:val="single" w:sz="4" w:space="0" w:color="auto"/>
            </w:tcBorders>
            <w:noWrap/>
            <w:hideMark/>
          </w:tcPr>
          <w:p w14:paraId="3BB2F59A" w14:textId="77777777" w:rsidR="003C68D5" w:rsidRPr="008E259E" w:rsidRDefault="003C68D5" w:rsidP="00D82785">
            <w:pPr>
              <w:pStyle w:val="DHHStabletext"/>
            </w:pPr>
            <w:r w:rsidRPr="008E259E">
              <w:t>Better Futures - Home Stretch - Flexible Funding</w:t>
            </w:r>
          </w:p>
        </w:tc>
      </w:tr>
      <w:tr w:rsidR="003C68D5" w:rsidRPr="008E259E" w14:paraId="1386B241" w14:textId="77777777" w:rsidTr="00ED6CE7">
        <w:trPr>
          <w:trHeight w:val="29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75614D9" w14:textId="77777777" w:rsidR="003C68D5" w:rsidRPr="00ED6CE7" w:rsidRDefault="003C68D5" w:rsidP="00D82785">
            <w:pPr>
              <w:pStyle w:val="DHHStabletext"/>
            </w:pPr>
          </w:p>
        </w:tc>
        <w:tc>
          <w:tcPr>
            <w:tcW w:w="2410" w:type="dxa"/>
            <w:tcBorders>
              <w:top w:val="single" w:sz="4" w:space="0" w:color="auto"/>
              <w:left w:val="single" w:sz="4" w:space="0" w:color="auto"/>
              <w:bottom w:val="single" w:sz="4" w:space="0" w:color="auto"/>
              <w:right w:val="single" w:sz="4" w:space="0" w:color="auto"/>
            </w:tcBorders>
            <w:noWrap/>
            <w:hideMark/>
          </w:tcPr>
          <w:p w14:paraId="5C6A829A" w14:textId="77777777" w:rsidR="003C68D5" w:rsidRPr="008E259E" w:rsidRDefault="003C68D5" w:rsidP="00D82785">
            <w:pPr>
              <w:pStyle w:val="DHHStabletext"/>
            </w:pPr>
            <w:r w:rsidRPr="008E259E">
              <w:t>Home Stretch Accommodation allowance - Packages</w:t>
            </w:r>
          </w:p>
        </w:tc>
        <w:tc>
          <w:tcPr>
            <w:tcW w:w="2693" w:type="dxa"/>
            <w:tcBorders>
              <w:top w:val="single" w:sz="4" w:space="0" w:color="auto"/>
              <w:left w:val="single" w:sz="4" w:space="0" w:color="auto"/>
              <w:bottom w:val="single" w:sz="4" w:space="0" w:color="auto"/>
              <w:right w:val="single" w:sz="4" w:space="0" w:color="auto"/>
            </w:tcBorders>
            <w:noWrap/>
            <w:hideMark/>
          </w:tcPr>
          <w:p w14:paraId="7D212981" w14:textId="77777777" w:rsidR="003C68D5" w:rsidRPr="008E259E" w:rsidRDefault="003C68D5" w:rsidP="00D82785">
            <w:pPr>
              <w:pStyle w:val="DHHStabletext"/>
            </w:pPr>
            <w:r w:rsidRPr="008E259E">
              <w:t>31414 - Leaving Care Support Services</w:t>
            </w:r>
          </w:p>
        </w:tc>
        <w:tc>
          <w:tcPr>
            <w:tcW w:w="3261" w:type="dxa"/>
            <w:tcBorders>
              <w:top w:val="single" w:sz="4" w:space="0" w:color="auto"/>
              <w:left w:val="single" w:sz="4" w:space="0" w:color="auto"/>
              <w:bottom w:val="single" w:sz="4" w:space="0" w:color="auto"/>
              <w:right w:val="single" w:sz="4" w:space="0" w:color="auto"/>
            </w:tcBorders>
            <w:noWrap/>
            <w:hideMark/>
          </w:tcPr>
          <w:p w14:paraId="7C4238B7" w14:textId="77777777" w:rsidR="003C68D5" w:rsidRPr="008E259E" w:rsidRDefault="003C68D5" w:rsidP="00D82785">
            <w:pPr>
              <w:pStyle w:val="DHHStabletext"/>
            </w:pPr>
            <w:r w:rsidRPr="008E259E">
              <w:t>Better Futures - Home Stretch - Accommodation</w:t>
            </w:r>
          </w:p>
        </w:tc>
      </w:tr>
      <w:bookmarkEnd w:id="12"/>
    </w:tbl>
    <w:p w14:paraId="62CF63BD" w14:textId="77777777" w:rsidR="003C68D5" w:rsidRPr="003C68D5" w:rsidRDefault="003C68D5" w:rsidP="003C68D5">
      <w:pPr>
        <w:pStyle w:val="DHHSbody"/>
      </w:pPr>
    </w:p>
    <w:p w14:paraId="4896DA18" w14:textId="77777777" w:rsidR="003C68D5" w:rsidRDefault="003C68D5" w:rsidP="00752724">
      <w:pPr>
        <w:pStyle w:val="DHHSbody"/>
      </w:pPr>
      <w:bookmarkStart w:id="13" w:name="_GoBack"/>
      <w:bookmarkEnd w:id="13"/>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5BC0B6BF"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0299A20" w14:textId="77777777" w:rsidR="00FB5815" w:rsidRDefault="00FB5815" w:rsidP="00FB5815">
            <w:pPr>
              <w:pStyle w:val="DHHSaccessibilitypara"/>
            </w:pPr>
            <w:r>
              <w:t xml:space="preserve">To receive this publication in an accessible format </w:t>
            </w:r>
            <w:hyperlink r:id="rId16" w:history="1">
              <w:r>
                <w:rPr>
                  <w:rStyle w:val="Hyperlink"/>
                </w:rPr>
                <w:t>email Service Agreement Policy</w:t>
              </w:r>
            </w:hyperlink>
            <w:r>
              <w:t xml:space="preserve"> &lt;</w:t>
            </w:r>
            <w:hyperlink r:id="rId17" w:history="1">
              <w:r>
                <w:rPr>
                  <w:rStyle w:val="Hyperlink"/>
                </w:rPr>
                <w:t>sapolicy@dhhs.vic.gov.au</w:t>
              </w:r>
            </w:hyperlink>
            <w:r>
              <w:t>&gt;</w:t>
            </w:r>
          </w:p>
          <w:p w14:paraId="370A9990" w14:textId="77E5B8B0" w:rsidR="00FB5815" w:rsidRDefault="00FB5815" w:rsidP="00FB5815">
            <w:pPr>
              <w:pStyle w:val="DHHSbody"/>
              <w:rPr>
                <w:sz w:val="16"/>
                <w:szCs w:val="16"/>
              </w:rPr>
            </w:pPr>
            <w:r>
              <w:rPr>
                <w:sz w:val="16"/>
                <w:szCs w:val="16"/>
              </w:rPr>
              <w:t xml:space="preserve">Authorised and published by the Victorian Government, 1 Treasury Place, Melbourne. © State of Victoria, Department of Health and Human Services, </w:t>
            </w:r>
            <w:r w:rsidR="00CF5C8D">
              <w:rPr>
                <w:sz w:val="16"/>
                <w:szCs w:val="16"/>
              </w:rPr>
              <w:t>November</w:t>
            </w:r>
            <w:r>
              <w:rPr>
                <w:sz w:val="16"/>
                <w:szCs w:val="16"/>
              </w:rPr>
              <w:t xml:space="preserve"> 2019. Where the term ‘Aboriginal’ is used it refers to both Aboriginal and Torres Strait Islander people. Indigenous is retained when it is part of the title of a report, program or quotation. ISSN 2207-8347 (online/PDF/Word)</w:t>
            </w:r>
          </w:p>
          <w:p w14:paraId="68CB5675" w14:textId="50760951" w:rsidR="006A7939" w:rsidRPr="00CA4422" w:rsidRDefault="00FB5815" w:rsidP="00FB5815">
            <w:pPr>
              <w:pStyle w:val="DHHSbody"/>
              <w:spacing w:line="240" w:lineRule="auto"/>
            </w:pPr>
            <w:r>
              <w:t xml:space="preserve">Available on the department’s </w:t>
            </w:r>
            <w:hyperlink r:id="rId18" w:history="1">
              <w:r>
                <w:rPr>
                  <w:rStyle w:val="Hyperlink"/>
                </w:rPr>
                <w:t>Health and human services activity search</w:t>
              </w:r>
            </w:hyperlink>
            <w:r>
              <w:t xml:space="preserve"> &lt;</w:t>
            </w:r>
            <w:r w:rsidRPr="004246CB">
              <w:rPr>
                <w:lang w:eastAsia="en-AU"/>
              </w:rPr>
              <w:t>http://providers.dhhs.vic.gov.au/health-human-services-activity-search</w:t>
            </w:r>
            <w:r>
              <w:rPr>
                <w:color w:val="000000"/>
                <w:lang w:eastAsia="en-AU"/>
              </w:rPr>
              <w:t>&gt;</w:t>
            </w:r>
          </w:p>
        </w:tc>
      </w:tr>
    </w:tbl>
    <w:p w14:paraId="0B2F9AFA" w14:textId="77777777" w:rsidR="004433A8" w:rsidRDefault="004433A8" w:rsidP="006C7A1F">
      <w:pPr>
        <w:rPr>
          <w:sz w:val="2"/>
          <w:szCs w:val="2"/>
          <w:lang w:eastAsia="en-US"/>
        </w:rPr>
      </w:pPr>
    </w:p>
    <w:p w14:paraId="3C591747" w14:textId="77777777" w:rsidR="004433A8" w:rsidRPr="004433A8" w:rsidRDefault="004433A8" w:rsidP="004433A8">
      <w:pPr>
        <w:rPr>
          <w:sz w:val="2"/>
          <w:szCs w:val="2"/>
          <w:lang w:eastAsia="en-US"/>
        </w:rPr>
      </w:pPr>
    </w:p>
    <w:p w14:paraId="40DEC9F2" w14:textId="77777777" w:rsidR="004433A8" w:rsidRPr="004433A8" w:rsidRDefault="004433A8" w:rsidP="004433A8">
      <w:pPr>
        <w:rPr>
          <w:sz w:val="2"/>
          <w:szCs w:val="2"/>
          <w:lang w:eastAsia="en-US"/>
        </w:rPr>
      </w:pPr>
    </w:p>
    <w:p w14:paraId="3DF629DF" w14:textId="77777777" w:rsidR="004433A8" w:rsidRPr="004433A8" w:rsidRDefault="004433A8" w:rsidP="004433A8">
      <w:pPr>
        <w:rPr>
          <w:sz w:val="2"/>
          <w:szCs w:val="2"/>
          <w:lang w:eastAsia="en-US"/>
        </w:rPr>
      </w:pPr>
    </w:p>
    <w:p w14:paraId="27B12B80" w14:textId="77777777" w:rsidR="004433A8" w:rsidRPr="004433A8" w:rsidRDefault="004433A8" w:rsidP="004433A8">
      <w:pPr>
        <w:rPr>
          <w:sz w:val="2"/>
          <w:szCs w:val="2"/>
          <w:lang w:eastAsia="en-US"/>
        </w:rPr>
      </w:pPr>
    </w:p>
    <w:p w14:paraId="4031EAD7" w14:textId="77777777" w:rsidR="004433A8" w:rsidRPr="004433A8" w:rsidRDefault="004433A8" w:rsidP="004433A8">
      <w:pPr>
        <w:rPr>
          <w:sz w:val="2"/>
          <w:szCs w:val="2"/>
          <w:lang w:eastAsia="en-US"/>
        </w:rPr>
      </w:pPr>
    </w:p>
    <w:p w14:paraId="560B05B5" w14:textId="77777777" w:rsidR="004433A8" w:rsidRDefault="004433A8" w:rsidP="004433A8">
      <w:pPr>
        <w:rPr>
          <w:sz w:val="2"/>
          <w:szCs w:val="2"/>
          <w:lang w:eastAsia="en-US"/>
        </w:rPr>
      </w:pPr>
    </w:p>
    <w:p w14:paraId="7FE6D527" w14:textId="77777777" w:rsidR="004433A8" w:rsidRDefault="004433A8" w:rsidP="004433A8">
      <w:pPr>
        <w:rPr>
          <w:sz w:val="2"/>
          <w:szCs w:val="2"/>
          <w:lang w:eastAsia="en-US"/>
        </w:rPr>
      </w:pPr>
    </w:p>
    <w:p w14:paraId="558C48A8" w14:textId="77777777" w:rsidR="000918C3" w:rsidRPr="004433A8" w:rsidRDefault="004433A8" w:rsidP="004433A8">
      <w:pPr>
        <w:tabs>
          <w:tab w:val="left" w:pos="1834"/>
        </w:tabs>
        <w:rPr>
          <w:sz w:val="2"/>
          <w:szCs w:val="2"/>
          <w:lang w:eastAsia="en-US"/>
        </w:rPr>
      </w:pPr>
      <w:r>
        <w:rPr>
          <w:sz w:val="2"/>
          <w:szCs w:val="2"/>
          <w:lang w:eastAsia="en-US"/>
        </w:rPr>
        <w:tab/>
      </w:r>
    </w:p>
    <w:sectPr w:rsidR="000918C3" w:rsidRPr="004433A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D7B1" w14:textId="77777777" w:rsidR="000D3756" w:rsidRDefault="000D3756">
      <w:r>
        <w:separator/>
      </w:r>
    </w:p>
  </w:endnote>
  <w:endnote w:type="continuationSeparator" w:id="0">
    <w:p w14:paraId="435E59BD"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D1CB" w14:textId="77777777" w:rsidR="009D70A4" w:rsidRPr="00F65AA9" w:rsidRDefault="00457807" w:rsidP="0051568D">
    <w:pPr>
      <w:pStyle w:val="DHHSfooter"/>
    </w:pPr>
    <w:r>
      <w:rPr>
        <w:noProof/>
        <w:lang w:eastAsia="en-AU"/>
      </w:rPr>
      <w:drawing>
        <wp:anchor distT="0" distB="0" distL="114300" distR="114300" simplePos="0" relativeHeight="251657216" behindDoc="0" locked="1" layoutInCell="0" allowOverlap="1" wp14:anchorId="19208457" wp14:editId="0F81B16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D858" w14:textId="7CB2A86E" w:rsidR="009D70A4" w:rsidRPr="00A11421" w:rsidRDefault="00574329" w:rsidP="0051568D">
    <w:pPr>
      <w:pStyle w:val="DHHSfooter"/>
    </w:pPr>
    <w:r w:rsidRPr="00574329">
      <w:t>Activity description</w:t>
    </w:r>
    <w:r>
      <w:t xml:space="preserve"> (</w:t>
    </w:r>
    <w:r w:rsidRPr="00574329">
      <w:t>Human Services</w:t>
    </w:r>
    <w:r>
      <w:t xml:space="preserve">) </w:t>
    </w:r>
    <w:r w:rsidRPr="00574329">
      <w:t>Flexible Funding</w:t>
    </w:r>
    <w:r>
      <w:t xml:space="preserve"> </w:t>
    </w:r>
    <w:r w:rsidR="0084464D">
      <w:t>Better Futures</w:t>
    </w:r>
    <w:r w:rsidR="00FA010A">
      <w:t xml:space="preserve"> 31292</w:t>
    </w:r>
    <w:r w:rsidR="0084464D">
      <w:t xml:space="preserve"> </w:t>
    </w:r>
    <w:r w:rsidR="009D70A4" w:rsidRPr="00A11421">
      <w:tab/>
    </w:r>
    <w:r w:rsidR="009D70A4" w:rsidRPr="00A11421">
      <w:fldChar w:fldCharType="begin"/>
    </w:r>
    <w:r w:rsidR="009D70A4" w:rsidRPr="00A11421">
      <w:instrText xml:space="preserve"> PAGE </w:instrText>
    </w:r>
    <w:r w:rsidR="009D70A4" w:rsidRPr="00A11421">
      <w:fldChar w:fldCharType="separate"/>
    </w:r>
    <w:r w:rsidR="00CB0697">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3186" w14:textId="77777777" w:rsidR="000D3756" w:rsidRDefault="000D3756" w:rsidP="002862F1">
      <w:pPr>
        <w:spacing w:before="120"/>
      </w:pPr>
      <w:r>
        <w:separator/>
      </w:r>
    </w:p>
  </w:footnote>
  <w:footnote w:type="continuationSeparator" w:id="0">
    <w:p w14:paraId="032FE6EB"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3516" w14:textId="0724102F" w:rsidR="008D4B31" w:rsidRDefault="008D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54F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A90"/>
    <w:multiLevelType w:val="hybridMultilevel"/>
    <w:tmpl w:val="2C1C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82838"/>
    <w:multiLevelType w:val="hybridMultilevel"/>
    <w:tmpl w:val="54E43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A366F0F0"/>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6200BBC"/>
    <w:multiLevelType w:val="hybridMultilevel"/>
    <w:tmpl w:val="D24C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 w:ilvl="0">
        <w:start w:val="1"/>
        <w:numFmt w:val="bullet"/>
        <w:pStyle w:val="DHHSbullet1"/>
        <w:lvlText w:val="•"/>
        <w:lvlJc w:val="left"/>
        <w:pPr>
          <w:ind w:left="284" w:hanging="284"/>
        </w:pPr>
        <w:rPr>
          <w:rFonts w:ascii="Calibri" w:hAnsi="Calibri" w:hint="default"/>
          <w:color w:val="auto"/>
        </w:rPr>
      </w:lvl>
    </w:lvlOverride>
  </w:num>
  <w:num w:numId="8">
    <w:abstractNumId w:val="7"/>
  </w:num>
  <w:num w:numId="9">
    <w:abstractNumId w:val="11"/>
  </w:num>
  <w:num w:numId="10">
    <w:abstractNumId w:val="13"/>
  </w:num>
  <w:num w:numId="11">
    <w:abstractNumId w:val="8"/>
  </w:num>
  <w:num w:numId="12">
    <w:abstractNumId w:val="9"/>
  </w:num>
  <w:num w:numId="13">
    <w:abstractNumId w:val="5"/>
  </w:num>
  <w:num w:numId="14">
    <w:abstractNumId w:val="12"/>
  </w:num>
  <w:num w:numId="15">
    <w:abstractNumId w:val="3"/>
  </w:num>
  <w:num w:numId="16">
    <w:abstractNumId w:val="10"/>
  </w:num>
  <w:num w:numId="17">
    <w:abstractNumId w:val="6"/>
  </w:num>
  <w:num w:numId="18">
    <w:abstractNumId w:val="14"/>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13A7"/>
    <w:rsid w:val="000072B6"/>
    <w:rsid w:val="0001021B"/>
    <w:rsid w:val="00011B64"/>
    <w:rsid w:val="00011D89"/>
    <w:rsid w:val="000214DC"/>
    <w:rsid w:val="00024D89"/>
    <w:rsid w:val="000250B6"/>
    <w:rsid w:val="00031C84"/>
    <w:rsid w:val="00033D81"/>
    <w:rsid w:val="00041BF0"/>
    <w:rsid w:val="000430F1"/>
    <w:rsid w:val="00044241"/>
    <w:rsid w:val="0004536B"/>
    <w:rsid w:val="00046B68"/>
    <w:rsid w:val="000527DD"/>
    <w:rsid w:val="000578B2"/>
    <w:rsid w:val="00060959"/>
    <w:rsid w:val="000663CD"/>
    <w:rsid w:val="000667DA"/>
    <w:rsid w:val="000733FE"/>
    <w:rsid w:val="00074219"/>
    <w:rsid w:val="00074ED5"/>
    <w:rsid w:val="00082FC9"/>
    <w:rsid w:val="00090076"/>
    <w:rsid w:val="0009038C"/>
    <w:rsid w:val="0009113B"/>
    <w:rsid w:val="000918C3"/>
    <w:rsid w:val="00094DA3"/>
    <w:rsid w:val="00096CD1"/>
    <w:rsid w:val="000A012C"/>
    <w:rsid w:val="000A0EB9"/>
    <w:rsid w:val="000A186C"/>
    <w:rsid w:val="000B1121"/>
    <w:rsid w:val="000B23FD"/>
    <w:rsid w:val="000B543D"/>
    <w:rsid w:val="000B5BF7"/>
    <w:rsid w:val="000B6BC8"/>
    <w:rsid w:val="000C3795"/>
    <w:rsid w:val="000C42EA"/>
    <w:rsid w:val="000C4546"/>
    <w:rsid w:val="000D1242"/>
    <w:rsid w:val="000D3756"/>
    <w:rsid w:val="000D4777"/>
    <w:rsid w:val="000D7B18"/>
    <w:rsid w:val="000E3CC7"/>
    <w:rsid w:val="000E6BD4"/>
    <w:rsid w:val="000F1F1E"/>
    <w:rsid w:val="000F2259"/>
    <w:rsid w:val="0010392D"/>
    <w:rsid w:val="0010447F"/>
    <w:rsid w:val="00104FE3"/>
    <w:rsid w:val="00106EE8"/>
    <w:rsid w:val="0011383E"/>
    <w:rsid w:val="00120AF7"/>
    <w:rsid w:val="00120BD3"/>
    <w:rsid w:val="00121D8F"/>
    <w:rsid w:val="00122FEA"/>
    <w:rsid w:val="001232BD"/>
    <w:rsid w:val="00124ED5"/>
    <w:rsid w:val="001447B3"/>
    <w:rsid w:val="00151039"/>
    <w:rsid w:val="00152073"/>
    <w:rsid w:val="00154254"/>
    <w:rsid w:val="00160D07"/>
    <w:rsid w:val="00161939"/>
    <w:rsid w:val="00161AA0"/>
    <w:rsid w:val="00162093"/>
    <w:rsid w:val="0017293C"/>
    <w:rsid w:val="001771DD"/>
    <w:rsid w:val="00177995"/>
    <w:rsid w:val="00177A8C"/>
    <w:rsid w:val="0018265D"/>
    <w:rsid w:val="00186B33"/>
    <w:rsid w:val="00192F9D"/>
    <w:rsid w:val="00196EB8"/>
    <w:rsid w:val="001979FF"/>
    <w:rsid w:val="00197B17"/>
    <w:rsid w:val="001A0D63"/>
    <w:rsid w:val="001A15EB"/>
    <w:rsid w:val="001A1C98"/>
    <w:rsid w:val="001A3ACE"/>
    <w:rsid w:val="001C1970"/>
    <w:rsid w:val="001C277E"/>
    <w:rsid w:val="001C2A72"/>
    <w:rsid w:val="001D0B75"/>
    <w:rsid w:val="001D3C09"/>
    <w:rsid w:val="001D44E8"/>
    <w:rsid w:val="001D60EC"/>
    <w:rsid w:val="001E44DF"/>
    <w:rsid w:val="001E68A5"/>
    <w:rsid w:val="001E6BB0"/>
    <w:rsid w:val="001E6F12"/>
    <w:rsid w:val="001E75AB"/>
    <w:rsid w:val="001F3826"/>
    <w:rsid w:val="001F6E46"/>
    <w:rsid w:val="001F7C91"/>
    <w:rsid w:val="00206463"/>
    <w:rsid w:val="00206F2F"/>
    <w:rsid w:val="00207F2A"/>
    <w:rsid w:val="002104D1"/>
    <w:rsid w:val="0021053D"/>
    <w:rsid w:val="00210A92"/>
    <w:rsid w:val="00216C03"/>
    <w:rsid w:val="00220C04"/>
    <w:rsid w:val="0022278D"/>
    <w:rsid w:val="00222ECA"/>
    <w:rsid w:val="00224237"/>
    <w:rsid w:val="0022701F"/>
    <w:rsid w:val="00230453"/>
    <w:rsid w:val="002333F5"/>
    <w:rsid w:val="00233724"/>
    <w:rsid w:val="00241843"/>
    <w:rsid w:val="002432E1"/>
    <w:rsid w:val="00246207"/>
    <w:rsid w:val="00246C5E"/>
    <w:rsid w:val="00251343"/>
    <w:rsid w:val="00254F58"/>
    <w:rsid w:val="002620BC"/>
    <w:rsid w:val="00262802"/>
    <w:rsid w:val="00263A90"/>
    <w:rsid w:val="0026408B"/>
    <w:rsid w:val="00267C3E"/>
    <w:rsid w:val="002707CA"/>
    <w:rsid w:val="002709BB"/>
    <w:rsid w:val="00270AED"/>
    <w:rsid w:val="002763B3"/>
    <w:rsid w:val="002802E3"/>
    <w:rsid w:val="0028213D"/>
    <w:rsid w:val="002862F1"/>
    <w:rsid w:val="00291373"/>
    <w:rsid w:val="00293337"/>
    <w:rsid w:val="00293D28"/>
    <w:rsid w:val="00293F7D"/>
    <w:rsid w:val="0029597D"/>
    <w:rsid w:val="002962C3"/>
    <w:rsid w:val="0029752B"/>
    <w:rsid w:val="002A483C"/>
    <w:rsid w:val="002A6553"/>
    <w:rsid w:val="002B1729"/>
    <w:rsid w:val="002B3651"/>
    <w:rsid w:val="002B4A68"/>
    <w:rsid w:val="002B4DD4"/>
    <w:rsid w:val="002B5277"/>
    <w:rsid w:val="002B5282"/>
    <w:rsid w:val="002B5375"/>
    <w:rsid w:val="002B563B"/>
    <w:rsid w:val="002B77C1"/>
    <w:rsid w:val="002C2728"/>
    <w:rsid w:val="002D1AA5"/>
    <w:rsid w:val="002D5006"/>
    <w:rsid w:val="002E01D0"/>
    <w:rsid w:val="002E05B5"/>
    <w:rsid w:val="002E161D"/>
    <w:rsid w:val="002E3100"/>
    <w:rsid w:val="002E6C95"/>
    <w:rsid w:val="002E7C36"/>
    <w:rsid w:val="002F037D"/>
    <w:rsid w:val="002F5F31"/>
    <w:rsid w:val="002F5F46"/>
    <w:rsid w:val="002F7C4B"/>
    <w:rsid w:val="00302216"/>
    <w:rsid w:val="00303377"/>
    <w:rsid w:val="003033EA"/>
    <w:rsid w:val="00303E53"/>
    <w:rsid w:val="00306E5F"/>
    <w:rsid w:val="00307E14"/>
    <w:rsid w:val="00314054"/>
    <w:rsid w:val="00316F27"/>
    <w:rsid w:val="00323977"/>
    <w:rsid w:val="00327870"/>
    <w:rsid w:val="0033259D"/>
    <w:rsid w:val="00337C54"/>
    <w:rsid w:val="003406C6"/>
    <w:rsid w:val="003418CC"/>
    <w:rsid w:val="00343B98"/>
    <w:rsid w:val="003459BD"/>
    <w:rsid w:val="00350D38"/>
    <w:rsid w:val="003512C8"/>
    <w:rsid w:val="00351B36"/>
    <w:rsid w:val="003541EF"/>
    <w:rsid w:val="00357B4E"/>
    <w:rsid w:val="00370206"/>
    <w:rsid w:val="00372240"/>
    <w:rsid w:val="003744CF"/>
    <w:rsid w:val="00374717"/>
    <w:rsid w:val="0037676C"/>
    <w:rsid w:val="003829E5"/>
    <w:rsid w:val="00382AFC"/>
    <w:rsid w:val="003956CC"/>
    <w:rsid w:val="00395C9A"/>
    <w:rsid w:val="00397B91"/>
    <w:rsid w:val="003A45CE"/>
    <w:rsid w:val="003A6B67"/>
    <w:rsid w:val="003B15E6"/>
    <w:rsid w:val="003C2045"/>
    <w:rsid w:val="003C43A1"/>
    <w:rsid w:val="003C4FC0"/>
    <w:rsid w:val="003C55F4"/>
    <w:rsid w:val="003C68D5"/>
    <w:rsid w:val="003C7A3F"/>
    <w:rsid w:val="003D2766"/>
    <w:rsid w:val="003D2F26"/>
    <w:rsid w:val="003D3E8F"/>
    <w:rsid w:val="003D6475"/>
    <w:rsid w:val="003E2EB5"/>
    <w:rsid w:val="003E78DC"/>
    <w:rsid w:val="003E793D"/>
    <w:rsid w:val="003E7F40"/>
    <w:rsid w:val="003F0445"/>
    <w:rsid w:val="003F09A2"/>
    <w:rsid w:val="003F0CF0"/>
    <w:rsid w:val="003F14B1"/>
    <w:rsid w:val="003F3289"/>
    <w:rsid w:val="00401FCF"/>
    <w:rsid w:val="00406285"/>
    <w:rsid w:val="004148F9"/>
    <w:rsid w:val="0042084E"/>
    <w:rsid w:val="00421EEF"/>
    <w:rsid w:val="004246CB"/>
    <w:rsid w:val="00424D65"/>
    <w:rsid w:val="00442C6C"/>
    <w:rsid w:val="004433A8"/>
    <w:rsid w:val="00443CBE"/>
    <w:rsid w:val="00443E8A"/>
    <w:rsid w:val="004441BC"/>
    <w:rsid w:val="004468B4"/>
    <w:rsid w:val="004478EC"/>
    <w:rsid w:val="0045230A"/>
    <w:rsid w:val="0045263F"/>
    <w:rsid w:val="00457337"/>
    <w:rsid w:val="00457807"/>
    <w:rsid w:val="004703F4"/>
    <w:rsid w:val="0047372D"/>
    <w:rsid w:val="004743DD"/>
    <w:rsid w:val="00474CEA"/>
    <w:rsid w:val="00483968"/>
    <w:rsid w:val="00484F86"/>
    <w:rsid w:val="00490746"/>
    <w:rsid w:val="00490852"/>
    <w:rsid w:val="00492F30"/>
    <w:rsid w:val="004946F4"/>
    <w:rsid w:val="0049487E"/>
    <w:rsid w:val="00497AAB"/>
    <w:rsid w:val="004A160D"/>
    <w:rsid w:val="004A3E81"/>
    <w:rsid w:val="004A5C62"/>
    <w:rsid w:val="004A707D"/>
    <w:rsid w:val="004B6E1A"/>
    <w:rsid w:val="004C6EEE"/>
    <w:rsid w:val="004C702B"/>
    <w:rsid w:val="004D016B"/>
    <w:rsid w:val="004D1B22"/>
    <w:rsid w:val="004D36F2"/>
    <w:rsid w:val="004D5DA5"/>
    <w:rsid w:val="004D7246"/>
    <w:rsid w:val="004E0BC6"/>
    <w:rsid w:val="004E138F"/>
    <w:rsid w:val="004E4649"/>
    <w:rsid w:val="004E5C2B"/>
    <w:rsid w:val="004E6F1D"/>
    <w:rsid w:val="004F00DD"/>
    <w:rsid w:val="004F1D1D"/>
    <w:rsid w:val="004F2133"/>
    <w:rsid w:val="004F4473"/>
    <w:rsid w:val="004F55F1"/>
    <w:rsid w:val="004F5F95"/>
    <w:rsid w:val="004F6936"/>
    <w:rsid w:val="00503DC6"/>
    <w:rsid w:val="00505DB5"/>
    <w:rsid w:val="00506F5D"/>
    <w:rsid w:val="005126D0"/>
    <w:rsid w:val="0051568D"/>
    <w:rsid w:val="0052626C"/>
    <w:rsid w:val="00526C15"/>
    <w:rsid w:val="005271BB"/>
    <w:rsid w:val="00536499"/>
    <w:rsid w:val="005409A4"/>
    <w:rsid w:val="00543903"/>
    <w:rsid w:val="00543F11"/>
    <w:rsid w:val="005472A7"/>
    <w:rsid w:val="00547A95"/>
    <w:rsid w:val="005518EB"/>
    <w:rsid w:val="005620F5"/>
    <w:rsid w:val="005710F1"/>
    <w:rsid w:val="00572031"/>
    <w:rsid w:val="00574329"/>
    <w:rsid w:val="00574C0A"/>
    <w:rsid w:val="00575BC9"/>
    <w:rsid w:val="00576E84"/>
    <w:rsid w:val="00582B8C"/>
    <w:rsid w:val="0058757E"/>
    <w:rsid w:val="00591A79"/>
    <w:rsid w:val="005938E5"/>
    <w:rsid w:val="00596A4B"/>
    <w:rsid w:val="00597507"/>
    <w:rsid w:val="005B040C"/>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1365A"/>
    <w:rsid w:val="0062408D"/>
    <w:rsid w:val="006240CC"/>
    <w:rsid w:val="00627DA7"/>
    <w:rsid w:val="00633A5F"/>
    <w:rsid w:val="006358B4"/>
    <w:rsid w:val="006419AA"/>
    <w:rsid w:val="00644B7E"/>
    <w:rsid w:val="006454E6"/>
    <w:rsid w:val="00646A68"/>
    <w:rsid w:val="0065092E"/>
    <w:rsid w:val="00653178"/>
    <w:rsid w:val="006557A7"/>
    <w:rsid w:val="00656290"/>
    <w:rsid w:val="00657F53"/>
    <w:rsid w:val="006621D7"/>
    <w:rsid w:val="0066302A"/>
    <w:rsid w:val="00664BC1"/>
    <w:rsid w:val="00670597"/>
    <w:rsid w:val="006706D0"/>
    <w:rsid w:val="00673455"/>
    <w:rsid w:val="00677574"/>
    <w:rsid w:val="0068454C"/>
    <w:rsid w:val="00691B62"/>
    <w:rsid w:val="00692E10"/>
    <w:rsid w:val="00693D14"/>
    <w:rsid w:val="00697090"/>
    <w:rsid w:val="006A18C2"/>
    <w:rsid w:val="006A7939"/>
    <w:rsid w:val="006B077C"/>
    <w:rsid w:val="006B3690"/>
    <w:rsid w:val="006B6803"/>
    <w:rsid w:val="006C42BA"/>
    <w:rsid w:val="006C5390"/>
    <w:rsid w:val="006C7A1F"/>
    <w:rsid w:val="006D0BB8"/>
    <w:rsid w:val="006D2A3F"/>
    <w:rsid w:val="006D2FBC"/>
    <w:rsid w:val="006D72EA"/>
    <w:rsid w:val="006E138B"/>
    <w:rsid w:val="006F0FB0"/>
    <w:rsid w:val="006F1FDC"/>
    <w:rsid w:val="006F6592"/>
    <w:rsid w:val="007013EF"/>
    <w:rsid w:val="0070167A"/>
    <w:rsid w:val="0070427C"/>
    <w:rsid w:val="00706E3A"/>
    <w:rsid w:val="007157B7"/>
    <w:rsid w:val="007173CA"/>
    <w:rsid w:val="00720463"/>
    <w:rsid w:val="007216AA"/>
    <w:rsid w:val="00721AB5"/>
    <w:rsid w:val="00721DEF"/>
    <w:rsid w:val="00724A43"/>
    <w:rsid w:val="007346E4"/>
    <w:rsid w:val="00740F22"/>
    <w:rsid w:val="00741F1A"/>
    <w:rsid w:val="007450F8"/>
    <w:rsid w:val="0074696E"/>
    <w:rsid w:val="00750135"/>
    <w:rsid w:val="00750EC2"/>
    <w:rsid w:val="00752724"/>
    <w:rsid w:val="00752B28"/>
    <w:rsid w:val="00754E36"/>
    <w:rsid w:val="007554F6"/>
    <w:rsid w:val="00757C91"/>
    <w:rsid w:val="00763139"/>
    <w:rsid w:val="00764987"/>
    <w:rsid w:val="00770F37"/>
    <w:rsid w:val="007711A0"/>
    <w:rsid w:val="00772D5E"/>
    <w:rsid w:val="00774FAF"/>
    <w:rsid w:val="00776928"/>
    <w:rsid w:val="00785677"/>
    <w:rsid w:val="00786F16"/>
    <w:rsid w:val="007916DA"/>
    <w:rsid w:val="00796E20"/>
    <w:rsid w:val="00797C32"/>
    <w:rsid w:val="007A5E88"/>
    <w:rsid w:val="007B0117"/>
    <w:rsid w:val="007B0914"/>
    <w:rsid w:val="007B1374"/>
    <w:rsid w:val="007B292B"/>
    <w:rsid w:val="007B589F"/>
    <w:rsid w:val="007B6186"/>
    <w:rsid w:val="007B7149"/>
    <w:rsid w:val="007B73BC"/>
    <w:rsid w:val="007C0184"/>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2315"/>
    <w:rsid w:val="00803B50"/>
    <w:rsid w:val="0080587B"/>
    <w:rsid w:val="00806468"/>
    <w:rsid w:val="00815256"/>
    <w:rsid w:val="008155F0"/>
    <w:rsid w:val="00816735"/>
    <w:rsid w:val="00820141"/>
    <w:rsid w:val="00820E0C"/>
    <w:rsid w:val="008213C4"/>
    <w:rsid w:val="008237E6"/>
    <w:rsid w:val="008338A2"/>
    <w:rsid w:val="00836649"/>
    <w:rsid w:val="008370FF"/>
    <w:rsid w:val="00841AA9"/>
    <w:rsid w:val="0084464D"/>
    <w:rsid w:val="00853EE4"/>
    <w:rsid w:val="00855535"/>
    <w:rsid w:val="0086255E"/>
    <w:rsid w:val="008633F0"/>
    <w:rsid w:val="00867D9D"/>
    <w:rsid w:val="00871222"/>
    <w:rsid w:val="00872E0A"/>
    <w:rsid w:val="00875285"/>
    <w:rsid w:val="0087683C"/>
    <w:rsid w:val="008804C8"/>
    <w:rsid w:val="00882DB2"/>
    <w:rsid w:val="00884B62"/>
    <w:rsid w:val="0088529C"/>
    <w:rsid w:val="00887903"/>
    <w:rsid w:val="0089270A"/>
    <w:rsid w:val="00893AF6"/>
    <w:rsid w:val="00894870"/>
    <w:rsid w:val="00894BC4"/>
    <w:rsid w:val="00895643"/>
    <w:rsid w:val="008A5B32"/>
    <w:rsid w:val="008B2EE4"/>
    <w:rsid w:val="008B4D3D"/>
    <w:rsid w:val="008B57C7"/>
    <w:rsid w:val="008C2F92"/>
    <w:rsid w:val="008D2846"/>
    <w:rsid w:val="008D4236"/>
    <w:rsid w:val="008D462F"/>
    <w:rsid w:val="008D4B31"/>
    <w:rsid w:val="008D6DCF"/>
    <w:rsid w:val="008E32A7"/>
    <w:rsid w:val="008E4376"/>
    <w:rsid w:val="008E7A0A"/>
    <w:rsid w:val="008F20F4"/>
    <w:rsid w:val="00900719"/>
    <w:rsid w:val="009017AC"/>
    <w:rsid w:val="00902F40"/>
    <w:rsid w:val="00904A1C"/>
    <w:rsid w:val="00905030"/>
    <w:rsid w:val="00906490"/>
    <w:rsid w:val="00906C57"/>
    <w:rsid w:val="009111B2"/>
    <w:rsid w:val="00917290"/>
    <w:rsid w:val="00920CDA"/>
    <w:rsid w:val="00924AE1"/>
    <w:rsid w:val="009269B1"/>
    <w:rsid w:val="0092724D"/>
    <w:rsid w:val="00937BD9"/>
    <w:rsid w:val="00943221"/>
    <w:rsid w:val="00950E2C"/>
    <w:rsid w:val="00951D50"/>
    <w:rsid w:val="009525EB"/>
    <w:rsid w:val="00954874"/>
    <w:rsid w:val="009573DD"/>
    <w:rsid w:val="00961400"/>
    <w:rsid w:val="00963646"/>
    <w:rsid w:val="009730EB"/>
    <w:rsid w:val="009853E1"/>
    <w:rsid w:val="00986E6B"/>
    <w:rsid w:val="00991769"/>
    <w:rsid w:val="00994386"/>
    <w:rsid w:val="009A13D8"/>
    <w:rsid w:val="009A1772"/>
    <w:rsid w:val="009A279E"/>
    <w:rsid w:val="009B0A6F"/>
    <w:rsid w:val="009B0A94"/>
    <w:rsid w:val="009B59E9"/>
    <w:rsid w:val="009B70AA"/>
    <w:rsid w:val="009C473D"/>
    <w:rsid w:val="009C7A7E"/>
    <w:rsid w:val="009D011B"/>
    <w:rsid w:val="009D02E8"/>
    <w:rsid w:val="009D364D"/>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26D8D"/>
    <w:rsid w:val="00A44882"/>
    <w:rsid w:val="00A52123"/>
    <w:rsid w:val="00A54715"/>
    <w:rsid w:val="00A6061C"/>
    <w:rsid w:val="00A62D44"/>
    <w:rsid w:val="00A63DFF"/>
    <w:rsid w:val="00A66AB1"/>
    <w:rsid w:val="00A67263"/>
    <w:rsid w:val="00A67C7D"/>
    <w:rsid w:val="00A7161C"/>
    <w:rsid w:val="00A77AA3"/>
    <w:rsid w:val="00A818C9"/>
    <w:rsid w:val="00A842F2"/>
    <w:rsid w:val="00A854EB"/>
    <w:rsid w:val="00A872E5"/>
    <w:rsid w:val="00A91406"/>
    <w:rsid w:val="00A96E65"/>
    <w:rsid w:val="00A97C72"/>
    <w:rsid w:val="00AA0F86"/>
    <w:rsid w:val="00AA3CA8"/>
    <w:rsid w:val="00AA432E"/>
    <w:rsid w:val="00AA63D4"/>
    <w:rsid w:val="00AA6AF5"/>
    <w:rsid w:val="00AA7900"/>
    <w:rsid w:val="00AB06E8"/>
    <w:rsid w:val="00AB1CD3"/>
    <w:rsid w:val="00AB301E"/>
    <w:rsid w:val="00AB352F"/>
    <w:rsid w:val="00AB4542"/>
    <w:rsid w:val="00AB6360"/>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02D"/>
    <w:rsid w:val="00B01076"/>
    <w:rsid w:val="00B01B4D"/>
    <w:rsid w:val="00B06571"/>
    <w:rsid w:val="00B068BA"/>
    <w:rsid w:val="00B13851"/>
    <w:rsid w:val="00B13B1C"/>
    <w:rsid w:val="00B22291"/>
    <w:rsid w:val="00B23F9A"/>
    <w:rsid w:val="00B2417B"/>
    <w:rsid w:val="00B24E6F"/>
    <w:rsid w:val="00B26CB5"/>
    <w:rsid w:val="00B2752E"/>
    <w:rsid w:val="00B307CC"/>
    <w:rsid w:val="00B326B7"/>
    <w:rsid w:val="00B360BC"/>
    <w:rsid w:val="00B431E8"/>
    <w:rsid w:val="00B45141"/>
    <w:rsid w:val="00B5273A"/>
    <w:rsid w:val="00B52E97"/>
    <w:rsid w:val="00B54AE8"/>
    <w:rsid w:val="00B60585"/>
    <w:rsid w:val="00B62B50"/>
    <w:rsid w:val="00B635B7"/>
    <w:rsid w:val="00B63AE8"/>
    <w:rsid w:val="00B65950"/>
    <w:rsid w:val="00B66D83"/>
    <w:rsid w:val="00B672C0"/>
    <w:rsid w:val="00B70F76"/>
    <w:rsid w:val="00B7459A"/>
    <w:rsid w:val="00B75646"/>
    <w:rsid w:val="00B75CD2"/>
    <w:rsid w:val="00B8690F"/>
    <w:rsid w:val="00B90729"/>
    <w:rsid w:val="00B907DA"/>
    <w:rsid w:val="00B950BC"/>
    <w:rsid w:val="00B9714C"/>
    <w:rsid w:val="00BA189A"/>
    <w:rsid w:val="00BA224D"/>
    <w:rsid w:val="00BA3F8D"/>
    <w:rsid w:val="00BA5A87"/>
    <w:rsid w:val="00BA6239"/>
    <w:rsid w:val="00BA6D1B"/>
    <w:rsid w:val="00BB15FB"/>
    <w:rsid w:val="00BB6C5C"/>
    <w:rsid w:val="00BB7A10"/>
    <w:rsid w:val="00BC04A6"/>
    <w:rsid w:val="00BC7468"/>
    <w:rsid w:val="00BC7D4F"/>
    <w:rsid w:val="00BC7ED7"/>
    <w:rsid w:val="00BD2850"/>
    <w:rsid w:val="00BE28D2"/>
    <w:rsid w:val="00BE4A64"/>
    <w:rsid w:val="00BF1FDA"/>
    <w:rsid w:val="00BF20D5"/>
    <w:rsid w:val="00BF7F58"/>
    <w:rsid w:val="00C01381"/>
    <w:rsid w:val="00C01AD6"/>
    <w:rsid w:val="00C079B8"/>
    <w:rsid w:val="00C123EA"/>
    <w:rsid w:val="00C12A49"/>
    <w:rsid w:val="00C133EE"/>
    <w:rsid w:val="00C27201"/>
    <w:rsid w:val="00C27DE9"/>
    <w:rsid w:val="00C31018"/>
    <w:rsid w:val="00C33388"/>
    <w:rsid w:val="00C35484"/>
    <w:rsid w:val="00C35897"/>
    <w:rsid w:val="00C36150"/>
    <w:rsid w:val="00C4173A"/>
    <w:rsid w:val="00C601D8"/>
    <w:rsid w:val="00C602FF"/>
    <w:rsid w:val="00C61174"/>
    <w:rsid w:val="00C6148F"/>
    <w:rsid w:val="00C62F7A"/>
    <w:rsid w:val="00C63B9C"/>
    <w:rsid w:val="00C659B7"/>
    <w:rsid w:val="00C6682F"/>
    <w:rsid w:val="00C71F5E"/>
    <w:rsid w:val="00C7275E"/>
    <w:rsid w:val="00C74C5D"/>
    <w:rsid w:val="00C75131"/>
    <w:rsid w:val="00C863C4"/>
    <w:rsid w:val="00C93C3E"/>
    <w:rsid w:val="00CA12E3"/>
    <w:rsid w:val="00CA4422"/>
    <w:rsid w:val="00CA6611"/>
    <w:rsid w:val="00CA6AE6"/>
    <w:rsid w:val="00CA782F"/>
    <w:rsid w:val="00CB0697"/>
    <w:rsid w:val="00CC0C72"/>
    <w:rsid w:val="00CC2BFD"/>
    <w:rsid w:val="00CC3FB0"/>
    <w:rsid w:val="00CD3476"/>
    <w:rsid w:val="00CD64DF"/>
    <w:rsid w:val="00CF2F50"/>
    <w:rsid w:val="00CF5C8D"/>
    <w:rsid w:val="00D01620"/>
    <w:rsid w:val="00D02919"/>
    <w:rsid w:val="00D036ED"/>
    <w:rsid w:val="00D04C61"/>
    <w:rsid w:val="00D05B8D"/>
    <w:rsid w:val="00D065A2"/>
    <w:rsid w:val="00D07F00"/>
    <w:rsid w:val="00D1443D"/>
    <w:rsid w:val="00D161E7"/>
    <w:rsid w:val="00D17B72"/>
    <w:rsid w:val="00D20635"/>
    <w:rsid w:val="00D3185C"/>
    <w:rsid w:val="00D31E67"/>
    <w:rsid w:val="00D33E72"/>
    <w:rsid w:val="00D35BD6"/>
    <w:rsid w:val="00D361B5"/>
    <w:rsid w:val="00D411A2"/>
    <w:rsid w:val="00D4606D"/>
    <w:rsid w:val="00D50B9C"/>
    <w:rsid w:val="00D52D73"/>
    <w:rsid w:val="00D52E58"/>
    <w:rsid w:val="00D54CF9"/>
    <w:rsid w:val="00D55F38"/>
    <w:rsid w:val="00D714CC"/>
    <w:rsid w:val="00D73F33"/>
    <w:rsid w:val="00D75EA7"/>
    <w:rsid w:val="00D81F21"/>
    <w:rsid w:val="00D82785"/>
    <w:rsid w:val="00D85AC1"/>
    <w:rsid w:val="00D95470"/>
    <w:rsid w:val="00DA2619"/>
    <w:rsid w:val="00DA4239"/>
    <w:rsid w:val="00DB0B61"/>
    <w:rsid w:val="00DB2CCD"/>
    <w:rsid w:val="00DB50FB"/>
    <w:rsid w:val="00DC090B"/>
    <w:rsid w:val="00DC1679"/>
    <w:rsid w:val="00DC21DB"/>
    <w:rsid w:val="00DC2CF1"/>
    <w:rsid w:val="00DC4FCF"/>
    <w:rsid w:val="00DC50E0"/>
    <w:rsid w:val="00DC6386"/>
    <w:rsid w:val="00DD0132"/>
    <w:rsid w:val="00DD1130"/>
    <w:rsid w:val="00DD1951"/>
    <w:rsid w:val="00DD5007"/>
    <w:rsid w:val="00DD6628"/>
    <w:rsid w:val="00DE3250"/>
    <w:rsid w:val="00DE4E5C"/>
    <w:rsid w:val="00DE6028"/>
    <w:rsid w:val="00DE78A3"/>
    <w:rsid w:val="00DF145F"/>
    <w:rsid w:val="00DF1A71"/>
    <w:rsid w:val="00DF68C7"/>
    <w:rsid w:val="00DF6BAF"/>
    <w:rsid w:val="00DF731A"/>
    <w:rsid w:val="00E05E8D"/>
    <w:rsid w:val="00E07518"/>
    <w:rsid w:val="00E170DC"/>
    <w:rsid w:val="00E23F31"/>
    <w:rsid w:val="00E26818"/>
    <w:rsid w:val="00E27FFC"/>
    <w:rsid w:val="00E30B15"/>
    <w:rsid w:val="00E327EB"/>
    <w:rsid w:val="00E40181"/>
    <w:rsid w:val="00E434E7"/>
    <w:rsid w:val="00E53642"/>
    <w:rsid w:val="00E53D0C"/>
    <w:rsid w:val="00E56A01"/>
    <w:rsid w:val="00E629A1"/>
    <w:rsid w:val="00E71591"/>
    <w:rsid w:val="00E75693"/>
    <w:rsid w:val="00E82C55"/>
    <w:rsid w:val="00E92AC3"/>
    <w:rsid w:val="00EA4905"/>
    <w:rsid w:val="00EA51BE"/>
    <w:rsid w:val="00EB00E0"/>
    <w:rsid w:val="00EB41F4"/>
    <w:rsid w:val="00EB442C"/>
    <w:rsid w:val="00EC059F"/>
    <w:rsid w:val="00EC1F24"/>
    <w:rsid w:val="00EC22F6"/>
    <w:rsid w:val="00EC27BC"/>
    <w:rsid w:val="00EC4117"/>
    <w:rsid w:val="00EC4EA4"/>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27486"/>
    <w:rsid w:val="00F30FF4"/>
    <w:rsid w:val="00F3122E"/>
    <w:rsid w:val="00F331AD"/>
    <w:rsid w:val="00F35287"/>
    <w:rsid w:val="00F425DA"/>
    <w:rsid w:val="00F43A37"/>
    <w:rsid w:val="00F46244"/>
    <w:rsid w:val="00F4641B"/>
    <w:rsid w:val="00F46DEA"/>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010A"/>
    <w:rsid w:val="00FA2C46"/>
    <w:rsid w:val="00FA3525"/>
    <w:rsid w:val="00FB4CDA"/>
    <w:rsid w:val="00FB5815"/>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0329BEEE"/>
  <w15:docId w15:val="{FCDF3F9C-CC0B-44D0-A758-73FB5B50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076"/>
    <w:pPr>
      <w:spacing w:before="100" w:line="288" w:lineRule="auto"/>
    </w:pPr>
    <w:rPr>
      <w:rFonts w:ascii="Arial" w:hAnsi="Arial"/>
    </w:rPr>
  </w:style>
  <w:style w:type="paragraph" w:styleId="Heading1">
    <w:name w:val="heading 1"/>
    <w:next w:val="DHHSbody"/>
    <w:link w:val="Heading1Char"/>
    <w:autoRedefine/>
    <w:uiPriority w:val="1"/>
    <w:qFormat/>
    <w:rsid w:val="0045263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246CB"/>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5263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246CB"/>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6"/>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PlaceholderText">
    <w:name w:val="Placeholder Text"/>
    <w:uiPriority w:val="99"/>
    <w:semiHidden/>
    <w:rsid w:val="00C75131"/>
    <w:rPr>
      <w:rFonts w:cs="Times New Roman"/>
      <w:color w:val="808080"/>
    </w:rPr>
  </w:style>
  <w:style w:type="character" w:styleId="CommentReference">
    <w:name w:val="annotation reference"/>
    <w:basedOn w:val="DefaultParagraphFont"/>
    <w:uiPriority w:val="99"/>
    <w:semiHidden/>
    <w:unhideWhenUsed/>
    <w:rsid w:val="00BA224D"/>
    <w:rPr>
      <w:sz w:val="16"/>
      <w:szCs w:val="16"/>
    </w:rPr>
  </w:style>
  <w:style w:type="paragraph" w:styleId="CommentText">
    <w:name w:val="annotation text"/>
    <w:basedOn w:val="Normal"/>
    <w:link w:val="CommentTextChar"/>
    <w:uiPriority w:val="99"/>
    <w:semiHidden/>
    <w:unhideWhenUsed/>
    <w:rsid w:val="00BA224D"/>
    <w:pPr>
      <w:spacing w:line="240" w:lineRule="auto"/>
    </w:pPr>
  </w:style>
  <w:style w:type="character" w:customStyle="1" w:styleId="CommentTextChar">
    <w:name w:val="Comment Text Char"/>
    <w:basedOn w:val="DefaultParagraphFont"/>
    <w:link w:val="CommentText"/>
    <w:uiPriority w:val="99"/>
    <w:semiHidden/>
    <w:rsid w:val="00BA224D"/>
    <w:rPr>
      <w:rFonts w:ascii="Arial" w:hAnsi="Arial"/>
    </w:rPr>
  </w:style>
  <w:style w:type="paragraph" w:styleId="CommentSubject">
    <w:name w:val="annotation subject"/>
    <w:basedOn w:val="CommentText"/>
    <w:next w:val="CommentText"/>
    <w:link w:val="CommentSubjectChar"/>
    <w:uiPriority w:val="99"/>
    <w:semiHidden/>
    <w:unhideWhenUsed/>
    <w:rsid w:val="00BA224D"/>
    <w:rPr>
      <w:b/>
      <w:bCs/>
    </w:rPr>
  </w:style>
  <w:style w:type="character" w:customStyle="1" w:styleId="CommentSubjectChar">
    <w:name w:val="Comment Subject Char"/>
    <w:basedOn w:val="CommentTextChar"/>
    <w:link w:val="CommentSubject"/>
    <w:uiPriority w:val="99"/>
    <w:semiHidden/>
    <w:rsid w:val="00BA224D"/>
    <w:rPr>
      <w:rFonts w:ascii="Arial" w:hAnsi="Arial"/>
      <w:b/>
      <w:bCs/>
    </w:rPr>
  </w:style>
  <w:style w:type="character" w:styleId="UnresolvedMention">
    <w:name w:val="Unresolved Mention"/>
    <w:basedOn w:val="DefaultParagraphFont"/>
    <w:uiPriority w:val="99"/>
    <w:semiHidden/>
    <w:unhideWhenUsed/>
    <w:rsid w:val="0045263F"/>
    <w:rPr>
      <w:color w:val="605E5C"/>
      <w:shd w:val="clear" w:color="auto" w:fill="E1DFDD"/>
    </w:rPr>
  </w:style>
  <w:style w:type="paragraph" w:styleId="ListParagraph">
    <w:name w:val="List Paragraph"/>
    <w:basedOn w:val="Normal"/>
    <w:uiPriority w:val="72"/>
    <w:qFormat/>
    <w:rsid w:val="007B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089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6544309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leaving-care" TargetMode="External"/><Relationship Id="rId18" Type="http://schemas.openxmlformats.org/officeDocument/2006/relationships/hyperlink" Target="http://providers.dhhs.vic.gov.au/health-human-services-activity-search"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apolicy@dhhs.vic.gov.au"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pmanual.vic.gov.au/policies-and-procedures/out-home-care/leaving-care"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oviders.dhhs.vic.gov.au/leaving-care"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26B4CC3-CE67-4664-97BB-5264D1B88BAC}">
  <ds:schemaRefs>
    <ds:schemaRef ds:uri="http://schemas.openxmlformats.org/officeDocument/2006/bibliography"/>
  </ds:schemaRefs>
</ds:datastoreItem>
</file>

<file path=customXml/itemProps2.xml><?xml version="1.0" encoding="utf-8"?>
<ds:datastoreItem xmlns:ds="http://schemas.openxmlformats.org/officeDocument/2006/customXml" ds:itemID="{F726840B-FFCC-4C24-BB41-766CB2CD352A}"/>
</file>

<file path=customXml/itemProps3.xml><?xml version="1.0" encoding="utf-8"?>
<ds:datastoreItem xmlns:ds="http://schemas.openxmlformats.org/officeDocument/2006/customXml" ds:itemID="{47904551-7972-4B8F-B3C4-BBA3211503B8}"/>
</file>

<file path=customXml/itemProps4.xml><?xml version="1.0" encoding="utf-8"?>
<ds:datastoreItem xmlns:ds="http://schemas.openxmlformats.org/officeDocument/2006/customXml" ds:itemID="{D90352B5-5CB3-4CE2-857E-0E3C9731522B}"/>
</file>

<file path=docProps/app.xml><?xml version="1.0" encoding="utf-8"?>
<Properties xmlns="http://schemas.openxmlformats.org/officeDocument/2006/extended-properties" xmlns:vt="http://schemas.openxmlformats.org/officeDocument/2006/docPropsVTypes">
  <Template>DHHS Factsheet 01 Navy 2765.dot</Template>
  <TotalTime>10</TotalTime>
  <Pages>5</Pages>
  <Words>1369</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Activity description Human Services  Flexible Funding 31437</vt:lpstr>
    </vt:vector>
  </TitlesOfParts>
  <Company>Department of Health and Human Services</Company>
  <LinksUpToDate>false</LinksUpToDate>
  <CharactersWithSpaces>10688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Flexible Funding 31437</dc:title>
  <dc:subject>service agreement activity descriptions</dc:subject>
  <dc:creator>Service Agreement Policy unit</dc:creator>
  <cp:keywords>service agreement;Activity description; Human Services; Child protection and family services; Flexible Funding; 31437</cp:keywords>
  <cp:lastModifiedBy>Sarah Luscombe (DHHS)</cp:lastModifiedBy>
  <cp:revision>6</cp:revision>
  <cp:lastPrinted>2019-10-29T00:17:00Z</cp:lastPrinted>
  <dcterms:created xsi:type="dcterms:W3CDTF">2019-11-20T05:14:00Z</dcterms:created>
  <dcterms:modified xsi:type="dcterms:W3CDTF">2019-11-21T03:21:00Z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