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264FE" w14:textId="3DDFBE73" w:rsidR="0074696E" w:rsidRPr="004C6EEE" w:rsidRDefault="004C68B0" w:rsidP="00AD784C">
      <w:pPr>
        <w:pStyle w:val="Spacerparatopoffirstpage"/>
      </w:pPr>
      <w:bookmarkStart w:id="0" w:name="_GoBack"/>
      <w:bookmarkEnd w:id="0"/>
      <w:r>
        <w:rPr>
          <w:lang w:eastAsia="en-AU"/>
        </w:rPr>
        <w:t xml:space="preserve"> </w:t>
      </w:r>
      <w:r w:rsidR="00E338D8">
        <w:rPr>
          <w:lang w:eastAsia="en-AU"/>
        </w:rPr>
        <w:t xml:space="preserve"> </w:t>
      </w:r>
      <w:r w:rsidR="00954B0F">
        <w:rPr>
          <w:lang w:eastAsia="en-AU"/>
        </w:rPr>
        <w:drawing>
          <wp:anchor distT="0" distB="0" distL="114300" distR="114300" simplePos="0" relativeHeight="251657728" behindDoc="1" locked="1" layoutInCell="0" allowOverlap="1" wp14:anchorId="7642652A" wp14:editId="7642652B">
            <wp:simplePos x="0" y="0"/>
            <wp:positionH relativeFrom="page">
              <wp:posOffset>0</wp:posOffset>
            </wp:positionH>
            <wp:positionV relativeFrom="page">
              <wp:posOffset>0</wp:posOffset>
            </wp:positionV>
            <wp:extent cx="7563485" cy="2072640"/>
            <wp:effectExtent l="0" t="0" r="0" b="3810"/>
            <wp:wrapNone/>
            <wp:docPr id="32" name="Picture 3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corativ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4264FF" w14:textId="77777777" w:rsidR="00A62D44" w:rsidRPr="004C6EEE" w:rsidRDefault="00A62D44" w:rsidP="004C6EEE">
      <w:pPr>
        <w:pStyle w:val="Sectionbreakfirstpage"/>
        <w:sectPr w:rsidR="00A62D44" w:rsidRPr="004C6EEE" w:rsidSect="00AD784C">
          <w:footerReference w:type="default" r:id="rId12"/>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76426501" w14:textId="77777777" w:rsidTr="001C277E">
        <w:trPr>
          <w:trHeight w:val="1247"/>
        </w:trPr>
        <w:tc>
          <w:tcPr>
            <w:tcW w:w="8046" w:type="dxa"/>
            <w:shd w:val="clear" w:color="auto" w:fill="auto"/>
            <w:vAlign w:val="bottom"/>
          </w:tcPr>
          <w:p w14:paraId="3E100199" w14:textId="77777777" w:rsidR="00472BE4" w:rsidRDefault="00853780" w:rsidP="00A91406">
            <w:pPr>
              <w:pStyle w:val="DHHSmainheading"/>
            </w:pPr>
            <w:r w:rsidRPr="00472BE4">
              <w:rPr>
                <w:sz w:val="32"/>
              </w:rPr>
              <w:t xml:space="preserve">Health and Human Services Sector </w:t>
            </w:r>
          </w:p>
          <w:p w14:paraId="1CFB320F" w14:textId="77777777" w:rsidR="004F4AD0" w:rsidRPr="004F4AD0" w:rsidRDefault="004F4AD0" w:rsidP="00A91406">
            <w:pPr>
              <w:pStyle w:val="DHHSmainheading"/>
            </w:pPr>
            <w:r w:rsidRPr="004F4AD0">
              <w:t xml:space="preserve">Emergency Management Policy </w:t>
            </w:r>
          </w:p>
          <w:p w14:paraId="76426500" w14:textId="6FEC9E07" w:rsidR="00AD784C" w:rsidRPr="00161AA0" w:rsidRDefault="00AD784C" w:rsidP="00A91406">
            <w:pPr>
              <w:pStyle w:val="DHHSmainheading"/>
            </w:pPr>
          </w:p>
        </w:tc>
      </w:tr>
      <w:tr w:rsidR="00AD784C" w14:paraId="76426503" w14:textId="77777777" w:rsidTr="00357B4E">
        <w:trPr>
          <w:trHeight w:hRule="exact" w:val="1162"/>
        </w:trPr>
        <w:tc>
          <w:tcPr>
            <w:tcW w:w="8046" w:type="dxa"/>
            <w:shd w:val="clear" w:color="auto" w:fill="auto"/>
            <w:tcMar>
              <w:top w:w="170" w:type="dxa"/>
              <w:bottom w:w="510" w:type="dxa"/>
            </w:tcMar>
          </w:tcPr>
          <w:p w14:paraId="76426502" w14:textId="22170791" w:rsidR="00357B4E" w:rsidRPr="00AD784C" w:rsidRDefault="00853780" w:rsidP="0025037D">
            <w:pPr>
              <w:pStyle w:val="DHHSmainsubheading"/>
              <w:rPr>
                <w:szCs w:val="28"/>
              </w:rPr>
            </w:pPr>
            <w:r>
              <w:rPr>
                <w:szCs w:val="28"/>
              </w:rPr>
              <w:t>Frequently Asked Questions</w:t>
            </w:r>
          </w:p>
        </w:tc>
      </w:tr>
    </w:tbl>
    <w:p w14:paraId="76426504" w14:textId="54438FB1" w:rsidR="00893AF6" w:rsidRPr="0025037D" w:rsidRDefault="0025037D" w:rsidP="0025037D">
      <w:pPr>
        <w:pStyle w:val="Heading2"/>
      </w:pPr>
      <w:bookmarkStart w:id="1" w:name="_Toc524356841"/>
      <w:r w:rsidRPr="0025037D">
        <w:t xml:space="preserve">What is the Health and Human Services Sector Emergency </w:t>
      </w:r>
      <w:r w:rsidR="004F4AD0">
        <w:t xml:space="preserve">Management </w:t>
      </w:r>
      <w:r w:rsidRPr="0025037D">
        <w:t>Policy</w:t>
      </w:r>
      <w:r w:rsidR="009D1939">
        <w:t>?</w:t>
      </w:r>
      <w:bookmarkEnd w:id="1"/>
    </w:p>
    <w:p w14:paraId="76426505" w14:textId="35EB3607" w:rsidR="00FA3525" w:rsidRDefault="0025037D" w:rsidP="00FA3525">
      <w:pPr>
        <w:pStyle w:val="DHHSbody"/>
      </w:pPr>
      <w:bookmarkStart w:id="2" w:name="_Toc440566509"/>
      <w:r>
        <w:t>The policy describes the roles and responsibilities of the health and human services sector to prepare for and respond to emergencies such as bushfire, extreme heat, floods and storms.</w:t>
      </w:r>
    </w:p>
    <w:p w14:paraId="76426506" w14:textId="301BC51D" w:rsidR="0025037D" w:rsidRDefault="0025037D" w:rsidP="00FA3525">
      <w:pPr>
        <w:pStyle w:val="DHHSbody"/>
      </w:pPr>
      <w:r>
        <w:t>It is intended to ensure that all services have undertaken appropriate emergency preparedness and service continuity planning to maximise the health, safety and wellbeing of clients</w:t>
      </w:r>
      <w:r w:rsidR="009E25F6">
        <w:t xml:space="preserve"> or</w:t>
      </w:r>
      <w:r w:rsidR="00853780">
        <w:t xml:space="preserve"> patients </w:t>
      </w:r>
      <w:r>
        <w:t>during and after emergencies.</w:t>
      </w:r>
    </w:p>
    <w:p w14:paraId="12F4C0E7" w14:textId="03B78C53" w:rsidR="00550BF0" w:rsidRDefault="00550BF0" w:rsidP="00FA3525">
      <w:pPr>
        <w:pStyle w:val="DHHSbody"/>
      </w:pPr>
      <w:r>
        <w:t>The policy replaces</w:t>
      </w:r>
      <w:r w:rsidRPr="0067503F">
        <w:t xml:space="preserve"> the</w:t>
      </w:r>
      <w:r w:rsidRPr="0067503F">
        <w:rPr>
          <w:i/>
        </w:rPr>
        <w:t xml:space="preserve"> </w:t>
      </w:r>
      <w:r w:rsidR="0067503F" w:rsidRPr="0067503F">
        <w:rPr>
          <w:i/>
        </w:rPr>
        <w:t>Health and Human Services Sector</w:t>
      </w:r>
      <w:r w:rsidR="0067503F">
        <w:t xml:space="preserve"> </w:t>
      </w:r>
      <w:r w:rsidRPr="009E25F6">
        <w:rPr>
          <w:i/>
        </w:rPr>
        <w:t xml:space="preserve">Emergency Preparedness Policy </w:t>
      </w:r>
      <w:r w:rsidR="004F4AD0">
        <w:rPr>
          <w:i/>
        </w:rPr>
        <w:t>2018-19.</w:t>
      </w:r>
    </w:p>
    <w:p w14:paraId="76426509" w14:textId="30249F72" w:rsidR="0025037D" w:rsidRDefault="00550BF0" w:rsidP="0025037D">
      <w:pPr>
        <w:pStyle w:val="Heading2"/>
      </w:pPr>
      <w:bookmarkStart w:id="3" w:name="_Toc524356842"/>
      <w:bookmarkStart w:id="4" w:name="_Toc524356843"/>
      <w:bookmarkStart w:id="5" w:name="_Toc256778633"/>
      <w:bookmarkEnd w:id="3"/>
      <w:bookmarkEnd w:id="2"/>
      <w:r>
        <w:t xml:space="preserve">Which </w:t>
      </w:r>
      <w:r w:rsidR="0025037D">
        <w:t>services are covered by this policy?</w:t>
      </w:r>
      <w:bookmarkEnd w:id="4"/>
    </w:p>
    <w:p w14:paraId="01C04B43" w14:textId="77777777" w:rsidR="00787212" w:rsidRDefault="00787212" w:rsidP="00787212">
      <w:pPr>
        <w:pStyle w:val="DHHSbody"/>
      </w:pPr>
      <w:bookmarkStart w:id="6" w:name="_Hlk15895703"/>
      <w:bookmarkStart w:id="7" w:name="_Toc524356845"/>
      <w:r>
        <w:t>Compliance with this policy is required by:</w:t>
      </w:r>
    </w:p>
    <w:p w14:paraId="4913EF07" w14:textId="77777777" w:rsidR="00787212" w:rsidRPr="0032666A" w:rsidRDefault="00787212" w:rsidP="00787212">
      <w:pPr>
        <w:pStyle w:val="DHHSbullet1"/>
      </w:pPr>
      <w:r w:rsidRPr="0032666A">
        <w:t xml:space="preserve">services that are directly delivered by the department </w:t>
      </w:r>
    </w:p>
    <w:p w14:paraId="1CC5C766" w14:textId="77777777" w:rsidR="00787212" w:rsidRPr="0032666A" w:rsidRDefault="00787212" w:rsidP="00787212">
      <w:pPr>
        <w:pStyle w:val="DHHSbullet1"/>
      </w:pPr>
      <w:r w:rsidRPr="0032666A">
        <w:t>agencies delivering services that are funded by the department, as outlined in service agreements, funding plans and other relevant performance agreement documentation</w:t>
      </w:r>
    </w:p>
    <w:p w14:paraId="6A7F5517" w14:textId="77777777" w:rsidR="00787212" w:rsidRPr="0032666A" w:rsidRDefault="00787212" w:rsidP="00787212">
      <w:pPr>
        <w:pStyle w:val="DHHSbullet1lastline"/>
      </w:pPr>
      <w:r w:rsidRPr="0032666A">
        <w:t xml:space="preserve">any other agency </w:t>
      </w:r>
      <w:r>
        <w:t xml:space="preserve">or service provider, </w:t>
      </w:r>
      <w:r w:rsidRPr="0032666A">
        <w:t>as stated in contractual agreements or regulatory/registration requirements, including quality and safeguards for disability service providers involved in the transfer of Government services.</w:t>
      </w:r>
    </w:p>
    <w:p w14:paraId="31F046AC" w14:textId="77777777" w:rsidR="00787212" w:rsidRDefault="00787212" w:rsidP="00787212">
      <w:pPr>
        <w:pStyle w:val="DHHSbody"/>
      </w:pPr>
      <w:r>
        <w:t>Agencies who do not meet any of the above conditions are out of scope of the policy.</w:t>
      </w:r>
    </w:p>
    <w:bookmarkEnd w:id="6"/>
    <w:p w14:paraId="76426512" w14:textId="2AFB7264" w:rsidR="00505F44" w:rsidRDefault="002A2690" w:rsidP="002A2690">
      <w:pPr>
        <w:pStyle w:val="Heading2"/>
      </w:pPr>
      <w:r>
        <w:t xml:space="preserve"> </w:t>
      </w:r>
      <w:r w:rsidR="00505F44">
        <w:t>I used to be a funded service, but I’m now an NDIS provider. What does this mean for me?</w:t>
      </w:r>
      <w:bookmarkEnd w:id="7"/>
    </w:p>
    <w:p w14:paraId="1671AF32" w14:textId="2188FC9E" w:rsidR="004F4AD0" w:rsidRDefault="00EF3B9C" w:rsidP="00B86770">
      <w:pPr>
        <w:pStyle w:val="DHHSbody"/>
      </w:pPr>
      <w:bookmarkStart w:id="8" w:name="_Toc524356846"/>
      <w:r>
        <w:t xml:space="preserve">If you still have a funding agreement or other contractual arrangement with the department, or your conditions of registration require you to apply the Victorian Quality and Safeguards arrangements, you will still need to apply the policy. </w:t>
      </w:r>
    </w:p>
    <w:p w14:paraId="7C1B9F46" w14:textId="135B48B1" w:rsidR="00EF3B9C" w:rsidRPr="004F4AD0" w:rsidRDefault="00EF3B9C" w:rsidP="00B86770">
      <w:pPr>
        <w:pStyle w:val="DHHSbody"/>
      </w:pPr>
      <w:r>
        <w:t xml:space="preserve">If your registration as an NDIS provider has completely transferred to the NDIS commission then you will not need to apply the policy. </w:t>
      </w:r>
    </w:p>
    <w:p w14:paraId="6894B949" w14:textId="4EFC4645" w:rsidR="00B86770" w:rsidRPr="00B86770" w:rsidRDefault="00B86770" w:rsidP="00B86770">
      <w:pPr>
        <w:pStyle w:val="DHHSbody"/>
        <w:rPr>
          <w:rFonts w:eastAsia="Times New Roman"/>
          <w:b/>
          <w:color w:val="004EA8"/>
          <w:sz w:val="28"/>
          <w:szCs w:val="28"/>
        </w:rPr>
      </w:pPr>
      <w:r w:rsidRPr="00B86770">
        <w:rPr>
          <w:rFonts w:eastAsia="Times New Roman"/>
          <w:b/>
          <w:color w:val="004EA8"/>
          <w:sz w:val="28"/>
          <w:szCs w:val="28"/>
        </w:rPr>
        <w:t xml:space="preserve">What </w:t>
      </w:r>
      <w:r>
        <w:rPr>
          <w:rFonts w:eastAsia="Times New Roman"/>
          <w:b/>
          <w:color w:val="004EA8"/>
          <w:sz w:val="28"/>
          <w:szCs w:val="28"/>
        </w:rPr>
        <w:t xml:space="preserve">are the department’s responsibilities under </w:t>
      </w:r>
      <w:r w:rsidRPr="00B86770">
        <w:rPr>
          <w:rFonts w:eastAsia="Times New Roman"/>
          <w:b/>
          <w:color w:val="004EA8"/>
          <w:sz w:val="28"/>
          <w:szCs w:val="28"/>
        </w:rPr>
        <w:t>the policy?</w:t>
      </w:r>
    </w:p>
    <w:p w14:paraId="2C95201B" w14:textId="674281DB" w:rsidR="00B86770" w:rsidRPr="00B86770" w:rsidRDefault="004F4AD0" w:rsidP="00B86770">
      <w:pPr>
        <w:pStyle w:val="DHHSbody"/>
      </w:pPr>
      <w:r>
        <w:t>Directors, m</w:t>
      </w:r>
      <w:r w:rsidR="00B86770" w:rsidRPr="00B86770">
        <w:t>anagers and staff need to be aware of</w:t>
      </w:r>
      <w:r w:rsidR="00AA6E47">
        <w:t>,</w:t>
      </w:r>
      <w:r w:rsidR="00B86770" w:rsidRPr="00B86770">
        <w:t xml:space="preserve"> and understand</w:t>
      </w:r>
      <w:r w:rsidR="00AA6E47">
        <w:t>,</w:t>
      </w:r>
      <w:r w:rsidR="00B86770" w:rsidRPr="00B86770">
        <w:t xml:space="preserve"> the policy and ensure it is implemented effectively across all service streams.</w:t>
      </w:r>
    </w:p>
    <w:p w14:paraId="6FFD6593" w14:textId="5B344084" w:rsidR="00B86770" w:rsidRDefault="00B86770" w:rsidP="00B86770">
      <w:pPr>
        <w:pStyle w:val="DHHSbody"/>
      </w:pPr>
      <w:r>
        <w:t>Operations</w:t>
      </w:r>
      <w:r w:rsidRPr="00B86770">
        <w:t xml:space="preserve"> divisions have established relationships with service providers across the health and human services sector and have a good understanding of the local risk environments. Managers and staff are asked to distribute the policy broadly and encourage the health and human services sectors to prepare for emergencies and plan their response on days when fire, heatwave and other emergencies may pose a risk. </w:t>
      </w:r>
    </w:p>
    <w:p w14:paraId="672EBA53" w14:textId="2C1A3601" w:rsidR="00B86770" w:rsidRPr="00B86770" w:rsidRDefault="00B86770" w:rsidP="00B86770">
      <w:pPr>
        <w:pStyle w:val="DHHSbody"/>
        <w:rPr>
          <w:rFonts w:eastAsia="Times New Roman"/>
          <w:b/>
          <w:color w:val="004EA8"/>
          <w:sz w:val="28"/>
          <w:szCs w:val="28"/>
        </w:rPr>
      </w:pPr>
      <w:r w:rsidRPr="00B86770">
        <w:rPr>
          <w:rFonts w:eastAsia="Times New Roman"/>
          <w:b/>
          <w:color w:val="004EA8"/>
          <w:sz w:val="28"/>
          <w:szCs w:val="28"/>
        </w:rPr>
        <w:t xml:space="preserve">What do service providers need to do </w:t>
      </w:r>
      <w:r w:rsidR="003A733F">
        <w:rPr>
          <w:rFonts w:eastAsia="Times New Roman"/>
          <w:b/>
          <w:color w:val="004EA8"/>
          <w:sz w:val="28"/>
          <w:szCs w:val="28"/>
        </w:rPr>
        <w:t xml:space="preserve">comply with the </w:t>
      </w:r>
      <w:r w:rsidRPr="00B86770">
        <w:rPr>
          <w:rFonts w:eastAsia="Times New Roman"/>
          <w:b/>
          <w:color w:val="004EA8"/>
          <w:sz w:val="28"/>
          <w:szCs w:val="28"/>
        </w:rPr>
        <w:t>policy?</w:t>
      </w:r>
    </w:p>
    <w:p w14:paraId="546DE003" w14:textId="7D7C998E" w:rsidR="00B86770" w:rsidRPr="00B86770" w:rsidRDefault="00B86770" w:rsidP="00B86770">
      <w:pPr>
        <w:pStyle w:val="DHHSbody"/>
      </w:pPr>
      <w:r w:rsidRPr="00B86770">
        <w:lastRenderedPageBreak/>
        <w:t xml:space="preserve">Service providers, including department service delivery streams, are responsible for preparing their facilities and services for external emergencies and for planning their response in situations when emergencies may pose a risk. Service providers must have emergency management plans in place, inclusive of activation triggers and communication arrangements.  Planning should involve active engagement with all key stakeholders, local emergency service agencies and local government.  These plans should be reviewed, exercised and updated regularly.  </w:t>
      </w:r>
    </w:p>
    <w:p w14:paraId="76426515" w14:textId="77777777" w:rsidR="0005050B" w:rsidRDefault="0005050B" w:rsidP="0005050B">
      <w:pPr>
        <w:pStyle w:val="Heading2"/>
      </w:pPr>
      <w:r>
        <w:t>What does my organisation need to do differently this year?</w:t>
      </w:r>
      <w:bookmarkEnd w:id="8"/>
    </w:p>
    <w:p w14:paraId="13563600" w14:textId="3465ABFF" w:rsidR="009E25F6" w:rsidRDefault="00550BF0" w:rsidP="009E25F6">
      <w:pPr>
        <w:pStyle w:val="DHHSbody"/>
      </w:pPr>
      <w:r>
        <w:t>As with previous requirements, s</w:t>
      </w:r>
      <w:r w:rsidR="0005050B">
        <w:t xml:space="preserve">ervices directly managed by the department and those that are funded by the department must undertake emergency preparedness activities and have an up-to-date </w:t>
      </w:r>
      <w:r w:rsidR="00404788">
        <w:t xml:space="preserve">emergency management </w:t>
      </w:r>
      <w:r w:rsidR="0005050B">
        <w:t>plan consistent with the policy.</w:t>
      </w:r>
      <w:r w:rsidR="00404788">
        <w:t xml:space="preserve"> </w:t>
      </w:r>
    </w:p>
    <w:p w14:paraId="1A3E216F" w14:textId="77777777" w:rsidR="009927BB" w:rsidRDefault="009927BB" w:rsidP="009927BB">
      <w:pPr>
        <w:pStyle w:val="DHHSbullet1"/>
        <w:numPr>
          <w:ilvl w:val="0"/>
          <w:numId w:val="0"/>
        </w:numPr>
      </w:pPr>
      <w:r>
        <w:t>In</w:t>
      </w:r>
      <w:r w:rsidR="00D94875">
        <w:t xml:space="preserve"> scope</w:t>
      </w:r>
      <w:r>
        <w:t xml:space="preserve"> services:</w:t>
      </w:r>
    </w:p>
    <w:p w14:paraId="4E639331" w14:textId="1C0F39E5" w:rsidR="009927BB" w:rsidRDefault="009927BB" w:rsidP="00787212">
      <w:pPr>
        <w:pStyle w:val="DHHSbullet1lastline"/>
      </w:pPr>
      <w:r>
        <w:t>Refer to services covered by this policy above.</w:t>
      </w:r>
    </w:p>
    <w:p w14:paraId="18A6C519" w14:textId="61386290" w:rsidR="004F4AD0" w:rsidRDefault="009927BB" w:rsidP="00D94875">
      <w:pPr>
        <w:pStyle w:val="DHHSbullet1"/>
        <w:numPr>
          <w:ilvl w:val="0"/>
          <w:numId w:val="0"/>
        </w:numPr>
        <w:ind w:left="284" w:hanging="284"/>
      </w:pPr>
      <w:r>
        <w:t>Out</w:t>
      </w:r>
      <w:r w:rsidR="004F4AD0">
        <w:t xml:space="preserve"> of scope</w:t>
      </w:r>
      <w:r>
        <w:t xml:space="preserve"> services</w:t>
      </w:r>
      <w:r w:rsidR="004F4AD0">
        <w:t>:</w:t>
      </w:r>
    </w:p>
    <w:p w14:paraId="50E3FDDD" w14:textId="1ECCCB03" w:rsidR="004F4AD0" w:rsidRDefault="004F4AD0" w:rsidP="00C364CB">
      <w:pPr>
        <w:pStyle w:val="DHHSbullet1"/>
      </w:pPr>
      <w:r>
        <w:t>Disability services formerly funded by the department that have transitioned to the NDIS and are within the purview of the NDIS Quality and Safeguarding Framework</w:t>
      </w:r>
    </w:p>
    <w:p w14:paraId="558EE073" w14:textId="77777777" w:rsidR="004F4AD0" w:rsidRDefault="004F4AD0" w:rsidP="00C364CB">
      <w:pPr>
        <w:pStyle w:val="DHHSbullet1"/>
      </w:pPr>
      <w:r>
        <w:t>Aged-care services regulated by the Commonwealth Government</w:t>
      </w:r>
    </w:p>
    <w:p w14:paraId="65457B75" w14:textId="77777777" w:rsidR="004F4AD0" w:rsidRDefault="004F4AD0" w:rsidP="00C364CB">
      <w:pPr>
        <w:pStyle w:val="DHHSbullet1"/>
      </w:pPr>
      <w:r>
        <w:t>Private hospitals</w:t>
      </w:r>
    </w:p>
    <w:p w14:paraId="21CEEB47" w14:textId="3194E558" w:rsidR="004F4AD0" w:rsidRDefault="004F4AD0" w:rsidP="00C364CB">
      <w:pPr>
        <w:pStyle w:val="DHHSbullet1"/>
      </w:pPr>
      <w:r>
        <w:t>Supported Residential Services</w:t>
      </w:r>
      <w:r w:rsidR="00787212">
        <w:t>.</w:t>
      </w:r>
    </w:p>
    <w:p w14:paraId="7642651B" w14:textId="31747077" w:rsidR="0005050B" w:rsidRPr="0025037D" w:rsidRDefault="0005050B" w:rsidP="0005050B">
      <w:pPr>
        <w:pStyle w:val="Heading2"/>
      </w:pPr>
      <w:bookmarkStart w:id="9" w:name="_Toc524356847"/>
      <w:r>
        <w:t xml:space="preserve">What is a Code Red </w:t>
      </w:r>
      <w:r w:rsidR="009E25F6">
        <w:t>d</w:t>
      </w:r>
      <w:r>
        <w:t>ay?</w:t>
      </w:r>
      <w:bookmarkEnd w:id="9"/>
    </w:p>
    <w:p w14:paraId="7642651C" w14:textId="77777777" w:rsidR="00404788" w:rsidRPr="00404788" w:rsidRDefault="00404788" w:rsidP="00404788">
      <w:pPr>
        <w:pStyle w:val="DHHSbody"/>
      </w:pPr>
      <w:r>
        <w:t>Between 1 November and 30 April each year,</w:t>
      </w:r>
      <w:r w:rsidRPr="00404788">
        <w:t xml:space="preserve"> the Bureau of Meteorology provides a </w:t>
      </w:r>
      <w:r>
        <w:t xml:space="preserve">daily </w:t>
      </w:r>
      <w:r w:rsidRPr="00404788">
        <w:t>Fire Danger Rating for each weather district in</w:t>
      </w:r>
      <w:r>
        <w:t xml:space="preserve"> </w:t>
      </w:r>
      <w:r w:rsidRPr="00404788">
        <w:t>Victoria. You can find out what weather district you’re in and what the Fire Danger Ratings mean by</w:t>
      </w:r>
      <w:r>
        <w:t xml:space="preserve"> visiting </w:t>
      </w:r>
      <w:hyperlink r:id="rId13" w:history="1">
        <w:r w:rsidRPr="000B0E39">
          <w:rPr>
            <w:rStyle w:val="Hyperlink"/>
          </w:rPr>
          <w:t>www.cfa.vic.gov.au</w:t>
        </w:r>
      </w:hyperlink>
      <w:r>
        <w:t xml:space="preserve">. </w:t>
      </w:r>
    </w:p>
    <w:p w14:paraId="7642651D" w14:textId="4C088172" w:rsidR="00404788" w:rsidRDefault="00404788" w:rsidP="00404788">
      <w:pPr>
        <w:pStyle w:val="DHHSbody"/>
      </w:pPr>
      <w:r w:rsidRPr="00404788">
        <w:t>Code Red (</w:t>
      </w:r>
      <w:r w:rsidR="00B1326D">
        <w:t xml:space="preserve">known as </w:t>
      </w:r>
      <w:r w:rsidRPr="00404788">
        <w:t>Catastrophic in other Australian states) is the highest level of rating in Victoria and it</w:t>
      </w:r>
      <w:r>
        <w:t xml:space="preserve"> </w:t>
      </w:r>
      <w:r w:rsidRPr="00404788">
        <w:t>signifies the worst conditions for grassfires or bushfires. A Code Red Fire Danger Rating means that if</w:t>
      </w:r>
      <w:r>
        <w:t xml:space="preserve"> </w:t>
      </w:r>
      <w:r w:rsidRPr="00404788">
        <w:t>a fire were to start:</w:t>
      </w:r>
    </w:p>
    <w:p w14:paraId="7642651E" w14:textId="77777777" w:rsidR="00404788" w:rsidRPr="00404788" w:rsidRDefault="00404788" w:rsidP="00404788">
      <w:pPr>
        <w:pStyle w:val="DHHSbullet1"/>
      </w:pPr>
      <w:r w:rsidRPr="00404788">
        <w:t xml:space="preserve">it </w:t>
      </w:r>
      <w:r>
        <w:t xml:space="preserve">is likely to </w:t>
      </w:r>
      <w:r w:rsidRPr="00404788">
        <w:t>be uncontrollable, unpredictable and fast moving</w:t>
      </w:r>
    </w:p>
    <w:p w14:paraId="7642651F" w14:textId="77777777" w:rsidR="00404788" w:rsidRPr="00404788" w:rsidRDefault="00404788" w:rsidP="00404788">
      <w:pPr>
        <w:pStyle w:val="DHHSbullet1"/>
      </w:pPr>
      <w:r w:rsidRPr="00404788">
        <w:t xml:space="preserve">fire services </w:t>
      </w:r>
      <w:r>
        <w:t xml:space="preserve">may </w:t>
      </w:r>
      <w:r w:rsidRPr="00404788">
        <w:t>find it difficult to put out</w:t>
      </w:r>
    </w:p>
    <w:p w14:paraId="76426520" w14:textId="77777777" w:rsidR="00404788" w:rsidRPr="00404788" w:rsidRDefault="00404788" w:rsidP="00404788">
      <w:pPr>
        <w:pStyle w:val="DHHSbullet1"/>
      </w:pPr>
      <w:r w:rsidRPr="00404788">
        <w:t xml:space="preserve">there is a high likelihood that people in the path of a fire </w:t>
      </w:r>
      <w:r>
        <w:t xml:space="preserve">could </w:t>
      </w:r>
      <w:r w:rsidRPr="00404788">
        <w:t>be killed or seriously injured</w:t>
      </w:r>
    </w:p>
    <w:p w14:paraId="76426521" w14:textId="5F6F23B1" w:rsidR="00404788" w:rsidRPr="00404788" w:rsidRDefault="00404788" w:rsidP="00787212">
      <w:pPr>
        <w:pStyle w:val="DHHSbullet1lastline"/>
      </w:pPr>
      <w:r w:rsidRPr="00404788">
        <w:t>homes are not designed or constructed to withstand in these conditions - even the best</w:t>
      </w:r>
      <w:r>
        <w:t xml:space="preserve"> </w:t>
      </w:r>
      <w:r w:rsidRPr="00404788">
        <w:t>prepared homes will not be safe</w:t>
      </w:r>
      <w:r w:rsidR="00787212">
        <w:t>.</w:t>
      </w:r>
    </w:p>
    <w:p w14:paraId="76426522" w14:textId="01FE8AFA" w:rsidR="0005050B" w:rsidRPr="00404788" w:rsidRDefault="00787212" w:rsidP="00AA6E47">
      <w:pPr>
        <w:pStyle w:val="DHHSbody"/>
      </w:pPr>
      <w:r>
        <w:t>L</w:t>
      </w:r>
      <w:r w:rsidR="00404788" w:rsidRPr="00404788">
        <w:t>eaving high</w:t>
      </w:r>
      <w:r>
        <w:t>-</w:t>
      </w:r>
      <w:r w:rsidR="00404788" w:rsidRPr="00404788">
        <w:t xml:space="preserve">risk bushfire areas the night before a Code Red </w:t>
      </w:r>
      <w:r w:rsidR="004267BE">
        <w:t>day</w:t>
      </w:r>
      <w:r w:rsidR="00404788" w:rsidRPr="00404788">
        <w:t xml:space="preserve"> or early in the morning of a</w:t>
      </w:r>
      <w:r w:rsidR="00404788">
        <w:t xml:space="preserve"> </w:t>
      </w:r>
      <w:r w:rsidR="00404788" w:rsidRPr="00404788">
        <w:t xml:space="preserve">Code Red </w:t>
      </w:r>
      <w:r w:rsidR="004267BE">
        <w:t>day</w:t>
      </w:r>
      <w:r w:rsidR="00404788" w:rsidRPr="00404788">
        <w:t xml:space="preserve"> is the safest option for your survival – do not wait and see</w:t>
      </w:r>
      <w:r w:rsidR="00AA6E47">
        <w:t>.</w:t>
      </w:r>
    </w:p>
    <w:p w14:paraId="76426523" w14:textId="77777777" w:rsidR="009D1939" w:rsidRDefault="009D1939" w:rsidP="009D1939">
      <w:pPr>
        <w:pStyle w:val="Heading2"/>
      </w:pPr>
      <w:bookmarkStart w:id="10" w:name="_Toc524356849"/>
      <w:r>
        <w:t>In addition to the policy, what other materials are available to support me to develop a plan</w:t>
      </w:r>
      <w:r w:rsidR="00011D97">
        <w:t>?</w:t>
      </w:r>
      <w:bookmarkEnd w:id="10"/>
    </w:p>
    <w:p w14:paraId="13DB56D4" w14:textId="722AEDAE" w:rsidR="00B1326D" w:rsidRDefault="00011D97" w:rsidP="00787212">
      <w:pPr>
        <w:pStyle w:val="DHHSbody"/>
      </w:pPr>
      <w:r>
        <w:t xml:space="preserve">The department has </w:t>
      </w:r>
      <w:r w:rsidR="00787212">
        <w:t xml:space="preserve">developed </w:t>
      </w:r>
      <w:r w:rsidR="00B1326D" w:rsidRPr="00AA6E47">
        <w:rPr>
          <w:i/>
        </w:rPr>
        <w:t>Preparing for emergencies: A reference guide for the Health and Community Services Sector</w:t>
      </w:r>
      <w:r w:rsidR="004C68B0">
        <w:rPr>
          <w:i/>
        </w:rPr>
        <w:t>s</w:t>
      </w:r>
      <w:r w:rsidR="00B1326D">
        <w:t>. This document is designed to assist any organisation across the sector</w:t>
      </w:r>
      <w:r w:rsidR="004C68B0">
        <w:t>s</w:t>
      </w:r>
      <w:r w:rsidR="00B1326D">
        <w:t xml:space="preserve"> to plan for and respond to emergencies</w:t>
      </w:r>
      <w:r w:rsidR="00AA6E47">
        <w:t>.</w:t>
      </w:r>
    </w:p>
    <w:p w14:paraId="76426528" w14:textId="1D3FEBD9" w:rsidR="00011D97" w:rsidRDefault="00787212" w:rsidP="00787212">
      <w:pPr>
        <w:pStyle w:val="DHHSbody"/>
      </w:pPr>
      <w:r>
        <w:t xml:space="preserve">In addition, in-scope services can access a </w:t>
      </w:r>
      <w:r w:rsidR="00011D97">
        <w:t>Google earth overlay of the CFA Victorian Fire Risk Register – Bushfires</w:t>
      </w:r>
      <w:r w:rsidR="0005050B">
        <w:t xml:space="preserve"> (obtainable from your DHHS contact)</w:t>
      </w:r>
      <w:r w:rsidR="00853780">
        <w:t>.</w:t>
      </w:r>
    </w:p>
    <w:bookmarkEnd w:id="5"/>
    <w:p w14:paraId="76426529" w14:textId="2F34DD63" w:rsidR="009D1939" w:rsidRDefault="009E25F6">
      <w:pPr>
        <w:pStyle w:val="Heading2"/>
      </w:pPr>
      <w:r>
        <w:t>How can I get more information</w:t>
      </w:r>
      <w:r w:rsidR="00B00824">
        <w:t>?</w:t>
      </w:r>
    </w:p>
    <w:p w14:paraId="607891DB" w14:textId="0E825CD9" w:rsidR="009E25F6" w:rsidRDefault="009E25F6" w:rsidP="009E25F6">
      <w:pPr>
        <w:pStyle w:val="DHHSbody"/>
      </w:pPr>
      <w:r>
        <w:t xml:space="preserve">Visit </w:t>
      </w:r>
      <w:hyperlink r:id="rId14" w:history="1">
        <w:r w:rsidRPr="00D94875">
          <w:rPr>
            <w:rStyle w:val="Hyperlink"/>
          </w:rPr>
          <w:t>https://providers.dhhs.vic.gov.au/emergency-preparedness</w:t>
        </w:r>
      </w:hyperlink>
      <w:r>
        <w:t xml:space="preserve"> for more information.</w:t>
      </w:r>
    </w:p>
    <w:tbl>
      <w:tblPr>
        <w:tblW w:w="4800" w:type="pct"/>
        <w:tblInd w:w="113" w:type="dxa"/>
        <w:tblCellMar>
          <w:top w:w="113" w:type="dxa"/>
          <w:bottom w:w="57" w:type="dxa"/>
        </w:tblCellMar>
        <w:tblLook w:val="00A0" w:firstRow="1" w:lastRow="0" w:firstColumn="1" w:lastColumn="0" w:noHBand="0" w:noVBand="0"/>
      </w:tblPr>
      <w:tblGrid>
        <w:gridCol w:w="9786"/>
      </w:tblGrid>
      <w:tr w:rsidR="00B00824" w:rsidRPr="00B00824" w14:paraId="23F7B442" w14:textId="77777777" w:rsidTr="00A05615">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296DAC58" w14:textId="77777777" w:rsidR="00B00824" w:rsidRPr="00B00824" w:rsidRDefault="00B00824" w:rsidP="00A05615">
            <w:pPr>
              <w:pStyle w:val="DHHSaccessibilitypara"/>
            </w:pPr>
            <w:r w:rsidRPr="00B00824">
              <w:lastRenderedPageBreak/>
              <w:t>To receive this publication in an accessible format phone (03) 9096 8849, using the National Relay Service 13 36 77 if required, or email emb@dhhs.vic.gov.au</w:t>
            </w:r>
          </w:p>
          <w:p w14:paraId="6F797B51" w14:textId="77777777" w:rsidR="00B00824" w:rsidRPr="00B00824" w:rsidRDefault="00B00824" w:rsidP="00A05615">
            <w:pPr>
              <w:pStyle w:val="DHHSbody"/>
            </w:pPr>
            <w:r w:rsidRPr="00B00824">
              <w:t>Authorised and published by the Victorian Government, 1 Treasury Place, Melbourne.</w:t>
            </w:r>
          </w:p>
          <w:p w14:paraId="227CB9FB" w14:textId="60FB6CDE" w:rsidR="00B00824" w:rsidRPr="00B00824" w:rsidRDefault="00B00824" w:rsidP="00A05615">
            <w:pPr>
              <w:pStyle w:val="DHHSbody"/>
            </w:pPr>
            <w:r w:rsidRPr="00B00824">
              <w:t xml:space="preserve">© State of Victoria, Department of Health and Human Services </w:t>
            </w:r>
            <w:r w:rsidR="00F62973">
              <w:t xml:space="preserve">July </w:t>
            </w:r>
            <w:r w:rsidR="00F62973" w:rsidRPr="00F62973">
              <w:t>2019</w:t>
            </w:r>
          </w:p>
          <w:p w14:paraId="25F786B6" w14:textId="77777777" w:rsidR="00B00824" w:rsidRPr="00B00824" w:rsidRDefault="00B00824" w:rsidP="00A05615">
            <w:pPr>
              <w:pStyle w:val="DHHSbody"/>
            </w:pPr>
            <w:r w:rsidRPr="00B00824">
              <w:t xml:space="preserve">Available at </w:t>
            </w:r>
            <w:hyperlink r:id="rId15" w:history="1">
              <w:r w:rsidRPr="00D94875">
                <w:t>https://providers.dhhs.vic.gov.au/emergency-preparedness</w:t>
              </w:r>
            </w:hyperlink>
            <w:r w:rsidRPr="00B00824">
              <w:t xml:space="preserve"> </w:t>
            </w:r>
          </w:p>
        </w:tc>
      </w:tr>
    </w:tbl>
    <w:p w14:paraId="70CB0E08" w14:textId="77777777" w:rsidR="00B00824" w:rsidRPr="00906490" w:rsidRDefault="00B00824" w:rsidP="00B00824">
      <w:pPr>
        <w:pStyle w:val="DHHSbody"/>
      </w:pPr>
    </w:p>
    <w:p w14:paraId="1AFB3BC4" w14:textId="77777777" w:rsidR="00B00824" w:rsidRPr="009E25F6" w:rsidRDefault="00B00824" w:rsidP="009E25F6">
      <w:pPr>
        <w:pStyle w:val="DHHSbody"/>
      </w:pPr>
    </w:p>
    <w:sectPr w:rsidR="00B00824" w:rsidRPr="009E25F6" w:rsidSect="00F01E5F">
      <w:headerReference w:type="default" r:id="rId16"/>
      <w:footerReference w:type="default" r:id="rId17"/>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2652E" w14:textId="77777777" w:rsidR="00F92942" w:rsidRDefault="00F92942">
      <w:r>
        <w:separator/>
      </w:r>
    </w:p>
  </w:endnote>
  <w:endnote w:type="continuationSeparator" w:id="0">
    <w:p w14:paraId="7642652F" w14:textId="77777777" w:rsidR="00F92942" w:rsidRDefault="00F9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26530" w14:textId="77777777" w:rsidR="009D70A4" w:rsidRPr="00F65AA9" w:rsidRDefault="00954B0F" w:rsidP="0051568D">
    <w:pPr>
      <w:pStyle w:val="DHHSfooter"/>
    </w:pPr>
    <w:r>
      <w:rPr>
        <w:noProof/>
        <w:lang w:eastAsia="en-AU"/>
      </w:rPr>
      <w:drawing>
        <wp:anchor distT="0" distB="0" distL="114300" distR="114300" simplePos="0" relativeHeight="251657728" behindDoc="0" locked="1" layoutInCell="0" allowOverlap="1" wp14:anchorId="76426533" wp14:editId="76426534">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26532" w14:textId="51CDF625" w:rsidR="009D70A4" w:rsidRPr="00A11421" w:rsidRDefault="009D1939" w:rsidP="0051568D">
    <w:pPr>
      <w:pStyle w:val="DHHSfooter"/>
    </w:pPr>
    <w:r>
      <w:t xml:space="preserve">FAQs – Health and Human Services Sector Emergency </w:t>
    </w:r>
    <w:r w:rsidR="004F4AD0">
      <w:t>Management</w:t>
    </w:r>
    <w:r>
      <w:t xml:space="preserve"> Policy</w:t>
    </w:r>
    <w:r w:rsidR="004C16A8">
      <w:t xml:space="preserve"> 201</w:t>
    </w:r>
    <w:r w:rsidR="004F4AD0">
      <w:t>9-20</w:t>
    </w:r>
    <w:r w:rsidR="009D70A4" w:rsidRPr="00A11421">
      <w:tab/>
    </w:r>
    <w:r w:rsidR="009D70A4" w:rsidRPr="00A11421">
      <w:fldChar w:fldCharType="begin"/>
    </w:r>
    <w:r w:rsidR="009D70A4" w:rsidRPr="00A11421">
      <w:instrText xml:space="preserve"> PAGE </w:instrText>
    </w:r>
    <w:r w:rsidR="009D70A4" w:rsidRPr="00A11421">
      <w:fldChar w:fldCharType="separate"/>
    </w:r>
    <w:r w:rsidR="00B00824">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2652C" w14:textId="77777777" w:rsidR="00F92942" w:rsidRDefault="00F92942" w:rsidP="002862F1">
      <w:pPr>
        <w:spacing w:before="120"/>
      </w:pPr>
      <w:r>
        <w:separator/>
      </w:r>
    </w:p>
  </w:footnote>
  <w:footnote w:type="continuationSeparator" w:id="0">
    <w:p w14:paraId="7642652D" w14:textId="77777777" w:rsidR="00F92942" w:rsidRDefault="00F92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26531"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146406CD"/>
    <w:multiLevelType w:val="multilevel"/>
    <w:tmpl w:val="FD4E5438"/>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284" w:hanging="284"/>
      </w:pPr>
      <w:rPr>
        <w:rFonts w:ascii="Calibri" w:hAnsi="Calibri" w:hint="default"/>
      </w:rPr>
    </w:lvl>
    <w:lvl w:ilvl="2">
      <w:start w:val="1"/>
      <w:numFmt w:val="bullet"/>
      <w:lvlText w:val=""/>
      <w:lvlJc w:val="left"/>
      <w:pPr>
        <w:ind w:left="567" w:hanging="283"/>
      </w:pPr>
      <w:rPr>
        <w:rFonts w:ascii="Symbol" w:hAnsi="Symbo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280511FE"/>
    <w:multiLevelType w:val="multilevel"/>
    <w:tmpl w:val="FD4E5438"/>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284" w:hanging="284"/>
      </w:pPr>
      <w:rPr>
        <w:rFonts w:ascii="Calibri" w:hAnsi="Calibri" w:hint="default"/>
      </w:rPr>
    </w:lvl>
    <w:lvl w:ilvl="2">
      <w:start w:val="1"/>
      <w:numFmt w:val="bullet"/>
      <w:lvlText w:val=""/>
      <w:lvlJc w:val="left"/>
      <w:pPr>
        <w:ind w:left="567" w:hanging="283"/>
      </w:pPr>
      <w:rPr>
        <w:rFonts w:ascii="Symbol" w:hAnsi="Symbo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4"/>
  </w:num>
  <w:num w:numId="10">
    <w:abstractNumId w:val="3"/>
  </w:num>
  <w:num w:numId="11">
    <w:abstractNumId w:val="6"/>
  </w:num>
  <w:num w:numId="12">
    <w:abstractNumId w:val="6"/>
    <w:lvlOverride w:ilvl="0"/>
    <w:lvlOverride w:ilvl="1"/>
    <w:lvlOverride w:ilvl="2"/>
    <w:lvlOverride w:ilvl="3"/>
    <w:lvlOverride w:ilvl="4"/>
    <w:lvlOverride w:ilvl="5"/>
    <w:lvlOverride w:ilvl="6"/>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37D"/>
    <w:rsid w:val="000072B6"/>
    <w:rsid w:val="0001021B"/>
    <w:rsid w:val="00011D89"/>
    <w:rsid w:val="00011D97"/>
    <w:rsid w:val="00024D89"/>
    <w:rsid w:val="000250B6"/>
    <w:rsid w:val="00033D81"/>
    <w:rsid w:val="00041BF0"/>
    <w:rsid w:val="0004536B"/>
    <w:rsid w:val="00046B68"/>
    <w:rsid w:val="0005050B"/>
    <w:rsid w:val="000527DD"/>
    <w:rsid w:val="000578B2"/>
    <w:rsid w:val="00060959"/>
    <w:rsid w:val="000663CD"/>
    <w:rsid w:val="000733FE"/>
    <w:rsid w:val="00074219"/>
    <w:rsid w:val="00074ED5"/>
    <w:rsid w:val="0009113B"/>
    <w:rsid w:val="00094DA3"/>
    <w:rsid w:val="00096CD1"/>
    <w:rsid w:val="000A012C"/>
    <w:rsid w:val="000A0EB9"/>
    <w:rsid w:val="000A186C"/>
    <w:rsid w:val="000A6666"/>
    <w:rsid w:val="000B543D"/>
    <w:rsid w:val="000B5BF7"/>
    <w:rsid w:val="000B6BC8"/>
    <w:rsid w:val="000C42EA"/>
    <w:rsid w:val="000C4546"/>
    <w:rsid w:val="000D1242"/>
    <w:rsid w:val="000E3CC7"/>
    <w:rsid w:val="000E6BD4"/>
    <w:rsid w:val="000F1F1E"/>
    <w:rsid w:val="000F2259"/>
    <w:rsid w:val="000F370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13C"/>
    <w:rsid w:val="0022278D"/>
    <w:rsid w:val="0022701F"/>
    <w:rsid w:val="002333F5"/>
    <w:rsid w:val="00233724"/>
    <w:rsid w:val="002432E1"/>
    <w:rsid w:val="00246207"/>
    <w:rsid w:val="00246C5E"/>
    <w:rsid w:val="0025037D"/>
    <w:rsid w:val="00251343"/>
    <w:rsid w:val="00254F58"/>
    <w:rsid w:val="002620BC"/>
    <w:rsid w:val="00262802"/>
    <w:rsid w:val="00263A90"/>
    <w:rsid w:val="0026408B"/>
    <w:rsid w:val="00267C3E"/>
    <w:rsid w:val="002709BB"/>
    <w:rsid w:val="002763B3"/>
    <w:rsid w:val="002802E3"/>
    <w:rsid w:val="0028213D"/>
    <w:rsid w:val="002862F1"/>
    <w:rsid w:val="00291373"/>
    <w:rsid w:val="00292CA7"/>
    <w:rsid w:val="0029597D"/>
    <w:rsid w:val="002962C3"/>
    <w:rsid w:val="0029752B"/>
    <w:rsid w:val="002A2690"/>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17AD0"/>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A733F"/>
    <w:rsid w:val="003B15E6"/>
    <w:rsid w:val="003B3BEA"/>
    <w:rsid w:val="003C2045"/>
    <w:rsid w:val="003C43A1"/>
    <w:rsid w:val="003C4FC0"/>
    <w:rsid w:val="003C55F4"/>
    <w:rsid w:val="003C7A3F"/>
    <w:rsid w:val="003D2766"/>
    <w:rsid w:val="003D3E8F"/>
    <w:rsid w:val="003D6475"/>
    <w:rsid w:val="003F0445"/>
    <w:rsid w:val="003F0CF0"/>
    <w:rsid w:val="003F14B1"/>
    <w:rsid w:val="003F3289"/>
    <w:rsid w:val="00401FCF"/>
    <w:rsid w:val="00404788"/>
    <w:rsid w:val="00406285"/>
    <w:rsid w:val="004148F9"/>
    <w:rsid w:val="0042084E"/>
    <w:rsid w:val="00421EEF"/>
    <w:rsid w:val="00424D65"/>
    <w:rsid w:val="004267BE"/>
    <w:rsid w:val="00435777"/>
    <w:rsid w:val="00442C6C"/>
    <w:rsid w:val="00443CBE"/>
    <w:rsid w:val="00443E8A"/>
    <w:rsid w:val="004441BC"/>
    <w:rsid w:val="004468B4"/>
    <w:rsid w:val="0045230A"/>
    <w:rsid w:val="00457337"/>
    <w:rsid w:val="00472BE4"/>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16A8"/>
    <w:rsid w:val="004C68B0"/>
    <w:rsid w:val="004C6EEE"/>
    <w:rsid w:val="004C702B"/>
    <w:rsid w:val="004D016B"/>
    <w:rsid w:val="004D1B22"/>
    <w:rsid w:val="004D36F2"/>
    <w:rsid w:val="004E138F"/>
    <w:rsid w:val="004E4649"/>
    <w:rsid w:val="004E5C2B"/>
    <w:rsid w:val="004F00DD"/>
    <w:rsid w:val="004F2133"/>
    <w:rsid w:val="004F4AD0"/>
    <w:rsid w:val="004F55F1"/>
    <w:rsid w:val="004F6936"/>
    <w:rsid w:val="00503DC6"/>
    <w:rsid w:val="00505F44"/>
    <w:rsid w:val="00506F5D"/>
    <w:rsid w:val="005126D0"/>
    <w:rsid w:val="0051568D"/>
    <w:rsid w:val="00526C15"/>
    <w:rsid w:val="00536499"/>
    <w:rsid w:val="00543903"/>
    <w:rsid w:val="00543F11"/>
    <w:rsid w:val="00547A95"/>
    <w:rsid w:val="00550BF0"/>
    <w:rsid w:val="00572031"/>
    <w:rsid w:val="00576E84"/>
    <w:rsid w:val="00582B8C"/>
    <w:rsid w:val="0058757E"/>
    <w:rsid w:val="00596A4B"/>
    <w:rsid w:val="00597507"/>
    <w:rsid w:val="005B0686"/>
    <w:rsid w:val="005B21B6"/>
    <w:rsid w:val="005B3A08"/>
    <w:rsid w:val="005B7A63"/>
    <w:rsid w:val="005C0955"/>
    <w:rsid w:val="005C49DA"/>
    <w:rsid w:val="005C50F3"/>
    <w:rsid w:val="005C5D91"/>
    <w:rsid w:val="005D07B8"/>
    <w:rsid w:val="005D6597"/>
    <w:rsid w:val="005E14E7"/>
    <w:rsid w:val="005E26A3"/>
    <w:rsid w:val="005E447E"/>
    <w:rsid w:val="005E6267"/>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503F"/>
    <w:rsid w:val="00677574"/>
    <w:rsid w:val="0068454C"/>
    <w:rsid w:val="00691B62"/>
    <w:rsid w:val="006933B5"/>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87212"/>
    <w:rsid w:val="00796E20"/>
    <w:rsid w:val="00797C32"/>
    <w:rsid w:val="007B0914"/>
    <w:rsid w:val="007B1374"/>
    <w:rsid w:val="007B589F"/>
    <w:rsid w:val="007B6186"/>
    <w:rsid w:val="007B73BC"/>
    <w:rsid w:val="007C20B9"/>
    <w:rsid w:val="007C7301"/>
    <w:rsid w:val="007C7859"/>
    <w:rsid w:val="007D2BDE"/>
    <w:rsid w:val="007D2FB6"/>
    <w:rsid w:val="007D6E2D"/>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27CB"/>
    <w:rsid w:val="00853780"/>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40362"/>
    <w:rsid w:val="00950E2C"/>
    <w:rsid w:val="00951D50"/>
    <w:rsid w:val="009525EB"/>
    <w:rsid w:val="00954874"/>
    <w:rsid w:val="00954B0F"/>
    <w:rsid w:val="00961400"/>
    <w:rsid w:val="00963646"/>
    <w:rsid w:val="009853E1"/>
    <w:rsid w:val="00986E6B"/>
    <w:rsid w:val="00991769"/>
    <w:rsid w:val="009927BB"/>
    <w:rsid w:val="00994386"/>
    <w:rsid w:val="009A13D8"/>
    <w:rsid w:val="009A279E"/>
    <w:rsid w:val="009B0A6F"/>
    <w:rsid w:val="009B0A94"/>
    <w:rsid w:val="009B59E9"/>
    <w:rsid w:val="009B70AA"/>
    <w:rsid w:val="009C7A7E"/>
    <w:rsid w:val="009D02E8"/>
    <w:rsid w:val="009D1939"/>
    <w:rsid w:val="009D51D0"/>
    <w:rsid w:val="009D70A4"/>
    <w:rsid w:val="009E08D1"/>
    <w:rsid w:val="009E1B95"/>
    <w:rsid w:val="009E25F6"/>
    <w:rsid w:val="009E496F"/>
    <w:rsid w:val="009E4B0D"/>
    <w:rsid w:val="009E7F92"/>
    <w:rsid w:val="009F02A3"/>
    <w:rsid w:val="009F2F27"/>
    <w:rsid w:val="009F34AA"/>
    <w:rsid w:val="009F6BCB"/>
    <w:rsid w:val="009F7B78"/>
    <w:rsid w:val="00A0057A"/>
    <w:rsid w:val="00A11421"/>
    <w:rsid w:val="00A157B1"/>
    <w:rsid w:val="00A22229"/>
    <w:rsid w:val="00A44882"/>
    <w:rsid w:val="00A45475"/>
    <w:rsid w:val="00A54715"/>
    <w:rsid w:val="00A6061C"/>
    <w:rsid w:val="00A62D44"/>
    <w:rsid w:val="00A67263"/>
    <w:rsid w:val="00A7161C"/>
    <w:rsid w:val="00A77AA3"/>
    <w:rsid w:val="00A854EB"/>
    <w:rsid w:val="00A872E5"/>
    <w:rsid w:val="00A91406"/>
    <w:rsid w:val="00A96E65"/>
    <w:rsid w:val="00A97C72"/>
    <w:rsid w:val="00AA63D4"/>
    <w:rsid w:val="00AA6E47"/>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0824"/>
    <w:rsid w:val="00B01B4D"/>
    <w:rsid w:val="00B06571"/>
    <w:rsid w:val="00B068BA"/>
    <w:rsid w:val="00B1326D"/>
    <w:rsid w:val="00B13851"/>
    <w:rsid w:val="00B13B1C"/>
    <w:rsid w:val="00B22291"/>
    <w:rsid w:val="00B23F9A"/>
    <w:rsid w:val="00B2417B"/>
    <w:rsid w:val="00B24E6F"/>
    <w:rsid w:val="00B26CB5"/>
    <w:rsid w:val="00B2752E"/>
    <w:rsid w:val="00B307CC"/>
    <w:rsid w:val="00B326B7"/>
    <w:rsid w:val="00B34358"/>
    <w:rsid w:val="00B431E8"/>
    <w:rsid w:val="00B45141"/>
    <w:rsid w:val="00B5273A"/>
    <w:rsid w:val="00B57329"/>
    <w:rsid w:val="00B62B50"/>
    <w:rsid w:val="00B635B7"/>
    <w:rsid w:val="00B63AE8"/>
    <w:rsid w:val="00B65950"/>
    <w:rsid w:val="00B66D83"/>
    <w:rsid w:val="00B672C0"/>
    <w:rsid w:val="00B75646"/>
    <w:rsid w:val="00B86770"/>
    <w:rsid w:val="00B90729"/>
    <w:rsid w:val="00B907DA"/>
    <w:rsid w:val="00B932AC"/>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627"/>
    <w:rsid w:val="00C12A49"/>
    <w:rsid w:val="00C133EE"/>
    <w:rsid w:val="00C27DE9"/>
    <w:rsid w:val="00C33388"/>
    <w:rsid w:val="00C35484"/>
    <w:rsid w:val="00C364CB"/>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0AEE"/>
    <w:rsid w:val="00D714CC"/>
    <w:rsid w:val="00D75EA7"/>
    <w:rsid w:val="00D81F21"/>
    <w:rsid w:val="00D94875"/>
    <w:rsid w:val="00D95470"/>
    <w:rsid w:val="00DA0AEC"/>
    <w:rsid w:val="00DA2619"/>
    <w:rsid w:val="00DA4239"/>
    <w:rsid w:val="00DB0B61"/>
    <w:rsid w:val="00DC090B"/>
    <w:rsid w:val="00DC1679"/>
    <w:rsid w:val="00DC2CF1"/>
    <w:rsid w:val="00DC4FCF"/>
    <w:rsid w:val="00DC50E0"/>
    <w:rsid w:val="00DC6386"/>
    <w:rsid w:val="00DD1130"/>
    <w:rsid w:val="00DD1951"/>
    <w:rsid w:val="00DD6628"/>
    <w:rsid w:val="00DD6AC6"/>
    <w:rsid w:val="00DE3250"/>
    <w:rsid w:val="00DE6028"/>
    <w:rsid w:val="00DE78A3"/>
    <w:rsid w:val="00DF1A71"/>
    <w:rsid w:val="00DF68C7"/>
    <w:rsid w:val="00DF731A"/>
    <w:rsid w:val="00E170DC"/>
    <w:rsid w:val="00E26818"/>
    <w:rsid w:val="00E27FFC"/>
    <w:rsid w:val="00E30B15"/>
    <w:rsid w:val="00E338D8"/>
    <w:rsid w:val="00E40181"/>
    <w:rsid w:val="00E56A01"/>
    <w:rsid w:val="00E629A1"/>
    <w:rsid w:val="00E6794C"/>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EF3B9C"/>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2973"/>
    <w:rsid w:val="00F64696"/>
    <w:rsid w:val="00F65AA9"/>
    <w:rsid w:val="00F6768F"/>
    <w:rsid w:val="00F72C2C"/>
    <w:rsid w:val="00F76CAB"/>
    <w:rsid w:val="00F772C6"/>
    <w:rsid w:val="00F815B5"/>
    <w:rsid w:val="00F85195"/>
    <w:rsid w:val="00F92942"/>
    <w:rsid w:val="00F938BA"/>
    <w:rsid w:val="00FA2C46"/>
    <w:rsid w:val="00FA3525"/>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764264FE"/>
  <w15:docId w15:val="{5ED78EA8-FAA4-45D9-A737-F56F5E1D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11"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qFormat/>
    <w:rsid w:val="002A2690"/>
    <w:rPr>
      <w:rFonts w:ascii="Calibri" w:eastAsiaTheme="minorHAnsi" w:hAnsi="Calibri"/>
      <w:sz w:val="22"/>
      <w:szCs w:val="22"/>
      <w:lang w:eastAsia="en-US"/>
    </w:rPr>
  </w:style>
  <w:style w:type="paragraph" w:styleId="Heading1">
    <w:name w:val="heading 1"/>
    <w:next w:val="DHHSbody"/>
    <w:link w:val="Heading1Char"/>
    <w:uiPriority w:val="1"/>
    <w:qFormat/>
    <w:rsid w:val="000A6666"/>
    <w:pPr>
      <w:keepNext/>
      <w:keepLines/>
      <w:spacing w:before="320" w:after="200" w:line="440" w:lineRule="atLeast"/>
      <w:outlineLvl w:val="0"/>
    </w:pPr>
    <w:rPr>
      <w:rFonts w:ascii="Arial" w:eastAsia="MS Gothic" w:hAnsi="Arial" w:cs="Arial"/>
      <w:bCs/>
      <w:color w:val="004EA8"/>
      <w:kern w:val="32"/>
      <w:sz w:val="36"/>
      <w:szCs w:val="40"/>
      <w:lang w:eastAsia="en-US"/>
    </w:rPr>
  </w:style>
  <w:style w:type="paragraph" w:styleId="Heading2">
    <w:name w:val="heading 2"/>
    <w:next w:val="DHHSbody"/>
    <w:link w:val="Heading2Char"/>
    <w:uiPriority w:val="1"/>
    <w:qFormat/>
    <w:rsid w:val="000A6666"/>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1"/>
    <w:rsid w:val="000A6666"/>
    <w:rPr>
      <w:rFonts w:ascii="Arial" w:hAnsi="Arial"/>
      <w:b/>
      <w:color w:val="004EA8"/>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3"/>
    <w:qFormat/>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qFormat/>
    <w:rsid w:val="0051568D"/>
    <w:pPr>
      <w:numPr>
        <w:ilvl w:val="2"/>
        <w:numId w:val="7"/>
      </w:numPr>
      <w:spacing w:after="40"/>
    </w:pPr>
  </w:style>
  <w:style w:type="paragraph" w:styleId="NormalWeb">
    <w:name w:val="Normal (Web)"/>
    <w:basedOn w:val="Normal"/>
    <w:uiPriority w:val="99"/>
    <w:semiHidden/>
    <w:unhideWhenUsed/>
    <w:rsid w:val="0025037D"/>
    <w:pPr>
      <w:spacing w:before="100" w:beforeAutospacing="1" w:after="100" w:afterAutospacing="1"/>
    </w:pPr>
    <w:rPr>
      <w:rFonts w:ascii="Times New Roman" w:hAnsi="Times New Roman"/>
      <w:sz w:val="24"/>
      <w:szCs w:val="24"/>
      <w:lang w:eastAsia="en-AU"/>
    </w:rPr>
  </w:style>
  <w:style w:type="paragraph" w:styleId="TOCHeading">
    <w:name w:val="TOC Heading"/>
    <w:basedOn w:val="Heading1"/>
    <w:next w:val="Normal"/>
    <w:uiPriority w:val="39"/>
    <w:semiHidden/>
    <w:unhideWhenUsed/>
    <w:qFormat/>
    <w:rsid w:val="003B3BEA"/>
    <w:pPr>
      <w:spacing w:before="480" w:after="0" w:line="276" w:lineRule="auto"/>
      <w:outlineLvl w:val="9"/>
    </w:pPr>
    <w:rPr>
      <w:rFonts w:ascii="Cambria" w:hAnsi="Cambria" w:cs="Times New Roman"/>
      <w:b/>
      <w:color w:val="365F91"/>
      <w:kern w:val="0"/>
      <w:sz w:val="28"/>
      <w:szCs w:val="28"/>
      <w:lang w:val="en-US" w:eastAsia="ja-JP"/>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qFormat/>
    <w:rsid w:val="0051568D"/>
    <w:pPr>
      <w:numPr>
        <w:ilvl w:val="6"/>
        <w:numId w:val="7"/>
      </w:numPr>
    </w:pPr>
  </w:style>
  <w:style w:type="paragraph" w:styleId="BalloonText">
    <w:name w:val="Balloon Text"/>
    <w:basedOn w:val="Normal"/>
    <w:link w:val="BalloonTextChar"/>
    <w:uiPriority w:val="99"/>
    <w:semiHidden/>
    <w:unhideWhenUsed/>
    <w:rsid w:val="003B3BEA"/>
    <w:rPr>
      <w:rFonts w:ascii="Tahoma" w:hAnsi="Tahoma" w:cs="Tahoma"/>
      <w:sz w:val="16"/>
      <w:szCs w:val="16"/>
    </w:rPr>
  </w:style>
  <w:style w:type="character" w:customStyle="1" w:styleId="BalloonTextChar">
    <w:name w:val="Balloon Text Char"/>
    <w:link w:val="BalloonText"/>
    <w:uiPriority w:val="99"/>
    <w:semiHidden/>
    <w:rsid w:val="003B3BEA"/>
    <w:rPr>
      <w:rFonts w:ascii="Tahoma" w:hAnsi="Tahoma" w:cs="Tahoma"/>
      <w:sz w:val="16"/>
      <w:szCs w:val="16"/>
      <w:lang w:eastAsia="en-US"/>
    </w:rPr>
  </w:style>
  <w:style w:type="paragraph" w:customStyle="1" w:styleId="DHHStablecolhead">
    <w:name w:val="DHHS table col head"/>
    <w:uiPriority w:val="3"/>
    <w:qFormat/>
    <w:rsid w:val="000A6666"/>
    <w:pPr>
      <w:spacing w:before="80" w:after="60"/>
    </w:pPr>
    <w:rPr>
      <w:rFonts w:ascii="Arial" w:hAnsi="Arial"/>
      <w:b/>
      <w:color w:val="004EA8"/>
      <w:lang w:eastAsia="en-US"/>
    </w:rPr>
  </w:style>
  <w:style w:type="paragraph" w:customStyle="1" w:styleId="DHHSbulletindent">
    <w:name w:val="DHHS bullet indent"/>
    <w:basedOn w:val="DHHSbody"/>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styleId="CommentReference">
    <w:name w:val="annotation reference"/>
    <w:basedOn w:val="DefaultParagraphFont"/>
    <w:uiPriority w:val="99"/>
    <w:semiHidden/>
    <w:unhideWhenUsed/>
    <w:rsid w:val="00B1326D"/>
    <w:rPr>
      <w:sz w:val="16"/>
      <w:szCs w:val="16"/>
    </w:rPr>
  </w:style>
  <w:style w:type="paragraph" w:styleId="CommentText">
    <w:name w:val="annotation text"/>
    <w:basedOn w:val="Normal"/>
    <w:link w:val="CommentTextChar"/>
    <w:uiPriority w:val="99"/>
    <w:semiHidden/>
    <w:unhideWhenUsed/>
    <w:rsid w:val="00B1326D"/>
  </w:style>
  <w:style w:type="character" w:customStyle="1" w:styleId="CommentTextChar">
    <w:name w:val="Comment Text Char"/>
    <w:basedOn w:val="DefaultParagraphFont"/>
    <w:link w:val="CommentText"/>
    <w:uiPriority w:val="99"/>
    <w:semiHidden/>
    <w:rsid w:val="00B1326D"/>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B1326D"/>
    <w:rPr>
      <w:b/>
      <w:bCs/>
    </w:rPr>
  </w:style>
  <w:style w:type="character" w:customStyle="1" w:styleId="CommentSubjectChar">
    <w:name w:val="Comment Subject Char"/>
    <w:basedOn w:val="CommentTextChar"/>
    <w:link w:val="CommentSubject"/>
    <w:uiPriority w:val="99"/>
    <w:semiHidden/>
    <w:rsid w:val="00B1326D"/>
    <w:rPr>
      <w:rFonts w:ascii="Cambria" w:hAnsi="Cambria"/>
      <w:b/>
      <w:bCs/>
      <w:lang w:eastAsia="en-US"/>
    </w:rPr>
  </w:style>
  <w:style w:type="character" w:customStyle="1" w:styleId="DHHSbodyChar">
    <w:name w:val="DHHS body Char"/>
    <w:link w:val="DHHSbody"/>
    <w:locked/>
    <w:rsid w:val="00EF3B9C"/>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87533">
      <w:bodyDiv w:val="1"/>
      <w:marLeft w:val="0"/>
      <w:marRight w:val="0"/>
      <w:marTop w:val="0"/>
      <w:marBottom w:val="0"/>
      <w:divBdr>
        <w:top w:val="none" w:sz="0" w:space="0" w:color="auto"/>
        <w:left w:val="none" w:sz="0" w:space="0" w:color="auto"/>
        <w:bottom w:val="none" w:sz="0" w:space="0" w:color="auto"/>
        <w:right w:val="none" w:sz="0" w:space="0" w:color="auto"/>
      </w:divBdr>
    </w:div>
    <w:div w:id="108554024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58362014">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a.vic.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roviders.dhhs.vic.gov.au/emergency-preparednes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viders.dhhs.vic.gov.au/emergency-preparednes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Emergency%20Management\Factsheets\DHHS%20Emergency%20Mgt%20Factshee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29E14-C3BB-4491-ABF9-3D9FD3450F25}"/>
</file>

<file path=customXml/itemProps2.xml><?xml version="1.0" encoding="utf-8"?>
<ds:datastoreItem xmlns:ds="http://schemas.openxmlformats.org/officeDocument/2006/customXml" ds:itemID="{E02C994A-799E-4B0C-A352-7755EEF9F5A2}">
  <ds:schemaRefs>
    <ds:schemaRef ds:uri="http://purl.org/dc/dcmitype/"/>
    <ds:schemaRef ds:uri="c15db769-11f0-407f-935d-6a5c19f36789"/>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C9B546FA-A8FF-4682-969B-32EA3593D416}">
  <ds:schemaRefs>
    <ds:schemaRef ds:uri="http://schemas.microsoft.com/sharepoint/v3/contenttype/forms"/>
  </ds:schemaRefs>
</ds:datastoreItem>
</file>

<file path=customXml/itemProps4.xml><?xml version="1.0" encoding="utf-8"?>
<ds:datastoreItem xmlns:ds="http://schemas.openxmlformats.org/officeDocument/2006/customXml" ds:itemID="{FB4B1800-C8D6-47ED-A34B-0665CD663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Emergency Mgt Factsheet 03 Blue 2945.dot</Template>
  <TotalTime>0</TotalTime>
  <Pages>3</Pages>
  <Words>857</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Emergency preparedness policy FAQs</vt:lpstr>
    </vt:vector>
  </TitlesOfParts>
  <Company>Department of Health and Human Services</Company>
  <LinksUpToDate>false</LinksUpToDate>
  <CharactersWithSpaces>5861</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preparedness policy FAQs</dc:title>
  <dc:creator>Department of Health and Human Services</dc:creator>
  <cp:keywords>FAQs, Emergency preparedness, Emergency management, NDIS, Disability, Health Services, child protection</cp:keywords>
  <cp:lastModifiedBy>Penelope Dane (DHHS)</cp:lastModifiedBy>
  <cp:revision>2</cp:revision>
  <cp:lastPrinted>2019-07-29T01:17:00Z</cp:lastPrinted>
  <dcterms:created xsi:type="dcterms:W3CDTF">2019-08-07T03:48:00Z</dcterms:created>
  <dcterms:modified xsi:type="dcterms:W3CDTF">2019-08-07T03:48:00Z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