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E671585" w14:textId="77777777" w:rsidTr="000D28EA">
        <w:trPr>
          <w:trHeight w:val="1075"/>
        </w:trPr>
        <w:tc>
          <w:tcPr>
            <w:tcW w:w="8101" w:type="dxa"/>
            <w:shd w:val="clear" w:color="auto" w:fill="auto"/>
            <w:vAlign w:val="bottom"/>
          </w:tcPr>
          <w:p w14:paraId="39409A2A" w14:textId="77777777" w:rsidR="002B7F49" w:rsidRPr="00DE4E5C" w:rsidRDefault="002B7F49" w:rsidP="000D28EA">
            <w:pPr>
              <w:pStyle w:val="DHHSmainheading"/>
              <w:spacing w:line="270" w:lineRule="atLeast"/>
              <w:rPr>
                <w:sz w:val="44"/>
                <w:szCs w:val="44"/>
              </w:rPr>
            </w:pPr>
            <w:r w:rsidRPr="00767D28">
              <w:rPr>
                <w:noProof/>
                <w:color w:val="FFFFFF" w:themeColor="background1"/>
                <w:sz w:val="52"/>
                <w:lang w:eastAsia="en-AU"/>
              </w:rPr>
              <w:drawing>
                <wp:anchor distT="0" distB="0" distL="114300" distR="114300" simplePos="0" relativeHeight="251812864" behindDoc="1" locked="1" layoutInCell="0" allowOverlap="1" wp14:anchorId="4460B442" wp14:editId="38FAFE8F">
                  <wp:simplePos x="0" y="0"/>
                  <wp:positionH relativeFrom="page">
                    <wp:posOffset>-542925</wp:posOffset>
                  </wp:positionH>
                  <wp:positionV relativeFrom="page">
                    <wp:posOffset>-495300</wp:posOffset>
                  </wp:positionV>
                  <wp:extent cx="7562850" cy="2028825"/>
                  <wp:effectExtent l="0" t="0" r="0" b="9525"/>
                  <wp:wrapNone/>
                  <wp:docPr id="152" name="Picture 1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028825"/>
                          </a:xfrm>
                          <a:prstGeom prst="rect">
                            <a:avLst/>
                          </a:prstGeom>
                          <a:noFill/>
                        </pic:spPr>
                      </pic:pic>
                    </a:graphicData>
                  </a:graphic>
                  <wp14:sizeRelH relativeFrom="page">
                    <wp14:pctWidth>0</wp14:pctWidth>
                  </wp14:sizeRelH>
                  <wp14:sizeRelV relativeFrom="page">
                    <wp14:pctHeight>0</wp14:pctHeight>
                  </wp14:sizeRelV>
                </wp:anchor>
              </w:drawing>
            </w:r>
            <w:r w:rsidRPr="00767D28">
              <w:rPr>
                <w:rFonts w:cs="Arial"/>
                <w:noProof/>
                <w:sz w:val="44"/>
                <w:szCs w:val="44"/>
              </w:rPr>
              <w:t>Diabetes prevention</w:t>
            </w:r>
            <w:r w:rsidRPr="00767D28">
              <w:rPr>
                <w:rFonts w:cs="Arial"/>
                <w:sz w:val="44"/>
                <w:szCs w:val="44"/>
              </w:rPr>
              <w:t xml:space="preserve"> </w:t>
            </w:r>
            <w:r w:rsidRPr="00A619BF">
              <w:rPr>
                <w:rFonts w:cs="Arial"/>
                <w:sz w:val="40"/>
                <w:szCs w:val="44"/>
              </w:rPr>
              <w:br/>
            </w:r>
            <w:r w:rsidRPr="00767D28">
              <w:rPr>
                <w:rFonts w:cs="Arial"/>
                <w:noProof/>
                <w:sz w:val="44"/>
                <w:szCs w:val="44"/>
              </w:rPr>
              <w:t>16450</w:t>
            </w:r>
          </w:p>
        </w:tc>
      </w:tr>
      <w:tr w:rsidR="002B7F49" w14:paraId="777DF83F" w14:textId="77777777" w:rsidTr="000D28EA">
        <w:tc>
          <w:tcPr>
            <w:tcW w:w="8101" w:type="dxa"/>
            <w:shd w:val="clear" w:color="auto" w:fill="auto"/>
            <w:tcMar>
              <w:top w:w="170" w:type="dxa"/>
              <w:bottom w:w="510" w:type="dxa"/>
            </w:tcMar>
          </w:tcPr>
          <w:p w14:paraId="53B18E78" w14:textId="77777777" w:rsidR="002B7F49" w:rsidRDefault="002B7F49" w:rsidP="000D28EA">
            <w:pPr>
              <w:pStyle w:val="DHHSmainsubheading"/>
              <w:rPr>
                <w:szCs w:val="28"/>
              </w:rPr>
            </w:pPr>
            <w:r>
              <w:rPr>
                <w:szCs w:val="28"/>
              </w:rPr>
              <w:t xml:space="preserve">Outcome objective: Victorians are healthy and well </w:t>
            </w:r>
          </w:p>
          <w:p w14:paraId="5DB374DF" w14:textId="77777777" w:rsidR="002B7F49" w:rsidRDefault="002B7F49" w:rsidP="000D28EA">
            <w:pPr>
              <w:pStyle w:val="DHHSmainsubheading"/>
              <w:rPr>
                <w:szCs w:val="28"/>
              </w:rPr>
            </w:pPr>
            <w:r>
              <w:rPr>
                <w:szCs w:val="28"/>
              </w:rPr>
              <w:t xml:space="preserve">Output group: </w:t>
            </w:r>
            <w:r w:rsidRPr="00177619">
              <w:rPr>
                <w:noProof/>
                <w:szCs w:val="28"/>
              </w:rPr>
              <w:t>Public Health</w:t>
            </w:r>
          </w:p>
          <w:p w14:paraId="489782B3" w14:textId="77777777" w:rsidR="002B7F49" w:rsidRPr="00AD784C" w:rsidRDefault="002B7F49" w:rsidP="000D28EA">
            <w:pPr>
              <w:pStyle w:val="DHHSmainsubheading"/>
              <w:rPr>
                <w:szCs w:val="28"/>
              </w:rPr>
            </w:pPr>
            <w:r>
              <w:rPr>
                <w:szCs w:val="28"/>
              </w:rPr>
              <w:t xml:space="preserve">Output: </w:t>
            </w:r>
            <w:r w:rsidRPr="00177619">
              <w:rPr>
                <w:noProof/>
                <w:szCs w:val="28"/>
              </w:rPr>
              <w:t>Health advancement</w:t>
            </w:r>
          </w:p>
        </w:tc>
      </w:tr>
    </w:tbl>
    <w:p w14:paraId="36A98651" w14:textId="77777777" w:rsidR="002B7F49" w:rsidRDefault="000D28EA" w:rsidP="00767D28">
      <w:pPr>
        <w:pStyle w:val="Heading1"/>
      </w:pPr>
      <w:r>
        <w:br w:type="textWrapping" w:clear="all"/>
      </w:r>
      <w:r w:rsidR="002B7F49" w:rsidRPr="00B70F76">
        <w:t>1.</w:t>
      </w:r>
      <w:r w:rsidR="002B7F49">
        <w:t xml:space="preserve"> Service Objective </w:t>
      </w:r>
    </w:p>
    <w:p w14:paraId="2092ADF7" w14:textId="77777777" w:rsidR="00544A03" w:rsidRPr="005268A8" w:rsidRDefault="00073B22" w:rsidP="00767D28">
      <w:pPr>
        <w:pStyle w:val="DHHSbody"/>
      </w:pPr>
      <w:r>
        <w:t>Diabetes prevention seeks to contribute</w:t>
      </w:r>
      <w:r w:rsidR="00544A03" w:rsidRPr="00073B22">
        <w:t xml:space="preserve"> to halting the rise in diabetes prevalence</w:t>
      </w:r>
      <w:r>
        <w:t>. The</w:t>
      </w:r>
      <w:r w:rsidR="009D3967">
        <w:t>re is a</w:t>
      </w:r>
      <w:r>
        <w:t xml:space="preserve"> target contained within the </w:t>
      </w:r>
      <w:r w:rsidR="009D3967">
        <w:t>Victorian Public Health and Wellbeing O</w:t>
      </w:r>
      <w:r>
        <w:t xml:space="preserve">utcomes </w:t>
      </w:r>
      <w:r w:rsidR="009D3967">
        <w:t>F</w:t>
      </w:r>
      <w:r>
        <w:t>ramework.</w:t>
      </w:r>
    </w:p>
    <w:p w14:paraId="36289CB8" w14:textId="77777777" w:rsidR="002B7F49" w:rsidRDefault="002B7F49" w:rsidP="00767D28">
      <w:pPr>
        <w:pStyle w:val="Heading1"/>
      </w:pPr>
      <w:r>
        <w:t>2</w:t>
      </w:r>
      <w:r w:rsidRPr="00B70F76">
        <w:t xml:space="preserve">. </w:t>
      </w:r>
      <w:r>
        <w:t>Description of the service</w:t>
      </w:r>
    </w:p>
    <w:p w14:paraId="4F111D54" w14:textId="77777777" w:rsidR="002B7F49" w:rsidRPr="00DF6BAF" w:rsidRDefault="002B7F49" w:rsidP="00AA0F86">
      <w:pPr>
        <w:pStyle w:val="DHHSbody"/>
      </w:pPr>
      <w:r w:rsidRPr="00177619">
        <w:rPr>
          <w:noProof/>
        </w:rPr>
        <w:t xml:space="preserve">To undertake </w:t>
      </w:r>
      <w:r w:rsidRPr="00073B22">
        <w:rPr>
          <w:noProof/>
        </w:rPr>
        <w:t>primary and secondary prevention initiatives</w:t>
      </w:r>
      <w:r w:rsidRPr="00177619">
        <w:rPr>
          <w:noProof/>
        </w:rPr>
        <w:t xml:space="preserve"> aimed at reducing the number of people in the Victorian community developing type 2 diabetes and cardiovascular disease.</w:t>
      </w:r>
    </w:p>
    <w:p w14:paraId="5E9EFB3A" w14:textId="77777777" w:rsidR="002B7F49" w:rsidRPr="00B70F76" w:rsidRDefault="002B7F49" w:rsidP="00767D28">
      <w:pPr>
        <w:pStyle w:val="Heading1"/>
      </w:pPr>
      <w:r>
        <w:t xml:space="preserve">3. </w:t>
      </w:r>
      <w:r w:rsidRPr="00B70F76">
        <w:t>Client group</w:t>
      </w:r>
    </w:p>
    <w:p w14:paraId="1418C680" w14:textId="77777777" w:rsidR="00544A03" w:rsidRPr="00E9023A" w:rsidRDefault="002B7F49" w:rsidP="00767D28">
      <w:pPr>
        <w:pStyle w:val="DHHSbody"/>
      </w:pPr>
      <w:r>
        <w:t xml:space="preserve">The client </w:t>
      </w:r>
      <w:proofErr w:type="gramStart"/>
      <w:r>
        <w:t>group</w:t>
      </w:r>
      <w:proofErr w:type="gramEnd"/>
      <w:r>
        <w:t xml:space="preserve"> this activity is targeted at </w:t>
      </w:r>
      <w:r w:rsidR="00F64AFF">
        <w:t>Victorian</w:t>
      </w:r>
      <w:r w:rsidR="009D3967">
        <w:t>s</w:t>
      </w:r>
      <w:r w:rsidR="00F64AFF">
        <w:t xml:space="preserve"> </w:t>
      </w:r>
      <w:r w:rsidR="00544A03">
        <w:t>with modifiable risk factors of chronic disease.</w:t>
      </w:r>
      <w:r w:rsidR="00544A03" w:rsidRPr="00E9023A">
        <w:t xml:space="preserve"> </w:t>
      </w:r>
      <w:r w:rsidR="00544A03">
        <w:t>In 2018-19</w:t>
      </w:r>
      <w:r w:rsidR="00544A03" w:rsidRPr="00E9023A">
        <w:t xml:space="preserve"> </w:t>
      </w:r>
      <w:r w:rsidR="00544A03">
        <w:t>the el</w:t>
      </w:r>
      <w:r w:rsidR="00544A03" w:rsidRPr="00E9023A">
        <w:t>igibility for the Life! program</w:t>
      </w:r>
      <w:r w:rsidR="00544A03">
        <w:t xml:space="preserve"> </w:t>
      </w:r>
      <w:r w:rsidR="00544A03" w:rsidRPr="00E9023A">
        <w:t xml:space="preserve">includes Victorian adults (18 years or over) with one or more of the following: </w:t>
      </w:r>
    </w:p>
    <w:p w14:paraId="1583DB98" w14:textId="168C8253" w:rsidR="00544A03" w:rsidRPr="00E9023A" w:rsidRDefault="00544A03" w:rsidP="00767D28">
      <w:pPr>
        <w:pStyle w:val="DHHSbullet1"/>
      </w:pPr>
      <w:r w:rsidRPr="00E9023A">
        <w:t>AUSDRISK score ≥ 12 and BMI ≥ 25 or Absolute CVD risk of ≥ 10% when referred by a GP clinic</w:t>
      </w:r>
      <w:r w:rsidR="006D4073">
        <w:t>.</w:t>
      </w:r>
      <w:r w:rsidR="006D4073">
        <w:rPr>
          <w:rStyle w:val="FootnoteReference"/>
        </w:rPr>
        <w:footnoteReference w:id="1"/>
      </w:r>
    </w:p>
    <w:p w14:paraId="7E8C0771" w14:textId="77777777" w:rsidR="00544A03" w:rsidRPr="00E9023A" w:rsidRDefault="00544A03" w:rsidP="00767D28">
      <w:pPr>
        <w:pStyle w:val="DHHSbullet1"/>
      </w:pPr>
      <w:r w:rsidRPr="00E9023A">
        <w:t xml:space="preserve">Have previously been diagnosed with: </w:t>
      </w:r>
    </w:p>
    <w:p w14:paraId="5D068737"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impaired glucose tolerance (by FPG, OGTT or HbA1c) </w:t>
      </w:r>
    </w:p>
    <w:p w14:paraId="5E7E2AE9"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polycystic ovary syndrome </w:t>
      </w:r>
    </w:p>
    <w:p w14:paraId="294115F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gestational diabetes </w:t>
      </w:r>
    </w:p>
    <w:p w14:paraId="40F599F3"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familial hypercholesterolemia </w:t>
      </w:r>
    </w:p>
    <w:p w14:paraId="291FCF9A"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moderate or severe chronic kidney disease (persistent proteinuria or eGFR &lt;45 mL/min/1.73 m2) </w:t>
      </w:r>
    </w:p>
    <w:p w14:paraId="446C15F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total serum cholesterol &gt; 7.5mmol/L </w:t>
      </w:r>
    </w:p>
    <w:p w14:paraId="0194A352"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 xml:space="preserve">systolic BP of ≥ 180mmHg or diastolic BP of ≥ 110mmHg. </w:t>
      </w:r>
    </w:p>
    <w:p w14:paraId="3E4A1F6F"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cardiovascular disease (including myocardial infarction, angina and angioplasty)</w:t>
      </w:r>
    </w:p>
    <w:p w14:paraId="3CA4CA54" w14:textId="77777777" w:rsidR="00544A03" w:rsidRPr="00E9023A" w:rsidRDefault="00544A03" w:rsidP="00544A03">
      <w:pPr>
        <w:numPr>
          <w:ilvl w:val="1"/>
          <w:numId w:val="17"/>
        </w:numPr>
        <w:autoSpaceDE w:val="0"/>
        <w:autoSpaceDN w:val="0"/>
        <w:adjustRightInd w:val="0"/>
        <w:spacing w:before="0" w:after="60" w:line="240" w:lineRule="auto"/>
        <w:jc w:val="both"/>
        <w:rPr>
          <w:rFonts w:cs="Arial"/>
          <w:color w:val="000000"/>
        </w:rPr>
      </w:pPr>
      <w:r w:rsidRPr="00E9023A">
        <w:rPr>
          <w:rFonts w:cs="Arial"/>
          <w:color w:val="000000"/>
        </w:rPr>
        <w:t>*NB The Absolute CVD Risk Calculator will only be performed by GPs for patients 45 years of age or over (35 for Aboriginal and Torres Strait Islander people).</w:t>
      </w:r>
    </w:p>
    <w:p w14:paraId="375A14C6" w14:textId="77777777" w:rsidR="002B7F49" w:rsidRDefault="002B7F49" w:rsidP="00767D28">
      <w:pPr>
        <w:pStyle w:val="Heading1"/>
      </w:pPr>
      <w:r>
        <w:t>4. Obligations specific to this activity</w:t>
      </w:r>
    </w:p>
    <w:p w14:paraId="15DBBEE8" w14:textId="77777777" w:rsidR="002B7F49" w:rsidRPr="008A7445" w:rsidRDefault="002B7F49" w:rsidP="007B7E5D">
      <w:pPr>
        <w:pStyle w:val="DHHSbody"/>
        <w:spacing w:beforeLines="40" w:before="96"/>
      </w:pPr>
      <w:r>
        <w:t xml:space="preserve">In addition to the obligations listed in the Service Agreement, organisations funded to deliver this activity must </w:t>
      </w:r>
      <w:r w:rsidRPr="008A7445">
        <w:t>comply with the following:</w:t>
      </w:r>
    </w:p>
    <w:p w14:paraId="2A378EFE" w14:textId="77777777" w:rsidR="002B7F49" w:rsidRPr="008A7445" w:rsidRDefault="002B7F49" w:rsidP="00767D28">
      <w:pPr>
        <w:pStyle w:val="Heading2"/>
      </w:pPr>
      <w:r w:rsidRPr="008A7445">
        <w:t xml:space="preserve">4a.  Registration and Accreditation </w:t>
      </w:r>
    </w:p>
    <w:p w14:paraId="30756F68" w14:textId="77777777" w:rsidR="00591AD5" w:rsidRPr="008A7445" w:rsidRDefault="00591AD5" w:rsidP="006D4073">
      <w:pPr>
        <w:pStyle w:val="DHHSbullet1"/>
      </w:pPr>
      <w:r w:rsidRPr="008A7445">
        <w:t>Compliance with obligations in the Service Agreement.</w:t>
      </w:r>
    </w:p>
    <w:p w14:paraId="243FA70C" w14:textId="77777777" w:rsidR="002B7F49" w:rsidRPr="008A7445" w:rsidRDefault="002B7F49" w:rsidP="00767D28">
      <w:pPr>
        <w:pStyle w:val="Heading2"/>
      </w:pPr>
      <w:r w:rsidRPr="008A7445">
        <w:t xml:space="preserve">4b. Program requirements and other policy guidelines </w:t>
      </w:r>
    </w:p>
    <w:p w14:paraId="38F84F07" w14:textId="5ED17E23" w:rsidR="008A7445" w:rsidRDefault="006D4073" w:rsidP="00767D28">
      <w:pPr>
        <w:pStyle w:val="DHHSbullet1"/>
      </w:pPr>
      <w:hyperlink r:id="rId9" w:history="1">
        <w:r w:rsidR="00A03007" w:rsidRPr="007C19D3">
          <w:rPr>
            <w:rStyle w:val="Hyperlink"/>
          </w:rPr>
          <w:t>The Victorian Public Health and Wellbeing plan</w:t>
        </w:r>
      </w:hyperlink>
    </w:p>
    <w:p w14:paraId="25E0DBC9" w14:textId="744BC091" w:rsidR="007C19D3" w:rsidRDefault="007C19D3" w:rsidP="007C19D3">
      <w:pPr>
        <w:pStyle w:val="DHHSbody"/>
        <w:ind w:firstLine="284"/>
      </w:pPr>
      <w:r>
        <w:t>&lt;</w:t>
      </w:r>
      <w:r w:rsidRPr="007C19D3">
        <w:t>https://www2.health.vic.gov.au/about/health-strategies/public-health-wellbeing-plan</w:t>
      </w:r>
      <w:r>
        <w:t>&gt;</w:t>
      </w:r>
    </w:p>
    <w:p w14:paraId="28FC86F4" w14:textId="3AC18695" w:rsidR="004E5CE5" w:rsidRPr="008A7445" w:rsidRDefault="004E5CE5" w:rsidP="00767D28">
      <w:pPr>
        <w:pStyle w:val="DHHSbullet1"/>
      </w:pPr>
      <w:r>
        <w:lastRenderedPageBreak/>
        <w:t>S</w:t>
      </w:r>
      <w:r w:rsidRPr="00057DFF">
        <w:t>ervice delivery requirements document developed and agreed to by the department and Diabetes Victoria</w:t>
      </w:r>
      <w:r w:rsidR="00A23196">
        <w:t>.</w:t>
      </w:r>
    </w:p>
    <w:p w14:paraId="7AD1F616" w14:textId="084B2CDF" w:rsidR="002B7F49" w:rsidRPr="00575BC9" w:rsidRDefault="002B7F49" w:rsidP="00767D28">
      <w:pPr>
        <w:pStyle w:val="Heading1"/>
      </w:pPr>
      <w:r>
        <w:t>5. Performance</w:t>
      </w:r>
      <w:r w:rsidR="00767D28">
        <w:tab/>
      </w:r>
    </w:p>
    <w:p w14:paraId="63DA93B7" w14:textId="77777777" w:rsidR="002B7F49" w:rsidRPr="001F1A17" w:rsidRDefault="002B7F49" w:rsidP="006C7A1F">
      <w:pPr>
        <w:pStyle w:val="NormalIndent"/>
        <w:spacing w:before="40" w:after="120"/>
        <w:ind w:left="0"/>
        <w:rPr>
          <w:lang w:eastAsia="en-AU"/>
        </w:rPr>
      </w:pPr>
      <w:r>
        <w:rPr>
          <w:lang w:eastAsia="en-AU"/>
        </w:rPr>
        <w:t>Funding is subject to achieving the</w:t>
      </w:r>
      <w:r w:rsidRPr="00171F04">
        <w:rPr>
          <w:lang w:eastAsia="en-AU"/>
        </w:rPr>
        <w:t xml:space="preserve"> </w:t>
      </w:r>
      <w:r>
        <w:rPr>
          <w:lang w:eastAsia="en-AU"/>
        </w:rPr>
        <w:t xml:space="preserve">performance targets specified in Schedule 2 of the Service Agreement. Performance is measured as follows:  </w:t>
      </w:r>
    </w:p>
    <w:p w14:paraId="5361B8B5" w14:textId="67C0BF30" w:rsidR="002B7F49" w:rsidRPr="00B43DD0" w:rsidRDefault="002B7F49" w:rsidP="00767D28">
      <w:pPr>
        <w:pStyle w:val="Heading2"/>
        <w:spacing w:before="120"/>
      </w:pPr>
      <w:r>
        <w:t>Key performance measure</w:t>
      </w:r>
      <w:r w:rsidR="00767D28">
        <w:t xml:space="preserve"> 1</w:t>
      </w:r>
      <w:r w:rsidRPr="00575BC9">
        <w:t xml:space="preserve">: </w:t>
      </w:r>
      <w:r w:rsidR="000D28EA" w:rsidRPr="000D28EA">
        <w:rPr>
          <w:rStyle w:val="DHHSbodyChar"/>
        </w:rPr>
        <w:t>Report against agreed objectives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6E634D05" w14:textId="77777777" w:rsidTr="00767D28">
        <w:trPr>
          <w:cantSplit/>
          <w:trHeight w:hRule="exact" w:val="719"/>
        </w:trPr>
        <w:tc>
          <w:tcPr>
            <w:tcW w:w="2835" w:type="dxa"/>
          </w:tcPr>
          <w:p w14:paraId="66F7E0CD" w14:textId="77777777" w:rsidR="002B7F49" w:rsidRPr="0017293C" w:rsidRDefault="002B7F49" w:rsidP="00767D28">
            <w:pPr>
              <w:pStyle w:val="DHHStablecolhead"/>
            </w:pPr>
            <w:r w:rsidRPr="00575BC9">
              <w:t>Aim/objective</w:t>
            </w:r>
          </w:p>
        </w:tc>
        <w:tc>
          <w:tcPr>
            <w:tcW w:w="7379" w:type="dxa"/>
          </w:tcPr>
          <w:p w14:paraId="4E780BA3" w14:textId="77777777" w:rsidR="002B7F49" w:rsidRPr="00057DFF" w:rsidRDefault="00057DFF" w:rsidP="00767D28">
            <w:pPr>
              <w:pStyle w:val="DHHStabletext"/>
              <w:rPr>
                <w:rFonts w:eastAsia="MS Mincho"/>
              </w:rPr>
            </w:pPr>
            <w:r w:rsidRPr="00057DFF">
              <w:rPr>
                <w:rFonts w:eastAsia="MS Mincho"/>
              </w:rPr>
              <w:t xml:space="preserve">The performance measure provides </w:t>
            </w:r>
            <w:r>
              <w:rPr>
                <w:rFonts w:eastAsia="MS Mincho"/>
              </w:rPr>
              <w:t xml:space="preserve">data on </w:t>
            </w:r>
            <w:r w:rsidRPr="00057DFF">
              <w:rPr>
                <w:rFonts w:eastAsia="MS Mincho"/>
              </w:rPr>
              <w:t>actual participation in program delivery for the Life! program</w:t>
            </w:r>
            <w:r>
              <w:rPr>
                <w:rFonts w:eastAsia="MS Mincho"/>
              </w:rPr>
              <w:t>.</w:t>
            </w:r>
          </w:p>
        </w:tc>
      </w:tr>
      <w:tr w:rsidR="002B7F49" w:rsidRPr="00C237A0" w14:paraId="251E8CAE" w14:textId="77777777" w:rsidTr="00767D28">
        <w:trPr>
          <w:cantSplit/>
          <w:trHeight w:hRule="exact" w:val="563"/>
        </w:trPr>
        <w:tc>
          <w:tcPr>
            <w:tcW w:w="2835" w:type="dxa"/>
          </w:tcPr>
          <w:p w14:paraId="728EACBA" w14:textId="77777777" w:rsidR="002B7F49" w:rsidRPr="0017293C" w:rsidRDefault="002B7F49" w:rsidP="00767D28">
            <w:pPr>
              <w:pStyle w:val="DHHStablecolhead"/>
            </w:pPr>
            <w:r w:rsidRPr="00575BC9">
              <w:t>Target</w:t>
            </w:r>
          </w:p>
        </w:tc>
        <w:tc>
          <w:tcPr>
            <w:tcW w:w="7379" w:type="dxa"/>
          </w:tcPr>
          <w:p w14:paraId="66855BC5" w14:textId="609C6513" w:rsidR="002B7F49" w:rsidRPr="00057DFF" w:rsidRDefault="002B7F49" w:rsidP="00767D28">
            <w:pPr>
              <w:pStyle w:val="DHHStabletext"/>
            </w:pPr>
            <w:r>
              <w:t>The performance measure target is provided in the Service Agreement</w:t>
            </w:r>
            <w:bookmarkStart w:id="0" w:name="_Hlk5189651"/>
            <w:r w:rsidR="00057DFF" w:rsidRPr="00057DFF">
              <w:t xml:space="preserve"> </w:t>
            </w:r>
            <w:bookmarkEnd w:id="0"/>
          </w:p>
        </w:tc>
      </w:tr>
      <w:tr w:rsidR="002B7F49" w:rsidRPr="00C237A0" w14:paraId="6A2D358C" w14:textId="77777777" w:rsidTr="00767D28">
        <w:trPr>
          <w:cantSplit/>
          <w:trHeight w:hRule="exact" w:val="340"/>
        </w:trPr>
        <w:tc>
          <w:tcPr>
            <w:tcW w:w="2835" w:type="dxa"/>
          </w:tcPr>
          <w:p w14:paraId="2007A935" w14:textId="77777777" w:rsidR="002B7F49" w:rsidRPr="0017293C" w:rsidRDefault="002B7F49" w:rsidP="00767D28">
            <w:pPr>
              <w:pStyle w:val="DHHStablecolhead"/>
            </w:pPr>
            <w:r w:rsidRPr="00575BC9">
              <w:t>Type of count</w:t>
            </w:r>
          </w:p>
        </w:tc>
        <w:tc>
          <w:tcPr>
            <w:tcW w:w="7379" w:type="dxa"/>
          </w:tcPr>
          <w:p w14:paraId="60F3205B" w14:textId="77777777" w:rsidR="002B7F49" w:rsidRPr="00C237A0" w:rsidRDefault="000D28EA" w:rsidP="00767D28">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6D4073">
              <w:rPr>
                <w:color w:val="7030A0"/>
              </w:rPr>
            </w:r>
            <w:r w:rsidR="006D4073">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6D4073">
              <w:rPr>
                <w:color w:val="7030A0"/>
              </w:rPr>
            </w:r>
            <w:r w:rsidR="006D4073">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14:paraId="7E478ECD" w14:textId="77777777" w:rsidTr="00767D28">
        <w:trPr>
          <w:cantSplit/>
          <w:trHeight w:hRule="exact" w:val="832"/>
        </w:trPr>
        <w:tc>
          <w:tcPr>
            <w:tcW w:w="2835" w:type="dxa"/>
          </w:tcPr>
          <w:p w14:paraId="636C2AAD" w14:textId="77777777" w:rsidR="002B7F49" w:rsidRPr="0017293C" w:rsidRDefault="002B7F49" w:rsidP="00767D28">
            <w:pPr>
              <w:pStyle w:val="DHHStablecolhead"/>
            </w:pPr>
            <w:r w:rsidRPr="00575BC9">
              <w:t>Counting rule</w:t>
            </w:r>
          </w:p>
        </w:tc>
        <w:tc>
          <w:tcPr>
            <w:tcW w:w="7379" w:type="dxa"/>
          </w:tcPr>
          <w:p w14:paraId="47AE217D" w14:textId="77777777" w:rsidR="002B7F49" w:rsidRPr="00D76641" w:rsidRDefault="00D76641" w:rsidP="00767D28">
            <w:pPr>
              <w:pStyle w:val="DHHStabletext"/>
              <w:rPr>
                <w:rFonts w:cs="Arial"/>
              </w:rPr>
            </w:pPr>
            <w:r w:rsidRPr="00FA23C8">
              <w:rPr>
                <w:rFonts w:cs="Arial"/>
              </w:rPr>
              <w:t>BP3 – health advancement - 5,616 – the number of participants completing the Life! diabetes and cardiovascular disease prevention program.  This is a direct measure of program throughput.</w:t>
            </w:r>
            <w:r>
              <w:rPr>
                <w:rFonts w:cs="Arial"/>
              </w:rPr>
              <w:t xml:space="preserve"> </w:t>
            </w:r>
          </w:p>
        </w:tc>
      </w:tr>
      <w:tr w:rsidR="002B7F49" w:rsidRPr="00C237A0" w14:paraId="2ADEAD86" w14:textId="77777777" w:rsidTr="00767D28">
        <w:trPr>
          <w:cantSplit/>
          <w:trHeight w:hRule="exact" w:val="661"/>
        </w:trPr>
        <w:tc>
          <w:tcPr>
            <w:tcW w:w="2835" w:type="dxa"/>
          </w:tcPr>
          <w:p w14:paraId="1A3E38E0" w14:textId="77777777" w:rsidR="002B7F49" w:rsidRPr="0017293C" w:rsidRDefault="002B7F49" w:rsidP="00767D28">
            <w:pPr>
              <w:pStyle w:val="DHHStablecolhead"/>
            </w:pPr>
            <w:r w:rsidRPr="00575BC9">
              <w:t>Data source(s) collection</w:t>
            </w:r>
          </w:p>
        </w:tc>
        <w:tc>
          <w:tcPr>
            <w:tcW w:w="7379" w:type="dxa"/>
          </w:tcPr>
          <w:p w14:paraId="60189A27" w14:textId="77777777" w:rsidR="002B7F49" w:rsidRPr="00D76641" w:rsidRDefault="00D76641" w:rsidP="00767D28">
            <w:pPr>
              <w:pStyle w:val="DHHStabletext"/>
              <w:rPr>
                <w:rFonts w:eastAsia="MS Mincho" w:cs="Arial"/>
              </w:rPr>
            </w:pPr>
            <w:r w:rsidRPr="00D76641">
              <w:rPr>
                <w:rFonts w:eastAsia="MS Mincho" w:cs="Arial"/>
              </w:rPr>
              <w:t xml:space="preserve">Quarterly reporting of actual participant data </w:t>
            </w:r>
            <w:r w:rsidR="00073B22">
              <w:rPr>
                <w:rFonts w:eastAsia="MS Mincho" w:cs="Arial"/>
              </w:rPr>
              <w:t>or as otherwise specified e.g. project specific data.</w:t>
            </w:r>
          </w:p>
        </w:tc>
      </w:tr>
      <w:tr w:rsidR="002B7F49" w:rsidRPr="00C237A0" w14:paraId="2F1FDA45" w14:textId="77777777" w:rsidTr="00767D28">
        <w:trPr>
          <w:cantSplit/>
          <w:trHeight w:hRule="exact" w:val="1138"/>
        </w:trPr>
        <w:tc>
          <w:tcPr>
            <w:tcW w:w="2835" w:type="dxa"/>
          </w:tcPr>
          <w:p w14:paraId="3BB3C1F9" w14:textId="77777777" w:rsidR="002B7F49" w:rsidRPr="0017293C" w:rsidRDefault="002B7F49" w:rsidP="00767D28">
            <w:pPr>
              <w:pStyle w:val="DHHStablecolhead"/>
            </w:pPr>
            <w:r w:rsidRPr="00575BC9">
              <w:t>Definition of terms</w:t>
            </w:r>
          </w:p>
        </w:tc>
        <w:tc>
          <w:tcPr>
            <w:tcW w:w="7379" w:type="dxa"/>
          </w:tcPr>
          <w:p w14:paraId="7A25548E" w14:textId="77777777" w:rsidR="002B7F49" w:rsidRDefault="00D76641" w:rsidP="00767D28">
            <w:pPr>
              <w:pStyle w:val="DHHStabletext"/>
              <w:rPr>
                <w:rFonts w:eastAsia="MS Mincho" w:cs="Arial"/>
              </w:rPr>
            </w:pPr>
            <w:r w:rsidRPr="00D76641">
              <w:rPr>
                <w:rFonts w:eastAsia="MS Mincho" w:cs="Arial"/>
              </w:rPr>
              <w:t>The measure for completing the Life! program is agreed as group course session</w:t>
            </w:r>
            <w:r w:rsidR="00C95121">
              <w:rPr>
                <w:rFonts w:eastAsia="MS Mincho" w:cs="Arial"/>
              </w:rPr>
              <w:t xml:space="preserve"> </w:t>
            </w:r>
            <w:r w:rsidRPr="00D76641">
              <w:rPr>
                <w:rFonts w:eastAsia="MS Mincho" w:cs="Arial"/>
              </w:rPr>
              <w:t>one or telephone health coaching initial call.</w:t>
            </w:r>
          </w:p>
          <w:p w14:paraId="0529C965" w14:textId="77777777" w:rsidR="00073B22" w:rsidRPr="00D76641" w:rsidRDefault="00C95121" w:rsidP="00767D28">
            <w:pPr>
              <w:pStyle w:val="DHHStabletext"/>
              <w:rPr>
                <w:rFonts w:eastAsia="MS Mincho" w:cs="Arial"/>
              </w:rPr>
            </w:pPr>
            <w:r>
              <w:rPr>
                <w:rFonts w:eastAsia="MS Mincho" w:cs="Arial"/>
              </w:rPr>
              <w:t>In accordance with the Policy and Funding Guidelines, funding will be recalled for participant target not met</w:t>
            </w:r>
            <w:r w:rsidR="00F64AFF">
              <w:rPr>
                <w:rFonts w:eastAsia="MS Mincho" w:cs="Arial"/>
              </w:rPr>
              <w:t>.</w:t>
            </w:r>
          </w:p>
        </w:tc>
      </w:tr>
    </w:tbl>
    <w:p w14:paraId="740553D8" w14:textId="77777777" w:rsidR="002B7F49" w:rsidRPr="00575BC9" w:rsidRDefault="002B7F49" w:rsidP="00767D28">
      <w:pPr>
        <w:pStyle w:val="Heading1"/>
      </w:pPr>
      <w:r>
        <w:t>6. Data collection</w:t>
      </w:r>
    </w:p>
    <w:p w14:paraId="0B6E69F3" w14:textId="77777777" w:rsidR="002B7F49" w:rsidRDefault="002B7F49" w:rsidP="00767D28">
      <w:pPr>
        <w:pStyle w:val="DHHSbody"/>
      </w:pPr>
      <w:r>
        <w:t>The reporting requirements for this service are:</w:t>
      </w:r>
    </w:p>
    <w:tbl>
      <w:tblPr>
        <w:tblW w:w="10248" w:type="dxa"/>
        <w:tblInd w:w="108" w:type="dxa"/>
        <w:tblCellMar>
          <w:left w:w="0" w:type="dxa"/>
          <w:right w:w="0" w:type="dxa"/>
        </w:tblCellMar>
        <w:tblLook w:val="04A0" w:firstRow="1" w:lastRow="0" w:firstColumn="1" w:lastColumn="0" w:noHBand="0" w:noVBand="1"/>
      </w:tblPr>
      <w:tblGrid>
        <w:gridCol w:w="2580"/>
        <w:gridCol w:w="2580"/>
        <w:gridCol w:w="2580"/>
        <w:gridCol w:w="2508"/>
      </w:tblGrid>
      <w:tr w:rsidR="00D76641" w14:paraId="0694293B" w14:textId="77777777" w:rsidTr="00767D28">
        <w:trPr>
          <w:trHeight w:val="340"/>
          <w:tblHeader/>
        </w:trPr>
        <w:tc>
          <w:tcPr>
            <w:tcW w:w="2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35915" w14:textId="77777777" w:rsidR="00D76641" w:rsidRDefault="00D76641" w:rsidP="00767D28">
            <w:pPr>
              <w:pStyle w:val="DHHStablecolhead"/>
            </w:pPr>
            <w:r>
              <w:t>Data collection name</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D5140" w14:textId="77777777" w:rsidR="00D76641" w:rsidRDefault="00D76641" w:rsidP="00767D28">
            <w:pPr>
              <w:pStyle w:val="DHHStablecolhead"/>
            </w:pPr>
            <w:r>
              <w:t xml:space="preserve">Data system </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2B6D3" w14:textId="77777777" w:rsidR="00D76641" w:rsidRDefault="00D76641" w:rsidP="00767D28">
            <w:pPr>
              <w:pStyle w:val="DHHStablecolhead"/>
            </w:pPr>
            <w:r>
              <w:t xml:space="preserve">Data set </w:t>
            </w:r>
          </w:p>
        </w:tc>
        <w:tc>
          <w:tcPr>
            <w:tcW w:w="2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CADCC" w14:textId="77777777" w:rsidR="00D76641" w:rsidRDefault="00D76641" w:rsidP="00767D28">
            <w:pPr>
              <w:pStyle w:val="DHHStablecolhead"/>
            </w:pPr>
            <w:r>
              <w:t>Reporting cycle</w:t>
            </w:r>
          </w:p>
        </w:tc>
      </w:tr>
      <w:tr w:rsidR="00D76641" w14:paraId="31E5F47A"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E5FCC" w14:textId="77777777" w:rsidR="00D76641" w:rsidRPr="00544A03" w:rsidRDefault="00D76641" w:rsidP="00767D28">
            <w:pPr>
              <w:pStyle w:val="DHHStabletext"/>
            </w:pPr>
            <w:r w:rsidRPr="00544A03">
              <w:t>Salesforce CRM</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45AE0B1F" w14:textId="77777777" w:rsidR="00D76641" w:rsidRPr="00544A03" w:rsidRDefault="00D76641" w:rsidP="00767D28">
            <w:pPr>
              <w:pStyle w:val="DHHStabletext"/>
              <w:rPr>
                <w:iCs/>
              </w:rPr>
            </w:pPr>
            <w:r w:rsidRPr="00544A03">
              <w:rPr>
                <w:iCs/>
              </w:rPr>
              <w:t>Cloud-base CRM</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40ED8166" w14:textId="77777777" w:rsidR="00D76641" w:rsidRPr="00544A03" w:rsidRDefault="00D76641" w:rsidP="00767D28">
            <w:pPr>
              <w:pStyle w:val="DHHStabletext"/>
            </w:pPr>
            <w:r w:rsidRPr="00544A03">
              <w:rPr>
                <w:i/>
                <w:iCs/>
              </w:rPr>
              <w:t>Life!</w:t>
            </w:r>
            <w:r w:rsidRPr="00544A03">
              <w:t xml:space="preserve"> program </w:t>
            </w:r>
            <w:r>
              <w:t>data including</w:t>
            </w:r>
            <w:r w:rsidRPr="00544A03">
              <w:t xml:space="preserve"> participant minimum data set, participant and workforce profiles, invoicing etc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7289F76D" w14:textId="77777777" w:rsidR="00D76641" w:rsidRPr="00544A03" w:rsidRDefault="00D76641" w:rsidP="00767D28">
            <w:pPr>
              <w:pStyle w:val="DHHStabletext"/>
            </w:pPr>
            <w:r w:rsidRPr="00544A03">
              <w:t xml:space="preserve">Monthly, quarterly and annually </w:t>
            </w:r>
          </w:p>
        </w:tc>
      </w:tr>
      <w:tr w:rsidR="00D76641" w14:paraId="1BA81B87"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CB1A" w14:textId="77777777" w:rsidR="00D76641" w:rsidRPr="00544A03" w:rsidRDefault="00D76641" w:rsidP="00767D28">
            <w:pPr>
              <w:pStyle w:val="DHHStabletext"/>
            </w:pPr>
            <w:r w:rsidRPr="00544A03">
              <w:t>Project specific data collection</w:t>
            </w:r>
            <w:r>
              <w:t xml:space="preserve"> – </w:t>
            </w:r>
            <w:proofErr w:type="gramStart"/>
            <w:r>
              <w:t>12 month</w:t>
            </w:r>
            <w:proofErr w:type="gramEnd"/>
            <w:r>
              <w:t xml:space="preserve"> session pilot</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13DC9C09" w14:textId="77777777" w:rsidR="00D76641" w:rsidRPr="00544A03" w:rsidRDefault="00D76641" w:rsidP="00767D28">
            <w:pPr>
              <w:pStyle w:val="DHHStabletext"/>
            </w:pPr>
            <w:r w:rsidRPr="00544A03">
              <w:rPr>
                <w:iCs/>
              </w:rPr>
              <w:t>Excel spreadsheet</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115AB4DA" w14:textId="77777777" w:rsidR="00D76641" w:rsidRPr="00544A03" w:rsidRDefault="00D76641" w:rsidP="00767D28">
            <w:pPr>
              <w:pStyle w:val="DHHStabletext"/>
            </w:pPr>
            <w:proofErr w:type="gramStart"/>
            <w:r w:rsidRPr="00544A03">
              <w:t>12 month</w:t>
            </w:r>
            <w:proofErr w:type="gramEnd"/>
            <w:r w:rsidRPr="00544A03">
              <w:t xml:space="preserve"> session pilot for Group course and THC participants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5FD8CFC8" w14:textId="77777777" w:rsidR="00D76641" w:rsidRPr="00544A03" w:rsidRDefault="00D76641" w:rsidP="00767D28">
            <w:pPr>
              <w:pStyle w:val="DHHStabletext"/>
            </w:pPr>
            <w:r w:rsidRPr="00544A03">
              <w:t>Monthly, quarterly</w:t>
            </w:r>
          </w:p>
        </w:tc>
      </w:tr>
      <w:tr w:rsidR="00D76641" w14:paraId="7CB52612" w14:textId="77777777" w:rsidTr="00767D28">
        <w:trPr>
          <w:trHeight w:val="942"/>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C4CA" w14:textId="77777777" w:rsidR="00D76641" w:rsidRDefault="00D76641" w:rsidP="00767D28">
            <w:pPr>
              <w:pStyle w:val="DHHStabletext"/>
            </w:pPr>
            <w:r>
              <w:t xml:space="preserve">Project specific data collection – priority engagement BHC/ Life! webpage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526E3C71" w14:textId="77777777" w:rsidR="00D76641" w:rsidRDefault="00D76641" w:rsidP="00767D28">
            <w:pPr>
              <w:pStyle w:val="DHHStabletext"/>
            </w:pPr>
            <w:r>
              <w:t>Google analytics- dashboard</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6A11AAB1" w14:textId="77777777" w:rsidR="00D76641" w:rsidRDefault="00D76641" w:rsidP="00767D28">
            <w:pPr>
              <w:pStyle w:val="DHHStabletext"/>
            </w:pPr>
            <w:r>
              <w:t>Life! on Better Health Channel – Life! participants</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42CE3ADE" w14:textId="77777777" w:rsidR="00D76641" w:rsidRDefault="00D76641" w:rsidP="00767D28">
            <w:pPr>
              <w:pStyle w:val="DHHStabletext"/>
            </w:pPr>
            <w:r>
              <w:t>Ad hoc.</w:t>
            </w:r>
          </w:p>
        </w:tc>
      </w:tr>
    </w:tbl>
    <w:p w14:paraId="61C80E61" w14:textId="77777777" w:rsidR="006D4073" w:rsidRDefault="006D4073" w:rsidP="00D76641">
      <w:pPr>
        <w:pStyle w:val="DHHSbody"/>
        <w:rPr>
          <w:noProof/>
        </w:rPr>
      </w:pPr>
    </w:p>
    <w:p w14:paraId="42EB694B" w14:textId="01923A02" w:rsidR="002B7F49" w:rsidRPr="00D76641" w:rsidRDefault="00D76641" w:rsidP="00D76641">
      <w:pPr>
        <w:pStyle w:val="DHHSbody"/>
        <w:rPr>
          <w:noProof/>
        </w:rPr>
      </w:pPr>
      <w:bookmarkStart w:id="2" w:name="_GoBack"/>
      <w:bookmarkEnd w:id="2"/>
      <w:r w:rsidRPr="00D76641">
        <w:rPr>
          <w:noProof/>
        </w:rPr>
        <w:t xml:space="preserve">Life! program participants are working to reach </w:t>
      </w:r>
      <w:r>
        <w:rPr>
          <w:noProof/>
        </w:rPr>
        <w:t xml:space="preserve">five </w:t>
      </w:r>
      <w:r w:rsidRPr="00D76641">
        <w:rPr>
          <w:noProof/>
        </w:rPr>
        <w:t>lifestyle modification goals:</w:t>
      </w:r>
    </w:p>
    <w:p w14:paraId="5C3329BA" w14:textId="77777777" w:rsidR="00D76641" w:rsidRDefault="00544A03" w:rsidP="009D5849">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D76641">
        <w:rPr>
          <w:rFonts w:ascii="Arial" w:hAnsi="Arial" w:cs="Arial"/>
          <w:color w:val="000000"/>
          <w:lang w:eastAsia="en-AU"/>
        </w:rPr>
        <w:t>Decrease weight by five per cent</w:t>
      </w:r>
    </w:p>
    <w:p w14:paraId="31D4A95A" w14:textId="77777777" w:rsidR="00544A03" w:rsidRPr="00D76641" w:rsidRDefault="00544A03" w:rsidP="009D5849">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D76641">
        <w:rPr>
          <w:rFonts w:ascii="Arial" w:hAnsi="Arial" w:cs="Arial"/>
          <w:color w:val="000000"/>
          <w:lang w:eastAsia="en-AU"/>
        </w:rPr>
        <w:t>Decrease the amount of total fat; no more than 30 per cent of energy from fat</w:t>
      </w:r>
    </w:p>
    <w:tbl>
      <w:tblPr>
        <w:tblpPr w:leftFromText="180" w:rightFromText="180" w:vertAnchor="text" w:horzAnchor="margin" w:tblpY="953"/>
        <w:tblW w:w="5000" w:type="pct"/>
        <w:tblCellMar>
          <w:top w:w="113" w:type="dxa"/>
          <w:bottom w:w="57" w:type="dxa"/>
        </w:tblCellMar>
        <w:tblLook w:val="00A0" w:firstRow="1" w:lastRow="0" w:firstColumn="1" w:lastColumn="0" w:noHBand="0" w:noVBand="0"/>
      </w:tblPr>
      <w:tblGrid>
        <w:gridCol w:w="10194"/>
      </w:tblGrid>
      <w:tr w:rsidR="00767D28" w:rsidRPr="002802E3" w14:paraId="67C4646E" w14:textId="77777777" w:rsidTr="00767D28">
        <w:trPr>
          <w:cantSplit/>
          <w:trHeight w:val="2145"/>
        </w:trPr>
        <w:tc>
          <w:tcPr>
            <w:tcW w:w="5000" w:type="pct"/>
            <w:tcBorders>
              <w:top w:val="single" w:sz="4" w:space="0" w:color="auto"/>
              <w:left w:val="single" w:sz="4" w:space="0" w:color="auto"/>
              <w:bottom w:val="single" w:sz="4" w:space="0" w:color="auto"/>
              <w:right w:val="single" w:sz="4" w:space="0" w:color="auto"/>
            </w:tcBorders>
            <w:vAlign w:val="bottom"/>
          </w:tcPr>
          <w:p w14:paraId="72F8258C" w14:textId="77777777" w:rsidR="00767D28" w:rsidRDefault="00767D28" w:rsidP="00767D28">
            <w:pPr>
              <w:pStyle w:val="DHHSaccessibilitypara"/>
            </w:pPr>
            <w:r>
              <w:lastRenderedPageBreak/>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14:paraId="34C56CAA" w14:textId="77777777" w:rsidR="00767D28" w:rsidRDefault="00767D28" w:rsidP="00767D28">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4E67287" w14:textId="77777777" w:rsidR="00767D28" w:rsidRPr="00CA4422" w:rsidRDefault="00767D28" w:rsidP="00767D28">
            <w:pPr>
              <w:pStyle w:val="DHHSbody"/>
              <w:spacing w:line="240" w:lineRule="auto"/>
            </w:pPr>
            <w:r>
              <w:t xml:space="preserve">Available at </w:t>
            </w:r>
            <w:hyperlink r:id="rId12" w:history="1">
              <w:r>
                <w:rPr>
                  <w:rStyle w:val="Hyperlink"/>
                </w:rPr>
                <w:t>Human services activity search</w:t>
              </w:r>
            </w:hyperlink>
            <w:r>
              <w:t xml:space="preserve"> </w:t>
            </w:r>
            <w:hyperlink r:id="rId13" w:history="1">
              <w:r>
                <w:rPr>
                  <w:rStyle w:val="Hyperlink"/>
                </w:rPr>
                <w:t>https://providers.dhhs.vic.gov.au/human-services-activity-search</w:t>
              </w:r>
            </w:hyperlink>
          </w:p>
        </w:tc>
      </w:tr>
    </w:tbl>
    <w:p w14:paraId="4671A0EF" w14:textId="77777777" w:rsidR="00544A03" w:rsidRPr="00AA2038" w:rsidRDefault="00544A03" w:rsidP="00544A03">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AA2038">
        <w:rPr>
          <w:rFonts w:ascii="Arial" w:hAnsi="Arial" w:cs="Arial"/>
          <w:color w:val="000000"/>
          <w:lang w:eastAsia="en-AU"/>
        </w:rPr>
        <w:t>Decrease the amount of saturated fat; no more than 10 per cent of energy from saturated fat</w:t>
      </w:r>
    </w:p>
    <w:p w14:paraId="1037D65B" w14:textId="77777777" w:rsidR="00544A03" w:rsidRPr="00AA2038" w:rsidRDefault="00544A03" w:rsidP="00544A03">
      <w:pPr>
        <w:pStyle w:val="ListParagraph"/>
        <w:numPr>
          <w:ilvl w:val="0"/>
          <w:numId w:val="18"/>
        </w:numPr>
        <w:autoSpaceDE w:val="0"/>
        <w:autoSpaceDN w:val="0"/>
        <w:adjustRightInd w:val="0"/>
        <w:spacing w:after="60"/>
        <w:ind w:left="357" w:hanging="357"/>
        <w:contextualSpacing w:val="0"/>
        <w:jc w:val="both"/>
        <w:rPr>
          <w:rFonts w:ascii="Arial" w:hAnsi="Arial" w:cs="Arial"/>
          <w:color w:val="000000"/>
          <w:lang w:eastAsia="en-AU"/>
        </w:rPr>
      </w:pPr>
      <w:r w:rsidRPr="00AA2038">
        <w:rPr>
          <w:rFonts w:ascii="Arial" w:hAnsi="Arial" w:cs="Arial"/>
          <w:color w:val="000000"/>
          <w:lang w:eastAsia="en-AU"/>
        </w:rPr>
        <w:t>Increase the amount of fibre; aim for at least 30 grams every day</w:t>
      </w:r>
    </w:p>
    <w:p w14:paraId="29087441" w14:textId="7D7626CD" w:rsidR="002B7F49" w:rsidRPr="00767D28" w:rsidRDefault="00544A03" w:rsidP="007B7E5D">
      <w:pPr>
        <w:pStyle w:val="ListParagraph"/>
        <w:numPr>
          <w:ilvl w:val="0"/>
          <w:numId w:val="18"/>
        </w:numPr>
        <w:autoSpaceDE w:val="0"/>
        <w:autoSpaceDN w:val="0"/>
        <w:adjustRightInd w:val="0"/>
        <w:ind w:left="357" w:hanging="357"/>
        <w:contextualSpacing w:val="0"/>
        <w:jc w:val="both"/>
        <w:rPr>
          <w:rFonts w:ascii="Arial" w:hAnsi="Arial" w:cs="Arial"/>
          <w:color w:val="000000"/>
          <w:lang w:eastAsia="en-AU"/>
        </w:rPr>
      </w:pPr>
      <w:r w:rsidRPr="00AA2038">
        <w:rPr>
          <w:rFonts w:ascii="Arial" w:hAnsi="Arial" w:cs="Arial"/>
          <w:color w:val="000000"/>
          <w:lang w:eastAsia="en-AU"/>
        </w:rPr>
        <w:t>D</w:t>
      </w:r>
      <w:r w:rsidR="00767D28">
        <w:rPr>
          <w:rFonts w:ascii="Arial" w:hAnsi="Arial" w:cs="Arial"/>
          <w:color w:val="000000"/>
          <w:lang w:eastAsia="en-AU"/>
        </w:rPr>
        <w:t>e</w:t>
      </w:r>
      <w:r w:rsidRPr="00AA2038">
        <w:rPr>
          <w:rFonts w:ascii="Arial" w:hAnsi="Arial" w:cs="Arial"/>
          <w:color w:val="000000"/>
          <w:lang w:eastAsia="en-AU"/>
        </w:rPr>
        <w:t>crease the amount of sodium (salt) consumed; no more than 2300mg of sodium (about 6g) per day.</w:t>
      </w:r>
    </w:p>
    <w:sectPr w:rsidR="002B7F49" w:rsidRPr="00767D28" w:rsidSect="00767D28">
      <w:footerReference w:type="default" r:id="rId14"/>
      <w:footerReference w:type="first" r:id="rId15"/>
      <w:footnotePr>
        <w:numFmt w:val="chicago"/>
      </w:footnotePr>
      <w:pgSz w:w="11906" w:h="16838" w:code="9"/>
      <w:pgMar w:top="567" w:right="851" w:bottom="1134" w:left="851" w:header="426"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534E" w14:textId="77777777" w:rsidR="002B7F49" w:rsidRDefault="002B7F49">
      <w:r>
        <w:separator/>
      </w:r>
    </w:p>
  </w:endnote>
  <w:endnote w:type="continuationSeparator" w:id="0">
    <w:p w14:paraId="355E7555"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6645" w14:textId="645A2548" w:rsidR="00FE4946" w:rsidRPr="00A11421" w:rsidRDefault="00E06429" w:rsidP="0051568D">
    <w:pPr>
      <w:pStyle w:val="DHHSfooter"/>
    </w:pPr>
    <w:r>
      <w:t>Activity Description</w:t>
    </w:r>
    <w:r w:rsidR="00767D28">
      <w:t xml:space="preserve"> (Health): Diabetes prevention</w:t>
    </w:r>
    <w:r w:rsidR="008340B5">
      <w:t xml:space="preserve"> </w:t>
    </w:r>
    <w:r w:rsidR="000840E9">
      <w:t>16450</w:t>
    </w:r>
    <w:r>
      <w:tab/>
    </w:r>
    <w:r w:rsidR="00FE4946" w:rsidRPr="00A11421">
      <w:fldChar w:fldCharType="begin"/>
    </w:r>
    <w:r w:rsidR="00FE4946" w:rsidRPr="00A11421">
      <w:instrText xml:space="preserve"> PAGE </w:instrText>
    </w:r>
    <w:r w:rsidR="00FE4946" w:rsidRPr="00A11421">
      <w:fldChar w:fldCharType="separate"/>
    </w:r>
    <w:r w:rsidR="000D28EA">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C4C4" w14:textId="77777777" w:rsidR="00FE4946" w:rsidRDefault="00FE4946">
    <w:pPr>
      <w:pStyle w:val="Footer"/>
    </w:pPr>
    <w:r>
      <w:rPr>
        <w:noProof/>
        <w:lang w:eastAsia="en-AU"/>
      </w:rPr>
      <w:drawing>
        <wp:anchor distT="0" distB="0" distL="114300" distR="114300" simplePos="0" relativeHeight="251659264" behindDoc="0" locked="0" layoutInCell="0" allowOverlap="1" wp14:anchorId="0D73506E" wp14:editId="1BE14AC1">
          <wp:simplePos x="0" y="0"/>
          <wp:positionH relativeFrom="page">
            <wp:posOffset>-635</wp:posOffset>
          </wp:positionH>
          <wp:positionV relativeFrom="page">
            <wp:posOffset>9893935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67B2" w14:textId="77777777" w:rsidR="002B7F49" w:rsidRDefault="002B7F49" w:rsidP="002862F1">
      <w:pPr>
        <w:spacing w:before="120"/>
      </w:pPr>
      <w:r>
        <w:separator/>
      </w:r>
    </w:p>
  </w:footnote>
  <w:footnote w:type="continuationSeparator" w:id="0">
    <w:p w14:paraId="131DF5C1" w14:textId="77777777" w:rsidR="002B7F49" w:rsidRDefault="002B7F49">
      <w:r>
        <w:continuationSeparator/>
      </w:r>
    </w:p>
  </w:footnote>
  <w:footnote w:id="1">
    <w:p w14:paraId="4E204C3C" w14:textId="4819883E" w:rsidR="006D4073" w:rsidRDefault="006D4073" w:rsidP="006D4073">
      <w:pPr>
        <w:pStyle w:val="DHHSbody"/>
        <w:rPr>
          <w:sz w:val="16"/>
        </w:rPr>
      </w:pPr>
      <w:r>
        <w:rPr>
          <w:rStyle w:val="FootnoteReference"/>
        </w:rPr>
        <w:footnoteRef/>
      </w:r>
      <w:r>
        <w:t xml:space="preserve"> </w:t>
      </w:r>
      <w:r>
        <w:rPr>
          <w:sz w:val="16"/>
        </w:rPr>
        <w:t>45 years or more (or ≥ 35 years and of Aboriginal and/or Torres Strait Islander descent) and have an Absolute Risk score of ≥10% when referred by a General Practice clinic.</w:t>
      </w:r>
    </w:p>
    <w:p w14:paraId="26567B67" w14:textId="5BDAF0D3" w:rsidR="006D4073" w:rsidRDefault="006D40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945FA"/>
    <w:multiLevelType w:val="hybridMultilevel"/>
    <w:tmpl w:val="37368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A027F"/>
    <w:multiLevelType w:val="hybridMultilevel"/>
    <w:tmpl w:val="F952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4B56A7"/>
    <w:multiLevelType w:val="multilevel"/>
    <w:tmpl w:val="3D181C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3E12DB"/>
    <w:multiLevelType w:val="hybridMultilevel"/>
    <w:tmpl w:val="3D6A97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E08151E"/>
    <w:multiLevelType w:val="hybridMultilevel"/>
    <w:tmpl w:val="A8B237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9A0CE2"/>
    <w:multiLevelType w:val="hybridMultilevel"/>
    <w:tmpl w:val="B9DEF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4"/>
  </w:num>
  <w:num w:numId="10">
    <w:abstractNumId w:val="17"/>
  </w:num>
  <w:num w:numId="11">
    <w:abstractNumId w:val="9"/>
  </w:num>
  <w:num w:numId="12">
    <w:abstractNumId w:val="10"/>
  </w:num>
  <w:num w:numId="13">
    <w:abstractNumId w:val="5"/>
  </w:num>
  <w:num w:numId="14">
    <w:abstractNumId w:val="15"/>
  </w:num>
  <w:num w:numId="15">
    <w:abstractNumId w:val="2"/>
  </w:num>
  <w:num w:numId="16">
    <w:abstractNumId w:val="11"/>
  </w:num>
  <w:num w:numId="17">
    <w:abstractNumId w:val="8"/>
  </w:num>
  <w:num w:numId="18">
    <w:abstractNumId w:val="13"/>
  </w:num>
  <w:num w:numId="19">
    <w:abstractNumId w:val="16"/>
  </w:num>
  <w:num w:numId="20">
    <w:abstractNumId w:val="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57DFF"/>
    <w:rsid w:val="00060959"/>
    <w:rsid w:val="000663CD"/>
    <w:rsid w:val="000667DA"/>
    <w:rsid w:val="000733FE"/>
    <w:rsid w:val="00073B22"/>
    <w:rsid w:val="00074219"/>
    <w:rsid w:val="00074ED5"/>
    <w:rsid w:val="000840E9"/>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8EA"/>
    <w:rsid w:val="000D3756"/>
    <w:rsid w:val="000E33B2"/>
    <w:rsid w:val="000E3CC7"/>
    <w:rsid w:val="000E6BD4"/>
    <w:rsid w:val="000F1F1E"/>
    <w:rsid w:val="000F2259"/>
    <w:rsid w:val="0010392D"/>
    <w:rsid w:val="0010447F"/>
    <w:rsid w:val="00104FE3"/>
    <w:rsid w:val="00120AF7"/>
    <w:rsid w:val="00120BD3"/>
    <w:rsid w:val="00121D8F"/>
    <w:rsid w:val="00122FEA"/>
    <w:rsid w:val="00123067"/>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0D81"/>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5CE5"/>
    <w:rsid w:val="004E6F1D"/>
    <w:rsid w:val="004F00DD"/>
    <w:rsid w:val="004F2133"/>
    <w:rsid w:val="004F4473"/>
    <w:rsid w:val="004F55F1"/>
    <w:rsid w:val="004F5F95"/>
    <w:rsid w:val="004F6936"/>
    <w:rsid w:val="00503DC6"/>
    <w:rsid w:val="00506F5D"/>
    <w:rsid w:val="005126D0"/>
    <w:rsid w:val="0051568D"/>
    <w:rsid w:val="00526C15"/>
    <w:rsid w:val="00536499"/>
    <w:rsid w:val="00540208"/>
    <w:rsid w:val="005409A4"/>
    <w:rsid w:val="00543903"/>
    <w:rsid w:val="00543F11"/>
    <w:rsid w:val="00544A03"/>
    <w:rsid w:val="00547A95"/>
    <w:rsid w:val="005620F5"/>
    <w:rsid w:val="00570748"/>
    <w:rsid w:val="00572031"/>
    <w:rsid w:val="00575BC9"/>
    <w:rsid w:val="00576E84"/>
    <w:rsid w:val="00582B8C"/>
    <w:rsid w:val="0058757E"/>
    <w:rsid w:val="00591AD5"/>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2E1F"/>
    <w:rsid w:val="006C5390"/>
    <w:rsid w:val="006C7A1F"/>
    <w:rsid w:val="006D2A3F"/>
    <w:rsid w:val="006D2FBC"/>
    <w:rsid w:val="006D4073"/>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67D28"/>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19D3"/>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3913"/>
    <w:rsid w:val="0080587B"/>
    <w:rsid w:val="00806468"/>
    <w:rsid w:val="008155F0"/>
    <w:rsid w:val="00816735"/>
    <w:rsid w:val="00820141"/>
    <w:rsid w:val="00820E0C"/>
    <w:rsid w:val="008237E6"/>
    <w:rsid w:val="00825DAC"/>
    <w:rsid w:val="008338A2"/>
    <w:rsid w:val="008340B5"/>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A7445"/>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3967"/>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3007"/>
    <w:rsid w:val="00A11421"/>
    <w:rsid w:val="00A11FC5"/>
    <w:rsid w:val="00A157B1"/>
    <w:rsid w:val="00A20D71"/>
    <w:rsid w:val="00A22229"/>
    <w:rsid w:val="00A23196"/>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5121"/>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1938"/>
    <w:rsid w:val="00D4606D"/>
    <w:rsid w:val="00D50B9C"/>
    <w:rsid w:val="00D52D73"/>
    <w:rsid w:val="00D52E58"/>
    <w:rsid w:val="00D714CC"/>
    <w:rsid w:val="00D75EA7"/>
    <w:rsid w:val="00D76641"/>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4AFF"/>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90FF99A"/>
  <w15:docId w15:val="{9BFE90A7-3838-4780-9331-9BDE8D9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67D28"/>
    <w:pPr>
      <w:keepNext/>
      <w:keepLines/>
      <w:spacing w:before="200" w:after="12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67D2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67D28"/>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67D2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Paragraph">
    <w:name w:val="List Paragraph"/>
    <w:basedOn w:val="Normal"/>
    <w:uiPriority w:val="34"/>
    <w:qFormat/>
    <w:rsid w:val="00544A03"/>
    <w:pPr>
      <w:spacing w:before="0" w:line="240" w:lineRule="auto"/>
      <w:ind w:left="720"/>
      <w:contextualSpacing/>
    </w:pPr>
    <w:rPr>
      <w:rFonts w:ascii="Verdana" w:hAnsi="Verdana"/>
      <w:lang w:eastAsia="en-US"/>
    </w:rPr>
  </w:style>
  <w:style w:type="paragraph" w:customStyle="1" w:styleId="Healthbody">
    <w:name w:val="Health body"/>
    <w:link w:val="HealthbodyChar"/>
    <w:rsid w:val="00D76641"/>
    <w:pPr>
      <w:spacing w:after="120" w:line="270" w:lineRule="atLeast"/>
    </w:pPr>
    <w:rPr>
      <w:rFonts w:ascii="Arial" w:eastAsia="MS Mincho" w:hAnsi="Arial"/>
      <w:szCs w:val="24"/>
      <w:lang w:eastAsia="en-US"/>
    </w:rPr>
  </w:style>
  <w:style w:type="character" w:customStyle="1" w:styleId="HealthbodyChar">
    <w:name w:val="Health body Char"/>
    <w:basedOn w:val="DefaultParagraphFont"/>
    <w:link w:val="Healthbody"/>
    <w:rsid w:val="00D76641"/>
    <w:rPr>
      <w:rFonts w:ascii="Arial" w:eastAsia="MS Mincho" w:hAnsi="Arial"/>
      <w:szCs w:val="24"/>
      <w:lang w:eastAsia="en-US"/>
    </w:rPr>
  </w:style>
  <w:style w:type="character" w:styleId="CommentReference">
    <w:name w:val="annotation reference"/>
    <w:basedOn w:val="DefaultParagraphFont"/>
    <w:uiPriority w:val="99"/>
    <w:semiHidden/>
    <w:unhideWhenUsed/>
    <w:rsid w:val="004E5CE5"/>
    <w:rPr>
      <w:sz w:val="16"/>
      <w:szCs w:val="16"/>
    </w:rPr>
  </w:style>
  <w:style w:type="paragraph" w:styleId="CommentText">
    <w:name w:val="annotation text"/>
    <w:basedOn w:val="Normal"/>
    <w:link w:val="CommentTextChar"/>
    <w:uiPriority w:val="99"/>
    <w:semiHidden/>
    <w:unhideWhenUsed/>
    <w:rsid w:val="004E5CE5"/>
    <w:pPr>
      <w:spacing w:line="240" w:lineRule="auto"/>
    </w:pPr>
  </w:style>
  <w:style w:type="character" w:customStyle="1" w:styleId="CommentTextChar">
    <w:name w:val="Comment Text Char"/>
    <w:basedOn w:val="DefaultParagraphFont"/>
    <w:link w:val="CommentText"/>
    <w:uiPriority w:val="99"/>
    <w:semiHidden/>
    <w:rsid w:val="004E5CE5"/>
    <w:rPr>
      <w:rFonts w:ascii="Arial" w:hAnsi="Arial"/>
    </w:rPr>
  </w:style>
  <w:style w:type="paragraph" w:styleId="CommentSubject">
    <w:name w:val="annotation subject"/>
    <w:basedOn w:val="CommentText"/>
    <w:next w:val="CommentText"/>
    <w:link w:val="CommentSubjectChar"/>
    <w:uiPriority w:val="99"/>
    <w:semiHidden/>
    <w:unhideWhenUsed/>
    <w:rsid w:val="004E5CE5"/>
    <w:rPr>
      <w:b/>
      <w:bCs/>
    </w:rPr>
  </w:style>
  <w:style w:type="character" w:customStyle="1" w:styleId="CommentSubjectChar">
    <w:name w:val="Comment Subject Char"/>
    <w:basedOn w:val="CommentTextChar"/>
    <w:link w:val="CommentSubject"/>
    <w:uiPriority w:val="99"/>
    <w:semiHidden/>
    <w:rsid w:val="004E5CE5"/>
    <w:rPr>
      <w:rFonts w:ascii="Arial" w:hAnsi="Arial"/>
      <w:b/>
      <w:bCs/>
    </w:rPr>
  </w:style>
  <w:style w:type="character" w:styleId="UnresolvedMention">
    <w:name w:val="Unresolved Mention"/>
    <w:basedOn w:val="DefaultParagraphFont"/>
    <w:uiPriority w:val="99"/>
    <w:semiHidden/>
    <w:unhideWhenUsed/>
    <w:rsid w:val="007C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50885">
      <w:bodyDiv w:val="1"/>
      <w:marLeft w:val="0"/>
      <w:marRight w:val="0"/>
      <w:marTop w:val="0"/>
      <w:marBottom w:val="0"/>
      <w:divBdr>
        <w:top w:val="none" w:sz="0" w:space="0" w:color="auto"/>
        <w:left w:val="none" w:sz="0" w:space="0" w:color="auto"/>
        <w:bottom w:val="none" w:sz="0" w:space="0" w:color="auto"/>
        <w:right w:val="none" w:sz="0" w:space="0" w:color="auto"/>
      </w:divBdr>
    </w:div>
    <w:div w:id="14043778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962592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human-services-activity-searc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2.health.vic.gov.au/about/health-strategies/public-health-wellbeing-pla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41052D5-AB9F-4866-9738-BA004CA7E510}">
  <ds:schemaRefs>
    <ds:schemaRef ds:uri="http://schemas.openxmlformats.org/officeDocument/2006/bibliography"/>
  </ds:schemaRefs>
</ds:datastoreItem>
</file>

<file path=customXml/itemProps2.xml><?xml version="1.0" encoding="utf-8"?>
<ds:datastoreItem xmlns:ds="http://schemas.openxmlformats.org/officeDocument/2006/customXml" ds:itemID="{EE57AE9A-7093-4564-9566-A4696FA08FF8}"/>
</file>

<file path=customXml/itemProps3.xml><?xml version="1.0" encoding="utf-8"?>
<ds:datastoreItem xmlns:ds="http://schemas.openxmlformats.org/officeDocument/2006/customXml" ds:itemID="{2CD1F70D-448C-4985-8997-68B7A12E8A20}"/>
</file>

<file path=customXml/itemProps4.xml><?xml version="1.0" encoding="utf-8"?>
<ds:datastoreItem xmlns:ds="http://schemas.openxmlformats.org/officeDocument/2006/customXml" ds:itemID="{1711A04F-42C0-46C2-8285-31DB974065A0}"/>
</file>

<file path=docProps/app.xml><?xml version="1.0" encoding="utf-8"?>
<Properties xmlns="http://schemas.openxmlformats.org/officeDocument/2006/extended-properties" xmlns:vt="http://schemas.openxmlformats.org/officeDocument/2006/docPropsVTypes">
  <Template>DHHS Factsheet 01 Navy 2765.dot</Template>
  <TotalTime>7</TotalTime>
  <Pages>3</Pages>
  <Words>696</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 description health Diabetes prevention 16450</vt:lpstr>
    </vt:vector>
  </TitlesOfParts>
  <Company>Department of Health and Human Services</Company>
  <LinksUpToDate>false</LinksUpToDate>
  <CharactersWithSpaces>5173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Diabetes prevention 16450</dc:title>
  <dc:subject>service agreement activity descriptions</dc:subject>
  <dc:creator>Service Agreement Policy unit</dc:creator>
  <cp:keywords>service agreement; activity description; health; public health; diabetes prevention; 16450</cp:keywords>
  <cp:lastModifiedBy>Roxanne Manzie (DHHS)</cp:lastModifiedBy>
  <cp:revision>5</cp:revision>
  <cp:lastPrinted>2019-03-07T03:54:00Z</cp:lastPrinted>
  <dcterms:created xsi:type="dcterms:W3CDTF">2019-06-06T06:04:00Z</dcterms:created>
  <dcterms:modified xsi:type="dcterms:W3CDTF">2019-06-20T02:08:00Z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