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04"/>
        <w:tblOverlap w:val="never"/>
        <w:tblW w:w="0" w:type="auto"/>
        <w:tblLook w:val="04A0" w:firstRow="1" w:lastRow="0" w:firstColumn="1" w:lastColumn="0" w:noHBand="0" w:noVBand="1"/>
      </w:tblPr>
      <w:tblGrid>
        <w:gridCol w:w="8146"/>
      </w:tblGrid>
      <w:tr w:rsidR="00BD07F6" w14:paraId="19206D02" w14:textId="77777777" w:rsidTr="00235733">
        <w:trPr>
          <w:trHeight w:val="998"/>
        </w:trPr>
        <w:tc>
          <w:tcPr>
            <w:tcW w:w="8146" w:type="dxa"/>
            <w:shd w:val="clear" w:color="auto" w:fill="auto"/>
            <w:vAlign w:val="bottom"/>
          </w:tcPr>
          <w:p w14:paraId="41A95D0C" w14:textId="1FED1CC8" w:rsidR="00BD07F6" w:rsidRPr="00637750" w:rsidRDefault="00BD07F6" w:rsidP="00BD07F6">
            <w:pPr>
              <w:pStyle w:val="DHHSmainheading"/>
              <w:spacing w:line="270" w:lineRule="atLeast"/>
              <w:rPr>
                <w:noProof/>
                <w:color w:val="FFFFFF" w:themeColor="background1"/>
                <w:sz w:val="44"/>
                <w:szCs w:val="44"/>
                <w:lang w:eastAsia="en-AU"/>
              </w:rPr>
            </w:pPr>
            <w:r w:rsidRPr="00A619BF">
              <w:rPr>
                <w:noProof/>
                <w:color w:val="FFFFFF" w:themeColor="background1"/>
                <w:sz w:val="48"/>
                <w:lang w:eastAsia="en-AU"/>
              </w:rPr>
              <w:drawing>
                <wp:anchor distT="0" distB="0" distL="114300" distR="114300" simplePos="0" relativeHeight="251659264" behindDoc="1" locked="1" layoutInCell="0" allowOverlap="1" wp14:anchorId="2A0CF5E6" wp14:editId="104C1BFD">
                  <wp:simplePos x="0" y="0"/>
                  <wp:positionH relativeFrom="page">
                    <wp:posOffset>-540385</wp:posOffset>
                  </wp:positionH>
                  <wp:positionV relativeFrom="page">
                    <wp:posOffset>-347980</wp:posOffset>
                  </wp:positionV>
                  <wp:extent cx="8108315" cy="2200275"/>
                  <wp:effectExtent l="0" t="0" r="6985" b="9525"/>
                  <wp:wrapNone/>
                  <wp:docPr id="298" name="Picture 29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315" cy="2200275"/>
                          </a:xfrm>
                          <a:prstGeom prst="rect">
                            <a:avLst/>
                          </a:prstGeom>
                          <a:noFill/>
                        </pic:spPr>
                      </pic:pic>
                    </a:graphicData>
                  </a:graphic>
                  <wp14:sizeRelH relativeFrom="page">
                    <wp14:pctWidth>0</wp14:pctWidth>
                  </wp14:sizeRelH>
                  <wp14:sizeRelV relativeFrom="page">
                    <wp14:pctHeight>0</wp14:pctHeight>
                  </wp14:sizeRelV>
                </wp:anchor>
              </w:drawing>
            </w:r>
            <w:r w:rsidR="00994307">
              <w:rPr>
                <w:noProof/>
                <w:color w:val="FFFFFF" w:themeColor="background1"/>
                <w:sz w:val="44"/>
                <w:szCs w:val="44"/>
                <w:lang w:eastAsia="en-AU"/>
              </w:rPr>
              <w:t>Community Offenders Advice and Treatment</w:t>
            </w:r>
          </w:p>
          <w:p w14:paraId="19637F89" w14:textId="74D8FE3C" w:rsidR="00BD07F6" w:rsidRPr="00DE4E5C" w:rsidRDefault="00BD07F6" w:rsidP="00BD07F6">
            <w:pPr>
              <w:pStyle w:val="DHHSmainheading"/>
              <w:spacing w:line="270" w:lineRule="atLeast"/>
              <w:rPr>
                <w:sz w:val="44"/>
                <w:szCs w:val="44"/>
              </w:rPr>
            </w:pPr>
            <w:r w:rsidRPr="00637750">
              <w:rPr>
                <w:rFonts w:cs="Arial"/>
                <w:noProof/>
                <w:sz w:val="44"/>
                <w:szCs w:val="44"/>
              </w:rPr>
              <w:t>34</w:t>
            </w:r>
            <w:r w:rsidR="00994307">
              <w:rPr>
                <w:rFonts w:cs="Arial"/>
                <w:noProof/>
                <w:sz w:val="44"/>
                <w:szCs w:val="44"/>
              </w:rPr>
              <w:t>042</w:t>
            </w:r>
          </w:p>
        </w:tc>
      </w:tr>
      <w:tr w:rsidR="00BD07F6" w14:paraId="12D254D4" w14:textId="77777777" w:rsidTr="00235733">
        <w:trPr>
          <w:trHeight w:val="905"/>
        </w:trPr>
        <w:tc>
          <w:tcPr>
            <w:tcW w:w="8146" w:type="dxa"/>
            <w:shd w:val="clear" w:color="auto" w:fill="auto"/>
            <w:tcMar>
              <w:top w:w="170" w:type="dxa"/>
              <w:bottom w:w="510" w:type="dxa"/>
            </w:tcMar>
          </w:tcPr>
          <w:p w14:paraId="0C02AF16" w14:textId="77777777" w:rsidR="00BD07F6" w:rsidRDefault="00BD07F6" w:rsidP="00BD07F6">
            <w:pPr>
              <w:pStyle w:val="DHHSmainsubheading"/>
              <w:rPr>
                <w:szCs w:val="28"/>
              </w:rPr>
            </w:pPr>
            <w:r>
              <w:rPr>
                <w:szCs w:val="28"/>
              </w:rPr>
              <w:t xml:space="preserve">Outcome objective: Victorians are healthy and well </w:t>
            </w:r>
          </w:p>
          <w:p w14:paraId="5E038BCC" w14:textId="77777777" w:rsidR="00BD07F6" w:rsidRDefault="00BD07F6" w:rsidP="00BD07F6">
            <w:pPr>
              <w:pStyle w:val="DHHSmainsubheading"/>
              <w:rPr>
                <w:szCs w:val="28"/>
              </w:rPr>
            </w:pPr>
            <w:r>
              <w:rPr>
                <w:szCs w:val="28"/>
              </w:rPr>
              <w:t xml:space="preserve">Output group: </w:t>
            </w:r>
            <w:r w:rsidRPr="00177619">
              <w:rPr>
                <w:noProof/>
                <w:szCs w:val="28"/>
              </w:rPr>
              <w:t>Drugs Services</w:t>
            </w:r>
          </w:p>
          <w:p w14:paraId="491702C6" w14:textId="77777777" w:rsidR="00BD07F6" w:rsidRPr="00AD784C" w:rsidRDefault="00BD07F6" w:rsidP="00BD07F6">
            <w:pPr>
              <w:pStyle w:val="DHHSmainsubheading"/>
              <w:rPr>
                <w:szCs w:val="28"/>
              </w:rPr>
            </w:pPr>
            <w:r>
              <w:rPr>
                <w:szCs w:val="28"/>
              </w:rPr>
              <w:t xml:space="preserve">Output: </w:t>
            </w:r>
            <w:r w:rsidRPr="00177619">
              <w:rPr>
                <w:noProof/>
                <w:szCs w:val="28"/>
              </w:rPr>
              <w:t>Drug Treatment &amp; Rehabilitat</w:t>
            </w:r>
            <w:r>
              <w:rPr>
                <w:noProof/>
                <w:szCs w:val="28"/>
              </w:rPr>
              <w:t>i</w:t>
            </w:r>
            <w:r w:rsidRPr="00177619">
              <w:rPr>
                <w:noProof/>
                <w:szCs w:val="28"/>
              </w:rPr>
              <w:t>on</w:t>
            </w:r>
          </w:p>
        </w:tc>
      </w:tr>
    </w:tbl>
    <w:p w14:paraId="774EBFB6" w14:textId="2516175C" w:rsidR="006067AC" w:rsidRPr="006067AC" w:rsidRDefault="008372FA" w:rsidP="00235733">
      <w:pPr>
        <w:pStyle w:val="Heading1"/>
        <w:rPr>
          <w:rFonts w:eastAsia="Times"/>
          <w:sz w:val="20"/>
          <w:szCs w:val="20"/>
        </w:rPr>
      </w:pPr>
      <w:r>
        <w:br w:type="textWrapping" w:clear="all"/>
      </w:r>
      <w:r w:rsidR="002B7F49" w:rsidRPr="00B70F76">
        <w:t>1.</w:t>
      </w:r>
      <w:r w:rsidR="002B7F49">
        <w:t xml:space="preserve"> Service Objective</w:t>
      </w:r>
    </w:p>
    <w:p w14:paraId="671B956E" w14:textId="2E439A08" w:rsidR="00EE4861" w:rsidRDefault="00EE4861" w:rsidP="00637750">
      <w:pPr>
        <w:pStyle w:val="DHHSbody"/>
        <w:rPr>
          <w:b/>
          <w:bCs/>
        </w:rPr>
      </w:pPr>
      <w:r>
        <w:t>To provide AOD treatment to offe</w:t>
      </w:r>
      <w:bookmarkStart w:id="0" w:name="_GoBack"/>
      <w:bookmarkEnd w:id="0"/>
      <w:r>
        <w:t>nders sentenced to a community</w:t>
      </w:r>
      <w:r w:rsidR="004A4196">
        <w:t>-</w:t>
      </w:r>
      <w:r>
        <w:t xml:space="preserve">based disposition with an </w:t>
      </w:r>
      <w:r w:rsidR="006F4AA9">
        <w:t>attached AOD order.</w:t>
      </w:r>
    </w:p>
    <w:p w14:paraId="1F6AE560" w14:textId="2806A066" w:rsidR="002B7F49" w:rsidRDefault="002B7F49" w:rsidP="00637750">
      <w:pPr>
        <w:pStyle w:val="Heading1"/>
      </w:pPr>
      <w:r>
        <w:t>2</w:t>
      </w:r>
      <w:r w:rsidRPr="00B70F76">
        <w:t xml:space="preserve">. </w:t>
      </w:r>
      <w:r>
        <w:t>Description of the service</w:t>
      </w:r>
    </w:p>
    <w:p w14:paraId="1E639BC4" w14:textId="50D96A72" w:rsidR="006067AC" w:rsidRDefault="00EE4861" w:rsidP="00637750">
      <w:pPr>
        <w:pStyle w:val="DHHSbody"/>
        <w:rPr>
          <w:b/>
          <w:bCs/>
        </w:rPr>
      </w:pPr>
      <w:proofErr w:type="gramStart"/>
      <w:r>
        <w:t>As a result of</w:t>
      </w:r>
      <w:proofErr w:type="gramEnd"/>
      <w:r>
        <w:t xml:space="preserve"> referral from Community Correctional Services (CCS), the Community Offenders Advice and Treatment Service (COATS)</w:t>
      </w:r>
      <w:r w:rsidR="00B96342" w:rsidRPr="00B96342">
        <w:t xml:space="preserve"> undertakes assessment, provides a treatment plan and brokers any necessary treatment from community-based treatment services for forensic clients who have come into contact w</w:t>
      </w:r>
      <w:r>
        <w:t xml:space="preserve">ith the criminal justice system. This service includes: </w:t>
      </w:r>
    </w:p>
    <w:p w14:paraId="4677BED7" w14:textId="6037F1AF" w:rsidR="006067AC" w:rsidRDefault="008A7D11" w:rsidP="008A7D11">
      <w:pPr>
        <w:pStyle w:val="DHHSbullet1"/>
        <w:rPr>
          <w:b/>
          <w:bCs/>
        </w:rPr>
      </w:pPr>
      <w:r>
        <w:rPr>
          <w:b/>
          <w:bCs/>
        </w:rPr>
        <w:t>t</w:t>
      </w:r>
      <w:r w:rsidR="006067AC" w:rsidRPr="00775211">
        <w:t xml:space="preserve">o purchase appropriate treatment from alcohol and drug agencies for offenders who have received a community-based disposition with an alcohol and drug treatment condition. </w:t>
      </w:r>
    </w:p>
    <w:p w14:paraId="4BFFC9C5" w14:textId="7163815A" w:rsidR="006067AC" w:rsidRDefault="008A7D11" w:rsidP="008A7D11">
      <w:pPr>
        <w:pStyle w:val="DHHSbullet1"/>
        <w:rPr>
          <w:b/>
          <w:bCs/>
        </w:rPr>
      </w:pPr>
      <w:r>
        <w:rPr>
          <w:b/>
          <w:bCs/>
        </w:rPr>
        <w:t>t</w:t>
      </w:r>
      <w:r w:rsidR="006067AC" w:rsidRPr="00775211">
        <w:t>o provide pre-release assessmen</w:t>
      </w:r>
      <w:r w:rsidR="00AA4335">
        <w:t>t and treatment plans</w:t>
      </w:r>
      <w:r w:rsidR="006067AC" w:rsidRPr="00775211">
        <w:t xml:space="preserve"> for prisoners on parole with an alcohol and drug treatment condition</w:t>
      </w:r>
      <w:r w:rsidR="00AA4335">
        <w:t>,</w:t>
      </w:r>
      <w:r w:rsidR="006067AC" w:rsidRPr="00775211">
        <w:t xml:space="preserve"> and</w:t>
      </w:r>
      <w:r w:rsidR="00AA4335">
        <w:t xml:space="preserve"> for</w:t>
      </w:r>
      <w:r w:rsidR="006067AC" w:rsidRPr="00775211">
        <w:t xml:space="preserve"> offenders who have received a custody and community treatment order. </w:t>
      </w:r>
    </w:p>
    <w:p w14:paraId="2F414DD5" w14:textId="19FB319F" w:rsidR="00744694" w:rsidRDefault="008A7D11" w:rsidP="008A7D11">
      <w:pPr>
        <w:pStyle w:val="DHHSbullet1lastline"/>
        <w:rPr>
          <w:b/>
          <w:bCs/>
        </w:rPr>
      </w:pPr>
      <w:r>
        <w:rPr>
          <w:b/>
          <w:bCs/>
        </w:rPr>
        <w:t>t</w:t>
      </w:r>
      <w:r w:rsidRPr="008A7D11">
        <w:t>http://www.cyclingnews.com/news/trek-and-bontrager-announce-most-advanced-helmet-technology-ever-designed/</w:t>
      </w:r>
      <w:r w:rsidR="00744694" w:rsidRPr="00775211">
        <w:t>o provide post-sentence assessments and treatment plans for offenders who have received a community</w:t>
      </w:r>
      <w:r w:rsidR="006067AC">
        <w:noBreakHyphen/>
      </w:r>
      <w:r w:rsidR="00AA4335">
        <w:t>based disposition from the C</w:t>
      </w:r>
      <w:r w:rsidR="00744694" w:rsidRPr="00775211">
        <w:t xml:space="preserve">ourts. </w:t>
      </w:r>
    </w:p>
    <w:p w14:paraId="6A34195D" w14:textId="77777777" w:rsidR="002B7F49" w:rsidRPr="00B70F76" w:rsidRDefault="002B7F49" w:rsidP="00637750">
      <w:pPr>
        <w:pStyle w:val="Heading1"/>
      </w:pPr>
      <w:r>
        <w:t xml:space="preserve">3. </w:t>
      </w:r>
      <w:r w:rsidRPr="00B70F76">
        <w:t>Client group</w:t>
      </w:r>
    </w:p>
    <w:p w14:paraId="01C2BC4D" w14:textId="452B723B" w:rsidR="006067AC" w:rsidRDefault="00400CB9" w:rsidP="00637750">
      <w:pPr>
        <w:pStyle w:val="DHHSbody"/>
      </w:pPr>
      <w:r>
        <w:t>Th</w:t>
      </w:r>
      <w:r w:rsidR="002B7F49">
        <w:t xml:space="preserve">is </w:t>
      </w:r>
      <w:r w:rsidR="006F4AA9">
        <w:t>service</w:t>
      </w:r>
      <w:r w:rsidR="002B7F49">
        <w:t xml:space="preserve"> is </w:t>
      </w:r>
      <w:r w:rsidR="0057350A">
        <w:t xml:space="preserve">aimed at </w:t>
      </w:r>
      <w:r w:rsidR="006067AC">
        <w:t>offenders</w:t>
      </w:r>
      <w:r w:rsidR="006F4AA9">
        <w:t xml:space="preserve"> sentence</w:t>
      </w:r>
      <w:r w:rsidR="004A4196">
        <w:t>d to a community-</w:t>
      </w:r>
      <w:r w:rsidR="006F4AA9">
        <w:t>based disposition with an attached AOD order</w:t>
      </w:r>
      <w:r w:rsidR="006067AC">
        <w:t xml:space="preserve"> at all phases of</w:t>
      </w:r>
      <w:r w:rsidR="00AA4335">
        <w:t xml:space="preserve"> their</w:t>
      </w:r>
      <w:r w:rsidR="006067AC">
        <w:t xml:space="preserve"> interaction with the justice system, excluding</w:t>
      </w:r>
      <w:r w:rsidR="00EE4861">
        <w:t xml:space="preserve"> the pre-sentence period</w:t>
      </w:r>
      <w:r w:rsidR="006067AC">
        <w:t xml:space="preserve"> </w:t>
      </w:r>
      <w:r w:rsidR="00EE4861">
        <w:t xml:space="preserve">and time spent in custody: i.e. </w:t>
      </w:r>
      <w:r w:rsidR="006067AC">
        <w:t>during a community correction order,</w:t>
      </w:r>
      <w:r w:rsidR="006F4AA9">
        <w:t xml:space="preserve"> and at the pre-release </w:t>
      </w:r>
      <w:r w:rsidR="006067AC">
        <w:t xml:space="preserve">and </w:t>
      </w:r>
      <w:r w:rsidR="00AA4335">
        <w:t>post</w:t>
      </w:r>
      <w:r w:rsidR="00EE4861">
        <w:noBreakHyphen/>
      </w:r>
      <w:r w:rsidR="00AA4335">
        <w:t>sentence phases.</w:t>
      </w:r>
      <w:r w:rsidR="006067AC">
        <w:t xml:space="preserve"> </w:t>
      </w:r>
    </w:p>
    <w:p w14:paraId="49861B66" w14:textId="77777777" w:rsidR="002B7F49" w:rsidRDefault="002B7F49" w:rsidP="00637750">
      <w:pPr>
        <w:pStyle w:val="Heading1"/>
      </w:pPr>
      <w:r>
        <w:t>4. Obligations specific to this activity</w:t>
      </w:r>
    </w:p>
    <w:p w14:paraId="38D5FFE8"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04C737AF" w14:textId="63F86D2A" w:rsidR="002B7F49" w:rsidRPr="001F3DE2" w:rsidRDefault="00F56498" w:rsidP="00637750">
      <w:pPr>
        <w:pStyle w:val="Heading2"/>
      </w:pPr>
      <w:r>
        <w:t xml:space="preserve">4a. </w:t>
      </w:r>
      <w:r w:rsidR="002B7F49" w:rsidRPr="001F3DE2">
        <w:t xml:space="preserve">Registration and Accreditation </w:t>
      </w:r>
    </w:p>
    <w:p w14:paraId="623877FE" w14:textId="6AF16E4A" w:rsidR="00AA4335" w:rsidRDefault="00BB388E" w:rsidP="00637750">
      <w:pPr>
        <w:pStyle w:val="DHHSbullet1"/>
      </w:pPr>
      <w:r w:rsidRPr="00637750">
        <w:rPr>
          <w:rStyle w:val="DHHSbodyChar"/>
        </w:rPr>
        <w:t xml:space="preserve">Funded AOD </w:t>
      </w:r>
      <w:r w:rsidR="00C7479D" w:rsidRPr="00637750">
        <w:rPr>
          <w:rStyle w:val="DHHSbodyChar"/>
        </w:rPr>
        <w:t xml:space="preserve">treatment </w:t>
      </w:r>
      <w:r w:rsidRPr="00637750">
        <w:rPr>
          <w:rStyle w:val="DHHSbodyChar"/>
        </w:rPr>
        <w:t xml:space="preserve">services in Victoria must comply with the requirements of any relevant accreditations and standards. They must be, or able to be, accredited within generic accreditation frameworks by a certified entity. More information is available on the department’s </w:t>
      </w:r>
      <w:hyperlink r:id="rId9" w:history="1">
        <w:r w:rsidRPr="00637750">
          <w:rPr>
            <w:rStyle w:val="Hyperlink"/>
          </w:rPr>
          <w:t>AOD service quality and accreditation</w:t>
        </w:r>
      </w:hyperlink>
      <w:r w:rsidRPr="00637750">
        <w:rPr>
          <w:rStyle w:val="DHHSbodyChar"/>
        </w:rPr>
        <w:t xml:space="preserve"> webpage. </w:t>
      </w:r>
      <w:r w:rsidR="00637750">
        <w:rPr>
          <w:rStyle w:val="DHHSbodyChar"/>
        </w:rPr>
        <w:t>&lt;</w:t>
      </w:r>
      <w:hyperlink r:id="rId10" w:history="1">
        <w:r w:rsidR="00637750" w:rsidRPr="00637750">
          <w:rPr>
            <w:rStyle w:val="DHHSbodyChar"/>
          </w:rPr>
          <w:t>https://www2.health.vic.gov.au/alcohol-and-drugs/aod-service-standards-guidelines/aod-service-quality-accreditation</w:t>
        </w:r>
      </w:hyperlink>
      <w:r w:rsidR="00EE4861" w:rsidRPr="00637750">
        <w:rPr>
          <w:rStyle w:val="DHHSbodyChar"/>
        </w:rPr>
        <w:t>.</w:t>
      </w:r>
    </w:p>
    <w:p w14:paraId="1BD372FE" w14:textId="77777777" w:rsidR="0089254F" w:rsidRDefault="002B7F49" w:rsidP="00637750">
      <w:pPr>
        <w:pStyle w:val="Heading2"/>
      </w:pPr>
      <w:r w:rsidRPr="001F3DE2">
        <w:t>4b. Program requirements and other policy guidelines</w:t>
      </w:r>
    </w:p>
    <w:p w14:paraId="43B07653" w14:textId="13AEA7B3" w:rsidR="002B7F49" w:rsidRPr="001F3DE2" w:rsidRDefault="00AB5F5E" w:rsidP="00637750">
      <w:pPr>
        <w:pStyle w:val="DHHSbullet1"/>
      </w:pPr>
      <w:r>
        <w:t xml:space="preserve">All AOD program requirements are contained in the AOD program guidelines. These are available on the </w:t>
      </w:r>
      <w:hyperlink r:id="rId11" w:history="1">
        <w:r>
          <w:rPr>
            <w:rStyle w:val="Hyperlink"/>
            <w:rFonts w:eastAsia="Times New Roman"/>
          </w:rPr>
          <w:t>department’s website.</w:t>
        </w:r>
      </w:hyperlink>
      <w:r>
        <w:t xml:space="preserve"> </w:t>
      </w:r>
      <w:hyperlink r:id="rId12" w:history="1">
        <w:r w:rsidR="00AA4335" w:rsidRPr="003B743E">
          <w:rPr>
            <w:rStyle w:val="Hyperlink"/>
            <w:rFonts w:eastAsia="Times New Roman"/>
          </w:rPr>
          <w:t>https://www2.health.vic.gov.au/alcohol-and-drugs/aod-service-standards-guidelines/aod-program-guidelines</w:t>
        </w:r>
      </w:hyperlink>
      <w:r w:rsidR="00AA4335">
        <w:t xml:space="preserve">. </w:t>
      </w:r>
      <w:r w:rsidR="002B7F49" w:rsidRPr="001F3DE2">
        <w:t xml:space="preserve"> </w:t>
      </w:r>
    </w:p>
    <w:p w14:paraId="63B81D46" w14:textId="1F534794" w:rsidR="002B7F49" w:rsidRDefault="002B7F49" w:rsidP="00637750">
      <w:pPr>
        <w:pStyle w:val="Heading1"/>
      </w:pPr>
      <w:r>
        <w:lastRenderedPageBreak/>
        <w:t>5. Performance</w:t>
      </w:r>
    </w:p>
    <w:p w14:paraId="58EDC6C4" w14:textId="6B2B8F15" w:rsidR="00AD7631" w:rsidRPr="00637750" w:rsidRDefault="00AD7631" w:rsidP="00637750">
      <w:pPr>
        <w:pStyle w:val="DHHSbody"/>
      </w:pPr>
      <w:r w:rsidRPr="00637750">
        <w:t>Funding is subject to achieving the performance targets specified in Schedule 2 of the Service Agreement.</w:t>
      </w:r>
    </w:p>
    <w:p w14:paraId="011D0A86" w14:textId="2410FCEB" w:rsidR="00AD7631" w:rsidRPr="00637750" w:rsidRDefault="00AD7631" w:rsidP="00637750">
      <w:pPr>
        <w:pStyle w:val="DHHSbody"/>
      </w:pPr>
      <w:r w:rsidRPr="00637750">
        <w:t>Performance measure as follows:</w:t>
      </w:r>
    </w:p>
    <w:p w14:paraId="79D27C0F" w14:textId="2ED37D3D" w:rsidR="00AD7631" w:rsidRDefault="00AD7631" w:rsidP="00637750">
      <w:pPr>
        <w:pStyle w:val="Heading2"/>
      </w:pPr>
      <w:r w:rsidRPr="00AD7631">
        <w:t>Key Performance Measure 1</w:t>
      </w:r>
      <w:r>
        <w:t>: Number of assessments within 5 working days of completed referral by C</w:t>
      </w:r>
      <w:r w:rsidR="009A6853">
        <w:t>CS</w:t>
      </w:r>
      <w:r>
        <w:t xml:space="preserve"> officer</w:t>
      </w:r>
    </w:p>
    <w:tbl>
      <w:tblPr>
        <w:tblStyle w:val="TableGrid"/>
        <w:tblW w:w="10376" w:type="dxa"/>
        <w:tblLook w:val="04A0" w:firstRow="1" w:lastRow="0" w:firstColumn="1" w:lastColumn="0" w:noHBand="0" w:noVBand="1"/>
      </w:tblPr>
      <w:tblGrid>
        <w:gridCol w:w="2155"/>
        <w:gridCol w:w="8221"/>
      </w:tblGrid>
      <w:tr w:rsidR="00637750" w14:paraId="238A10F4" w14:textId="77777777" w:rsidTr="00637750">
        <w:tc>
          <w:tcPr>
            <w:tcW w:w="2155" w:type="dxa"/>
          </w:tcPr>
          <w:p w14:paraId="4BDA21B6" w14:textId="4C2971CE" w:rsidR="00637750" w:rsidRDefault="00637750" w:rsidP="00637750">
            <w:pPr>
              <w:pStyle w:val="DHHStablecolhead"/>
            </w:pPr>
            <w:r w:rsidRPr="00575BC9">
              <w:t>Aim/objective</w:t>
            </w:r>
          </w:p>
        </w:tc>
        <w:tc>
          <w:tcPr>
            <w:tcW w:w="8221" w:type="dxa"/>
          </w:tcPr>
          <w:p w14:paraId="0A4C1338" w14:textId="1DF7CB9A" w:rsidR="00637750" w:rsidRDefault="00637750" w:rsidP="00637750">
            <w:pPr>
              <w:pStyle w:val="DHHStabletext"/>
            </w:pPr>
            <w:r>
              <w:t>To measure the number of assessments within 5 working days of completed referral by CCS officer</w:t>
            </w:r>
          </w:p>
        </w:tc>
      </w:tr>
      <w:tr w:rsidR="00637750" w14:paraId="542D16C6" w14:textId="77777777" w:rsidTr="00637750">
        <w:tc>
          <w:tcPr>
            <w:tcW w:w="2155" w:type="dxa"/>
          </w:tcPr>
          <w:p w14:paraId="02B930AB" w14:textId="5885EB6F" w:rsidR="00637750" w:rsidRDefault="00637750" w:rsidP="00637750">
            <w:pPr>
              <w:pStyle w:val="DHHStablecolhead"/>
            </w:pPr>
            <w:r w:rsidRPr="00575BC9">
              <w:t>Target</w:t>
            </w:r>
          </w:p>
        </w:tc>
        <w:tc>
          <w:tcPr>
            <w:tcW w:w="8221" w:type="dxa"/>
          </w:tcPr>
          <w:p w14:paraId="158CC34D" w14:textId="39102C1C" w:rsidR="00637750" w:rsidRDefault="00637750" w:rsidP="00637750">
            <w:pPr>
              <w:pStyle w:val="DHHStabletext"/>
            </w:pPr>
            <w:r>
              <w:t>The performance measure target is provided in the Service Agreement</w:t>
            </w:r>
          </w:p>
        </w:tc>
      </w:tr>
      <w:tr w:rsidR="00637750" w14:paraId="5486E595" w14:textId="77777777" w:rsidTr="00637750">
        <w:tc>
          <w:tcPr>
            <w:tcW w:w="2155" w:type="dxa"/>
          </w:tcPr>
          <w:p w14:paraId="7349D492" w14:textId="1A500D30" w:rsidR="00637750" w:rsidRPr="00575BC9" w:rsidRDefault="00637750" w:rsidP="00637750">
            <w:pPr>
              <w:pStyle w:val="DHHStablecolhead"/>
            </w:pPr>
            <w:r w:rsidRPr="00575BC9">
              <w:t>Type of count</w:t>
            </w:r>
          </w:p>
        </w:tc>
        <w:tc>
          <w:tcPr>
            <w:tcW w:w="8221" w:type="dxa"/>
          </w:tcPr>
          <w:p w14:paraId="726CD727" w14:textId="56226D0E" w:rsidR="00637750" w:rsidRDefault="00637750" w:rsidP="00637750">
            <w:pPr>
              <w:pStyle w:val="DHHStabletext"/>
            </w:pPr>
            <w:r w:rsidRPr="00C624B8">
              <w:fldChar w:fldCharType="begin">
                <w:ffData>
                  <w:name w:val="Check2"/>
                  <w:enabled/>
                  <w:calcOnExit w:val="0"/>
                  <w:checkBox>
                    <w:sizeAuto/>
                    <w:default w:val="1"/>
                  </w:checkBox>
                </w:ffData>
              </w:fldChar>
            </w:r>
            <w:r w:rsidRPr="00C624B8">
              <w:instrText xml:space="preserve"> FORMCHECKBOX </w:instrText>
            </w:r>
            <w:r w:rsidR="00235733">
              <w:fldChar w:fldCharType="separate"/>
            </w:r>
            <w:r w:rsidRPr="00C624B8">
              <w:fldChar w:fldCharType="end"/>
            </w:r>
            <w:r w:rsidRPr="00C624B8">
              <w:t xml:space="preserve"> Cumulative          </w:t>
            </w:r>
            <w:r w:rsidRPr="00C624B8">
              <w:fldChar w:fldCharType="begin">
                <w:ffData>
                  <w:name w:val="Check2"/>
                  <w:enabled/>
                  <w:calcOnExit w:val="0"/>
                  <w:checkBox>
                    <w:sizeAuto/>
                    <w:default w:val="0"/>
                  </w:checkBox>
                </w:ffData>
              </w:fldChar>
            </w:r>
            <w:r w:rsidRPr="00C624B8">
              <w:instrText xml:space="preserve"> FORMCHECKBOX </w:instrText>
            </w:r>
            <w:r w:rsidR="00235733">
              <w:fldChar w:fldCharType="separate"/>
            </w:r>
            <w:r w:rsidRPr="00C624B8">
              <w:fldChar w:fldCharType="end"/>
            </w:r>
            <w:r w:rsidRPr="00C624B8">
              <w:t xml:space="preserve"> Non-cumulative</w:t>
            </w:r>
          </w:p>
        </w:tc>
      </w:tr>
      <w:tr w:rsidR="00637750" w14:paraId="16802C92" w14:textId="77777777" w:rsidTr="00637750">
        <w:tc>
          <w:tcPr>
            <w:tcW w:w="2155" w:type="dxa"/>
          </w:tcPr>
          <w:p w14:paraId="60CF8471" w14:textId="7A1D6F8D" w:rsidR="00637750" w:rsidRDefault="00637750" w:rsidP="00637750">
            <w:pPr>
              <w:pStyle w:val="DHHStablecolhead"/>
            </w:pPr>
            <w:r w:rsidRPr="00575BC9">
              <w:t>Counting rule</w:t>
            </w:r>
          </w:p>
        </w:tc>
        <w:tc>
          <w:tcPr>
            <w:tcW w:w="8221" w:type="dxa"/>
          </w:tcPr>
          <w:p w14:paraId="1418CD14" w14:textId="7956C36E" w:rsidR="00637750" w:rsidRDefault="00637750" w:rsidP="00637750">
            <w:pPr>
              <w:pStyle w:val="DHHStabletext"/>
            </w:pPr>
            <w:r w:rsidRPr="00AD7631">
              <w:t>This quarterly report contains key performance data, including: the number of referrals made, number of assessments conducted, and any other data relating to demographics or the nature of the offender’s drug use.</w:t>
            </w:r>
          </w:p>
        </w:tc>
      </w:tr>
      <w:tr w:rsidR="00637750" w14:paraId="02BBF88C" w14:textId="77777777" w:rsidTr="00637750">
        <w:tc>
          <w:tcPr>
            <w:tcW w:w="2155" w:type="dxa"/>
          </w:tcPr>
          <w:p w14:paraId="4E3A8846" w14:textId="499C29C1" w:rsidR="00637750" w:rsidRDefault="00637750" w:rsidP="00637750">
            <w:pPr>
              <w:pStyle w:val="DHHStablecolhead"/>
            </w:pPr>
            <w:r w:rsidRPr="00575BC9">
              <w:t>Data source(s) collection</w:t>
            </w:r>
          </w:p>
        </w:tc>
        <w:tc>
          <w:tcPr>
            <w:tcW w:w="8221" w:type="dxa"/>
          </w:tcPr>
          <w:p w14:paraId="368AB7DA" w14:textId="36792CCF" w:rsidR="00637750" w:rsidRDefault="00637750" w:rsidP="00637750">
            <w:pPr>
              <w:pStyle w:val="DHHStabletext"/>
            </w:pPr>
            <w:r w:rsidRPr="00F56498">
              <w:t>Victor</w:t>
            </w:r>
            <w:r>
              <w:t>ian Alcohol and Drug Collection and Penelope.</w:t>
            </w:r>
          </w:p>
        </w:tc>
      </w:tr>
      <w:tr w:rsidR="00637750" w14:paraId="6D7C067F" w14:textId="77777777" w:rsidTr="00637750">
        <w:tc>
          <w:tcPr>
            <w:tcW w:w="2155" w:type="dxa"/>
          </w:tcPr>
          <w:p w14:paraId="003AB7E1" w14:textId="4A5B2DEC" w:rsidR="00637750" w:rsidRDefault="00637750" w:rsidP="00637750">
            <w:pPr>
              <w:pStyle w:val="DHHStablecolhead"/>
            </w:pPr>
            <w:r w:rsidRPr="00575BC9">
              <w:t>Definition of terms</w:t>
            </w:r>
          </w:p>
        </w:tc>
        <w:tc>
          <w:tcPr>
            <w:tcW w:w="8221" w:type="dxa"/>
          </w:tcPr>
          <w:p w14:paraId="12DADB9A" w14:textId="77777777" w:rsidR="00637750" w:rsidRDefault="00637750" w:rsidP="00637750">
            <w:pPr>
              <w:pStyle w:val="DHHStabletext"/>
            </w:pPr>
            <w:r w:rsidRPr="00D34C6F">
              <w:rPr>
                <w:b/>
              </w:rPr>
              <w:t>Alcohol and other drug</w:t>
            </w:r>
            <w:r>
              <w:rPr>
                <w:b/>
              </w:rPr>
              <w:t xml:space="preserve"> (AOD)</w:t>
            </w:r>
            <w:r w:rsidRPr="00D34C6F">
              <w:rPr>
                <w:b/>
              </w:rPr>
              <w:t xml:space="preserve"> treatment services:</w:t>
            </w:r>
            <w:r>
              <w:t xml:space="preserve"> The Victorian Government provides the community with alcohol and other drug treatment services through a purchaser-provider model. </w:t>
            </w:r>
          </w:p>
          <w:p w14:paraId="71276DF2" w14:textId="77777777" w:rsidR="00637750" w:rsidRDefault="00637750" w:rsidP="00637750">
            <w:pPr>
              <w:pStyle w:val="DHHStabletext"/>
            </w:pPr>
            <w:r>
              <w:t xml:space="preserve">The Victorian Government purchases these services from independent agencies on behalf of the community. The alcohol and other drug treatment services program provides a range of services, which cover the needs of clients experiencing substance abuse issues. </w:t>
            </w:r>
          </w:p>
          <w:p w14:paraId="10B1D64D" w14:textId="77777777" w:rsidR="00637750" w:rsidRDefault="00637750" w:rsidP="00637750">
            <w:pPr>
              <w:pStyle w:val="DHHStabletext"/>
            </w:pPr>
            <w:r>
              <w:rPr>
                <w:b/>
              </w:rPr>
              <w:t xml:space="preserve">Community Correctional Services (CCS): </w:t>
            </w:r>
            <w:r>
              <w:t xml:space="preserve">CCS is a division of Corrections Victoria that supervises adult offenders (aged 18 years or over) who are sentenced by the courts to serve community-based dispositions, or who are conditionally released from prison on parole by the Adult Parole Board. This means offenders must report regularly to their Community Corrections Officer and may have to participate in unpaid community work and rehabilitation programs. </w:t>
            </w:r>
          </w:p>
          <w:p w14:paraId="67ACDBE0" w14:textId="11770558" w:rsidR="00637750" w:rsidRDefault="00637750" w:rsidP="00637750">
            <w:pPr>
              <w:pStyle w:val="DHHStabletext"/>
            </w:pPr>
            <w:r>
              <w:rPr>
                <w:b/>
              </w:rPr>
              <w:t xml:space="preserve">Offender: </w:t>
            </w:r>
            <w:r w:rsidRPr="00E07A95">
              <w:t>Clients sentenced b</w:t>
            </w:r>
            <w:r>
              <w:t>y the courts to serve community-</w:t>
            </w:r>
            <w:r w:rsidRPr="00E07A95">
              <w:t>based dispositions (or sentences), or who are condi</w:t>
            </w:r>
            <w:r>
              <w:t>tionally released from prison on</w:t>
            </w:r>
            <w:r w:rsidRPr="00E07A95">
              <w:t xml:space="preserve"> parole by the Adult Parole Board</w:t>
            </w:r>
          </w:p>
        </w:tc>
      </w:tr>
    </w:tbl>
    <w:p w14:paraId="57416E10" w14:textId="77777777" w:rsidR="002B7F49" w:rsidRPr="00575BC9" w:rsidRDefault="002B7F49" w:rsidP="00637750">
      <w:pPr>
        <w:pStyle w:val="Heading1"/>
      </w:pPr>
      <w:r>
        <w:t>6. Data collection</w:t>
      </w:r>
    </w:p>
    <w:p w14:paraId="042840D2" w14:textId="77777777" w:rsidR="002B7F49" w:rsidRDefault="002B7F49" w:rsidP="00637750">
      <w:pPr>
        <w:pStyle w:val="DHHSbody"/>
      </w:pPr>
      <w:r>
        <w:t>The reporting requirements for this service are:</w:t>
      </w:r>
    </w:p>
    <w:tbl>
      <w:tblPr>
        <w:tblW w:w="10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3261"/>
        <w:gridCol w:w="1899"/>
        <w:gridCol w:w="2508"/>
      </w:tblGrid>
      <w:tr w:rsidR="002B7F49" w:rsidRPr="00045493" w14:paraId="400335AC" w14:textId="77777777" w:rsidTr="00637750">
        <w:trPr>
          <w:trHeight w:hRule="exact" w:val="340"/>
          <w:tblHeader/>
        </w:trPr>
        <w:tc>
          <w:tcPr>
            <w:tcW w:w="2693" w:type="dxa"/>
          </w:tcPr>
          <w:p w14:paraId="174B6613" w14:textId="77777777" w:rsidR="002B7F49" w:rsidRPr="00575BC9" w:rsidRDefault="002B7F49" w:rsidP="0017293C">
            <w:pPr>
              <w:pStyle w:val="DHHStablecolhead"/>
              <w:spacing w:before="0" w:after="0"/>
            </w:pPr>
            <w:r w:rsidRPr="00575BC9">
              <w:t>Data collection name</w:t>
            </w:r>
          </w:p>
        </w:tc>
        <w:tc>
          <w:tcPr>
            <w:tcW w:w="3261" w:type="dxa"/>
          </w:tcPr>
          <w:p w14:paraId="429799B4" w14:textId="77777777" w:rsidR="002B7F49" w:rsidRPr="00575BC9" w:rsidRDefault="002B7F49" w:rsidP="0017293C">
            <w:pPr>
              <w:pStyle w:val="DHHStablecolhead"/>
              <w:spacing w:before="0" w:after="0"/>
            </w:pPr>
            <w:r w:rsidRPr="00575BC9">
              <w:t xml:space="preserve">Data system </w:t>
            </w:r>
          </w:p>
        </w:tc>
        <w:tc>
          <w:tcPr>
            <w:tcW w:w="1899" w:type="dxa"/>
          </w:tcPr>
          <w:p w14:paraId="4CF06E13" w14:textId="77777777" w:rsidR="002B7F49" w:rsidRPr="00575BC9" w:rsidRDefault="002B7F49" w:rsidP="0017293C">
            <w:pPr>
              <w:pStyle w:val="DHHStablecolhead"/>
              <w:spacing w:before="0" w:after="0"/>
            </w:pPr>
            <w:r w:rsidRPr="00575BC9">
              <w:t xml:space="preserve">Data set </w:t>
            </w:r>
          </w:p>
        </w:tc>
        <w:tc>
          <w:tcPr>
            <w:tcW w:w="2508" w:type="dxa"/>
          </w:tcPr>
          <w:p w14:paraId="3EBBA705" w14:textId="77777777" w:rsidR="002B7F49" w:rsidRPr="00575BC9" w:rsidRDefault="002B7F49" w:rsidP="0017293C">
            <w:pPr>
              <w:pStyle w:val="DHHStablecolhead"/>
              <w:spacing w:before="0" w:after="0"/>
            </w:pPr>
            <w:r w:rsidRPr="00575BC9">
              <w:t>Reporting cycle</w:t>
            </w:r>
          </w:p>
        </w:tc>
      </w:tr>
      <w:tr w:rsidR="0089596A" w:rsidRPr="00C237A0" w14:paraId="49199F3F" w14:textId="77777777" w:rsidTr="00637750">
        <w:trPr>
          <w:trHeight w:val="1390"/>
        </w:trPr>
        <w:tc>
          <w:tcPr>
            <w:tcW w:w="2693" w:type="dxa"/>
          </w:tcPr>
          <w:p w14:paraId="562ECC91" w14:textId="4820514B" w:rsidR="0089596A" w:rsidRPr="002F7C4B" w:rsidRDefault="0089596A" w:rsidP="00637750">
            <w:pPr>
              <w:pStyle w:val="DHHStabletext"/>
              <w:rPr>
                <w:color w:val="7030A0"/>
              </w:rPr>
            </w:pPr>
            <w:r w:rsidRPr="008372FA">
              <w:t>Victorian Alcohol and Drug Collection / Alcohol and other drug treatment services national minimum dataset</w:t>
            </w:r>
            <w:r w:rsidR="00F56498">
              <w:t>.</w:t>
            </w:r>
          </w:p>
        </w:tc>
        <w:tc>
          <w:tcPr>
            <w:tcW w:w="3261" w:type="dxa"/>
          </w:tcPr>
          <w:p w14:paraId="5C6AC2A5" w14:textId="1ADB8583" w:rsidR="0089596A" w:rsidRPr="0089596A" w:rsidRDefault="0089596A" w:rsidP="00637750">
            <w:pPr>
              <w:pStyle w:val="DHHStabletext"/>
            </w:pPr>
            <w:r w:rsidRPr="0089596A">
              <w:t>Various – Service providers are required to integrate the VADC into their own client management systems</w:t>
            </w:r>
            <w:r w:rsidR="00F56498">
              <w:t>.</w:t>
            </w:r>
          </w:p>
        </w:tc>
        <w:tc>
          <w:tcPr>
            <w:tcW w:w="1899" w:type="dxa"/>
          </w:tcPr>
          <w:p w14:paraId="12D633E6" w14:textId="77777777" w:rsidR="0089596A" w:rsidRDefault="0089596A" w:rsidP="00637750">
            <w:pPr>
              <w:pStyle w:val="DHHStabletext"/>
            </w:pPr>
          </w:p>
          <w:p w14:paraId="06BA2A55" w14:textId="729DAF34" w:rsidR="0089596A" w:rsidRPr="0089596A" w:rsidRDefault="0089596A" w:rsidP="00637750">
            <w:pPr>
              <w:pStyle w:val="DHHStabletext"/>
            </w:pPr>
            <w:r w:rsidRPr="0089596A">
              <w:t>Not applicable</w:t>
            </w:r>
            <w:r w:rsidR="00F56498">
              <w:t>.</w:t>
            </w:r>
          </w:p>
        </w:tc>
        <w:tc>
          <w:tcPr>
            <w:tcW w:w="2508" w:type="dxa"/>
          </w:tcPr>
          <w:p w14:paraId="7A27D1BF" w14:textId="77777777" w:rsidR="0089596A" w:rsidRDefault="0089596A" w:rsidP="00637750">
            <w:pPr>
              <w:pStyle w:val="DHHStabletext"/>
            </w:pPr>
          </w:p>
          <w:p w14:paraId="2EF6B20E" w14:textId="05AE322C" w:rsidR="0089596A" w:rsidRPr="0089596A" w:rsidRDefault="0089596A" w:rsidP="00637750">
            <w:pPr>
              <w:pStyle w:val="DHHStabletext"/>
            </w:pPr>
            <w:r w:rsidRPr="0089596A">
              <w:t>Monthly</w:t>
            </w:r>
            <w:r w:rsidR="00F56498">
              <w:t xml:space="preserve">. </w:t>
            </w:r>
          </w:p>
        </w:tc>
      </w:tr>
      <w:tr w:rsidR="00E07A95" w:rsidRPr="00C237A0" w14:paraId="3AE68A3F" w14:textId="77777777" w:rsidTr="00637750">
        <w:tc>
          <w:tcPr>
            <w:tcW w:w="2693" w:type="dxa"/>
          </w:tcPr>
          <w:p w14:paraId="5E1C8E22" w14:textId="5C47598D" w:rsidR="00E07A95" w:rsidRPr="008372FA" w:rsidRDefault="00E07A95" w:rsidP="00637750">
            <w:pPr>
              <w:pStyle w:val="DHHStabletext"/>
            </w:pPr>
            <w:r>
              <w:t>ACSO COATS Client Management System (Penelope).</w:t>
            </w:r>
          </w:p>
        </w:tc>
        <w:tc>
          <w:tcPr>
            <w:tcW w:w="3261" w:type="dxa"/>
          </w:tcPr>
          <w:p w14:paraId="0885947C" w14:textId="5FC83B91" w:rsidR="00E07A95" w:rsidRPr="0089596A" w:rsidRDefault="001D5EBB" w:rsidP="00637750">
            <w:pPr>
              <w:pStyle w:val="DHHStabletext"/>
            </w:pPr>
            <w:r>
              <w:t xml:space="preserve">Penelope: </w:t>
            </w:r>
            <w:r w:rsidR="00E07A95">
              <w:t>A</w:t>
            </w:r>
            <w:r w:rsidR="00E07A95" w:rsidRPr="00E07A95">
              <w:t xml:space="preserve">ccessible via any internet browser, Penelope </w:t>
            </w:r>
            <w:r w:rsidR="00E07A95">
              <w:t>enables AOD providers</w:t>
            </w:r>
            <w:r w:rsidR="00E07A95" w:rsidRPr="00E07A95">
              <w:t xml:space="preserve"> to have immediate access to assessment reports, appointments, and attendance status as well as being able to communicate client progress and record service outcomes.</w:t>
            </w:r>
          </w:p>
        </w:tc>
        <w:tc>
          <w:tcPr>
            <w:tcW w:w="1899" w:type="dxa"/>
          </w:tcPr>
          <w:p w14:paraId="1A084658" w14:textId="77777777" w:rsidR="00E07A95" w:rsidRDefault="00E07A95" w:rsidP="00637750">
            <w:pPr>
              <w:pStyle w:val="DHHStabletext"/>
            </w:pPr>
          </w:p>
          <w:p w14:paraId="4A7F5CFC" w14:textId="77777777" w:rsidR="00E07A95" w:rsidRDefault="00E07A95" w:rsidP="00637750">
            <w:pPr>
              <w:pStyle w:val="DHHStabletext"/>
            </w:pPr>
          </w:p>
          <w:p w14:paraId="079E1345" w14:textId="131F002C" w:rsidR="00E07A95" w:rsidRDefault="00E07A95" w:rsidP="00637750">
            <w:pPr>
              <w:pStyle w:val="DHHStabletext"/>
            </w:pPr>
            <w:r>
              <w:t>Not applicable.</w:t>
            </w:r>
          </w:p>
        </w:tc>
        <w:tc>
          <w:tcPr>
            <w:tcW w:w="2508" w:type="dxa"/>
          </w:tcPr>
          <w:p w14:paraId="27565C8C" w14:textId="77777777" w:rsidR="00E07A95" w:rsidRDefault="00E07A95" w:rsidP="00637750">
            <w:pPr>
              <w:pStyle w:val="DHHStabletext"/>
            </w:pPr>
          </w:p>
          <w:p w14:paraId="3729220E" w14:textId="77777777" w:rsidR="00E07A95" w:rsidRDefault="00E07A95" w:rsidP="00637750">
            <w:pPr>
              <w:pStyle w:val="DHHStabletext"/>
            </w:pPr>
          </w:p>
          <w:p w14:paraId="5655F6B6" w14:textId="2ADA1EEA" w:rsidR="00E07A95" w:rsidRDefault="0068161A" w:rsidP="00637750">
            <w:pPr>
              <w:pStyle w:val="DHHStabletext"/>
            </w:pPr>
            <w:r>
              <w:t xml:space="preserve">Quarterly. </w:t>
            </w:r>
            <w:r w:rsidR="00E07A95">
              <w:t xml:space="preserve"> </w:t>
            </w:r>
          </w:p>
        </w:tc>
      </w:tr>
    </w:tbl>
    <w:p w14:paraId="35FADBA0" w14:textId="77777777" w:rsidR="002B7F49" w:rsidRDefault="002B7F49" w:rsidP="007B7E5D">
      <w:pPr>
        <w:rPr>
          <w:sz w:val="18"/>
          <w:szCs w:val="4"/>
        </w:rPr>
      </w:pPr>
    </w:p>
    <w:tbl>
      <w:tblPr>
        <w:tblW w:w="4949" w:type="pct"/>
        <w:tblCellMar>
          <w:top w:w="113" w:type="dxa"/>
          <w:bottom w:w="57" w:type="dxa"/>
        </w:tblCellMar>
        <w:tblLook w:val="00A0" w:firstRow="1" w:lastRow="0" w:firstColumn="1" w:lastColumn="0" w:noHBand="0" w:noVBand="0"/>
      </w:tblPr>
      <w:tblGrid>
        <w:gridCol w:w="10090"/>
      </w:tblGrid>
      <w:tr w:rsidR="002B7F49" w:rsidRPr="002802E3" w14:paraId="38334135" w14:textId="77777777" w:rsidTr="006F4AA9">
        <w:trPr>
          <w:cantSplit/>
          <w:trHeight w:val="888"/>
        </w:trPr>
        <w:tc>
          <w:tcPr>
            <w:tcW w:w="5000" w:type="pct"/>
            <w:tcBorders>
              <w:top w:val="single" w:sz="4" w:space="0" w:color="auto"/>
              <w:left w:val="single" w:sz="4" w:space="0" w:color="auto"/>
              <w:bottom w:val="single" w:sz="4" w:space="0" w:color="auto"/>
              <w:right w:val="single" w:sz="4" w:space="0" w:color="auto"/>
            </w:tcBorders>
            <w:vAlign w:val="bottom"/>
          </w:tcPr>
          <w:p w14:paraId="76E1265A" w14:textId="77777777" w:rsidR="00994307" w:rsidRDefault="00994307" w:rsidP="00994307">
            <w:pPr>
              <w:pStyle w:val="DHHSaccessibilitypara"/>
            </w:pPr>
            <w:r>
              <w:lastRenderedPageBreak/>
              <w:t xml:space="preserve">To receive this publication in an accessible format </w:t>
            </w:r>
            <w:hyperlink r:id="rId13" w:history="1">
              <w:r>
                <w:rPr>
                  <w:rStyle w:val="Hyperlink"/>
                </w:rPr>
                <w:t>email Service Agreement Policy</w:t>
              </w:r>
            </w:hyperlink>
            <w:r>
              <w:t xml:space="preserve"> &lt;</w:t>
            </w:r>
            <w:hyperlink r:id="rId14" w:history="1">
              <w:r>
                <w:rPr>
                  <w:rStyle w:val="Hyperlink"/>
                </w:rPr>
                <w:t>sapolicy@dhhs.vic.gov.au</w:t>
              </w:r>
            </w:hyperlink>
            <w:r>
              <w:t>&gt;</w:t>
            </w:r>
          </w:p>
          <w:p w14:paraId="36894189" w14:textId="77777777" w:rsidR="00994307" w:rsidRDefault="00994307" w:rsidP="00994307">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42DD2077" w14:textId="4AA3E6EE" w:rsidR="002B7F49" w:rsidRPr="00CA4422" w:rsidRDefault="00994307" w:rsidP="00994307">
            <w:pPr>
              <w:pStyle w:val="DHHSbody"/>
              <w:spacing w:line="240" w:lineRule="auto"/>
            </w:pPr>
            <w:r>
              <w:t xml:space="preserve">Available on the department’s </w:t>
            </w:r>
            <w:hyperlink r:id="rId15" w:history="1">
              <w:r>
                <w:rPr>
                  <w:rStyle w:val="Hyperlink"/>
                </w:rPr>
                <w:t>Health and human services activity search</w:t>
              </w:r>
            </w:hyperlink>
            <w:r>
              <w:t xml:space="preserve"> &lt;</w:t>
            </w:r>
            <w:hyperlink r:id="rId16" w:history="1">
              <w:r w:rsidRPr="00994307">
                <w:t>http://providers.dhhs.vic.gov.au/health-human-services-activity-search</w:t>
              </w:r>
            </w:hyperlink>
            <w:r w:rsidRPr="00994307">
              <w:t>&gt;</w:t>
            </w:r>
          </w:p>
        </w:tc>
      </w:tr>
    </w:tbl>
    <w:p w14:paraId="21596F23" w14:textId="6CED56B5" w:rsidR="00994307" w:rsidRDefault="00994307" w:rsidP="007B7E5D">
      <w:pPr>
        <w:rPr>
          <w:sz w:val="18"/>
          <w:szCs w:val="4"/>
        </w:rPr>
      </w:pPr>
    </w:p>
    <w:p w14:paraId="019ED713" w14:textId="77777777" w:rsidR="00994307" w:rsidRPr="00994307" w:rsidRDefault="00994307" w:rsidP="00994307">
      <w:pPr>
        <w:rPr>
          <w:sz w:val="18"/>
          <w:szCs w:val="4"/>
        </w:rPr>
      </w:pPr>
    </w:p>
    <w:p w14:paraId="3439EC0C" w14:textId="77777777" w:rsidR="00994307" w:rsidRPr="00994307" w:rsidRDefault="00994307" w:rsidP="00994307">
      <w:pPr>
        <w:rPr>
          <w:sz w:val="18"/>
          <w:szCs w:val="4"/>
        </w:rPr>
      </w:pPr>
    </w:p>
    <w:p w14:paraId="739EBD42" w14:textId="77777777" w:rsidR="00994307" w:rsidRPr="00994307" w:rsidRDefault="00994307" w:rsidP="00994307">
      <w:pPr>
        <w:rPr>
          <w:sz w:val="18"/>
          <w:szCs w:val="4"/>
        </w:rPr>
      </w:pPr>
    </w:p>
    <w:p w14:paraId="53795A1E" w14:textId="77777777" w:rsidR="00994307" w:rsidRPr="00994307" w:rsidRDefault="00994307" w:rsidP="00994307">
      <w:pPr>
        <w:rPr>
          <w:sz w:val="18"/>
          <w:szCs w:val="4"/>
        </w:rPr>
      </w:pPr>
    </w:p>
    <w:p w14:paraId="4AB2ECAB" w14:textId="77777777" w:rsidR="00994307" w:rsidRPr="00994307" w:rsidRDefault="00994307" w:rsidP="00994307">
      <w:pPr>
        <w:rPr>
          <w:sz w:val="18"/>
          <w:szCs w:val="4"/>
        </w:rPr>
      </w:pPr>
    </w:p>
    <w:p w14:paraId="024E9F3B" w14:textId="77777777" w:rsidR="00994307" w:rsidRPr="00994307" w:rsidRDefault="00994307" w:rsidP="00994307">
      <w:pPr>
        <w:rPr>
          <w:sz w:val="18"/>
          <w:szCs w:val="4"/>
        </w:rPr>
      </w:pPr>
    </w:p>
    <w:p w14:paraId="20BF33C5" w14:textId="77777777" w:rsidR="00994307" w:rsidRPr="00994307" w:rsidRDefault="00994307" w:rsidP="00994307">
      <w:pPr>
        <w:rPr>
          <w:sz w:val="18"/>
          <w:szCs w:val="4"/>
        </w:rPr>
      </w:pPr>
    </w:p>
    <w:p w14:paraId="2B5903E2" w14:textId="77777777" w:rsidR="00994307" w:rsidRPr="00994307" w:rsidRDefault="00994307" w:rsidP="00994307">
      <w:pPr>
        <w:rPr>
          <w:sz w:val="18"/>
          <w:szCs w:val="4"/>
        </w:rPr>
      </w:pPr>
    </w:p>
    <w:p w14:paraId="64DB82D6" w14:textId="77777777" w:rsidR="00994307" w:rsidRPr="00994307" w:rsidRDefault="00994307" w:rsidP="00994307">
      <w:pPr>
        <w:rPr>
          <w:sz w:val="18"/>
          <w:szCs w:val="4"/>
        </w:rPr>
      </w:pPr>
    </w:p>
    <w:p w14:paraId="660ACFDF" w14:textId="77777777" w:rsidR="00994307" w:rsidRPr="00994307" w:rsidRDefault="00994307" w:rsidP="00994307">
      <w:pPr>
        <w:rPr>
          <w:sz w:val="18"/>
          <w:szCs w:val="4"/>
        </w:rPr>
      </w:pPr>
    </w:p>
    <w:p w14:paraId="6726AC8A" w14:textId="77777777" w:rsidR="00994307" w:rsidRPr="00994307" w:rsidRDefault="00994307" w:rsidP="00994307">
      <w:pPr>
        <w:rPr>
          <w:sz w:val="18"/>
          <w:szCs w:val="4"/>
        </w:rPr>
      </w:pPr>
    </w:p>
    <w:p w14:paraId="5485D6C9" w14:textId="77777777" w:rsidR="00994307" w:rsidRPr="00994307" w:rsidRDefault="00994307" w:rsidP="00994307">
      <w:pPr>
        <w:rPr>
          <w:sz w:val="18"/>
          <w:szCs w:val="4"/>
        </w:rPr>
      </w:pPr>
    </w:p>
    <w:p w14:paraId="2FFD8F7C" w14:textId="77777777" w:rsidR="00994307" w:rsidRPr="00994307" w:rsidRDefault="00994307" w:rsidP="00994307">
      <w:pPr>
        <w:rPr>
          <w:sz w:val="18"/>
          <w:szCs w:val="4"/>
        </w:rPr>
      </w:pPr>
    </w:p>
    <w:p w14:paraId="2EF29188" w14:textId="77777777" w:rsidR="00994307" w:rsidRPr="00994307" w:rsidRDefault="00994307" w:rsidP="00994307">
      <w:pPr>
        <w:rPr>
          <w:sz w:val="18"/>
          <w:szCs w:val="4"/>
        </w:rPr>
      </w:pPr>
    </w:p>
    <w:p w14:paraId="0101DD63" w14:textId="77777777" w:rsidR="00994307" w:rsidRPr="00994307" w:rsidRDefault="00994307" w:rsidP="00994307">
      <w:pPr>
        <w:rPr>
          <w:sz w:val="18"/>
          <w:szCs w:val="4"/>
        </w:rPr>
      </w:pPr>
    </w:p>
    <w:p w14:paraId="1941DD26" w14:textId="77777777" w:rsidR="00994307" w:rsidRPr="00994307" w:rsidRDefault="00994307" w:rsidP="00994307">
      <w:pPr>
        <w:rPr>
          <w:sz w:val="18"/>
          <w:szCs w:val="4"/>
        </w:rPr>
      </w:pPr>
    </w:p>
    <w:p w14:paraId="68245497" w14:textId="0ECDAE95" w:rsidR="00994307" w:rsidRDefault="00994307" w:rsidP="00994307">
      <w:pPr>
        <w:rPr>
          <w:sz w:val="18"/>
          <w:szCs w:val="4"/>
        </w:rPr>
      </w:pPr>
    </w:p>
    <w:p w14:paraId="03AF5151" w14:textId="77CF32F7" w:rsidR="00994307" w:rsidRDefault="00994307" w:rsidP="00994307">
      <w:pPr>
        <w:rPr>
          <w:sz w:val="18"/>
          <w:szCs w:val="4"/>
        </w:rPr>
      </w:pPr>
    </w:p>
    <w:p w14:paraId="62E323D1" w14:textId="3EE1ECF5" w:rsidR="002B7F49" w:rsidRPr="00994307" w:rsidRDefault="00994307" w:rsidP="00994307">
      <w:pPr>
        <w:tabs>
          <w:tab w:val="left" w:pos="5580"/>
        </w:tabs>
        <w:rPr>
          <w:sz w:val="18"/>
          <w:szCs w:val="4"/>
        </w:rPr>
      </w:pPr>
      <w:r>
        <w:rPr>
          <w:sz w:val="18"/>
          <w:szCs w:val="4"/>
        </w:rPr>
        <w:tab/>
      </w:r>
    </w:p>
    <w:sectPr w:rsidR="002B7F49" w:rsidRPr="00994307" w:rsidSect="00B133C9">
      <w:footerReference w:type="default" r:id="rId17"/>
      <w:footerReference w:type="first" r:id="rId18"/>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F0F0C" w14:textId="77777777" w:rsidR="007E314F" w:rsidRDefault="007E314F">
      <w:r>
        <w:separator/>
      </w:r>
    </w:p>
  </w:endnote>
  <w:endnote w:type="continuationSeparator" w:id="0">
    <w:p w14:paraId="78758C58" w14:textId="77777777" w:rsidR="007E314F" w:rsidRDefault="007E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1F81" w14:textId="58A62706" w:rsidR="00FE4946" w:rsidRPr="00A11421" w:rsidRDefault="00E06429" w:rsidP="0051568D">
    <w:pPr>
      <w:pStyle w:val="DHHSfooter"/>
    </w:pPr>
    <w:r>
      <w:t xml:space="preserve">Activity Description </w:t>
    </w:r>
    <w:r w:rsidR="009B09E4">
      <w:t>(</w:t>
    </w:r>
    <w:r w:rsidR="009B09E4" w:rsidRPr="009B09E4">
      <w:t>health</w:t>
    </w:r>
    <w:proofErr w:type="gramStart"/>
    <w:r w:rsidR="009B09E4">
      <w:t>):</w:t>
    </w:r>
    <w:r w:rsidR="009B09E4" w:rsidRPr="009B09E4">
      <w:t>Community</w:t>
    </w:r>
    <w:proofErr w:type="gramEnd"/>
    <w:r w:rsidR="009B09E4" w:rsidRPr="009B09E4">
      <w:t xml:space="preserve"> Offenders Advice and treatment</w:t>
    </w:r>
    <w:r w:rsidR="00994307">
      <w:t xml:space="preserve"> </w:t>
    </w:r>
    <w:r w:rsidR="009B09E4" w:rsidRPr="009B09E4">
      <w:t>34042</w:t>
    </w:r>
    <w:r>
      <w:tab/>
    </w:r>
    <w:r w:rsidR="00FE4946" w:rsidRPr="00A11421">
      <w:fldChar w:fldCharType="begin"/>
    </w:r>
    <w:r w:rsidR="00FE4946" w:rsidRPr="00A11421">
      <w:instrText xml:space="preserve"> PAGE </w:instrText>
    </w:r>
    <w:r w:rsidR="00FE4946" w:rsidRPr="00A11421">
      <w:fldChar w:fldCharType="separate"/>
    </w:r>
    <w:r w:rsidR="00990150">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7271" w14:textId="77777777" w:rsidR="00FE4946" w:rsidRDefault="00FE4946">
    <w:pPr>
      <w:pStyle w:val="Footer"/>
    </w:pPr>
    <w:r>
      <w:rPr>
        <w:noProof/>
        <w:lang w:eastAsia="en-AU"/>
      </w:rPr>
      <w:drawing>
        <wp:anchor distT="0" distB="0" distL="114300" distR="114300" simplePos="0" relativeHeight="251659264" behindDoc="0" locked="0" layoutInCell="0" allowOverlap="1" wp14:anchorId="3BC7CF3F" wp14:editId="7B66819E">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6457A" w14:textId="77777777" w:rsidR="007E314F" w:rsidRDefault="007E314F" w:rsidP="002862F1">
      <w:pPr>
        <w:spacing w:before="120"/>
      </w:pPr>
      <w:r>
        <w:separator/>
      </w:r>
    </w:p>
  </w:footnote>
  <w:footnote w:type="continuationSeparator" w:id="0">
    <w:p w14:paraId="32754BDA" w14:textId="77777777" w:rsidR="007E314F" w:rsidRDefault="007E3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05FCA"/>
    <w:multiLevelType w:val="hybridMultilevel"/>
    <w:tmpl w:val="26B8A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FFF4A19"/>
    <w:multiLevelType w:val="hybridMultilevel"/>
    <w:tmpl w:val="C3728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E923E3"/>
    <w:multiLevelType w:val="hybridMultilevel"/>
    <w:tmpl w:val="C8620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12"/>
  </w:num>
  <w:num w:numId="10">
    <w:abstractNumId w:val="14"/>
  </w:num>
  <w:num w:numId="11">
    <w:abstractNumId w:val="8"/>
  </w:num>
  <w:num w:numId="12">
    <w:abstractNumId w:val="9"/>
  </w:num>
  <w:num w:numId="13">
    <w:abstractNumId w:val="4"/>
  </w:num>
  <w:num w:numId="14">
    <w:abstractNumId w:val="13"/>
  </w:num>
  <w:num w:numId="15">
    <w:abstractNumId w:val="2"/>
  </w:num>
  <w:num w:numId="16">
    <w:abstractNumId w:val="10"/>
  </w:num>
  <w:num w:numId="17">
    <w:abstractNumId w:val="5"/>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2D5E"/>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A6D4F"/>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583"/>
    <w:rsid w:val="00122FEA"/>
    <w:rsid w:val="001232BD"/>
    <w:rsid w:val="00124ED5"/>
    <w:rsid w:val="001363E9"/>
    <w:rsid w:val="001447B3"/>
    <w:rsid w:val="00152073"/>
    <w:rsid w:val="00161939"/>
    <w:rsid w:val="00161AA0"/>
    <w:rsid w:val="00162093"/>
    <w:rsid w:val="0017293C"/>
    <w:rsid w:val="001771DD"/>
    <w:rsid w:val="00177995"/>
    <w:rsid w:val="00177A8C"/>
    <w:rsid w:val="00186B33"/>
    <w:rsid w:val="00191356"/>
    <w:rsid w:val="00192F9D"/>
    <w:rsid w:val="00196EB8"/>
    <w:rsid w:val="001979FF"/>
    <w:rsid w:val="00197B17"/>
    <w:rsid w:val="001A3ACE"/>
    <w:rsid w:val="001B6C62"/>
    <w:rsid w:val="001C1970"/>
    <w:rsid w:val="001C277E"/>
    <w:rsid w:val="001C2A72"/>
    <w:rsid w:val="001D0B75"/>
    <w:rsid w:val="001D3C09"/>
    <w:rsid w:val="001D44E8"/>
    <w:rsid w:val="001D5EBB"/>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35733"/>
    <w:rsid w:val="00241843"/>
    <w:rsid w:val="00242548"/>
    <w:rsid w:val="002432E1"/>
    <w:rsid w:val="00246207"/>
    <w:rsid w:val="00246C5E"/>
    <w:rsid w:val="00251343"/>
    <w:rsid w:val="00254F58"/>
    <w:rsid w:val="00255773"/>
    <w:rsid w:val="002620BC"/>
    <w:rsid w:val="00262802"/>
    <w:rsid w:val="00263A90"/>
    <w:rsid w:val="0026408B"/>
    <w:rsid w:val="00267C3E"/>
    <w:rsid w:val="002709BB"/>
    <w:rsid w:val="002763B3"/>
    <w:rsid w:val="002802E3"/>
    <w:rsid w:val="0028213D"/>
    <w:rsid w:val="002862F1"/>
    <w:rsid w:val="00291373"/>
    <w:rsid w:val="00293446"/>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07BC"/>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96833"/>
    <w:rsid w:val="003A6B67"/>
    <w:rsid w:val="003B15E6"/>
    <w:rsid w:val="003B433E"/>
    <w:rsid w:val="003C2045"/>
    <w:rsid w:val="003C43A1"/>
    <w:rsid w:val="003C4FC0"/>
    <w:rsid w:val="003C55F4"/>
    <w:rsid w:val="003C5FE6"/>
    <w:rsid w:val="003C7A3F"/>
    <w:rsid w:val="003D2766"/>
    <w:rsid w:val="003D3E8F"/>
    <w:rsid w:val="003D6475"/>
    <w:rsid w:val="003E4CFD"/>
    <w:rsid w:val="003F0445"/>
    <w:rsid w:val="003F0CF0"/>
    <w:rsid w:val="003F14B1"/>
    <w:rsid w:val="003F3289"/>
    <w:rsid w:val="003F75FD"/>
    <w:rsid w:val="00400CB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1CB5"/>
    <w:rsid w:val="00483968"/>
    <w:rsid w:val="00484F86"/>
    <w:rsid w:val="00490746"/>
    <w:rsid w:val="00490852"/>
    <w:rsid w:val="00492F30"/>
    <w:rsid w:val="004946F4"/>
    <w:rsid w:val="0049487E"/>
    <w:rsid w:val="00495ADA"/>
    <w:rsid w:val="004A160D"/>
    <w:rsid w:val="004A3E81"/>
    <w:rsid w:val="004A4196"/>
    <w:rsid w:val="004A5C62"/>
    <w:rsid w:val="004A707D"/>
    <w:rsid w:val="004B23B3"/>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350A"/>
    <w:rsid w:val="00575BC9"/>
    <w:rsid w:val="00576E84"/>
    <w:rsid w:val="00582B8C"/>
    <w:rsid w:val="0058757E"/>
    <w:rsid w:val="005938E5"/>
    <w:rsid w:val="00596A4B"/>
    <w:rsid w:val="00597507"/>
    <w:rsid w:val="005B1BCE"/>
    <w:rsid w:val="005B21B6"/>
    <w:rsid w:val="005B384F"/>
    <w:rsid w:val="005B3A08"/>
    <w:rsid w:val="005B7A63"/>
    <w:rsid w:val="005C0955"/>
    <w:rsid w:val="005C1616"/>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067AC"/>
    <w:rsid w:val="00610D7C"/>
    <w:rsid w:val="00613414"/>
    <w:rsid w:val="00621B8E"/>
    <w:rsid w:val="0062408D"/>
    <w:rsid w:val="006240CC"/>
    <w:rsid w:val="00627DA7"/>
    <w:rsid w:val="00633A5F"/>
    <w:rsid w:val="006358B4"/>
    <w:rsid w:val="00637750"/>
    <w:rsid w:val="006419AA"/>
    <w:rsid w:val="0064286E"/>
    <w:rsid w:val="00644B7E"/>
    <w:rsid w:val="006454E6"/>
    <w:rsid w:val="00646A68"/>
    <w:rsid w:val="0065092E"/>
    <w:rsid w:val="00653C67"/>
    <w:rsid w:val="006557A7"/>
    <w:rsid w:val="00656290"/>
    <w:rsid w:val="006621D7"/>
    <w:rsid w:val="0066302A"/>
    <w:rsid w:val="00670597"/>
    <w:rsid w:val="006706D0"/>
    <w:rsid w:val="00673455"/>
    <w:rsid w:val="00676C23"/>
    <w:rsid w:val="00677574"/>
    <w:rsid w:val="0068161A"/>
    <w:rsid w:val="0068454C"/>
    <w:rsid w:val="00691B62"/>
    <w:rsid w:val="00693D14"/>
    <w:rsid w:val="00694DAF"/>
    <w:rsid w:val="00697090"/>
    <w:rsid w:val="006A18C2"/>
    <w:rsid w:val="006A7939"/>
    <w:rsid w:val="006B077C"/>
    <w:rsid w:val="006B6803"/>
    <w:rsid w:val="006C5390"/>
    <w:rsid w:val="006C7385"/>
    <w:rsid w:val="006C7A1F"/>
    <w:rsid w:val="006D2A3F"/>
    <w:rsid w:val="006D2FBC"/>
    <w:rsid w:val="006D72EA"/>
    <w:rsid w:val="006E138B"/>
    <w:rsid w:val="006F0FB0"/>
    <w:rsid w:val="006F1FDC"/>
    <w:rsid w:val="006F4AA9"/>
    <w:rsid w:val="006F6592"/>
    <w:rsid w:val="007013EF"/>
    <w:rsid w:val="00706E3A"/>
    <w:rsid w:val="007173CA"/>
    <w:rsid w:val="007216AA"/>
    <w:rsid w:val="00721AB5"/>
    <w:rsid w:val="00721DEF"/>
    <w:rsid w:val="00724A43"/>
    <w:rsid w:val="007346E4"/>
    <w:rsid w:val="00740F22"/>
    <w:rsid w:val="00741F1A"/>
    <w:rsid w:val="00744694"/>
    <w:rsid w:val="007450F8"/>
    <w:rsid w:val="0074696E"/>
    <w:rsid w:val="00750135"/>
    <w:rsid w:val="00750EC2"/>
    <w:rsid w:val="00752B28"/>
    <w:rsid w:val="00754E36"/>
    <w:rsid w:val="007554F6"/>
    <w:rsid w:val="00763139"/>
    <w:rsid w:val="00770F37"/>
    <w:rsid w:val="007711A0"/>
    <w:rsid w:val="00772D5E"/>
    <w:rsid w:val="00775211"/>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14F"/>
    <w:rsid w:val="007E3B98"/>
    <w:rsid w:val="007F0068"/>
    <w:rsid w:val="007F31B6"/>
    <w:rsid w:val="007F546C"/>
    <w:rsid w:val="007F625F"/>
    <w:rsid w:val="007F665E"/>
    <w:rsid w:val="00800412"/>
    <w:rsid w:val="0080587B"/>
    <w:rsid w:val="00806468"/>
    <w:rsid w:val="00807457"/>
    <w:rsid w:val="008155F0"/>
    <w:rsid w:val="00816735"/>
    <w:rsid w:val="00820141"/>
    <w:rsid w:val="00820E0C"/>
    <w:rsid w:val="008237E6"/>
    <w:rsid w:val="00825DAC"/>
    <w:rsid w:val="008338A2"/>
    <w:rsid w:val="008370FF"/>
    <w:rsid w:val="008372FA"/>
    <w:rsid w:val="00841AA9"/>
    <w:rsid w:val="00853EE4"/>
    <w:rsid w:val="00855535"/>
    <w:rsid w:val="0086255E"/>
    <w:rsid w:val="008633F0"/>
    <w:rsid w:val="00867D9D"/>
    <w:rsid w:val="00871222"/>
    <w:rsid w:val="00872E0A"/>
    <w:rsid w:val="00875285"/>
    <w:rsid w:val="0087683C"/>
    <w:rsid w:val="00884B62"/>
    <w:rsid w:val="0088529C"/>
    <w:rsid w:val="00887903"/>
    <w:rsid w:val="0089254F"/>
    <w:rsid w:val="0089270A"/>
    <w:rsid w:val="00893AF6"/>
    <w:rsid w:val="00894BC4"/>
    <w:rsid w:val="00895643"/>
    <w:rsid w:val="0089596A"/>
    <w:rsid w:val="008A5B32"/>
    <w:rsid w:val="008A7D11"/>
    <w:rsid w:val="008B2EE4"/>
    <w:rsid w:val="008B4D3D"/>
    <w:rsid w:val="008B57C7"/>
    <w:rsid w:val="008C0C5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642BA"/>
    <w:rsid w:val="00977168"/>
    <w:rsid w:val="009853E1"/>
    <w:rsid w:val="00986E6B"/>
    <w:rsid w:val="00990150"/>
    <w:rsid w:val="00991769"/>
    <w:rsid w:val="00994307"/>
    <w:rsid w:val="00994386"/>
    <w:rsid w:val="009A13D8"/>
    <w:rsid w:val="009A279E"/>
    <w:rsid w:val="009A6853"/>
    <w:rsid w:val="009B09E4"/>
    <w:rsid w:val="009B0A6F"/>
    <w:rsid w:val="009B0A94"/>
    <w:rsid w:val="009B59E9"/>
    <w:rsid w:val="009B70AA"/>
    <w:rsid w:val="009C7A7E"/>
    <w:rsid w:val="009D02E8"/>
    <w:rsid w:val="009D51D0"/>
    <w:rsid w:val="009D70A4"/>
    <w:rsid w:val="009E08D1"/>
    <w:rsid w:val="009E1B95"/>
    <w:rsid w:val="009E4192"/>
    <w:rsid w:val="009E496F"/>
    <w:rsid w:val="009E4B0D"/>
    <w:rsid w:val="009E5954"/>
    <w:rsid w:val="009E5B33"/>
    <w:rsid w:val="009E7F92"/>
    <w:rsid w:val="009F02A3"/>
    <w:rsid w:val="009F2F27"/>
    <w:rsid w:val="009F34AA"/>
    <w:rsid w:val="009F6BCB"/>
    <w:rsid w:val="009F7B78"/>
    <w:rsid w:val="00A0057A"/>
    <w:rsid w:val="00A0452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170A"/>
    <w:rsid w:val="00A842F2"/>
    <w:rsid w:val="00A853B2"/>
    <w:rsid w:val="00A854EB"/>
    <w:rsid w:val="00A872E5"/>
    <w:rsid w:val="00A91406"/>
    <w:rsid w:val="00A96E65"/>
    <w:rsid w:val="00A97C72"/>
    <w:rsid w:val="00AA0F86"/>
    <w:rsid w:val="00AA3CA8"/>
    <w:rsid w:val="00AA4335"/>
    <w:rsid w:val="00AA63D4"/>
    <w:rsid w:val="00AA7900"/>
    <w:rsid w:val="00AB06E8"/>
    <w:rsid w:val="00AB1CD3"/>
    <w:rsid w:val="00AB352F"/>
    <w:rsid w:val="00AB5F5E"/>
    <w:rsid w:val="00AC274B"/>
    <w:rsid w:val="00AC4764"/>
    <w:rsid w:val="00AC6D36"/>
    <w:rsid w:val="00AD01D4"/>
    <w:rsid w:val="00AD0CBA"/>
    <w:rsid w:val="00AD26E2"/>
    <w:rsid w:val="00AD3998"/>
    <w:rsid w:val="00AD7631"/>
    <w:rsid w:val="00AD784C"/>
    <w:rsid w:val="00AE126A"/>
    <w:rsid w:val="00AE3005"/>
    <w:rsid w:val="00AE3BD5"/>
    <w:rsid w:val="00AE59A0"/>
    <w:rsid w:val="00AF0C57"/>
    <w:rsid w:val="00AF26F3"/>
    <w:rsid w:val="00AF5F04"/>
    <w:rsid w:val="00B00672"/>
    <w:rsid w:val="00B01B4D"/>
    <w:rsid w:val="00B06571"/>
    <w:rsid w:val="00B068BA"/>
    <w:rsid w:val="00B133C9"/>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6342"/>
    <w:rsid w:val="00B9714C"/>
    <w:rsid w:val="00BA3F8D"/>
    <w:rsid w:val="00BA5A87"/>
    <w:rsid w:val="00BA6D1B"/>
    <w:rsid w:val="00BB388E"/>
    <w:rsid w:val="00BB7A10"/>
    <w:rsid w:val="00BC7468"/>
    <w:rsid w:val="00BC7D4F"/>
    <w:rsid w:val="00BC7ED7"/>
    <w:rsid w:val="00BD07F6"/>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79D"/>
    <w:rsid w:val="00C74C5D"/>
    <w:rsid w:val="00C863C4"/>
    <w:rsid w:val="00C93C3E"/>
    <w:rsid w:val="00CA12E3"/>
    <w:rsid w:val="00CA4422"/>
    <w:rsid w:val="00CA6611"/>
    <w:rsid w:val="00CA6AE6"/>
    <w:rsid w:val="00CA782F"/>
    <w:rsid w:val="00CC0C72"/>
    <w:rsid w:val="00CC2BFD"/>
    <w:rsid w:val="00CC3FB0"/>
    <w:rsid w:val="00CC6AE5"/>
    <w:rsid w:val="00CD0EDA"/>
    <w:rsid w:val="00CD3476"/>
    <w:rsid w:val="00CD64DF"/>
    <w:rsid w:val="00CF2F50"/>
    <w:rsid w:val="00D02919"/>
    <w:rsid w:val="00D04C61"/>
    <w:rsid w:val="00D05B8D"/>
    <w:rsid w:val="00D065A2"/>
    <w:rsid w:val="00D07F00"/>
    <w:rsid w:val="00D1443D"/>
    <w:rsid w:val="00D17B72"/>
    <w:rsid w:val="00D3185C"/>
    <w:rsid w:val="00D33E72"/>
    <w:rsid w:val="00D34C6F"/>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07A95"/>
    <w:rsid w:val="00E170DC"/>
    <w:rsid w:val="00E26818"/>
    <w:rsid w:val="00E27FFC"/>
    <w:rsid w:val="00E30B15"/>
    <w:rsid w:val="00E327EB"/>
    <w:rsid w:val="00E373B0"/>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861"/>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498"/>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B7442"/>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A331861"/>
  <w15:docId w15:val="{DDCA00DC-BB7A-4727-BE0B-39618CFF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637750"/>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637750"/>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637750"/>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637750"/>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AB5F5E"/>
    <w:rPr>
      <w:sz w:val="16"/>
      <w:szCs w:val="16"/>
    </w:rPr>
  </w:style>
  <w:style w:type="paragraph" w:styleId="CommentText">
    <w:name w:val="annotation text"/>
    <w:basedOn w:val="Normal"/>
    <w:link w:val="CommentTextChar"/>
    <w:uiPriority w:val="99"/>
    <w:semiHidden/>
    <w:unhideWhenUsed/>
    <w:rsid w:val="00AB5F5E"/>
    <w:pPr>
      <w:spacing w:line="240" w:lineRule="auto"/>
    </w:pPr>
  </w:style>
  <w:style w:type="character" w:customStyle="1" w:styleId="CommentTextChar">
    <w:name w:val="Comment Text Char"/>
    <w:basedOn w:val="DefaultParagraphFont"/>
    <w:link w:val="CommentText"/>
    <w:uiPriority w:val="99"/>
    <w:semiHidden/>
    <w:rsid w:val="00AB5F5E"/>
    <w:rPr>
      <w:rFonts w:ascii="Arial" w:hAnsi="Arial"/>
    </w:rPr>
  </w:style>
  <w:style w:type="paragraph" w:styleId="CommentSubject">
    <w:name w:val="annotation subject"/>
    <w:basedOn w:val="CommentText"/>
    <w:next w:val="CommentText"/>
    <w:link w:val="CommentSubjectChar"/>
    <w:uiPriority w:val="99"/>
    <w:semiHidden/>
    <w:unhideWhenUsed/>
    <w:rsid w:val="00AB5F5E"/>
    <w:rPr>
      <w:b/>
      <w:bCs/>
    </w:rPr>
  </w:style>
  <w:style w:type="character" w:customStyle="1" w:styleId="CommentSubjectChar">
    <w:name w:val="Comment Subject Char"/>
    <w:basedOn w:val="CommentTextChar"/>
    <w:link w:val="CommentSubject"/>
    <w:uiPriority w:val="99"/>
    <w:semiHidden/>
    <w:rsid w:val="00AB5F5E"/>
    <w:rPr>
      <w:rFonts w:ascii="Arial" w:hAnsi="Arial"/>
      <w:b/>
      <w:bCs/>
    </w:rPr>
  </w:style>
  <w:style w:type="paragraph" w:customStyle="1" w:styleId="DHHSBody0">
    <w:name w:val="DHHS Body"/>
    <w:basedOn w:val="DHHSbody"/>
    <w:link w:val="DHHSBodyChar0"/>
    <w:qFormat/>
    <w:rsid w:val="0057350A"/>
  </w:style>
  <w:style w:type="character" w:customStyle="1" w:styleId="DHHSBodyChar0">
    <w:name w:val="DHHS Body Char"/>
    <w:basedOn w:val="DHHSbodyChar"/>
    <w:link w:val="DHHSBody0"/>
    <w:rsid w:val="0057350A"/>
    <w:rPr>
      <w:rFonts w:ascii="Arial" w:eastAsia="Times" w:hAnsi="Arial"/>
      <w:lang w:eastAsia="en-US"/>
    </w:rPr>
  </w:style>
  <w:style w:type="character" w:customStyle="1" w:styleId="normaltextrun">
    <w:name w:val="normaltextrun"/>
    <w:basedOn w:val="DefaultParagraphFont"/>
    <w:rsid w:val="006067AC"/>
  </w:style>
  <w:style w:type="character" w:customStyle="1" w:styleId="spellingerror">
    <w:name w:val="spellingerror"/>
    <w:basedOn w:val="DefaultParagraphFont"/>
    <w:rsid w:val="006067AC"/>
  </w:style>
  <w:style w:type="character" w:customStyle="1" w:styleId="eop">
    <w:name w:val="eop"/>
    <w:basedOn w:val="DefaultParagraphFont"/>
    <w:rsid w:val="006067AC"/>
  </w:style>
  <w:style w:type="paragraph" w:customStyle="1" w:styleId="font8">
    <w:name w:val="font_8"/>
    <w:basedOn w:val="Normal"/>
    <w:rsid w:val="00E07A95"/>
    <w:pPr>
      <w:spacing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B96342"/>
    <w:pPr>
      <w:spacing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637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9703">
      <w:bodyDiv w:val="1"/>
      <w:marLeft w:val="0"/>
      <w:marRight w:val="0"/>
      <w:marTop w:val="0"/>
      <w:marBottom w:val="0"/>
      <w:divBdr>
        <w:top w:val="none" w:sz="0" w:space="0" w:color="auto"/>
        <w:left w:val="none" w:sz="0" w:space="0" w:color="auto"/>
        <w:bottom w:val="none" w:sz="0" w:space="0" w:color="auto"/>
        <w:right w:val="none" w:sz="0" w:space="0" w:color="auto"/>
      </w:divBdr>
    </w:div>
    <w:div w:id="410468513">
      <w:bodyDiv w:val="1"/>
      <w:marLeft w:val="0"/>
      <w:marRight w:val="0"/>
      <w:marTop w:val="0"/>
      <w:marBottom w:val="0"/>
      <w:divBdr>
        <w:top w:val="none" w:sz="0" w:space="0" w:color="auto"/>
        <w:left w:val="none" w:sz="0" w:space="0" w:color="auto"/>
        <w:bottom w:val="none" w:sz="0" w:space="0" w:color="auto"/>
        <w:right w:val="none" w:sz="0" w:space="0" w:color="auto"/>
      </w:divBdr>
    </w:div>
    <w:div w:id="498234059">
      <w:bodyDiv w:val="1"/>
      <w:marLeft w:val="0"/>
      <w:marRight w:val="0"/>
      <w:marTop w:val="0"/>
      <w:marBottom w:val="0"/>
      <w:divBdr>
        <w:top w:val="none" w:sz="0" w:space="0" w:color="auto"/>
        <w:left w:val="none" w:sz="0" w:space="0" w:color="auto"/>
        <w:bottom w:val="none" w:sz="0" w:space="0" w:color="auto"/>
        <w:right w:val="none" w:sz="0" w:space="0" w:color="auto"/>
      </w:divBdr>
    </w:div>
    <w:div w:id="508520070">
      <w:bodyDiv w:val="1"/>
      <w:marLeft w:val="0"/>
      <w:marRight w:val="0"/>
      <w:marTop w:val="0"/>
      <w:marBottom w:val="0"/>
      <w:divBdr>
        <w:top w:val="none" w:sz="0" w:space="0" w:color="auto"/>
        <w:left w:val="none" w:sz="0" w:space="0" w:color="auto"/>
        <w:bottom w:val="none" w:sz="0" w:space="0" w:color="auto"/>
        <w:right w:val="none" w:sz="0" w:space="0" w:color="auto"/>
      </w:divBdr>
    </w:div>
    <w:div w:id="545218980">
      <w:bodyDiv w:val="1"/>
      <w:marLeft w:val="0"/>
      <w:marRight w:val="0"/>
      <w:marTop w:val="0"/>
      <w:marBottom w:val="0"/>
      <w:divBdr>
        <w:top w:val="none" w:sz="0" w:space="0" w:color="auto"/>
        <w:left w:val="none" w:sz="0" w:space="0" w:color="auto"/>
        <w:bottom w:val="none" w:sz="0" w:space="0" w:color="auto"/>
        <w:right w:val="none" w:sz="0" w:space="0" w:color="auto"/>
      </w:divBdr>
    </w:div>
    <w:div w:id="938953734">
      <w:bodyDiv w:val="1"/>
      <w:marLeft w:val="0"/>
      <w:marRight w:val="0"/>
      <w:marTop w:val="0"/>
      <w:marBottom w:val="0"/>
      <w:divBdr>
        <w:top w:val="none" w:sz="0" w:space="0" w:color="auto"/>
        <w:left w:val="none" w:sz="0" w:space="0" w:color="auto"/>
        <w:bottom w:val="none" w:sz="0" w:space="0" w:color="auto"/>
        <w:right w:val="none" w:sz="0" w:space="0" w:color="auto"/>
      </w:divBdr>
    </w:div>
    <w:div w:id="109301140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41380080">
      <w:bodyDiv w:val="1"/>
      <w:marLeft w:val="0"/>
      <w:marRight w:val="0"/>
      <w:marTop w:val="0"/>
      <w:marBottom w:val="0"/>
      <w:divBdr>
        <w:top w:val="none" w:sz="0" w:space="0" w:color="auto"/>
        <w:left w:val="none" w:sz="0" w:space="0" w:color="auto"/>
        <w:bottom w:val="none" w:sz="0" w:space="0" w:color="auto"/>
        <w:right w:val="none" w:sz="0" w:space="0" w:color="auto"/>
      </w:divBdr>
    </w:div>
    <w:div w:id="169576892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policy@dhhs.vic.gov.a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2.health.vic.gov.au/alcohol-and-drugs/aod-service-standards-guidelines/aod-program-guidel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roviders.dhhs.vic.gov.au/health-human-services-activity-sea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060\group\Drug%20Policy%20and%20Services\Delivery%20&amp;%20Performance\Service%20agreement%20activity%20descriptions%20project\Guidelines\Alcohol%20and%20other%20drugs%20program%20guidelines-part%202-program%20and%20service%20specifications.docx" TargetMode="External"/><Relationship Id="rId5" Type="http://schemas.openxmlformats.org/officeDocument/2006/relationships/webSettings" Target="webSettings.xml"/><Relationship Id="rId15" Type="http://schemas.openxmlformats.org/officeDocument/2006/relationships/hyperlink" Target="http://providers.dhhs.vic.gov.au/health-human-services-activity-search" TargetMode="External"/><Relationship Id="rId23" Type="http://schemas.openxmlformats.org/officeDocument/2006/relationships/customXml" Target="../customXml/item4.xml"/><Relationship Id="rId10" Type="http://schemas.openxmlformats.org/officeDocument/2006/relationships/hyperlink" Target="https://www2.health.vic.gov.au/alcohol-and-drugs/aod-service-standards-guidelines/aod-service-quality-accredit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health.vic.gov.au/alcohol-and-drugs/aod-service-standards-guidelines/aod-program-guidelines" TargetMode="External"/><Relationship Id="rId14" Type="http://schemas.openxmlformats.org/officeDocument/2006/relationships/hyperlink" Target="mailto:sapolicy@dhhs.vic.gov.au" TargetMode="Externa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230E3BCC-700B-4E87-9E85-756933D5246A}">
  <ds:schemaRefs>
    <ds:schemaRef ds:uri="http://schemas.openxmlformats.org/officeDocument/2006/bibliography"/>
  </ds:schemaRefs>
</ds:datastoreItem>
</file>

<file path=customXml/itemProps2.xml><?xml version="1.0" encoding="utf-8"?>
<ds:datastoreItem xmlns:ds="http://schemas.openxmlformats.org/officeDocument/2006/customXml" ds:itemID="{BFDEA728-6B97-41A9-841F-C5A271AB7BC7}"/>
</file>

<file path=customXml/itemProps3.xml><?xml version="1.0" encoding="utf-8"?>
<ds:datastoreItem xmlns:ds="http://schemas.openxmlformats.org/officeDocument/2006/customXml" ds:itemID="{787BD6F4-089D-45BF-B9E5-62D1D60AB085}"/>
</file>

<file path=customXml/itemProps4.xml><?xml version="1.0" encoding="utf-8"?>
<ds:datastoreItem xmlns:ds="http://schemas.openxmlformats.org/officeDocument/2006/customXml" ds:itemID="{6514DA30-A916-4A82-90CA-A314F2675129}"/>
</file>

<file path=docProps/app.xml><?xml version="1.0" encoding="utf-8"?>
<Properties xmlns="http://schemas.openxmlformats.org/officeDocument/2006/extended-properties" xmlns:vt="http://schemas.openxmlformats.org/officeDocument/2006/docPropsVTypes">
  <Template>Normal.dotm</Template>
  <TotalTime>5</TotalTime>
  <Pages>3</Pages>
  <Words>774</Words>
  <Characters>6025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health Community Offenders Advice and treatment 34042</vt:lpstr>
    </vt:vector>
  </TitlesOfParts>
  <Company>Department of Health and Human Services</Company>
  <LinksUpToDate>false</LinksUpToDate>
  <CharactersWithSpaces>6786</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Community Offenders Advice and treatment 34042</dc:title>
  <dc:subject>service agreement activity descriptions</dc:subject>
  <dc:creator>Service Agreement Policy unit</dc:creator>
  <cp:keywords>service agreement;activity description;health; drug services; Community Offenders Advice and treatment; 34042</cp:keywords>
  <cp:lastModifiedBy>Louise Crowther (DHHS)</cp:lastModifiedBy>
  <cp:revision>4</cp:revision>
  <cp:lastPrinted>2019-01-08T23:20:00Z</cp:lastPrinted>
  <dcterms:created xsi:type="dcterms:W3CDTF">2019-06-11T05:44:00Z</dcterms:created>
  <dcterms:modified xsi:type="dcterms:W3CDTF">2019-06-19T02:19:00Z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