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457807" w:rsidP="00AD784C">
      <w:pPr>
        <w:pStyle w:val="Spacerparatopoffirstpage"/>
      </w:pPr>
      <w:r>
        <w:rPr>
          <w:lang w:eastAsia="en-AU"/>
        </w:rPr>
        <w:drawing>
          <wp:anchor distT="0" distB="0" distL="114300" distR="114300" simplePos="0" relativeHeight="251657728" behindDoc="1" locked="1" layoutInCell="0" allowOverlap="1" wp14:anchorId="46946134" wp14:editId="4561E879">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pic:spPr>
                </pic:pic>
              </a:graphicData>
            </a:graphic>
            <wp14:sizeRelH relativeFrom="page">
              <wp14:pctWidth>0</wp14:pctWidth>
            </wp14:sizeRelH>
            <wp14:sizeRelV relativeFrom="page">
              <wp14:pctHeight>0</wp14:pctHeight>
            </wp14:sizeRelV>
          </wp:anchor>
        </w:drawing>
      </w:r>
    </w:p>
    <w:p w:rsidR="00A62D44" w:rsidRPr="004C6EEE" w:rsidRDefault="00A62D44" w:rsidP="00D1443D">
      <w:pPr>
        <w:pStyle w:val="Sectionbreakfirstpage"/>
        <w:rPr>
          <w:rFonts w:eastAsia="Times"/>
          <w:noProof/>
          <w:sz w:val="12"/>
        </w:rPr>
        <w:sectPr w:rsidR="00A62D44" w:rsidRPr="004C6EEE" w:rsidSect="00F922BE">
          <w:footerReference w:type="default" r:id="rId9"/>
          <w:pgSz w:w="11906" w:h="16838" w:code="9"/>
          <w:pgMar w:top="426" w:right="851" w:bottom="1418" w:left="851" w:header="510" w:footer="510" w:gutter="0"/>
          <w:cols w:space="708"/>
          <w:docGrid w:linePitch="360"/>
        </w:sectPr>
      </w:pPr>
    </w:p>
    <w:tbl>
      <w:tblPr>
        <w:tblW w:w="0" w:type="auto"/>
        <w:tblLook w:val="04A0" w:firstRow="1" w:lastRow="0" w:firstColumn="1" w:lastColumn="0" w:noHBand="0" w:noVBand="1"/>
      </w:tblPr>
      <w:tblGrid>
        <w:gridCol w:w="8461"/>
      </w:tblGrid>
      <w:tr w:rsidR="00AD784C" w:rsidTr="00FE17C3">
        <w:trPr>
          <w:trHeight w:val="918"/>
        </w:trPr>
        <w:tc>
          <w:tcPr>
            <w:tcW w:w="8461" w:type="dxa"/>
            <w:shd w:val="clear" w:color="auto" w:fill="auto"/>
            <w:vAlign w:val="bottom"/>
          </w:tcPr>
          <w:p w:rsidR="00AD784C" w:rsidRPr="00DE4E5C" w:rsidRDefault="00EC56A3" w:rsidP="00EC56A3">
            <w:pPr>
              <w:pStyle w:val="DHHSmainheading"/>
              <w:spacing w:line="270" w:lineRule="atLeast"/>
              <w:rPr>
                <w:sz w:val="44"/>
                <w:szCs w:val="44"/>
              </w:rPr>
            </w:pPr>
            <w:r w:rsidRPr="00EC56A3">
              <w:rPr>
                <w:rFonts w:cs="Arial"/>
                <w:sz w:val="44"/>
                <w:szCs w:val="44"/>
              </w:rPr>
              <w:t xml:space="preserve">Community Housing Federation of Victoria </w:t>
            </w:r>
            <w:r w:rsidR="00F922BE" w:rsidRPr="00C66079">
              <w:rPr>
                <w:rFonts w:cs="Arial"/>
                <w:sz w:val="36"/>
                <w:szCs w:val="36"/>
              </w:rPr>
              <w:br/>
            </w:r>
            <w:r w:rsidR="001B07C7">
              <w:rPr>
                <w:rFonts w:cs="Arial"/>
                <w:sz w:val="44"/>
                <w:szCs w:val="44"/>
              </w:rPr>
              <w:t>9</w:t>
            </w:r>
            <w:r>
              <w:rPr>
                <w:rFonts w:cs="Arial"/>
                <w:sz w:val="44"/>
                <w:szCs w:val="44"/>
              </w:rPr>
              <w:t>4214</w:t>
            </w:r>
          </w:p>
        </w:tc>
      </w:tr>
      <w:tr w:rsidR="00AD784C" w:rsidTr="00FE17C3">
        <w:trPr>
          <w:trHeight w:hRule="exact" w:val="1199"/>
        </w:trPr>
        <w:tc>
          <w:tcPr>
            <w:tcW w:w="8461" w:type="dxa"/>
            <w:shd w:val="clear" w:color="auto" w:fill="auto"/>
            <w:tcMar>
              <w:top w:w="170" w:type="dxa"/>
              <w:bottom w:w="510" w:type="dxa"/>
            </w:tcMar>
          </w:tcPr>
          <w:p w:rsidR="00325B39" w:rsidRDefault="00F922BE" w:rsidP="005E76EA">
            <w:pPr>
              <w:pStyle w:val="DHHSmainsubheading"/>
              <w:rPr>
                <w:szCs w:val="28"/>
              </w:rPr>
            </w:pPr>
            <w:r>
              <w:rPr>
                <w:szCs w:val="28"/>
              </w:rPr>
              <w:t>Outcome objective</w:t>
            </w:r>
            <w:r w:rsidR="00DE4E5C">
              <w:rPr>
                <w:szCs w:val="28"/>
              </w:rPr>
              <w:t>:</w:t>
            </w:r>
            <w:r>
              <w:rPr>
                <w:szCs w:val="28"/>
              </w:rPr>
              <w:t xml:space="preserve"> </w:t>
            </w:r>
            <w:r w:rsidR="00325B39">
              <w:rPr>
                <w:szCs w:val="28"/>
              </w:rPr>
              <w:t>Victorians are safe and secure</w:t>
            </w:r>
          </w:p>
          <w:p w:rsidR="00DE4E5C" w:rsidRDefault="00F922BE" w:rsidP="005E76EA">
            <w:pPr>
              <w:pStyle w:val="DHHSmainsubheading"/>
              <w:rPr>
                <w:szCs w:val="28"/>
              </w:rPr>
            </w:pPr>
            <w:r>
              <w:rPr>
                <w:szCs w:val="28"/>
              </w:rPr>
              <w:t xml:space="preserve">Output group: </w:t>
            </w:r>
            <w:r w:rsidR="00325B39" w:rsidRPr="00325B39">
              <w:rPr>
                <w:szCs w:val="28"/>
              </w:rPr>
              <w:t>Housing assistance</w:t>
            </w:r>
          </w:p>
          <w:p w:rsidR="00F922BE" w:rsidRPr="00AD784C" w:rsidRDefault="00F922BE" w:rsidP="00D1443D">
            <w:pPr>
              <w:pStyle w:val="DHHSmainsubheading"/>
              <w:rPr>
                <w:szCs w:val="28"/>
              </w:rPr>
            </w:pPr>
            <w:r>
              <w:rPr>
                <w:szCs w:val="28"/>
              </w:rPr>
              <w:t xml:space="preserve">Output: </w:t>
            </w:r>
            <w:r w:rsidR="00325B39" w:rsidRPr="00325B39">
              <w:rPr>
                <w:szCs w:val="28"/>
              </w:rPr>
              <w:t>Housing support and homelessness assistance</w:t>
            </w:r>
          </w:p>
        </w:tc>
      </w:tr>
    </w:tbl>
    <w:p w:rsidR="007173CA" w:rsidRDefault="007173CA" w:rsidP="006C7A1F">
      <w:pPr>
        <w:pStyle w:val="DHHSbody"/>
        <w:spacing w:beforeLines="40" w:before="96"/>
        <w:sectPr w:rsidR="007173CA" w:rsidSect="00F922BE">
          <w:headerReference w:type="default" r:id="rId10"/>
          <w:footerReference w:type="default" r:id="rId11"/>
          <w:type w:val="continuous"/>
          <w:pgSz w:w="11906" w:h="16838" w:code="9"/>
          <w:pgMar w:top="993" w:right="851" w:bottom="1134" w:left="851" w:header="567" w:footer="510" w:gutter="0"/>
          <w:cols w:space="340"/>
          <w:titlePg/>
          <w:docGrid w:linePitch="360"/>
        </w:sectPr>
      </w:pPr>
      <w:bookmarkStart w:id="0" w:name="_Toc440566508"/>
    </w:p>
    <w:bookmarkEnd w:id="0"/>
    <w:p w:rsidR="00A62D44" w:rsidRDefault="00B70F76" w:rsidP="00827470">
      <w:pPr>
        <w:pStyle w:val="Heading1"/>
      </w:pPr>
      <w:r w:rsidRPr="00B70F76">
        <w:t>1.</w:t>
      </w:r>
      <w:r>
        <w:t xml:space="preserve"> </w:t>
      </w:r>
      <w:r w:rsidR="00DF6BAF">
        <w:t xml:space="preserve">Service Objective </w:t>
      </w:r>
    </w:p>
    <w:p w:rsidR="00EC56A3" w:rsidRPr="00EC56A3" w:rsidRDefault="00EC56A3" w:rsidP="00827470">
      <w:pPr>
        <w:pStyle w:val="DHHSbody"/>
        <w:rPr>
          <w:b/>
          <w:bCs/>
        </w:rPr>
      </w:pPr>
      <w:bookmarkStart w:id="1" w:name="_Toc256778633"/>
      <w:r w:rsidRPr="00EC56A3">
        <w:t>Peak body for the community housing sector:</w:t>
      </w:r>
    </w:p>
    <w:p w:rsidR="00EC56A3" w:rsidRPr="00EC56A3" w:rsidRDefault="00EC56A3" w:rsidP="00EC56A3">
      <w:pPr>
        <w:pStyle w:val="DHHSbullet1"/>
      </w:pPr>
      <w:r w:rsidRPr="00EC56A3">
        <w:t>promote and support the community housing sector</w:t>
      </w:r>
    </w:p>
    <w:p w:rsidR="00C152FA" w:rsidRDefault="00EC56A3" w:rsidP="00EC56A3">
      <w:pPr>
        <w:pStyle w:val="DHHSbullet1"/>
        <w:rPr>
          <w:b/>
          <w:bCs/>
        </w:rPr>
      </w:pPr>
      <w:r w:rsidRPr="00EC56A3">
        <w:t>effectively consolidate the diverse views of its member organisations to provide a single coherent voice for the sector.</w:t>
      </w:r>
    </w:p>
    <w:p w:rsidR="00DF6BAF" w:rsidRDefault="00DE4E5C" w:rsidP="00827470">
      <w:pPr>
        <w:pStyle w:val="Heading1"/>
      </w:pPr>
      <w:r>
        <w:t>2</w:t>
      </w:r>
      <w:r w:rsidR="00B70F76" w:rsidRPr="00B70F76">
        <w:t xml:space="preserve">. </w:t>
      </w:r>
      <w:r w:rsidR="00DF6BAF">
        <w:t>Description of the service</w:t>
      </w:r>
    </w:p>
    <w:p w:rsidR="00EC56A3" w:rsidRPr="00EC56A3" w:rsidRDefault="00EC56A3" w:rsidP="00EC56A3">
      <w:pPr>
        <w:pStyle w:val="DHHSbody"/>
        <w:rPr>
          <w:rStyle w:val="DHHSbodyChar"/>
        </w:rPr>
      </w:pPr>
      <w:r w:rsidRPr="00EC56A3">
        <w:rPr>
          <w:rStyle w:val="DHHSbodyChar"/>
        </w:rPr>
        <w:t>Support the community housing sector in Victoria that provides accessible, affordable and appropriate housing for those most in need through:</w:t>
      </w:r>
    </w:p>
    <w:p w:rsidR="00EC56A3" w:rsidRPr="00827470" w:rsidRDefault="00EC56A3" w:rsidP="00827470">
      <w:pPr>
        <w:pStyle w:val="DHHSbullet1"/>
        <w:rPr>
          <w:rStyle w:val="DHHSbodyChar"/>
        </w:rPr>
      </w:pPr>
      <w:r w:rsidRPr="00827470">
        <w:rPr>
          <w:rStyle w:val="DHHSbodyChar"/>
        </w:rPr>
        <w:t>input into policy development and representation</w:t>
      </w:r>
    </w:p>
    <w:p w:rsidR="00EC56A3" w:rsidRPr="00827470" w:rsidRDefault="00EC56A3" w:rsidP="00827470">
      <w:pPr>
        <w:pStyle w:val="DHHSbullet1"/>
        <w:rPr>
          <w:rStyle w:val="DHHSbodyChar"/>
        </w:rPr>
      </w:pPr>
      <w:r w:rsidRPr="00827470">
        <w:rPr>
          <w:rStyle w:val="DHHSbodyChar"/>
        </w:rPr>
        <w:t>communication and advocacy</w:t>
      </w:r>
    </w:p>
    <w:p w:rsidR="00EC56A3" w:rsidRPr="00827470" w:rsidRDefault="00EC56A3" w:rsidP="00827470">
      <w:pPr>
        <w:pStyle w:val="DHHSbullet1"/>
        <w:rPr>
          <w:rStyle w:val="DHHSbodyChar"/>
        </w:rPr>
      </w:pPr>
      <w:r w:rsidRPr="00827470">
        <w:rPr>
          <w:rStyle w:val="DHHSbodyChar"/>
        </w:rPr>
        <w:t>sector consultation and co-ordination</w:t>
      </w:r>
    </w:p>
    <w:p w:rsidR="00EC56A3" w:rsidRPr="00827470" w:rsidRDefault="00EC56A3" w:rsidP="00827470">
      <w:pPr>
        <w:pStyle w:val="DHHSbullet1"/>
        <w:rPr>
          <w:rStyle w:val="DHHSbodyChar"/>
        </w:rPr>
      </w:pPr>
      <w:r w:rsidRPr="00827470">
        <w:rPr>
          <w:rStyle w:val="DHHSbodyChar"/>
        </w:rPr>
        <w:t>sector capacity building</w:t>
      </w:r>
    </w:p>
    <w:p w:rsidR="00EC56A3" w:rsidRPr="00827470" w:rsidRDefault="00EC56A3" w:rsidP="00827470">
      <w:pPr>
        <w:pStyle w:val="DHHSbullet1"/>
        <w:rPr>
          <w:rStyle w:val="DHHSbodyChar"/>
        </w:rPr>
      </w:pPr>
      <w:r w:rsidRPr="00827470">
        <w:rPr>
          <w:rStyle w:val="DHHSbodyChar"/>
        </w:rPr>
        <w:t>identification of opportunities and risks.</w:t>
      </w:r>
    </w:p>
    <w:p w:rsidR="00B70F76" w:rsidRPr="00B70F76" w:rsidRDefault="00DF6BAF" w:rsidP="00827470">
      <w:pPr>
        <w:pStyle w:val="Heading1"/>
      </w:pPr>
      <w:r w:rsidRPr="00847D24">
        <w:t xml:space="preserve">3. </w:t>
      </w:r>
      <w:r w:rsidR="00B70F76" w:rsidRPr="00847D24">
        <w:t>Client group</w:t>
      </w:r>
    </w:p>
    <w:p w:rsidR="00821296" w:rsidRDefault="00EC56A3" w:rsidP="00EC56A3">
      <w:pPr>
        <w:pStyle w:val="DHHSbullet1"/>
        <w:numPr>
          <w:ilvl w:val="0"/>
          <w:numId w:val="0"/>
        </w:numPr>
        <w:ind w:left="284" w:hanging="284"/>
        <w:rPr>
          <w:rStyle w:val="DHHSbodyChar"/>
        </w:rPr>
      </w:pPr>
      <w:r w:rsidRPr="00EC56A3">
        <w:rPr>
          <w:rStyle w:val="DHHSbodyChar"/>
        </w:rPr>
        <w:t>Community housing sector organisations.</w:t>
      </w:r>
    </w:p>
    <w:p w:rsidR="002D1AA5" w:rsidRDefault="00520CCE" w:rsidP="00827470">
      <w:pPr>
        <w:pStyle w:val="Heading1"/>
      </w:pPr>
      <w:r w:rsidRPr="00520CCE">
        <w:t xml:space="preserve"> </w:t>
      </w:r>
      <w:r w:rsidR="00DF6BAF" w:rsidRPr="00520CCE">
        <w:t>4</w:t>
      </w:r>
      <w:r w:rsidR="00B70F76" w:rsidRPr="00520CCE">
        <w:t xml:space="preserve">. Obligations specific to this </w:t>
      </w:r>
      <w:r w:rsidR="00EC4117" w:rsidRPr="00520CCE">
        <w:t>activity</w:t>
      </w:r>
    </w:p>
    <w:p w:rsidR="00B70F76" w:rsidRDefault="00DF6BAF" w:rsidP="006C7A1F">
      <w:pPr>
        <w:pStyle w:val="DHHSbody"/>
        <w:spacing w:beforeLines="40" w:before="96"/>
      </w:pPr>
      <w:r>
        <w:t>In addition to the obligations listed in the Service Agreement, o</w:t>
      </w:r>
      <w:r w:rsidR="002B3651">
        <w:t xml:space="preserve">rganisations funded to deliver this </w:t>
      </w:r>
      <w:r w:rsidR="00EC4117">
        <w:t xml:space="preserve">activity </w:t>
      </w:r>
      <w:r w:rsidR="002B3651">
        <w:t>must comply with the following:</w:t>
      </w:r>
    </w:p>
    <w:p w:rsidR="001F3DE2" w:rsidRDefault="00020209" w:rsidP="00827470">
      <w:pPr>
        <w:pStyle w:val="Heading2"/>
      </w:pPr>
      <w:r w:rsidRPr="001F3DE2">
        <w:t xml:space="preserve">4a.  Registration and Accreditation </w:t>
      </w:r>
    </w:p>
    <w:p w:rsidR="009E6FA8" w:rsidRPr="001F3DE2" w:rsidRDefault="00827470" w:rsidP="00827470">
      <w:pPr>
        <w:pStyle w:val="DHHSbody"/>
      </w:pPr>
      <w:r>
        <w:t>N/A</w:t>
      </w:r>
    </w:p>
    <w:p w:rsidR="009277C5" w:rsidRDefault="00020209" w:rsidP="00827470">
      <w:pPr>
        <w:pStyle w:val="Heading2"/>
      </w:pPr>
      <w:r w:rsidRPr="001F3DE2">
        <w:t xml:space="preserve">4b. </w:t>
      </w:r>
      <w:r w:rsidR="001F3DE2" w:rsidRPr="001F3DE2">
        <w:t xml:space="preserve">Program requirements and other policy guidelines </w:t>
      </w:r>
      <w:bookmarkStart w:id="2" w:name="_Toc421023841"/>
      <w:bookmarkStart w:id="3" w:name="_Toc475953722"/>
      <w:bookmarkStart w:id="4" w:name="_Toc477437702"/>
      <w:bookmarkStart w:id="5" w:name="_Toc529373787"/>
    </w:p>
    <w:p w:rsidR="00EC56A3" w:rsidRDefault="00827470" w:rsidP="00827470">
      <w:pPr>
        <w:pStyle w:val="DHHSbody"/>
      </w:pPr>
      <w:r>
        <w:t>N/A</w:t>
      </w:r>
    </w:p>
    <w:p w:rsidR="00575BC9" w:rsidRPr="00575BC9" w:rsidRDefault="00DF6BAF" w:rsidP="00827470">
      <w:pPr>
        <w:pStyle w:val="Heading1"/>
      </w:pPr>
      <w:r>
        <w:lastRenderedPageBreak/>
        <w:t>5</w:t>
      </w:r>
      <w:r w:rsidR="00575BC9">
        <w:t xml:space="preserve">. </w:t>
      </w:r>
      <w:bookmarkEnd w:id="2"/>
      <w:bookmarkEnd w:id="3"/>
      <w:bookmarkEnd w:id="4"/>
      <w:bookmarkEnd w:id="5"/>
      <w:r w:rsidR="0017293C">
        <w:t>Performance</w:t>
      </w:r>
    </w:p>
    <w:p w:rsidR="00575BC9" w:rsidRPr="001F1A17" w:rsidRDefault="00E05E8D" w:rsidP="00827470">
      <w:pPr>
        <w:pStyle w:val="DHHSbody"/>
      </w:pPr>
      <w:r>
        <w:t>Funding is subject to</w:t>
      </w:r>
      <w:r w:rsidR="0017293C">
        <w:t xml:space="preserve"> achieving</w:t>
      </w:r>
      <w:r>
        <w:t xml:space="preserve"> the</w:t>
      </w:r>
      <w:r w:rsidR="00575BC9" w:rsidRPr="00171F04">
        <w:t xml:space="preserve"> </w:t>
      </w:r>
      <w:r w:rsidR="00895643">
        <w:t xml:space="preserve">performance </w:t>
      </w:r>
      <w:r>
        <w:t xml:space="preserve">targets </w:t>
      </w:r>
      <w:r w:rsidR="00895643">
        <w:t xml:space="preserve">specified in </w:t>
      </w:r>
      <w:r w:rsidR="00575BC9">
        <w:t>Schedule 2 of the Service Agreement</w:t>
      </w:r>
      <w:r w:rsidR="00895643">
        <w:t>.</w:t>
      </w:r>
      <w:r w:rsidR="006C7A1F">
        <w:t xml:space="preserve"> </w:t>
      </w:r>
      <w:r>
        <w:t xml:space="preserve">Performance is measured as follows:  </w:t>
      </w:r>
    </w:p>
    <w:p w:rsidR="00EC56A3" w:rsidRPr="000E2F2F" w:rsidRDefault="00EC56A3" w:rsidP="00827470">
      <w:pPr>
        <w:pStyle w:val="Heading2"/>
        <w:rPr>
          <w:color w:val="FF0000"/>
        </w:rPr>
      </w:pPr>
      <w:r>
        <w:t xml:space="preserve">Key performance measure </w:t>
      </w:r>
      <w:r w:rsidR="00ED2426">
        <w:t>1</w:t>
      </w:r>
      <w:r w:rsidRPr="00575BC9">
        <w:t xml:space="preserve">: </w:t>
      </w:r>
      <w:r w:rsidRPr="00EC56A3">
        <w:t>Submission of a</w:t>
      </w:r>
      <w:r w:rsidR="00A4174A">
        <w:t xml:space="preserve"> 6 monthly progress</w:t>
      </w:r>
      <w:r w:rsidRPr="00EC56A3">
        <w:t xml:space="preserve"> report</w:t>
      </w:r>
      <w:r w:rsidR="00E85BF1">
        <w:t xml:space="preserve"> </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EC56A3" w:rsidRPr="00C237A0" w:rsidTr="00827470">
        <w:trPr>
          <w:cantSplit/>
          <w:trHeight w:hRule="exact" w:val="1008"/>
        </w:trPr>
        <w:tc>
          <w:tcPr>
            <w:tcW w:w="2835" w:type="dxa"/>
          </w:tcPr>
          <w:p w:rsidR="00EC56A3" w:rsidRPr="0017293C" w:rsidRDefault="00EC56A3" w:rsidP="00793C10">
            <w:pPr>
              <w:pStyle w:val="DHHStablecolhead"/>
            </w:pPr>
            <w:r w:rsidRPr="00575BC9">
              <w:t>Aim/objective</w:t>
            </w:r>
          </w:p>
        </w:tc>
        <w:tc>
          <w:tcPr>
            <w:tcW w:w="7379" w:type="dxa"/>
          </w:tcPr>
          <w:p w:rsidR="00641166" w:rsidRDefault="00EC56A3" w:rsidP="00793C10">
            <w:pPr>
              <w:pStyle w:val="DHHStabletext"/>
            </w:pPr>
            <w:r>
              <w:t>Community Housing Federation of Victoria is</w:t>
            </w:r>
            <w:r w:rsidRPr="00423901">
              <w:t xml:space="preserve"> required to submit</w:t>
            </w:r>
            <w:r w:rsidR="00A4174A">
              <w:t xml:space="preserve"> 6 monthly progress report providing evidence of delivery of the agreed key performance indicators established in the annual work plan. </w:t>
            </w:r>
          </w:p>
          <w:p w:rsidR="00EC56A3" w:rsidRPr="00423901" w:rsidRDefault="00EC56A3" w:rsidP="00793C10">
            <w:pPr>
              <w:pStyle w:val="DHHStabletext"/>
              <w:rPr>
                <w:rFonts w:eastAsia="Times"/>
              </w:rPr>
            </w:pPr>
            <w:r>
              <w:t xml:space="preserve"> </w:t>
            </w:r>
          </w:p>
        </w:tc>
      </w:tr>
      <w:tr w:rsidR="00EC56A3" w:rsidRPr="00C237A0" w:rsidTr="00827470">
        <w:trPr>
          <w:cantSplit/>
          <w:trHeight w:hRule="exact" w:val="340"/>
        </w:trPr>
        <w:tc>
          <w:tcPr>
            <w:tcW w:w="2835" w:type="dxa"/>
          </w:tcPr>
          <w:p w:rsidR="00EC56A3" w:rsidRPr="0017293C" w:rsidRDefault="00EC56A3" w:rsidP="00793C10">
            <w:pPr>
              <w:pStyle w:val="DHHStablecolhead"/>
            </w:pPr>
            <w:r w:rsidRPr="00575BC9">
              <w:t>Target</w:t>
            </w:r>
          </w:p>
        </w:tc>
        <w:tc>
          <w:tcPr>
            <w:tcW w:w="7379" w:type="dxa"/>
          </w:tcPr>
          <w:p w:rsidR="00EC56A3" w:rsidRPr="002F7C4B" w:rsidRDefault="00EC56A3" w:rsidP="00793C10">
            <w:pPr>
              <w:pStyle w:val="DHHSbody"/>
              <w:spacing w:after="0"/>
              <w:rPr>
                <w:color w:val="7030A0"/>
              </w:rPr>
            </w:pPr>
            <w:r>
              <w:t>The performance measure target is provided in the Service Agreement.</w:t>
            </w:r>
          </w:p>
        </w:tc>
      </w:tr>
      <w:tr w:rsidR="00EC56A3" w:rsidRPr="00C237A0" w:rsidTr="00827470">
        <w:trPr>
          <w:cantSplit/>
          <w:trHeight w:hRule="exact" w:val="361"/>
        </w:trPr>
        <w:tc>
          <w:tcPr>
            <w:tcW w:w="2835" w:type="dxa"/>
          </w:tcPr>
          <w:p w:rsidR="00EC56A3" w:rsidRPr="0017293C" w:rsidRDefault="00EC56A3" w:rsidP="00793C10">
            <w:pPr>
              <w:pStyle w:val="DHHStablecolhead"/>
            </w:pPr>
            <w:r w:rsidRPr="00575BC9">
              <w:t>Type of count</w:t>
            </w:r>
          </w:p>
        </w:tc>
        <w:tc>
          <w:tcPr>
            <w:tcW w:w="7379" w:type="dxa"/>
          </w:tcPr>
          <w:p w:rsidR="00EC56A3" w:rsidRPr="00C237A0" w:rsidRDefault="00EC56A3" w:rsidP="00793C10">
            <w:pPr>
              <w:pStyle w:val="DHHStabletext"/>
              <w:spacing w:before="0" w:after="0"/>
            </w:pPr>
            <w:r>
              <w:rPr>
                <w:color w:val="7030A0"/>
              </w:rPr>
              <w:fldChar w:fldCharType="begin">
                <w:ffData>
                  <w:name w:val=""/>
                  <w:enabled/>
                  <w:calcOnExit w:val="0"/>
                  <w:checkBox>
                    <w:sizeAuto/>
                    <w:default w:val="1"/>
                  </w:checkBox>
                </w:ffData>
              </w:fldChar>
            </w:r>
            <w:r>
              <w:rPr>
                <w:color w:val="7030A0"/>
              </w:rPr>
              <w:instrText xml:space="preserve"> FORMCHECKBOX </w:instrText>
            </w:r>
            <w:r w:rsidR="00FE17C3">
              <w:rPr>
                <w:color w:val="7030A0"/>
              </w:rPr>
            </w:r>
            <w:r w:rsidR="00FE17C3">
              <w:rPr>
                <w:color w:val="7030A0"/>
              </w:rPr>
              <w:fldChar w:fldCharType="separate"/>
            </w:r>
            <w:r>
              <w:rPr>
                <w:color w:val="7030A0"/>
              </w:rPr>
              <w:fldChar w:fldCharType="end"/>
            </w:r>
            <w:r>
              <w:rPr>
                <w:color w:val="7030A0"/>
              </w:rPr>
              <w:t xml:space="preserve"> </w:t>
            </w:r>
            <w:r>
              <w:t xml:space="preserve">Cumulative          </w:t>
            </w:r>
            <w:r>
              <w:rPr>
                <w:color w:val="7030A0"/>
              </w:rPr>
              <w:fldChar w:fldCharType="begin">
                <w:ffData>
                  <w:name w:val="Check2"/>
                  <w:enabled/>
                  <w:calcOnExit w:val="0"/>
                  <w:checkBox>
                    <w:sizeAuto/>
                    <w:default w:val="0"/>
                  </w:checkBox>
                </w:ffData>
              </w:fldChar>
            </w:r>
            <w:r>
              <w:rPr>
                <w:color w:val="7030A0"/>
              </w:rPr>
              <w:instrText xml:space="preserve"> FORMCHECKBOX </w:instrText>
            </w:r>
            <w:r w:rsidR="00FE17C3">
              <w:rPr>
                <w:color w:val="7030A0"/>
              </w:rPr>
            </w:r>
            <w:r w:rsidR="00FE17C3">
              <w:rPr>
                <w:color w:val="7030A0"/>
              </w:rPr>
              <w:fldChar w:fldCharType="separate"/>
            </w:r>
            <w:r>
              <w:rPr>
                <w:color w:val="7030A0"/>
              </w:rPr>
              <w:fldChar w:fldCharType="end"/>
            </w:r>
            <w:r>
              <w:rPr>
                <w:color w:val="7030A0"/>
              </w:rPr>
              <w:t xml:space="preserve"> </w:t>
            </w:r>
            <w:r>
              <w:t xml:space="preserve">Non-cumulative  </w:t>
            </w:r>
          </w:p>
        </w:tc>
      </w:tr>
      <w:tr w:rsidR="00EC56A3" w:rsidRPr="00C237A0" w:rsidTr="00827470">
        <w:trPr>
          <w:cantSplit/>
          <w:trHeight w:hRule="exact" w:val="862"/>
        </w:trPr>
        <w:tc>
          <w:tcPr>
            <w:tcW w:w="2835" w:type="dxa"/>
          </w:tcPr>
          <w:p w:rsidR="00EC56A3" w:rsidRPr="0017293C" w:rsidRDefault="00EC56A3" w:rsidP="00793C10">
            <w:pPr>
              <w:pStyle w:val="DHHStablecolhead"/>
            </w:pPr>
            <w:r w:rsidRPr="00575BC9">
              <w:t>Counting rule</w:t>
            </w:r>
          </w:p>
        </w:tc>
        <w:tc>
          <w:tcPr>
            <w:tcW w:w="7379" w:type="dxa"/>
          </w:tcPr>
          <w:p w:rsidR="002F2969" w:rsidRPr="0066011D" w:rsidRDefault="00D54E11" w:rsidP="00793C10">
            <w:pPr>
              <w:pStyle w:val="DHHStabletext"/>
              <w:rPr>
                <w:color w:val="000000"/>
              </w:rPr>
            </w:pPr>
            <w:r>
              <w:rPr>
                <w:color w:val="000000"/>
              </w:rPr>
              <w:t xml:space="preserve">The report will need to provide evidence of progress against the activities identified in the Annual Work Plan. </w:t>
            </w:r>
          </w:p>
        </w:tc>
      </w:tr>
      <w:tr w:rsidR="00243D29" w:rsidRPr="00C237A0" w:rsidTr="00827470">
        <w:trPr>
          <w:cantSplit/>
          <w:trHeight w:hRule="exact" w:val="858"/>
        </w:trPr>
        <w:tc>
          <w:tcPr>
            <w:tcW w:w="2835" w:type="dxa"/>
          </w:tcPr>
          <w:p w:rsidR="00243D29" w:rsidRPr="0017293C" w:rsidRDefault="00243D29" w:rsidP="00793C10">
            <w:pPr>
              <w:pStyle w:val="DHHStablecolhead"/>
            </w:pPr>
            <w:r w:rsidRPr="00575BC9">
              <w:t>Data source(s) collection</w:t>
            </w:r>
          </w:p>
        </w:tc>
        <w:tc>
          <w:tcPr>
            <w:tcW w:w="7379" w:type="dxa"/>
          </w:tcPr>
          <w:p w:rsidR="00243D29" w:rsidRDefault="00243D29" w:rsidP="00793C10">
            <w:pPr>
              <w:pStyle w:val="DHHStabletext"/>
              <w:rPr>
                <w:rFonts w:eastAsia="Times"/>
              </w:rPr>
            </w:pPr>
            <w:r>
              <w:rPr>
                <w:rFonts w:eastAsia="Times"/>
              </w:rPr>
              <w:t>Twice yearly</w:t>
            </w:r>
            <w:r w:rsidRPr="00423901">
              <w:rPr>
                <w:rFonts w:eastAsia="Times"/>
              </w:rPr>
              <w:t xml:space="preserve"> </w:t>
            </w:r>
            <w:r w:rsidR="00ED2426">
              <w:rPr>
                <w:rFonts w:eastAsia="Times"/>
              </w:rPr>
              <w:t xml:space="preserve">work plan </w:t>
            </w:r>
            <w:r w:rsidRPr="00423901">
              <w:rPr>
                <w:rFonts w:eastAsia="Times"/>
              </w:rPr>
              <w:t>report</w:t>
            </w:r>
          </w:p>
          <w:p w:rsidR="00641166" w:rsidRPr="00827470" w:rsidRDefault="00641166" w:rsidP="00793C10">
            <w:pPr>
              <w:pStyle w:val="DHHStabletext"/>
              <w:rPr>
                <w:lang w:eastAsia="en-AU"/>
              </w:rPr>
            </w:pPr>
            <w:r w:rsidRPr="00827470">
              <w:rPr>
                <w:lang w:eastAsia="en-AU"/>
              </w:rPr>
              <w:t>Annual work plan</w:t>
            </w:r>
            <w:r w:rsidR="00ED2426" w:rsidRPr="00827470">
              <w:rPr>
                <w:lang w:eastAsia="en-AU"/>
              </w:rPr>
              <w:t xml:space="preserve"> </w:t>
            </w:r>
          </w:p>
        </w:tc>
      </w:tr>
      <w:tr w:rsidR="00EC56A3" w:rsidRPr="00C237A0" w:rsidTr="00827470">
        <w:trPr>
          <w:cantSplit/>
          <w:trHeight w:hRule="exact" w:val="546"/>
        </w:trPr>
        <w:tc>
          <w:tcPr>
            <w:tcW w:w="2835" w:type="dxa"/>
          </w:tcPr>
          <w:p w:rsidR="00EC56A3" w:rsidRPr="0017293C" w:rsidRDefault="00EC56A3" w:rsidP="00793C10">
            <w:pPr>
              <w:pStyle w:val="DHHStablecolhead"/>
            </w:pPr>
            <w:r w:rsidRPr="00575BC9">
              <w:t>Definition of terms</w:t>
            </w:r>
          </w:p>
        </w:tc>
        <w:tc>
          <w:tcPr>
            <w:tcW w:w="7379" w:type="dxa"/>
          </w:tcPr>
          <w:p w:rsidR="00EC56A3" w:rsidRPr="00C237A0" w:rsidRDefault="00EC56A3" w:rsidP="00793C10">
            <w:pPr>
              <w:pStyle w:val="DHHStabletext"/>
            </w:pPr>
          </w:p>
        </w:tc>
      </w:tr>
    </w:tbl>
    <w:p w:rsidR="00575BC9" w:rsidRPr="00575BC9" w:rsidRDefault="00DF6BAF" w:rsidP="00827470">
      <w:pPr>
        <w:pStyle w:val="Heading1"/>
      </w:pPr>
      <w:r>
        <w:t>6</w:t>
      </w:r>
      <w:r w:rsidR="00575BC9">
        <w:t>. Data collection</w:t>
      </w:r>
    </w:p>
    <w:p w:rsidR="00575BC9" w:rsidRDefault="00A11FC5" w:rsidP="00827470">
      <w:pPr>
        <w:pStyle w:val="DHHSbody"/>
      </w:pPr>
      <w:r>
        <w:t>The r</w:t>
      </w:r>
      <w:r w:rsidR="0087683C">
        <w:t>eporting requirements for this service</w:t>
      </w:r>
      <w:r>
        <w:t xml:space="preserve"> are:</w:t>
      </w: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28"/>
        <w:gridCol w:w="2560"/>
        <w:gridCol w:w="20"/>
        <w:gridCol w:w="2496"/>
        <w:gridCol w:w="2592"/>
      </w:tblGrid>
      <w:tr w:rsidR="00575BC9" w:rsidRPr="00045493" w:rsidTr="009277C5">
        <w:trPr>
          <w:trHeight w:hRule="exact" w:val="340"/>
          <w:tblHeader/>
        </w:trPr>
        <w:tc>
          <w:tcPr>
            <w:tcW w:w="2660" w:type="dxa"/>
            <w:vAlign w:val="center"/>
          </w:tcPr>
          <w:p w:rsidR="00575BC9" w:rsidRPr="00575BC9" w:rsidRDefault="00575BC9" w:rsidP="0017293C">
            <w:pPr>
              <w:pStyle w:val="DHHStablecolhead"/>
              <w:spacing w:before="0" w:after="0"/>
            </w:pPr>
            <w:r w:rsidRPr="00575BC9">
              <w:t>Data collection name</w:t>
            </w:r>
          </w:p>
        </w:tc>
        <w:tc>
          <w:tcPr>
            <w:tcW w:w="2588" w:type="dxa"/>
            <w:gridSpan w:val="2"/>
            <w:vAlign w:val="center"/>
          </w:tcPr>
          <w:p w:rsidR="00575BC9" w:rsidRPr="00575BC9" w:rsidRDefault="00575BC9" w:rsidP="0017293C">
            <w:pPr>
              <w:pStyle w:val="DHHStablecolhead"/>
              <w:spacing w:before="0" w:after="0"/>
            </w:pPr>
            <w:r w:rsidRPr="00575BC9">
              <w:t xml:space="preserve">Data system </w:t>
            </w:r>
          </w:p>
        </w:tc>
        <w:tc>
          <w:tcPr>
            <w:tcW w:w="2516" w:type="dxa"/>
            <w:gridSpan w:val="2"/>
            <w:vAlign w:val="center"/>
          </w:tcPr>
          <w:p w:rsidR="00575BC9" w:rsidRPr="00575BC9" w:rsidRDefault="00575BC9" w:rsidP="0017293C">
            <w:pPr>
              <w:pStyle w:val="DHHStablecolhead"/>
              <w:spacing w:before="0" w:after="0"/>
            </w:pPr>
            <w:r w:rsidRPr="00575BC9">
              <w:t xml:space="preserve">Data set </w:t>
            </w:r>
          </w:p>
        </w:tc>
        <w:tc>
          <w:tcPr>
            <w:tcW w:w="2592" w:type="dxa"/>
            <w:vAlign w:val="center"/>
          </w:tcPr>
          <w:p w:rsidR="00575BC9" w:rsidRPr="00575BC9" w:rsidRDefault="00575BC9" w:rsidP="0017293C">
            <w:pPr>
              <w:pStyle w:val="DHHStablecolhead"/>
              <w:spacing w:before="0" w:after="0"/>
            </w:pPr>
            <w:r w:rsidRPr="00575BC9">
              <w:t>Reporting cycle</w:t>
            </w:r>
          </w:p>
        </w:tc>
      </w:tr>
      <w:tr w:rsidR="009277C5" w:rsidRPr="009277C5" w:rsidTr="009C2761">
        <w:trPr>
          <w:trHeight w:val="776"/>
        </w:trPr>
        <w:tc>
          <w:tcPr>
            <w:tcW w:w="2688" w:type="dxa"/>
            <w:gridSpan w:val="2"/>
          </w:tcPr>
          <w:p w:rsidR="009277C5" w:rsidRPr="009277C5" w:rsidDel="00326E44" w:rsidRDefault="00641166" w:rsidP="00793C10">
            <w:pPr>
              <w:pStyle w:val="DHHStabletext"/>
              <w:rPr>
                <w:rFonts w:cs="Arial"/>
                <w:b/>
              </w:rPr>
            </w:pPr>
            <w:r>
              <w:rPr>
                <w:rFonts w:cs="Arial"/>
                <w:b/>
              </w:rPr>
              <w:t>Twice yearly report</w:t>
            </w:r>
          </w:p>
        </w:tc>
        <w:tc>
          <w:tcPr>
            <w:tcW w:w="2580" w:type="dxa"/>
            <w:gridSpan w:val="2"/>
          </w:tcPr>
          <w:p w:rsidR="009277C5" w:rsidRPr="009277C5" w:rsidRDefault="009277C5" w:rsidP="00793C10">
            <w:pPr>
              <w:pStyle w:val="DHHStabletext"/>
              <w:rPr>
                <w:rFonts w:cs="Arial"/>
              </w:rPr>
            </w:pPr>
          </w:p>
        </w:tc>
        <w:tc>
          <w:tcPr>
            <w:tcW w:w="2496" w:type="dxa"/>
          </w:tcPr>
          <w:p w:rsidR="009277C5" w:rsidRPr="009277C5" w:rsidRDefault="00ED2426" w:rsidP="00793C10">
            <w:pPr>
              <w:pStyle w:val="DHHStabletext"/>
              <w:rPr>
                <w:rFonts w:cs="Arial"/>
              </w:rPr>
            </w:pPr>
            <w:r>
              <w:rPr>
                <w:rFonts w:cs="Arial"/>
              </w:rPr>
              <w:t>Report</w:t>
            </w:r>
          </w:p>
        </w:tc>
        <w:tc>
          <w:tcPr>
            <w:tcW w:w="2592" w:type="dxa"/>
          </w:tcPr>
          <w:p w:rsidR="009277C5" w:rsidRPr="009277C5" w:rsidRDefault="00D54E11" w:rsidP="00793C10">
            <w:pPr>
              <w:pStyle w:val="DHHStabletext"/>
              <w:rPr>
                <w:rFonts w:cs="Arial"/>
              </w:rPr>
            </w:pPr>
            <w:r>
              <w:t>W</w:t>
            </w:r>
            <w:r w:rsidR="00641166">
              <w:t>ithin six weeks of</w:t>
            </w:r>
            <w:r w:rsidR="00641166" w:rsidRPr="002D6C64">
              <w:t xml:space="preserve"> the </w:t>
            </w:r>
            <w:r w:rsidR="00641166">
              <w:t>completion</w:t>
            </w:r>
            <w:r w:rsidR="00641166" w:rsidRPr="002D6C64">
              <w:t xml:space="preserve"> of</w:t>
            </w:r>
            <w:r w:rsidR="00641166">
              <w:t xml:space="preserve"> each half financial year</w:t>
            </w:r>
            <w:r w:rsidR="00641166" w:rsidRPr="00423901">
              <w:t xml:space="preserve"> </w:t>
            </w:r>
            <w:r w:rsidR="00641166" w:rsidRPr="00DE4B67">
              <w:t>period</w:t>
            </w:r>
          </w:p>
        </w:tc>
      </w:tr>
      <w:tr w:rsidR="00641166" w:rsidRPr="009277C5" w:rsidTr="009C2761">
        <w:trPr>
          <w:trHeight w:val="1056"/>
        </w:trPr>
        <w:tc>
          <w:tcPr>
            <w:tcW w:w="2688" w:type="dxa"/>
            <w:gridSpan w:val="2"/>
          </w:tcPr>
          <w:p w:rsidR="00641166" w:rsidRDefault="00641166" w:rsidP="00793C10">
            <w:pPr>
              <w:pStyle w:val="DHHStabletext"/>
              <w:rPr>
                <w:rFonts w:cs="Arial"/>
                <w:b/>
              </w:rPr>
            </w:pPr>
            <w:r>
              <w:rPr>
                <w:rFonts w:cs="Arial"/>
                <w:b/>
              </w:rPr>
              <w:t>Ann</w:t>
            </w:r>
            <w:r w:rsidR="006611D7">
              <w:rPr>
                <w:rFonts w:cs="Arial"/>
                <w:b/>
              </w:rPr>
              <w:t>ual workplan</w:t>
            </w:r>
            <w:r w:rsidR="00ED2426">
              <w:rPr>
                <w:rFonts w:cs="Arial"/>
                <w:b/>
              </w:rPr>
              <w:t xml:space="preserve"> report</w:t>
            </w:r>
          </w:p>
        </w:tc>
        <w:tc>
          <w:tcPr>
            <w:tcW w:w="2580" w:type="dxa"/>
            <w:gridSpan w:val="2"/>
          </w:tcPr>
          <w:p w:rsidR="00641166" w:rsidRPr="009277C5" w:rsidRDefault="00641166" w:rsidP="00793C10">
            <w:pPr>
              <w:pStyle w:val="DHHStabletext"/>
              <w:rPr>
                <w:rFonts w:cs="Arial"/>
              </w:rPr>
            </w:pPr>
          </w:p>
        </w:tc>
        <w:tc>
          <w:tcPr>
            <w:tcW w:w="2496" w:type="dxa"/>
          </w:tcPr>
          <w:p w:rsidR="00641166" w:rsidRPr="009277C5" w:rsidRDefault="00ED2426" w:rsidP="00793C10">
            <w:pPr>
              <w:pStyle w:val="DHHStabletext"/>
              <w:rPr>
                <w:rFonts w:cs="Arial"/>
              </w:rPr>
            </w:pPr>
            <w:r>
              <w:rPr>
                <w:rFonts w:cs="Arial"/>
              </w:rPr>
              <w:t>Workplan</w:t>
            </w:r>
          </w:p>
        </w:tc>
        <w:tc>
          <w:tcPr>
            <w:tcW w:w="2592" w:type="dxa"/>
          </w:tcPr>
          <w:p w:rsidR="00641166" w:rsidRPr="00423901" w:rsidRDefault="00ED2426" w:rsidP="00793C10">
            <w:pPr>
              <w:pStyle w:val="DHHStabletext"/>
            </w:pPr>
            <w:r w:rsidRPr="00423901">
              <w:t xml:space="preserve">submit </w:t>
            </w:r>
            <w:r>
              <w:t>its</w:t>
            </w:r>
            <w:r w:rsidRPr="00423901">
              <w:t xml:space="preserve"> </w:t>
            </w:r>
            <w:r>
              <w:t xml:space="preserve">approved </w:t>
            </w:r>
            <w:r w:rsidRPr="00423901">
              <w:t xml:space="preserve">plan by 30 </w:t>
            </w:r>
            <w:r>
              <w:t>June each year, prior to the</w:t>
            </w:r>
            <w:r w:rsidR="00D54E11">
              <w:t xml:space="preserve"> beginning of the</w:t>
            </w:r>
            <w:r>
              <w:t xml:space="preserve"> financial year</w:t>
            </w:r>
          </w:p>
        </w:tc>
      </w:tr>
      <w:bookmarkEnd w:id="1"/>
    </w:tbl>
    <w:p w:rsidR="006C7A1F" w:rsidRDefault="006C7A1F" w:rsidP="00AA3CA8">
      <w:pPr>
        <w:rPr>
          <w:sz w:val="4"/>
          <w:szCs w:val="4"/>
        </w:rPr>
      </w:pPr>
    </w:p>
    <w:p w:rsidR="006C7A1F" w:rsidRDefault="006C7A1F" w:rsidP="00AA3CA8">
      <w:pPr>
        <w:rPr>
          <w:sz w:val="4"/>
          <w:szCs w:val="4"/>
        </w:rPr>
      </w:pPr>
    </w:p>
    <w:p w:rsidR="006C7A1F" w:rsidRDefault="006C7A1F" w:rsidP="00AA3CA8">
      <w:pPr>
        <w:rPr>
          <w:sz w:val="4"/>
          <w:szCs w:val="4"/>
        </w:rPr>
      </w:pPr>
    </w:p>
    <w:p w:rsidR="006C7A1F" w:rsidRDefault="006C7A1F" w:rsidP="00AA3CA8">
      <w:pPr>
        <w:rPr>
          <w:sz w:val="4"/>
          <w:szCs w:val="4"/>
        </w:rPr>
      </w:pPr>
    </w:p>
    <w:p w:rsidR="006C7A1F" w:rsidRDefault="006C7A1F" w:rsidP="00AA3CA8">
      <w:pPr>
        <w:rPr>
          <w:sz w:val="4"/>
          <w:szCs w:val="4"/>
        </w:rPr>
      </w:pPr>
    </w:p>
    <w:p w:rsidR="006C7A1F" w:rsidRDefault="0032071D" w:rsidP="0032071D">
      <w:pPr>
        <w:tabs>
          <w:tab w:val="left" w:pos="5685"/>
        </w:tabs>
        <w:rPr>
          <w:sz w:val="4"/>
          <w:szCs w:val="4"/>
        </w:rPr>
      </w:pPr>
      <w:r>
        <w:rPr>
          <w:sz w:val="4"/>
          <w:szCs w:val="4"/>
        </w:rPr>
        <w:tab/>
      </w:r>
    </w:p>
    <w:p w:rsidR="000667DA" w:rsidRDefault="000667DA" w:rsidP="00AA3CA8">
      <w:pPr>
        <w:rPr>
          <w:sz w:val="4"/>
          <w:szCs w:val="4"/>
        </w:rPr>
      </w:pPr>
    </w:p>
    <w:p w:rsidR="000667DA" w:rsidRDefault="000667DA" w:rsidP="00AA3CA8">
      <w:pPr>
        <w:rPr>
          <w:sz w:val="4"/>
          <w:szCs w:val="4"/>
        </w:rPr>
      </w:pPr>
    </w:p>
    <w:p w:rsidR="006C7A1F" w:rsidRDefault="006C7A1F" w:rsidP="00AA3CA8">
      <w:pPr>
        <w:rPr>
          <w:sz w:val="4"/>
          <w:szCs w:val="4"/>
        </w:rPr>
      </w:pPr>
    </w:p>
    <w:p w:rsidR="006C7A1F" w:rsidRPr="006C7A1F" w:rsidRDefault="006C7A1F" w:rsidP="00AA3CA8">
      <w:pPr>
        <w:rPr>
          <w:sz w:val="4"/>
          <w:szCs w:val="4"/>
        </w:rPr>
      </w:pPr>
    </w:p>
    <w:tbl>
      <w:tblPr>
        <w:tblW w:w="4800" w:type="pct"/>
        <w:tblInd w:w="113" w:type="dxa"/>
        <w:tblCellMar>
          <w:top w:w="113" w:type="dxa"/>
          <w:bottom w:w="57" w:type="dxa"/>
        </w:tblCellMar>
        <w:tblLook w:val="00A0" w:firstRow="1" w:lastRow="0" w:firstColumn="1" w:lastColumn="0" w:noHBand="0" w:noVBand="0"/>
      </w:tblPr>
      <w:tblGrid>
        <w:gridCol w:w="9786"/>
      </w:tblGrid>
      <w:tr w:rsidR="006A7939" w:rsidRPr="002802E3" w:rsidTr="00431E46">
        <w:trPr>
          <w:cantSplit/>
        </w:trPr>
        <w:tc>
          <w:tcPr>
            <w:tcW w:w="5000" w:type="pct"/>
            <w:tcBorders>
              <w:top w:val="single" w:sz="4" w:space="0" w:color="auto"/>
              <w:left w:val="single" w:sz="4" w:space="0" w:color="auto"/>
              <w:bottom w:val="single" w:sz="4" w:space="0" w:color="auto"/>
              <w:right w:val="single" w:sz="4" w:space="0" w:color="auto"/>
            </w:tcBorders>
            <w:vAlign w:val="bottom"/>
          </w:tcPr>
          <w:p w:rsidR="00FE17C3" w:rsidRDefault="00FE17C3" w:rsidP="00FE17C3">
            <w:pPr>
              <w:pStyle w:val="DHHSaccessibilitypara"/>
            </w:pPr>
            <w:r>
              <w:t xml:space="preserve">To receive this publication in an accessible format </w:t>
            </w:r>
            <w:hyperlink r:id="rId12" w:history="1">
              <w:r>
                <w:rPr>
                  <w:rStyle w:val="Hyperlink"/>
                </w:rPr>
                <w:t>email Service Agreement Policy</w:t>
              </w:r>
            </w:hyperlink>
            <w:r>
              <w:t xml:space="preserve"> &lt;</w:t>
            </w:r>
            <w:hyperlink r:id="rId13" w:history="1">
              <w:r>
                <w:rPr>
                  <w:rStyle w:val="Hyperlink"/>
                </w:rPr>
                <w:t>sapolicy@dhhs.vic.gov.au</w:t>
              </w:r>
            </w:hyperlink>
            <w:r>
              <w:t>&gt;</w:t>
            </w:r>
          </w:p>
          <w:p w:rsidR="00FE17C3" w:rsidRDefault="00FE17C3" w:rsidP="00FE17C3">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rsidR="006A7939" w:rsidRPr="00CA4422" w:rsidRDefault="00FE17C3" w:rsidP="00FE17C3">
            <w:pPr>
              <w:pStyle w:val="DHHSbody"/>
              <w:spacing w:line="240" w:lineRule="auto"/>
            </w:pPr>
            <w:r>
              <w:t xml:space="preserve">Available on the department’s </w:t>
            </w:r>
            <w:hyperlink r:id="rId14" w:history="1">
              <w:r>
                <w:rPr>
                  <w:rStyle w:val="Hyperlink"/>
                </w:rPr>
                <w:t>Health and human services activity search</w:t>
              </w:r>
            </w:hyperlink>
            <w:r>
              <w:t xml:space="preserve"> &lt;</w:t>
            </w:r>
            <w:hyperlink r:id="rId15" w:history="1">
              <w:r>
                <w:rPr>
                  <w:rStyle w:val="Hyperlink"/>
                  <w:lang w:eastAsia="en-AU"/>
                </w:rPr>
                <w:t>http://providers.dhhs.vic.gov.au/health-human-services-activity-search</w:t>
              </w:r>
            </w:hyperlink>
            <w:r>
              <w:rPr>
                <w:color w:val="000000"/>
                <w:lang w:eastAsia="en-AU"/>
              </w:rPr>
              <w:t>&gt;</w:t>
            </w:r>
            <w:bookmarkStart w:id="6" w:name="_GoBack"/>
            <w:bookmarkEnd w:id="6"/>
          </w:p>
        </w:tc>
      </w:tr>
    </w:tbl>
    <w:p w:rsidR="00C152FA" w:rsidRPr="009C2761" w:rsidRDefault="00C152FA" w:rsidP="009C2761">
      <w:pPr>
        <w:rPr>
          <w:sz w:val="2"/>
          <w:szCs w:val="2"/>
          <w:lang w:eastAsia="en-US"/>
        </w:rPr>
      </w:pPr>
    </w:p>
    <w:sectPr w:rsidR="00C152FA" w:rsidRPr="009C2761"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756" w:rsidRDefault="000D3756">
      <w:r>
        <w:separator/>
      </w:r>
    </w:p>
  </w:endnote>
  <w:endnote w:type="continuationSeparator" w:id="0">
    <w:p w:rsidR="000D3756" w:rsidRDefault="000D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F65AA9" w:rsidRDefault="00457807" w:rsidP="0051568D">
    <w:pPr>
      <w:pStyle w:val="DHHSfooter"/>
    </w:pPr>
    <w:r>
      <w:rPr>
        <w:noProof/>
        <w:lang w:eastAsia="en-AU"/>
      </w:rPr>
      <w:drawing>
        <wp:anchor distT="0" distB="0" distL="114300" distR="114300" simplePos="0" relativeHeight="251657728" behindDoc="0" locked="1" layoutInCell="0" allowOverlap="1" wp14:anchorId="343D3F97" wp14:editId="2CBD4498">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D29" w:rsidRDefault="0032071D">
    <w:r w:rsidRPr="0032071D">
      <w:rPr>
        <w:rFonts w:cs="Arial"/>
        <w:sz w:val="18"/>
        <w:szCs w:val="18"/>
        <w:lang w:eastAsia="en-US"/>
      </w:rPr>
      <w:t>Activity description</w:t>
    </w:r>
    <w:r>
      <w:rPr>
        <w:rFonts w:cs="Arial"/>
        <w:sz w:val="18"/>
        <w:szCs w:val="18"/>
        <w:lang w:eastAsia="en-US"/>
      </w:rPr>
      <w:t xml:space="preserve"> (</w:t>
    </w:r>
    <w:r w:rsidRPr="0032071D">
      <w:rPr>
        <w:rFonts w:cs="Arial"/>
        <w:sz w:val="18"/>
        <w:szCs w:val="18"/>
        <w:lang w:eastAsia="en-US"/>
      </w:rPr>
      <w:t>human service</w:t>
    </w:r>
    <w:proofErr w:type="gramStart"/>
    <w:r>
      <w:rPr>
        <w:rFonts w:cs="Arial"/>
        <w:sz w:val="18"/>
        <w:szCs w:val="18"/>
        <w:lang w:eastAsia="en-US"/>
      </w:rPr>
      <w:t>):</w:t>
    </w:r>
    <w:r w:rsidRPr="0032071D">
      <w:rPr>
        <w:rFonts w:cs="Arial"/>
        <w:sz w:val="18"/>
        <w:szCs w:val="18"/>
        <w:lang w:eastAsia="en-US"/>
      </w:rPr>
      <w:t>CHIA</w:t>
    </w:r>
    <w:proofErr w:type="gramEnd"/>
    <w:r w:rsidRPr="0032071D">
      <w:rPr>
        <w:rFonts w:cs="Arial"/>
        <w:sz w:val="18"/>
        <w:szCs w:val="18"/>
        <w:lang w:eastAsia="en-US"/>
      </w:rPr>
      <w:t xml:space="preserve"> Vic Service Agreement</w:t>
    </w:r>
    <w:r>
      <w:rPr>
        <w:rFonts w:cs="Arial"/>
        <w:sz w:val="18"/>
        <w:szCs w:val="18"/>
        <w:lang w:eastAsia="en-US"/>
      </w:rPr>
      <w:t xml:space="preserve"> </w:t>
    </w:r>
    <w:r w:rsidRPr="0032071D">
      <w:rPr>
        <w:rFonts w:cs="Arial"/>
        <w:sz w:val="18"/>
        <w:szCs w:val="18"/>
        <w:lang w:eastAsia="en-US"/>
      </w:rPr>
      <w:t>94214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756" w:rsidRDefault="000D3756" w:rsidP="002862F1">
      <w:pPr>
        <w:spacing w:before="120"/>
      </w:pPr>
      <w:r>
        <w:separator/>
      </w:r>
    </w:p>
  </w:footnote>
  <w:footnote w:type="continuationSeparator" w:id="0">
    <w:p w:rsidR="000D3756" w:rsidRDefault="000D3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lvl>
    <w:lvl w:ilvl="3">
      <w:start w:val="1"/>
      <w:numFmt w:val="bullet"/>
      <w:lvlRestart w:val="0"/>
      <w:lvlText w:val="–"/>
      <w:lvlJc w:val="left"/>
      <w:pPr>
        <w:ind w:left="567" w:hanging="283"/>
      </w:p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rPr>
    </w:lvl>
    <w:lvl w:ilvl="8">
      <w:start w:val="1"/>
      <w:numFmt w:val="none"/>
      <w:lvlRestart w:val="0"/>
      <w:lvlText w:val=""/>
      <w:lvlJc w:val="left"/>
      <w:rPr>
        <w:rFonts w:cs="Times New Roman"/>
      </w:rPr>
    </w:lvl>
  </w:abstractNum>
  <w:abstractNum w:abstractNumId="9" w15:restartNumberingAfterBreak="0">
    <w:nsid w:val="4C5F195B"/>
    <w:multiLevelType w:val="hybridMultilevel"/>
    <w:tmpl w:val="F2404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11"/>
  </w:num>
  <w:num w:numId="10">
    <w:abstractNumId w:val="13"/>
  </w:num>
  <w:num w:numId="11">
    <w:abstractNumId w:val="6"/>
  </w:num>
  <w:num w:numId="12">
    <w:abstractNumId w:val="7"/>
  </w:num>
  <w:num w:numId="13">
    <w:abstractNumId w:val="4"/>
  </w:num>
  <w:num w:numId="14">
    <w:abstractNumId w:val="12"/>
  </w:num>
  <w:num w:numId="15">
    <w:abstractNumId w:val="2"/>
  </w:num>
  <w:num w:numId="16">
    <w:abstractNumId w:val="9"/>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72B6"/>
    <w:rsid w:val="0001021B"/>
    <w:rsid w:val="00011D89"/>
    <w:rsid w:val="00020209"/>
    <w:rsid w:val="000214DC"/>
    <w:rsid w:val="00024D89"/>
    <w:rsid w:val="000250B6"/>
    <w:rsid w:val="00033D81"/>
    <w:rsid w:val="00041BF0"/>
    <w:rsid w:val="0004536B"/>
    <w:rsid w:val="00046B68"/>
    <w:rsid w:val="000527DD"/>
    <w:rsid w:val="000529A8"/>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3CC7"/>
    <w:rsid w:val="000E6BD4"/>
    <w:rsid w:val="000F1F1E"/>
    <w:rsid w:val="000F2259"/>
    <w:rsid w:val="000F2B4A"/>
    <w:rsid w:val="0010392D"/>
    <w:rsid w:val="0010447F"/>
    <w:rsid w:val="00104FE3"/>
    <w:rsid w:val="00110FB9"/>
    <w:rsid w:val="00120AF7"/>
    <w:rsid w:val="00120BD3"/>
    <w:rsid w:val="00121D8F"/>
    <w:rsid w:val="00122FEA"/>
    <w:rsid w:val="001232BD"/>
    <w:rsid w:val="00124ED5"/>
    <w:rsid w:val="001447B3"/>
    <w:rsid w:val="00152073"/>
    <w:rsid w:val="00161939"/>
    <w:rsid w:val="00161AA0"/>
    <w:rsid w:val="00162093"/>
    <w:rsid w:val="0017293C"/>
    <w:rsid w:val="001771DD"/>
    <w:rsid w:val="00177995"/>
    <w:rsid w:val="00177A8C"/>
    <w:rsid w:val="00186B33"/>
    <w:rsid w:val="00190DB1"/>
    <w:rsid w:val="00192F9D"/>
    <w:rsid w:val="00196B5D"/>
    <w:rsid w:val="00196EB8"/>
    <w:rsid w:val="001979FF"/>
    <w:rsid w:val="00197B17"/>
    <w:rsid w:val="001A3ACE"/>
    <w:rsid w:val="001B07C7"/>
    <w:rsid w:val="001B6442"/>
    <w:rsid w:val="001C1970"/>
    <w:rsid w:val="001C277E"/>
    <w:rsid w:val="001C2A72"/>
    <w:rsid w:val="001D0B75"/>
    <w:rsid w:val="001D3C09"/>
    <w:rsid w:val="001D44E8"/>
    <w:rsid w:val="001D60EC"/>
    <w:rsid w:val="001E44DF"/>
    <w:rsid w:val="001E68A5"/>
    <w:rsid w:val="001E6BB0"/>
    <w:rsid w:val="001F3826"/>
    <w:rsid w:val="001F3DE2"/>
    <w:rsid w:val="001F6E46"/>
    <w:rsid w:val="001F7C91"/>
    <w:rsid w:val="00206463"/>
    <w:rsid w:val="00206F2F"/>
    <w:rsid w:val="0021053D"/>
    <w:rsid w:val="00210A92"/>
    <w:rsid w:val="00216C03"/>
    <w:rsid w:val="0021798F"/>
    <w:rsid w:val="00220C04"/>
    <w:rsid w:val="0022278D"/>
    <w:rsid w:val="0022701F"/>
    <w:rsid w:val="002333F5"/>
    <w:rsid w:val="00233724"/>
    <w:rsid w:val="00241843"/>
    <w:rsid w:val="002432E1"/>
    <w:rsid w:val="00243D29"/>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C2728"/>
    <w:rsid w:val="002D1AA5"/>
    <w:rsid w:val="002D5006"/>
    <w:rsid w:val="002E01D0"/>
    <w:rsid w:val="002E161D"/>
    <w:rsid w:val="002E27C2"/>
    <w:rsid w:val="002E3100"/>
    <w:rsid w:val="002E6C95"/>
    <w:rsid w:val="002E7C36"/>
    <w:rsid w:val="002F2969"/>
    <w:rsid w:val="002F5F31"/>
    <w:rsid w:val="002F5F46"/>
    <w:rsid w:val="002F7C4B"/>
    <w:rsid w:val="00302216"/>
    <w:rsid w:val="003033EA"/>
    <w:rsid w:val="00303E53"/>
    <w:rsid w:val="00306E5F"/>
    <w:rsid w:val="00307E14"/>
    <w:rsid w:val="00314054"/>
    <w:rsid w:val="00316F27"/>
    <w:rsid w:val="0032071D"/>
    <w:rsid w:val="00325B39"/>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1F34"/>
    <w:rsid w:val="00424D65"/>
    <w:rsid w:val="00442C6C"/>
    <w:rsid w:val="00443CBE"/>
    <w:rsid w:val="00443E8A"/>
    <w:rsid w:val="004441BC"/>
    <w:rsid w:val="004468B4"/>
    <w:rsid w:val="0045230A"/>
    <w:rsid w:val="00457337"/>
    <w:rsid w:val="00457807"/>
    <w:rsid w:val="0047372D"/>
    <w:rsid w:val="004743DD"/>
    <w:rsid w:val="00474CEA"/>
    <w:rsid w:val="00483968"/>
    <w:rsid w:val="00484F86"/>
    <w:rsid w:val="00490746"/>
    <w:rsid w:val="00490852"/>
    <w:rsid w:val="00491856"/>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0CCE"/>
    <w:rsid w:val="00526C15"/>
    <w:rsid w:val="00536499"/>
    <w:rsid w:val="005409A4"/>
    <w:rsid w:val="00543903"/>
    <w:rsid w:val="00543F11"/>
    <w:rsid w:val="00547A95"/>
    <w:rsid w:val="005620F5"/>
    <w:rsid w:val="00572031"/>
    <w:rsid w:val="00575BC9"/>
    <w:rsid w:val="00576E84"/>
    <w:rsid w:val="00582B8C"/>
    <w:rsid w:val="0058757E"/>
    <w:rsid w:val="005938E5"/>
    <w:rsid w:val="00596A4B"/>
    <w:rsid w:val="00597507"/>
    <w:rsid w:val="005B21B6"/>
    <w:rsid w:val="005B384F"/>
    <w:rsid w:val="005B3A08"/>
    <w:rsid w:val="005B7A63"/>
    <w:rsid w:val="005C0955"/>
    <w:rsid w:val="005C49DA"/>
    <w:rsid w:val="005C50F3"/>
    <w:rsid w:val="005C5D91"/>
    <w:rsid w:val="005C7CBC"/>
    <w:rsid w:val="005D07B8"/>
    <w:rsid w:val="005D6597"/>
    <w:rsid w:val="005E14E7"/>
    <w:rsid w:val="005E26A3"/>
    <w:rsid w:val="005E447E"/>
    <w:rsid w:val="005E76EA"/>
    <w:rsid w:val="005F0775"/>
    <w:rsid w:val="005F0CF5"/>
    <w:rsid w:val="005F21EB"/>
    <w:rsid w:val="00605908"/>
    <w:rsid w:val="00610D7C"/>
    <w:rsid w:val="00613414"/>
    <w:rsid w:val="0062408D"/>
    <w:rsid w:val="006240CC"/>
    <w:rsid w:val="00627DA7"/>
    <w:rsid w:val="006333DD"/>
    <w:rsid w:val="00633A5F"/>
    <w:rsid w:val="006358B4"/>
    <w:rsid w:val="00641166"/>
    <w:rsid w:val="006419AA"/>
    <w:rsid w:val="00644B7E"/>
    <w:rsid w:val="006454E6"/>
    <w:rsid w:val="00646A68"/>
    <w:rsid w:val="0065092E"/>
    <w:rsid w:val="006557A7"/>
    <w:rsid w:val="00656290"/>
    <w:rsid w:val="006611D7"/>
    <w:rsid w:val="006621D7"/>
    <w:rsid w:val="0066302A"/>
    <w:rsid w:val="00670597"/>
    <w:rsid w:val="006706D0"/>
    <w:rsid w:val="00673455"/>
    <w:rsid w:val="00677574"/>
    <w:rsid w:val="0068454C"/>
    <w:rsid w:val="00691B62"/>
    <w:rsid w:val="00693D14"/>
    <w:rsid w:val="00697090"/>
    <w:rsid w:val="006A18C2"/>
    <w:rsid w:val="006A7939"/>
    <w:rsid w:val="006B077C"/>
    <w:rsid w:val="006B6803"/>
    <w:rsid w:val="006C5390"/>
    <w:rsid w:val="006C7A1F"/>
    <w:rsid w:val="006D2A3F"/>
    <w:rsid w:val="006D2FBC"/>
    <w:rsid w:val="006D72EA"/>
    <w:rsid w:val="006E138B"/>
    <w:rsid w:val="006F0FB0"/>
    <w:rsid w:val="006F1FDC"/>
    <w:rsid w:val="006F546A"/>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2F8D"/>
    <w:rsid w:val="00776928"/>
    <w:rsid w:val="00785677"/>
    <w:rsid w:val="00786F16"/>
    <w:rsid w:val="007916DA"/>
    <w:rsid w:val="00796E20"/>
    <w:rsid w:val="00797C32"/>
    <w:rsid w:val="007B0914"/>
    <w:rsid w:val="007B1374"/>
    <w:rsid w:val="007B292B"/>
    <w:rsid w:val="007B589F"/>
    <w:rsid w:val="007B6186"/>
    <w:rsid w:val="007B73BC"/>
    <w:rsid w:val="007C0F0C"/>
    <w:rsid w:val="007C20B9"/>
    <w:rsid w:val="007C7301"/>
    <w:rsid w:val="007C7859"/>
    <w:rsid w:val="007D2932"/>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21296"/>
    <w:rsid w:val="00821BEF"/>
    <w:rsid w:val="008237E6"/>
    <w:rsid w:val="00826C9A"/>
    <w:rsid w:val="00827470"/>
    <w:rsid w:val="008338A2"/>
    <w:rsid w:val="008370FF"/>
    <w:rsid w:val="00841AA9"/>
    <w:rsid w:val="00847D24"/>
    <w:rsid w:val="00850244"/>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29A7"/>
    <w:rsid w:val="008A3968"/>
    <w:rsid w:val="008A5B32"/>
    <w:rsid w:val="008B2EE4"/>
    <w:rsid w:val="008B4D3D"/>
    <w:rsid w:val="008B57C7"/>
    <w:rsid w:val="008C2F92"/>
    <w:rsid w:val="008D2846"/>
    <w:rsid w:val="008D4236"/>
    <w:rsid w:val="008D462F"/>
    <w:rsid w:val="008D6DCF"/>
    <w:rsid w:val="008E27D4"/>
    <w:rsid w:val="008E32A7"/>
    <w:rsid w:val="008E4376"/>
    <w:rsid w:val="008E7A0A"/>
    <w:rsid w:val="00900719"/>
    <w:rsid w:val="009017AC"/>
    <w:rsid w:val="00902F40"/>
    <w:rsid w:val="00904A1C"/>
    <w:rsid w:val="00905030"/>
    <w:rsid w:val="00906490"/>
    <w:rsid w:val="009111B2"/>
    <w:rsid w:val="00924AE1"/>
    <w:rsid w:val="009269B1"/>
    <w:rsid w:val="0092724D"/>
    <w:rsid w:val="009277C5"/>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62D2"/>
    <w:rsid w:val="009B70AA"/>
    <w:rsid w:val="009C2761"/>
    <w:rsid w:val="009C7A7E"/>
    <w:rsid w:val="009D02E8"/>
    <w:rsid w:val="009D51D0"/>
    <w:rsid w:val="009D70A4"/>
    <w:rsid w:val="009E08D1"/>
    <w:rsid w:val="009E1B95"/>
    <w:rsid w:val="009E496F"/>
    <w:rsid w:val="009E4B0D"/>
    <w:rsid w:val="009E5954"/>
    <w:rsid w:val="009E5B33"/>
    <w:rsid w:val="009E6FA8"/>
    <w:rsid w:val="009E7F92"/>
    <w:rsid w:val="009F02A3"/>
    <w:rsid w:val="009F2F27"/>
    <w:rsid w:val="009F34AA"/>
    <w:rsid w:val="009F6BCB"/>
    <w:rsid w:val="009F7B78"/>
    <w:rsid w:val="00A0057A"/>
    <w:rsid w:val="00A11421"/>
    <w:rsid w:val="00A11FC5"/>
    <w:rsid w:val="00A157B1"/>
    <w:rsid w:val="00A20D71"/>
    <w:rsid w:val="00A22229"/>
    <w:rsid w:val="00A4174A"/>
    <w:rsid w:val="00A44882"/>
    <w:rsid w:val="00A54715"/>
    <w:rsid w:val="00A6061C"/>
    <w:rsid w:val="00A62D44"/>
    <w:rsid w:val="00A67263"/>
    <w:rsid w:val="00A7161C"/>
    <w:rsid w:val="00A77AA3"/>
    <w:rsid w:val="00A842F2"/>
    <w:rsid w:val="00A854EB"/>
    <w:rsid w:val="00A872E5"/>
    <w:rsid w:val="00A91406"/>
    <w:rsid w:val="00A96E65"/>
    <w:rsid w:val="00A97C72"/>
    <w:rsid w:val="00AA0F86"/>
    <w:rsid w:val="00AA3CA8"/>
    <w:rsid w:val="00AA63D4"/>
    <w:rsid w:val="00AA78F2"/>
    <w:rsid w:val="00AA7900"/>
    <w:rsid w:val="00AB06E8"/>
    <w:rsid w:val="00AB1CD3"/>
    <w:rsid w:val="00AB352F"/>
    <w:rsid w:val="00AC0C15"/>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AF7EF2"/>
    <w:rsid w:val="00B00672"/>
    <w:rsid w:val="00B01B4D"/>
    <w:rsid w:val="00B06571"/>
    <w:rsid w:val="00B068BA"/>
    <w:rsid w:val="00B13851"/>
    <w:rsid w:val="00B13B1C"/>
    <w:rsid w:val="00B22291"/>
    <w:rsid w:val="00B23F9A"/>
    <w:rsid w:val="00B2417B"/>
    <w:rsid w:val="00B24E6F"/>
    <w:rsid w:val="00B26CB5"/>
    <w:rsid w:val="00B2752E"/>
    <w:rsid w:val="00B307CC"/>
    <w:rsid w:val="00B320BC"/>
    <w:rsid w:val="00B326B7"/>
    <w:rsid w:val="00B3516E"/>
    <w:rsid w:val="00B431E8"/>
    <w:rsid w:val="00B45141"/>
    <w:rsid w:val="00B5273A"/>
    <w:rsid w:val="00B54AE8"/>
    <w:rsid w:val="00B62B50"/>
    <w:rsid w:val="00B635B7"/>
    <w:rsid w:val="00B63AE8"/>
    <w:rsid w:val="00B63C0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7F58"/>
    <w:rsid w:val="00C01381"/>
    <w:rsid w:val="00C079B8"/>
    <w:rsid w:val="00C123EA"/>
    <w:rsid w:val="00C12A49"/>
    <w:rsid w:val="00C133EE"/>
    <w:rsid w:val="00C152FA"/>
    <w:rsid w:val="00C27201"/>
    <w:rsid w:val="00C27DE9"/>
    <w:rsid w:val="00C33388"/>
    <w:rsid w:val="00C35484"/>
    <w:rsid w:val="00C4173A"/>
    <w:rsid w:val="00C602FF"/>
    <w:rsid w:val="00C61174"/>
    <w:rsid w:val="00C6148F"/>
    <w:rsid w:val="00C62F7A"/>
    <w:rsid w:val="00C63B9C"/>
    <w:rsid w:val="00C66079"/>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54E11"/>
    <w:rsid w:val="00D714CC"/>
    <w:rsid w:val="00D75EA7"/>
    <w:rsid w:val="00D81F21"/>
    <w:rsid w:val="00D85AC1"/>
    <w:rsid w:val="00D95470"/>
    <w:rsid w:val="00DA2619"/>
    <w:rsid w:val="00DA4239"/>
    <w:rsid w:val="00DB0B61"/>
    <w:rsid w:val="00DB2A15"/>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68C7"/>
    <w:rsid w:val="00DF6BAF"/>
    <w:rsid w:val="00DF731A"/>
    <w:rsid w:val="00E05E8D"/>
    <w:rsid w:val="00E170DC"/>
    <w:rsid w:val="00E26818"/>
    <w:rsid w:val="00E27FFC"/>
    <w:rsid w:val="00E30B15"/>
    <w:rsid w:val="00E327EB"/>
    <w:rsid w:val="00E40181"/>
    <w:rsid w:val="00E53D0C"/>
    <w:rsid w:val="00E56A01"/>
    <w:rsid w:val="00E629A1"/>
    <w:rsid w:val="00E71591"/>
    <w:rsid w:val="00E82C55"/>
    <w:rsid w:val="00E85BF1"/>
    <w:rsid w:val="00E92AC3"/>
    <w:rsid w:val="00EB00E0"/>
    <w:rsid w:val="00EB442C"/>
    <w:rsid w:val="00EC059F"/>
    <w:rsid w:val="00EC1F24"/>
    <w:rsid w:val="00EC22F6"/>
    <w:rsid w:val="00EC27BC"/>
    <w:rsid w:val="00EC4117"/>
    <w:rsid w:val="00EC56A3"/>
    <w:rsid w:val="00ED2426"/>
    <w:rsid w:val="00ED5B9B"/>
    <w:rsid w:val="00ED6BAD"/>
    <w:rsid w:val="00ED7447"/>
    <w:rsid w:val="00EE1488"/>
    <w:rsid w:val="00EE4D5D"/>
    <w:rsid w:val="00EE5131"/>
    <w:rsid w:val="00EF109B"/>
    <w:rsid w:val="00EF36AF"/>
    <w:rsid w:val="00F0037B"/>
    <w:rsid w:val="00F00F9C"/>
    <w:rsid w:val="00F01E5F"/>
    <w:rsid w:val="00F02ABA"/>
    <w:rsid w:val="00F0437A"/>
    <w:rsid w:val="00F04C71"/>
    <w:rsid w:val="00F11037"/>
    <w:rsid w:val="00F16F1B"/>
    <w:rsid w:val="00F250A9"/>
    <w:rsid w:val="00F27FDE"/>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3D0A"/>
    <w:rsid w:val="00F85195"/>
    <w:rsid w:val="00F87FCF"/>
    <w:rsid w:val="00F922BE"/>
    <w:rsid w:val="00F938BA"/>
    <w:rsid w:val="00FA2C46"/>
    <w:rsid w:val="00FA3525"/>
    <w:rsid w:val="00FA7923"/>
    <w:rsid w:val="00FB4CDA"/>
    <w:rsid w:val="00FC0F81"/>
    <w:rsid w:val="00FC395C"/>
    <w:rsid w:val="00FD3766"/>
    <w:rsid w:val="00FD47C4"/>
    <w:rsid w:val="00FE17C3"/>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5:docId w15:val="{904B1540-714C-4994-A87C-547CA01E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827470"/>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827470"/>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27470"/>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827470"/>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numbering" w:customStyle="1" w:styleId="Bullets">
    <w:name w:val="Bullets"/>
    <w:rsid w:val="00421F34"/>
    <w:pPr>
      <w:numPr>
        <w:numId w:val="17"/>
      </w:numPr>
    </w:pPr>
  </w:style>
  <w:style w:type="character" w:styleId="PlaceholderText">
    <w:name w:val="Placeholder Text"/>
    <w:uiPriority w:val="99"/>
    <w:semiHidden/>
    <w:rsid w:val="009277C5"/>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99659">
      <w:bodyDiv w:val="1"/>
      <w:marLeft w:val="0"/>
      <w:marRight w:val="0"/>
      <w:marTop w:val="0"/>
      <w:marBottom w:val="0"/>
      <w:divBdr>
        <w:top w:val="none" w:sz="0" w:space="0" w:color="auto"/>
        <w:left w:val="none" w:sz="0" w:space="0" w:color="auto"/>
        <w:bottom w:val="none" w:sz="0" w:space="0" w:color="auto"/>
        <w:right w:val="none" w:sz="0" w:space="0" w:color="auto"/>
      </w:divBdr>
    </w:div>
    <w:div w:id="75983397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policy@dhhs.vic.gov.au"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policy@dhhs.vic.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providers.dhhs.vic.gov.au/health-human-services-activity-search" TargetMode="Externa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roviders.dhhs.vic.gov.au/health-human-services-activity-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7F9AA4AE-1866-41A5-AD7E-43F64304EE40}">
  <ds:schemaRefs>
    <ds:schemaRef ds:uri="http://schemas.openxmlformats.org/officeDocument/2006/bibliography"/>
  </ds:schemaRefs>
</ds:datastoreItem>
</file>

<file path=customXml/itemProps2.xml><?xml version="1.0" encoding="utf-8"?>
<ds:datastoreItem xmlns:ds="http://schemas.openxmlformats.org/officeDocument/2006/customXml" ds:itemID="{52A68EC0-3260-4291-AB38-3484948AF5A0}"/>
</file>

<file path=customXml/itemProps3.xml><?xml version="1.0" encoding="utf-8"?>
<ds:datastoreItem xmlns:ds="http://schemas.openxmlformats.org/officeDocument/2006/customXml" ds:itemID="{CE06AB8F-3CC6-49E4-8C72-BE2D0E1A501C}"/>
</file>

<file path=customXml/itemProps4.xml><?xml version="1.0" encoding="utf-8"?>
<ds:datastoreItem xmlns:ds="http://schemas.openxmlformats.org/officeDocument/2006/customXml" ds:itemID="{DCB61819-EE74-449A-B992-F57E8290919C}"/>
</file>

<file path=docProps/app.xml><?xml version="1.0" encoding="utf-8"?>
<Properties xmlns="http://schemas.openxmlformats.org/officeDocument/2006/extended-properties" xmlns:vt="http://schemas.openxmlformats.org/officeDocument/2006/docPropsVTypes">
  <Template>DHHS Factsheet 01 Navy 2765.dot</Template>
  <TotalTime>3</TotalTime>
  <Pages>2</Pages>
  <Words>405</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Activity description human serviceCHIA Vic Service Agreement 94214</vt:lpstr>
    </vt:vector>
  </TitlesOfParts>
  <Company>Department of Health and Human Services</Company>
  <LinksUpToDate>false</LinksUpToDate>
  <CharactersWithSpaces>3217</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human serviceCHIA Vic Service Agreement 94214</dc:title>
  <dc:subject>service agreement activity descriptions</dc:subject>
  <dc:creator>Service Agreement Policy unit</dc:creator>
  <cp:keywords>service agreement;Activity description;human service;Housing assistance;CHIA Vic Service Agreement; 94214</cp:keywords>
  <cp:lastModifiedBy>Louise Crowther (DHHS)</cp:lastModifiedBy>
  <cp:revision>4</cp:revision>
  <cp:lastPrinted>2019-01-24T02:30:00Z</cp:lastPrinted>
  <dcterms:created xsi:type="dcterms:W3CDTF">2019-06-04T05:44:00Z</dcterms:created>
  <dcterms:modified xsi:type="dcterms:W3CDTF">2019-06-18T02:39:00Z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