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471C" w14:textId="77777777" w:rsidR="00F721E2" w:rsidRDefault="00322CED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57EE6E25" wp14:editId="710458E1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721E2" w14:paraId="33539022" w14:textId="77777777">
        <w:tc>
          <w:tcPr>
            <w:tcW w:w="10206" w:type="dxa"/>
            <w:shd w:val="clear" w:color="auto" w:fill="FFFFFF"/>
            <w:vAlign w:val="bottom"/>
          </w:tcPr>
          <w:p w14:paraId="6F12DA9B" w14:textId="77777777" w:rsidR="00F721E2" w:rsidRDefault="00F721E2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4159598E" w14:textId="77777777" w:rsidR="00F721E2" w:rsidRPr="00A81117" w:rsidRDefault="00322CED" w:rsidP="00A81117">
            <w:pPr>
              <w:pStyle w:val="Heading1"/>
            </w:pPr>
            <w:r w:rsidRPr="00A81117">
              <w:t>Community Health - Health Promotion</w:t>
            </w:r>
          </w:p>
          <w:p w14:paraId="1BCD7022" w14:textId="77777777" w:rsidR="00F721E2" w:rsidRDefault="00322CED" w:rsidP="00A81117">
            <w:pPr>
              <w:pStyle w:val="Heading1"/>
            </w:pPr>
            <w:r w:rsidRPr="00A81117">
              <w:t>28085</w:t>
            </w:r>
          </w:p>
        </w:tc>
      </w:tr>
      <w:tr w:rsidR="00F721E2" w14:paraId="6712AFC6" w14:textId="77777777">
        <w:tc>
          <w:tcPr>
            <w:tcW w:w="10206" w:type="dxa"/>
            <w:shd w:val="clear" w:color="auto" w:fill="FFFFFF"/>
          </w:tcPr>
          <w:p w14:paraId="27CD42A4" w14:textId="77777777" w:rsidR="00F721E2" w:rsidRDefault="00322CED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healthy and well</w:t>
            </w:r>
          </w:p>
          <w:p w14:paraId="088262B3" w14:textId="77777777" w:rsidR="00F721E2" w:rsidRDefault="00322CED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Primary, Community and Dental Health</w:t>
            </w:r>
          </w:p>
          <w:p w14:paraId="0D112DB2" w14:textId="77777777" w:rsidR="00F721E2" w:rsidRDefault="00322CED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Community Health Care</w:t>
            </w:r>
          </w:p>
        </w:tc>
      </w:tr>
    </w:tbl>
    <w:p w14:paraId="52EE1BEA" w14:textId="77777777" w:rsidR="00F721E2" w:rsidRDefault="00322CED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13B1C9CF" w14:textId="77777777" w:rsidR="00F721E2" w:rsidRPr="00A81117" w:rsidRDefault="00322CED" w:rsidP="00A81117">
      <w:pPr>
        <w:pStyle w:val="Heading2"/>
      </w:pPr>
      <w:r w:rsidRPr="00A81117">
        <w:t>1. Service objective</w:t>
      </w:r>
    </w:p>
    <w:p w14:paraId="2697CFF6" w14:textId="77777777" w:rsidR="00F721E2" w:rsidRDefault="00322CE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</w:t>
      </w:r>
      <w:r>
        <w:rPr>
          <w:rFonts w:ascii="Arial" w:eastAsia="Arial" w:hAnsi="Arial" w:cs="Arial"/>
          <w:color w:val="000000"/>
          <w:sz w:val="20"/>
        </w:rPr>
        <w:t xml:space="preserve">o improve the health and wellbeing </w:t>
      </w:r>
      <w:r>
        <w:rPr>
          <w:rFonts w:ascii="Arial" w:eastAsia="Arial" w:hAnsi="Arial" w:cs="Arial"/>
          <w:color w:val="000000"/>
          <w:sz w:val="20"/>
        </w:rPr>
        <w:t>outcomes for Victorian populations.</w:t>
      </w:r>
    </w:p>
    <w:p w14:paraId="2911C7F7" w14:textId="77777777" w:rsidR="00F721E2" w:rsidRDefault="00322CED" w:rsidP="00A81117">
      <w:pPr>
        <w:pStyle w:val="Heading2"/>
      </w:pPr>
      <w:r>
        <w:t>2. Description of the service</w:t>
      </w:r>
    </w:p>
    <w:p w14:paraId="2A312008" w14:textId="77777777" w:rsidR="00F721E2" w:rsidRDefault="00322CE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Community Health – Health Promotion funding is provided to agencies across Victoria (primarily community health services) to develop and implement prevention and health promotion initiatives</w:t>
      </w:r>
      <w:r>
        <w:rPr>
          <w:rFonts w:ascii="Arial" w:eastAsia="Arial" w:hAnsi="Arial" w:cs="Arial"/>
          <w:color w:val="000000"/>
          <w:sz w:val="20"/>
        </w:rPr>
        <w:t>. It is recommened that initiatives have a focus on primary prevention (aimed at preventing problems from occuring in the first place), and are developed and delivered at a scale that can impact on the health and wellbeing at a population level. Funded age</w:t>
      </w:r>
      <w:r>
        <w:rPr>
          <w:rFonts w:ascii="Arial" w:eastAsia="Arial" w:hAnsi="Arial" w:cs="Arial"/>
          <w:color w:val="000000"/>
          <w:sz w:val="20"/>
        </w:rPr>
        <w:t>ncies are expected to work together with councils and other local partners on shared and aligned priorties across a local catchment, to ensure initiatives respond appropriately to the local needs and context.</w:t>
      </w:r>
    </w:p>
    <w:p w14:paraId="39A68974" w14:textId="77777777" w:rsidR="00F721E2" w:rsidRDefault="00322CED" w:rsidP="00A81117">
      <w:pPr>
        <w:pStyle w:val="Heading2"/>
      </w:pPr>
      <w:r>
        <w:t>3. Client group</w:t>
      </w:r>
    </w:p>
    <w:p w14:paraId="44F409F9" w14:textId="77777777" w:rsidR="00F721E2" w:rsidRDefault="00322CED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client group is </w:t>
      </w:r>
      <w:r>
        <w:rPr>
          <w:rFonts w:ascii="Arial" w:eastAsia="Arial" w:hAnsi="Arial" w:cs="Arial"/>
          <w:color w:val="000000"/>
          <w:sz w:val="20"/>
        </w:rPr>
        <w:t>universal across the life course, however a focus on equity is encouraged. Equity is addressed through a combination of universal approaches that impact on the structures and environments that influence our health, alongside targeted approaches to strength</w:t>
      </w:r>
      <w:r>
        <w:rPr>
          <w:rFonts w:ascii="Arial" w:eastAsia="Arial" w:hAnsi="Arial" w:cs="Arial"/>
          <w:color w:val="000000"/>
          <w:sz w:val="20"/>
        </w:rPr>
        <w:t>en and support particular populations.</w:t>
      </w:r>
    </w:p>
    <w:p w14:paraId="612F5F56" w14:textId="77777777" w:rsidR="00F721E2" w:rsidRDefault="00322CED" w:rsidP="00A81117">
      <w:pPr>
        <w:pStyle w:val="Heading2"/>
      </w:pPr>
      <w:r>
        <w:t>4. Obligations specific to this activity</w:t>
      </w:r>
    </w:p>
    <w:p w14:paraId="716943D3" w14:textId="77777777" w:rsidR="00F721E2" w:rsidRDefault="00322CED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6E5BF0D5" w14:textId="77777777" w:rsidR="00F721E2" w:rsidRPr="00A81117" w:rsidRDefault="00322CED" w:rsidP="00A81117">
      <w:pPr>
        <w:pStyle w:val="Heading3"/>
      </w:pPr>
      <w:r w:rsidRPr="00A81117">
        <w:t>4a. Registration and Accreditation</w:t>
      </w:r>
    </w:p>
    <w:p w14:paraId="58330CE5" w14:textId="77777777" w:rsidR="00F721E2" w:rsidRDefault="00322CED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</w:t>
      </w:r>
      <w:r>
        <w:rPr>
          <w:rFonts w:ascii="Arial" w:eastAsia="Arial" w:hAnsi="Arial" w:cs="Arial"/>
          <w:color w:val="000000"/>
          <w:sz w:val="20"/>
        </w:rPr>
        <w:t>/A</w:t>
      </w:r>
    </w:p>
    <w:p w14:paraId="39828E39" w14:textId="77777777" w:rsidR="00F721E2" w:rsidRDefault="00322CED" w:rsidP="00A81117">
      <w:pPr>
        <w:pStyle w:val="Heading3"/>
        <w:rPr>
          <w:color w:val="000000"/>
        </w:rPr>
      </w:pPr>
      <w:r>
        <w:lastRenderedPageBreak/>
        <w:t>4b. Program requirements and other policy guidelines</w:t>
      </w:r>
    </w:p>
    <w:p w14:paraId="60970329" w14:textId="77777777" w:rsidR="00F721E2" w:rsidRDefault="00322CED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Health promotion</w:t>
        </w:r>
      </w:hyperlink>
    </w:p>
    <w:p w14:paraId="1C612FA9" w14:textId="77777777" w:rsidR="00F721E2" w:rsidRDefault="00322CED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&lt;https://www2.health.vic.gov.au/public-health/preventive-health&gt;</w:t>
      </w:r>
    </w:p>
    <w:p w14:paraId="576E3239" w14:textId="77777777" w:rsidR="00F721E2" w:rsidRDefault="00322CED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398987A7" w14:textId="77777777" w:rsidR="00F721E2" w:rsidRDefault="00322CED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6C25EE6D" w14:textId="77777777" w:rsidR="00F721E2" w:rsidRDefault="00F721E2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0638C6DC" w14:textId="77777777" w:rsidR="00F721E2" w:rsidRDefault="00322CED" w:rsidP="00A81117">
      <w:pPr>
        <w:pStyle w:val="Heading2"/>
        <w:rPr>
          <w:color w:val="000000"/>
          <w:sz w:val="20"/>
        </w:rPr>
      </w:pPr>
      <w:r>
        <w:t>5. Performance</w:t>
      </w:r>
    </w:p>
    <w:p w14:paraId="4B3191C1" w14:textId="77777777" w:rsidR="00F721E2" w:rsidRDefault="00322CED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47B17CEB" w14:textId="77777777" w:rsidR="00F721E2" w:rsidRDefault="00322CED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7F121B1C" w14:textId="77777777" w:rsidR="00F721E2" w:rsidRDefault="00322CED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Performance measure 1: Report against health promotion plan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F721E2" w14:paraId="3788F7C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F5E8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C57C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Ensure agencies have a plan that </w:t>
            </w:r>
            <w:r>
              <w:rPr>
                <w:rFonts w:ascii="Arial" w:eastAsia="Arial" w:hAnsi="Arial" w:cs="Arial"/>
                <w:color w:val="000000"/>
                <w:sz w:val="20"/>
              </w:rPr>
              <w:t>meets the stipulated planning requirements</w:t>
            </w:r>
          </w:p>
        </w:tc>
      </w:tr>
      <w:tr w:rsidR="00F721E2" w14:paraId="1BAABD2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071B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60E9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for the above is 95%.</w:t>
            </w:r>
          </w:p>
        </w:tc>
      </w:tr>
      <w:tr w:rsidR="00F721E2" w14:paraId="504A64B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B02D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5442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F721E2" w14:paraId="2C08362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52B8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2F31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Count number of plans that meet the requirements.</w:t>
            </w:r>
          </w:p>
        </w:tc>
      </w:tr>
      <w:tr w:rsidR="00F721E2" w14:paraId="6E9A3BA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5236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B0BE" w14:textId="77777777" w:rsidR="00F721E2" w:rsidRDefault="00322CED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Report against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promotion plan</w:t>
            </w:r>
          </w:p>
        </w:tc>
      </w:tr>
      <w:tr w:rsidR="00F721E2" w14:paraId="3EFBDE3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F660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800A" w14:textId="6A6864FB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Four year strategic prevention plan: Submitted by 31 October of the first year of        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the planning cycle, for the four years (31 October 2017).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Annual reports: Submitted by 31 August.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</w:rPr>
              <w:t>Annual action plan: Submitted by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31 October.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Final report: Submitted by 31 August on the final year of the cycle (accumulative report for the four years) (31 August 2021).</w:t>
            </w:r>
          </w:p>
        </w:tc>
      </w:tr>
    </w:tbl>
    <w:p w14:paraId="5F87E07B" w14:textId="77777777" w:rsidR="00F721E2" w:rsidRDefault="00322CED" w:rsidP="00A81117">
      <w:pPr>
        <w:pStyle w:val="Heading2"/>
      </w:pPr>
      <w:r>
        <w:t>6. Data collection</w:t>
      </w:r>
    </w:p>
    <w:p w14:paraId="7ABBB0FC" w14:textId="77777777" w:rsidR="00F721E2" w:rsidRDefault="00322CED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F721E2" w14:paraId="565D39C4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BFBE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89CE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7CFF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 xml:space="preserve">Data </w:t>
            </w: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48B0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F721E2" w14:paraId="5C900E32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E606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Report against health promotion plan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5B81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5037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Reports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6F41F" w14:textId="77777777" w:rsidR="00F721E2" w:rsidRDefault="00322CED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</w:tbl>
    <w:p w14:paraId="1D7D7234" w14:textId="77777777" w:rsidR="00F721E2" w:rsidRDefault="00F721E2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F721E2" w14:paraId="15BE0D6D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2E6CA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4EACD289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5715B50C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</w:t>
            </w:r>
            <w:r>
              <w:rPr>
                <w:rFonts w:ascii="Arial" w:eastAsia="Arial" w:hAnsi="Arial" w:cs="Arial"/>
                <w:color w:val="000000"/>
                <w:sz w:val="16"/>
              </w:rPr>
              <w:t>rie' is retained when part of the title of a report, program or quotation.</w:t>
            </w:r>
          </w:p>
          <w:p w14:paraId="76CF810C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11969496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58CEEF45" w14:textId="77777777" w:rsidR="00F721E2" w:rsidRDefault="00322CED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715BC88" w14:textId="77777777" w:rsidR="00F721E2" w:rsidRDefault="00F721E2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F721E2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9A0F" w14:textId="77777777" w:rsidR="00000000" w:rsidRDefault="00322CED">
      <w:r>
        <w:separator/>
      </w:r>
    </w:p>
  </w:endnote>
  <w:endnote w:type="continuationSeparator" w:id="0">
    <w:p w14:paraId="524DCAA9" w14:textId="77777777" w:rsidR="00000000" w:rsidRDefault="0032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A7FB" w14:textId="1B3EC44F" w:rsidR="00F721E2" w:rsidRDefault="00A81117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FDC00C" wp14:editId="0B3676B0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9d8040e69204302bb232e88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D5B4A9" w14:textId="0F0843F0" w:rsidR="00A81117" w:rsidRPr="00A81117" w:rsidRDefault="00A81117" w:rsidP="00A8111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8111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DC00C" id="_x0000_t202" coordsize="21600,21600" o:spt="202" path="m,l,21600r21600,l21600,xe">
              <v:stroke joinstyle="miter"/>
              <v:path gradientshapeok="t" o:connecttype="rect"/>
            </v:shapetype>
            <v:shape id="MSIPCM9d8040e69204302bb232e88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1D5B4A9" w14:textId="0F0843F0" w:rsidR="00A81117" w:rsidRPr="00A81117" w:rsidRDefault="00A81117" w:rsidP="00A8111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8111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CED"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721E2" w14:paraId="7EF4D809" w14:textId="77777777">
      <w:tc>
        <w:tcPr>
          <w:tcW w:w="3473" w:type="dxa"/>
          <w:shd w:val="clear" w:color="auto" w:fill="FFFFFF"/>
        </w:tcPr>
        <w:p w14:paraId="4164FF68" w14:textId="77777777" w:rsidR="00F721E2" w:rsidRDefault="00322CED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15239DBC" wp14:editId="1266F25E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5AA70D99" w14:textId="77777777" w:rsidR="00F721E2" w:rsidRDefault="00322CED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55C19819" w14:textId="77777777" w:rsidR="00F721E2" w:rsidRDefault="00322CED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1210D320" w14:textId="77777777" w:rsidR="00F721E2" w:rsidRDefault="00F721E2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721E2" w14:paraId="11E62FAB" w14:textId="77777777">
      <w:tc>
        <w:tcPr>
          <w:tcW w:w="3473" w:type="dxa"/>
          <w:shd w:val="clear" w:color="auto" w:fill="FFFFFF"/>
        </w:tcPr>
        <w:p w14:paraId="7D15D3CD" w14:textId="503555DF" w:rsidR="00F721E2" w:rsidRDefault="00A81117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92C2C99" wp14:editId="0422016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76fc4a498b8ad54672216064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1E7B1C" w14:textId="42765A02" w:rsidR="00A81117" w:rsidRPr="00A81117" w:rsidRDefault="00A81117" w:rsidP="00A81117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A81117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92C2C9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6fc4a498b8ad5467221606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351E7B1C" w14:textId="42765A02" w:rsidR="00A81117" w:rsidRPr="00A81117" w:rsidRDefault="00A81117" w:rsidP="00A8111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8111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22CED">
            <w:rPr>
              <w:noProof/>
            </w:rPr>
            <w:drawing>
              <wp:inline distT="0" distB="0" distL="0" distR="0" wp14:anchorId="126CB50D" wp14:editId="6F6A7056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496B5556" w14:textId="77777777" w:rsidR="00F721E2" w:rsidRDefault="00322CED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35B59371" w14:textId="77777777" w:rsidR="00F721E2" w:rsidRDefault="00322CED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46BF6FE3" w14:textId="77777777" w:rsidR="00F721E2" w:rsidRDefault="00F721E2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AEF7" w14:textId="77777777" w:rsidR="00000000" w:rsidRDefault="00322CED">
      <w:r>
        <w:separator/>
      </w:r>
    </w:p>
  </w:footnote>
  <w:footnote w:type="continuationSeparator" w:id="0">
    <w:p w14:paraId="2566FD43" w14:textId="77777777" w:rsidR="00000000" w:rsidRDefault="0032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DB5B" w14:textId="77777777" w:rsidR="00F721E2" w:rsidRDefault="00322CED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Primary, Community and Dental Health 28085 Community Health - Health Promotion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526D0EF8" w14:textId="77777777" w:rsidR="00F721E2" w:rsidRDefault="00F721E2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5359" w14:textId="77777777" w:rsidR="00F721E2" w:rsidRDefault="00F721E2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B1"/>
    <w:multiLevelType w:val="hybridMultilevel"/>
    <w:tmpl w:val="EA9E319C"/>
    <w:lvl w:ilvl="0" w:tplc="72E8946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B1D2702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248B6D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E84E8C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B116484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062925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9D4964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728AD7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628655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1471764B"/>
    <w:multiLevelType w:val="hybridMultilevel"/>
    <w:tmpl w:val="BDB6A394"/>
    <w:lvl w:ilvl="0" w:tplc="0ECC2B7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D3F4B52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3AAC0C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5406FE5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4732D75C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920407B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F06C95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C43CC88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18EFA4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7D207E2"/>
    <w:multiLevelType w:val="hybridMultilevel"/>
    <w:tmpl w:val="3BF44C30"/>
    <w:lvl w:ilvl="0" w:tplc="412203D4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2A78A08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71AC7532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615A3D6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F112F51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1C0A099C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07861AB6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307461B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508B77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1B007AC8"/>
    <w:multiLevelType w:val="hybridMultilevel"/>
    <w:tmpl w:val="60425642"/>
    <w:lvl w:ilvl="0" w:tplc="74FA195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86BA19E6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4DE2D20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82F42FA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F946975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248C4DC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ACEF89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73FE33A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E96AFD4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1F43134D"/>
    <w:multiLevelType w:val="hybridMultilevel"/>
    <w:tmpl w:val="35F42502"/>
    <w:lvl w:ilvl="0" w:tplc="3E32692C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2780BA64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3D147AF0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BC9E6A70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E840922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0ACCB73A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CA70D632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C5BEA7DE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73F4CFDA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341D0856"/>
    <w:multiLevelType w:val="hybridMultilevel"/>
    <w:tmpl w:val="1952E882"/>
    <w:lvl w:ilvl="0" w:tplc="8006CC9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BD90DBF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9E9436F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3130566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42C6346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59E8B55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2F5E6F76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673CCDA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27ED98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39900D48"/>
    <w:multiLevelType w:val="hybridMultilevel"/>
    <w:tmpl w:val="6EF05718"/>
    <w:lvl w:ilvl="0" w:tplc="BB30C65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B28AEF8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DBC80B4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294E63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A04EF8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A02407B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BE2F4D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5188C8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D2A638A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3C460B97"/>
    <w:multiLevelType w:val="hybridMultilevel"/>
    <w:tmpl w:val="B5C27D5A"/>
    <w:lvl w:ilvl="0" w:tplc="8442804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A480685C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0C258DE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978C5F2E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E94CA73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DACD4D2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566EBD6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0032FC38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891A2B7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8" w15:restartNumberingAfterBreak="0">
    <w:nsid w:val="48AF30DD"/>
    <w:multiLevelType w:val="hybridMultilevel"/>
    <w:tmpl w:val="B14E6CDE"/>
    <w:lvl w:ilvl="0" w:tplc="00C0416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932509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6446C4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3429F2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14A4290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432D7F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DB4A21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0B2A91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34E6A8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52AA1480"/>
    <w:multiLevelType w:val="hybridMultilevel"/>
    <w:tmpl w:val="31A4CA78"/>
    <w:lvl w:ilvl="0" w:tplc="0308AED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63029E5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98CB2B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B3901D5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DAC42FD0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8E4C87B6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CBB0BB8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A122422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EA66854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4D1269B"/>
    <w:multiLevelType w:val="hybridMultilevel"/>
    <w:tmpl w:val="7DEC4448"/>
    <w:lvl w:ilvl="0" w:tplc="DA707F8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EF74E67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614068AA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EE00BF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5BA2AE7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88C008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F25EA03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BFA83B3A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6892340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61F54BD4"/>
    <w:multiLevelType w:val="hybridMultilevel"/>
    <w:tmpl w:val="87BA7100"/>
    <w:lvl w:ilvl="0" w:tplc="9D9E276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EFAAEDE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9B801A3E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2F0EB8A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D8DAB9C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0AA80AE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C5A1EC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B120A1DE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66B24CD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6ED59B7"/>
    <w:multiLevelType w:val="hybridMultilevel"/>
    <w:tmpl w:val="18BC2A22"/>
    <w:lvl w:ilvl="0" w:tplc="B486FD2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D7FEC9B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30A238F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58A20F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CCD815D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FE21F7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8F4984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08A89B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022D9E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6A9658C0"/>
    <w:multiLevelType w:val="hybridMultilevel"/>
    <w:tmpl w:val="FDAC7DFE"/>
    <w:lvl w:ilvl="0" w:tplc="1C28797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7034F4F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636C10C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A56A442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F28DFE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4A32DD76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B32A04B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248B29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692C90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F3270E6"/>
    <w:multiLevelType w:val="hybridMultilevel"/>
    <w:tmpl w:val="13FCFF86"/>
    <w:lvl w:ilvl="0" w:tplc="55AAC22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67442CE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876804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074430C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6A4A07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204F76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25C0C1A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09E021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EC2C43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364867182">
    <w:abstractNumId w:val="14"/>
  </w:num>
  <w:num w:numId="2" w16cid:durableId="923760644">
    <w:abstractNumId w:val="2"/>
  </w:num>
  <w:num w:numId="3" w16cid:durableId="707411355">
    <w:abstractNumId w:val="11"/>
  </w:num>
  <w:num w:numId="4" w16cid:durableId="53433755">
    <w:abstractNumId w:val="1"/>
  </w:num>
  <w:num w:numId="5" w16cid:durableId="802842842">
    <w:abstractNumId w:val="7"/>
  </w:num>
  <w:num w:numId="6" w16cid:durableId="368185090">
    <w:abstractNumId w:val="3"/>
  </w:num>
  <w:num w:numId="7" w16cid:durableId="154028981">
    <w:abstractNumId w:val="0"/>
  </w:num>
  <w:num w:numId="8" w16cid:durableId="1035078609">
    <w:abstractNumId w:val="12"/>
  </w:num>
  <w:num w:numId="9" w16cid:durableId="712580097">
    <w:abstractNumId w:val="8"/>
  </w:num>
  <w:num w:numId="10" w16cid:durableId="1243681245">
    <w:abstractNumId w:val="4"/>
  </w:num>
  <w:num w:numId="11" w16cid:durableId="1944260678">
    <w:abstractNumId w:val="10"/>
  </w:num>
  <w:num w:numId="12" w16cid:durableId="645669284">
    <w:abstractNumId w:val="6"/>
  </w:num>
  <w:num w:numId="13" w16cid:durableId="1652323195">
    <w:abstractNumId w:val="2"/>
  </w:num>
  <w:num w:numId="14" w16cid:durableId="994842911">
    <w:abstractNumId w:val="13"/>
  </w:num>
  <w:num w:numId="15" w16cid:durableId="1106000360">
    <w:abstractNumId w:val="13"/>
  </w:num>
  <w:num w:numId="16" w16cid:durableId="984044970">
    <w:abstractNumId w:val="13"/>
  </w:num>
  <w:num w:numId="17" w16cid:durableId="1033531600">
    <w:abstractNumId w:val="9"/>
  </w:num>
  <w:num w:numId="18" w16cid:durableId="127675825">
    <w:abstractNumId w:val="13"/>
  </w:num>
  <w:num w:numId="19" w16cid:durableId="546380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E2"/>
    <w:rsid w:val="00322CED"/>
    <w:rsid w:val="00A8111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BB193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117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117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117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1117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81117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1117"/>
    <w:rPr>
      <w:rFonts w:ascii="Arial" w:eastAsia="Arial" w:hAnsi="Arial" w:cs="Arial"/>
      <w:b/>
      <w:bCs/>
      <w:color w:val="201547"/>
    </w:rPr>
  </w:style>
  <w:style w:type="paragraph" w:styleId="Header">
    <w:name w:val="header"/>
    <w:basedOn w:val="Normal"/>
    <w:link w:val="HeaderChar"/>
    <w:uiPriority w:val="99"/>
    <w:unhideWhenUsed/>
    <w:rsid w:val="00A81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117"/>
  </w:style>
  <w:style w:type="paragraph" w:styleId="Footer">
    <w:name w:val="footer"/>
    <w:basedOn w:val="Normal"/>
    <w:link w:val="FooterChar"/>
    <w:uiPriority w:val="99"/>
    <w:unhideWhenUsed/>
    <w:rsid w:val="00A81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public-health/preventive-health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ADEB96C-AF5B-4CAC-BC60-A7388E46E03F}"/>
</file>

<file path=customXml/itemProps2.xml><?xml version="1.0" encoding="utf-8"?>
<ds:datastoreItem xmlns:ds="http://schemas.openxmlformats.org/officeDocument/2006/customXml" ds:itemID="{D3DD8572-8DBD-48DE-B155-7CA2369A6D59}"/>
</file>

<file path=customXml/itemProps3.xml><?xml version="1.0" encoding="utf-8"?>
<ds:datastoreItem xmlns:ds="http://schemas.openxmlformats.org/officeDocument/2006/customXml" ds:itemID="{071A3286-DE9C-4FB3-9B08-3CCD6FC52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3328</Characters>
  <Application>Microsoft Office Word</Application>
  <DocSecurity>0</DocSecurity>
  <Lines>27</Lines>
  <Paragraphs>7</Paragraphs>
  <ScaleCrop>false</ScaleCrop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Community Health - Health Promotion 28085</dc:title>
  <dc:subject/>
  <cp:keywords/>
  <cp:revision>3</cp:revision>
  <dcterms:created xsi:type="dcterms:W3CDTF">2023-10-03T00:17:00Z</dcterms:created>
  <dcterms:modified xsi:type="dcterms:W3CDTF">2023-10-03T00:18:00Z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2023-10-03T00:18:13Z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71e9e6dc-8a87-49c1-b862-44cc6a8d0436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