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numbering" Target="numbering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://providers.dffh.vic.gov.au/families-fairness-housing-health-activity-search" TargetMode="Externa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www2.health.vic.gov.au/alcohol-and-drugs/aod-service-standards-guidelines/aod-program-guidelines" TargetMode="External"/><Relationship Id="rId5" Type="http://schemas.openxmlformats.org/officeDocument/2006/relationships/theme" Target="theme/theme1.xml"/><Relationship Id="rId15" Type="http://schemas.openxmlformats.org/officeDocument/2006/relationships/customXml" Target="../customXml/item2.xml"/><Relationship Id="rId10" Type="http://schemas.openxmlformats.org/officeDocument/2006/relationships/image" Target="media/image3.png"/><Relationship Id="rId4" Type="http://schemas.openxmlformats.org/officeDocument/2006/relationships/fontTable" Target="fontTable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DD525451-CC8A-491D-8910-F50E02AABFB9}"/>
</file>

<file path=customXml/itemProps2.xml><?xml version="1.0" encoding="utf-8"?>
<ds:datastoreItem xmlns:ds="http://schemas.openxmlformats.org/officeDocument/2006/customXml" ds:itemID="{AE5B5344-E019-49EC-B7F7-85A0C63C7E32}"/>
</file>

<file path=customXml/itemProps3.xml><?xml version="1.0" encoding="utf-8"?>
<ds:datastoreItem xmlns:ds="http://schemas.openxmlformats.org/officeDocument/2006/customXml" ds:itemID="{3DDE7FFF-9473-4CD4-AC9E-C14684AC4173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Description Health and Human Services Community Education 34020</dc:title>
  <dc:subject/>
  <dc:creator>User</dc:creator>
  <cp:keywords/>
  <dc:description>Generated by Oracle BI Publisher 12.2.1.3.0</dc:description>
  <cp:lastModifiedBy>User</cp:lastModifiedBy>
  <cp:revision>2</cp:revision>
  <dcterms:created xsi:type="dcterms:W3CDTF">2013-02-11T20:57:00Z</dcterms:created>
  <dcterms:modified xsi:type="dcterms:W3CDTF">2013-02-11T20:57:00Z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0x0101009F0C4347C5C6D34BA8C9FCC4F57D19B6</vt:lpwstr>
  </property>
</Propertie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Oracle USA</Company>
  <LinksUpToDate>false</LinksUpToDate>
  <CharactersWithSpaces>3</CharactersWithSpaces>
  <SharedDoc>false</SharedDoc>
  <HyperlinksChanged>false</HyperlinksChanged>
  <AppVersion>14.0000</AppVersion>
</Properties>
</file>

<file path=word\_rels\footer1.xml.rels><?xml version="1.0" encoding="UTF-8" standalone="yes"?>
<Relationships xmlns="http://schemas.openxmlformats.org/package/2006/relationships">
<Relationship Id="rId1" Type="http://schemas.openxmlformats.org/officeDocument/2006/relationships/image" Target="media/image2.png"/>
</Relationships>

</file>

<file path=word\_rels\footer2.xml.rels><?xml version="1.0" encoding="UTF-8" standalone="yes"?>
<Relationships xmlns="http://schemas.openxmlformats.org/package/2006/relationships">
<Relationship Id="rId1" Type="http://schemas.openxmlformats.org/officeDocument/2006/relationships/image" Target="media/image1.png"/>
</Relationships>

</file>

<file path=word\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tabs>
          <w:tab w:val="left" w:pos="1728"/>
        </w:tabs>
        <w:spacing w:before="100" w:line="288" w:lineRule="auto"/>
        <w:ind w:left="-699"/>
        <w:rPr/>
      </w:pPr>
      <w:r>
        <w:rPr>
          <w:noProof/>
        </w:rPr>
        <w:drawing>
          <wp:inline distT="0" distB="0" distL="0" distR="0">
            <wp:extent cx="7562215" cy="141512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41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10206"/>
      </w:tblGrid>
      <w:tr>
        <w:tc>
          <w:tcPr>
            <w:tcW w:w="10206" w:type="dxa"/>
            <w:vAlign w:val="bottom"/>
            <w:shd w:val="clear" w:color="auto" w:fill="FFFFFF"/>
          </w:tcPr>
          <w:p>
            <w:pPr>
              <w:spacing w:line="560" w:lineRule="atLeast"/>
              <w:jc w:val="center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/>
            </w:r>
          </w:p>
          <w:p>
            <w:pPr>
              <w:spacing w:line="560" w:lineRule="atLeast"/>
              <w:rPr>
                <w:rFonts w:ascii="Arial" w:hAnsi="Arial" w:eastAsia="Arial" w:cs="Arial"/>
                <w:color w:val="201547"/>
                <w:sz w:val="44"/>
              </w:rPr>
            </w:pPr>
            <w:r>
              <w:rPr>
                <w:rFonts w:ascii="Arial" w:hAnsi="Arial" w:eastAsia="Arial" w:cs="Arial"/>
                <w:color w:val="201547"/>
                <w:sz w:val="44"/>
              </w:rPr>
              <w:t>Community Education</w:t>
            </w:r>
          </w:p>
          <w:p>
            <w:pPr>
              <w:spacing w:line="560" w:lineRule="atLeast"/>
              <w:rPr>
                <w:rFonts w:ascii="Arial" w:hAnsi="Arial" w:eastAsia="Arial" w:cs="Arial"/>
                <w:color w:val="201547"/>
                <w:sz w:val="44"/>
              </w:rPr>
            </w:pPr>
            <w:r>
              <w:rPr>
                <w:rFonts w:ascii="Arial" w:hAnsi="Arial" w:eastAsia="Arial" w:cs="Arial"/>
                <w:color w:val="201547"/>
                <w:sz w:val="44"/>
              </w:rPr>
              <w:t>34020</w:t>
            </w:r>
          </w:p>
        </w:tc>
      </w:tr>
      <w:tr>
        <w:tc>
          <w:tcPr>
            <w:tcW w:w="10206" w:type="dxa"/>
            <w:shd w:val="clear" w:color="auto" w:fill="FFFFFF"/>
          </w:tcPr>
          <w:p>
            <w:pPr>
              <w:spacing w:after="120"/>
              <w:rPr>
                <w:rFonts w:ascii="Arial" w:hAnsi="Arial" w:eastAsia="Arial" w:cs="Arial"/>
                <w:color w:val="201547"/>
                <w:sz w:val="28"/>
              </w:rPr>
            </w:pPr>
            <w:r>
              <w:rPr>
                <w:rFonts w:ascii="Arial" w:hAnsi="Arial" w:eastAsia="Arial" w:cs="Arial"/>
                <w:color w:val="201547"/>
                <w:sz w:val="28"/>
              </w:rPr>
              <w:t>Outcome objective: Victorians are connected to culture and community</w:t>
            </w:r>
          </w:p>
          <w:p>
            <w:pPr>
              <w:spacing w:after="120"/>
              <w:rPr>
                <w:rFonts w:ascii="Arial" w:hAnsi="Arial" w:eastAsia="Arial" w:cs="Arial"/>
                <w:color w:val="201547"/>
                <w:sz w:val="28"/>
              </w:rPr>
            </w:pPr>
            <w:r>
              <w:rPr>
                <w:rFonts w:ascii="Arial" w:hAnsi="Arial" w:eastAsia="Arial" w:cs="Arial"/>
                <w:color w:val="201547"/>
                <w:sz w:val="28"/>
              </w:rPr>
              <w:t>Output group: Drug Services</w:t>
            </w:r>
          </w:p>
          <w:p>
            <w:pPr>
              <w:spacing w:after="120"/>
              <w:rPr>
                <w:rFonts w:ascii="Arial" w:hAnsi="Arial" w:eastAsia="Arial" w:cs="Arial"/>
                <w:color w:val="201547"/>
                <w:sz w:val="28"/>
              </w:rPr>
            </w:pPr>
            <w:r>
              <w:rPr>
                <w:rFonts w:ascii="Arial" w:hAnsi="Arial" w:eastAsia="Arial" w:cs="Arial"/>
                <w:color w:val="201547"/>
                <w:sz w:val="28"/>
              </w:rPr>
              <w:t>Output: Drug Prevention And Control</w:t>
            </w:r>
          </w:p>
        </w:tc>
      </w:tr>
    </w:tbl>
    <w:p>
      <w:pPr>
        <w:spacing w:line="560" w:lineRule="atLeast"/>
        <w:ind w:left="111" w:right="105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b/>
          <w:bCs/>
          <w:color w:val="000000"/>
          <w:sz w:val="20"/>
        </w:rPr>
        <w:t>OFFICIAL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1. Service objective</w:t>
      </w:r>
    </w:p>
    <w:p>
      <w:pPr>
        <w:spacing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The department funds family drug education workshops that help Victorians to recognise when a family member has a problem with ice, encourage the affected person to get treatment and support them through their recovery.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2. Description of the service</w:t>
      </w:r>
    </w:p>
    <w:p>
      <w:pPr>
        <w:spacing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BreakThrough, a Family Drug Education Program, is being delivered at a range of locations across the state. The program helps Victorians to recognise when a family member has a problem with ice, encourage the affected person to get treatment and support them through their recovery.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3. Client group</w:t>
      </w:r>
    </w:p>
    <w:p>
      <w:pPr>
        <w:spacing w:line="288" w:lineRule="auto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The target client group for this activity are family members of users of AOD.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4. Obligations specific to this activity</w:t>
      </w:r>
    </w:p>
    <w:p>
      <w:pPr>
        <w:spacing w:line="288" w:lineRule="auto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In addition to the obligations listed in the Service Agreement, organisations funded to deliver this activity must comply with the following:</w:t>
      </w:r>
    </w:p>
    <w:p>
      <w:pPr>
        <w:spacing w:before="240" w:after="90" w:line="320" w:lineRule="atLeast"/>
        <w:ind w:left="111" w:right="105"/>
        <w:rPr>
          <w:rFonts w:ascii="Arial" w:hAnsi="Arial" w:eastAsia="Arial" w:cs="Arial"/>
          <w:b/>
          <w:bCs/>
          <w:color w:val="201547"/>
          <w:sz w:val="22"/>
        </w:rPr>
      </w:pPr>
      <w:r>
        <w:rPr>
          <w:rFonts w:ascii="Arial" w:hAnsi="Arial" w:eastAsia="Arial" w:cs="Arial"/>
          <w:b/>
          <w:bCs/>
          <w:color w:val="201547"/>
          <w:sz w:val="22"/>
        </w:rPr>
        <w:t>4a. Registration and Accreditation</w:t>
      </w:r>
    </w:p>
    <w:p>
      <w:pPr>
        <w:spacing w:after="40"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N/A</w:t>
      </w:r>
    </w:p>
    <w:p>
      <w:pPr>
        <w:spacing w:before="240" w:after="90" w:line="320" w:lineRule="atLeast"/>
        <w:ind w:left="111" w:right="105"/>
        <w:rPr>
          <w:rFonts w:ascii="Arial" w:hAnsi="Arial" w:eastAsia="Arial" w:cs="Arial"/>
          <w:color w:val="000000"/>
          <w:sz w:val="22"/>
        </w:rPr>
      </w:pPr>
      <w:r>
        <w:rPr>
          <w:rFonts w:ascii="Arial" w:hAnsi="Arial" w:eastAsia="Arial" w:cs="Arial"/>
          <w:b/>
          <w:bCs/>
          <w:color w:val="201547"/>
          <w:sz w:val="22"/>
        </w:rPr>
        <w:t>4b. Program requirements and other policy guidelines</w:t>
      </w:r>
      <w:r>
        <w:rPr>
          <w:rFonts w:ascii="Arial" w:hAnsi="Arial" w:eastAsia="Arial" w:cs="Arial"/>
          <w:color w:val="000000"/>
          <w:sz w:val="22"/>
        </w:rPr>
        <w:t/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1" w:tgtFrame="_blank" w:history="1">
        <w:r>
          <w:rPr>
            <w:rFonts w:ascii="Arial" w:hAnsi="Arial" w:eastAsia="Arial" w:cs="Arial"/>
            <w:color w:val="3366FF"/>
            <w:sz w:val="20"/>
          </w:rPr>
          <w:t>Alcohol &amp; Other Drug Program Guidelines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&lt;https://www2.health.vic.gov.au/alcohol-and-drugs/aod-service-standards-guidelines/aod-program-guidelines&gt;</w:t>
      </w:r>
    </w:p>
    <w:p>
      <w:pPr>
        <w:spacing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/>
      </w:r>
    </w:p>
    <w:p>
      <w:pPr>
        <w:spacing w:before="320" w:after="200" w:line="44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5. Performance</w:t>
      </w:r>
      <w:r>
        <w:rPr>
          <w:rFonts w:ascii="Arial" w:hAnsi="Arial" w:eastAsia="Arial" w:cs="Arial"/>
          <w:color w:val="000000"/>
          <w:sz w:val="20"/>
        </w:rPr>
        <w:t/>
      </w:r>
    </w:p>
    <w:p>
      <w:pPr>
        <w:spacing w:line="288" w:lineRule="auto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 xml:space="preserve">Funding is subject to achieving the performance targets specified in Schedule 2 of the Service Agreement. </w:t>
      </w:r>
    </w:p>
    <w:p>
      <w:pPr>
        <w:spacing w:before="100" w:line="288" w:lineRule="auto"/>
        <w:ind w:left="111" w:right="105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Performance is measured as follows:</w:t>
      </w:r>
      <w:r>
        <w:rPr>
          <w:rFonts w:ascii="Arial" w:hAnsi="Arial" w:eastAsia="Arial" w:cs="Arial"/>
          <w:b/>
          <w:bCs/>
          <w:color w:val="000000"/>
          <w:sz w:val="20"/>
        </w:rPr>
        <w:t xml:space="preserve"> </w:t>
      </w:r>
    </w:p>
    <w:p>
      <w:pPr>
        <w:spacing w:before="100" w:line="288" w:lineRule="auto"/>
        <w:ind w:left="111" w:right="105"/>
        <w:rPr>
          <w:rFonts w:ascii="Arial" w:hAnsi="Arial" w:eastAsia="Arial" w:cs="Arial"/>
          <w:b/>
          <w:bCs/>
          <w:color w:val="201547"/>
          <w:sz w:val="20"/>
        </w:rPr>
      </w:pPr>
      <w:r>
        <w:rPr>
          <w:rFonts w:ascii="Arial" w:hAnsi="Arial" w:eastAsia="Arial" w:cs="Arial"/>
          <w:b/>
          <w:bCs/>
          <w:color w:val="201547"/>
          <w:sz w:val="20"/>
        </w:rPr>
        <w:t>Key performance measure 1: Number of contacts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2835"/>
        <w:gridCol w:w="7379"/>
      </w:tblGrid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The aim of this performance measure is to count the number of contacts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The performance measure target is provided in the Service Agreement.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 Non-cumulative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Number of client contacts attending drug education program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numPr>
                <w:ilvl w:val="0"/>
                <w:numId w:val="7"/>
              </w:numPr>
              <w:spacing w:line="270" w:lineRule="atLeast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Manual Data Collection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Family members who our concerned about their loved one’s methamphetamine use are offered two 2-hour sessions in Melbourne or single 2.5–3 hour sessions in regional Victoria. Breakthrough is a collaboration between Turning Point, SHARC and the Bouverie Centre to deliver family specific education, support and referral.</w:t>
            </w:r>
          </w:p>
        </w:tc>
      </w:tr>
    </w:tbl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6. Data collection</w:t>
      </w:r>
    </w:p>
    <w:p>
      <w:pPr>
        <w:spacing w:line="288" w:lineRule="auto"/>
        <w:ind w:left="111" w:right="105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The reporting requirements for this service are:</w:t>
      </w:r>
      <w:r>
        <w:rPr>
          <w:rFonts w:ascii="Arial" w:hAnsi="Arial" w:eastAsia="Arial" w:cs="Arial"/>
          <w:b/>
          <w:bCs/>
          <w:color w:val="000000"/>
          <w:sz w:val="20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</w:rPr>
        <w:t/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2580"/>
        <w:gridCol w:w="2580"/>
        <w:gridCol w:w="2580"/>
        <w:gridCol w:w="2508"/>
      </w:tblGrid>
      <w:tr>
        <w:trPr>
          <w:tblHeader/>
        </w:trPr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collection name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system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set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Reporting cycle</w:t>
            </w:r>
          </w:p>
        </w:tc>
      </w:tr>
      <w:tr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Manual Data Collection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Sessions </w:t>
            </w:r>
          </w:p>
        </w:tc>
        <w:tc>
          <w:tcPr>
            <w:tcW w:w="2508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Quarterly</w:t>
            </w:r>
          </w:p>
        </w:tc>
      </w:tr>
    </w:tbl>
    <w:p>
      <w:pPr>
        <w:spacing w:before="100" w:line="288" w:lineRule="auto"/>
        <w:ind w:left="111" w:right="105"/>
        <w:rPr>
          <w:rFonts w:ascii="Arial" w:hAnsi="Arial" w:eastAsia="Arial" w:cs="Arial"/>
          <w:color w:val="000000"/>
          <w:sz w:val="18"/>
        </w:rPr>
      </w:pPr>
      <w:r>
        <w:rPr>
          <w:rFonts w:ascii="Arial" w:hAnsi="Arial" w:eastAsia="Arial" w:cs="Arial"/>
          <w:color w:val="000000"/>
          <w:sz w:val="18"/>
        </w:rPr>
        <w:t/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</w:tblPr>
      <w:tblGrid>
        <w:gridCol w:w="10312"/>
      </w:tblGrid>
      <w:tr>
        <w:trPr>
          <w:cantSplit/>
        </w:trPr>
        <w:tc>
          <w:tcPr>
            <w:tcW w:w="10312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3366FF"/>
                <w:sz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</w:rPr>
              <w:t>To receive this publication in an accessible format, email</w:t>
            </w:r>
            <w:r>
              <w:rPr>
                <w:rFonts w:ascii="Arial" w:hAnsi="Arial" w:eastAsia="Arial" w:cs="Arial"/>
                <w:color w:val="3366FF"/>
                <w:sz w:val="24"/>
              </w:rPr>
              <w:t xml:space="preserve"> Monitoring Framework Helpdesk &lt;monitoringframework.helpdesk@dffh.vic.gov.au&gt;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 xml:space="preserve">Authorised and published by the Victorian Government, 1 Treasury Place, Melbourne. © State of Victoria, Department of Health, </w:t>
            </w:r>
            <w:r>
              <w:rPr>
                <w:rFonts w:ascii="Arial" w:hAnsi="Arial" w:eastAsia="Arial" w:cs="Arial"/>
                <w:color w:val="000000"/>
                <w:sz w:val="16"/>
              </w:rPr>
              <w:t>November 2023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. 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>In this document, ‘Aboriginal’ refers to both Aboriginal and Torres Strait Islander people. ‘Indigenous’ or ‘Koori/Koorie' is retained when part of the title of a report, program or quotation.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>ISSN 2653-0937 – Online (PDF/Word)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Available at </w:t>
            </w:r>
            <w:r>
              <w:rPr>
                <w:rFonts w:ascii="Arial" w:hAnsi="Arial" w:eastAsia="Arial" w:cs="Arial"/>
                <w:color w:val="3366FF"/>
                <w:sz w:val="20"/>
              </w:rPr>
              <w:t xml:space="preserve">Department of Families, Fairness and Housing and Department of Health </w:t>
            </w:r>
            <w:r>
              <w:rPr>
                <w:rFonts w:ascii="Arial" w:hAnsi="Arial" w:eastAsia="Arial" w:cs="Arial"/>
                <w:color w:val="000000"/>
                <w:sz w:val="20"/>
              </w:rPr>
              <w:t>activity search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hyperlink r:id="rId12" w:tgtFrame="_blank" w:history="1">
              <w:r>
                <w:rPr>
                  <w:rFonts w:ascii="Arial" w:hAnsi="Arial" w:eastAsia="Arial" w:cs="Arial"/>
                  <w:color w:val="3366FF"/>
                  <w:sz w:val="20"/>
                </w:rPr>
                <w:t>&lt;http://providers.dffh.vic.gov.au/families-fairness-housing-health-activity-search</w:t>
              </w:r>
            </w:hyperlink>
            <w:r>
              <w:rPr>
                <w:rFonts w:ascii="Arial" w:hAnsi="Arial" w:eastAsia="Arial" w:cs="Arial"/>
                <w:color w:val="000000"/>
                <w:sz w:val="20"/>
              </w:rPr>
              <w:t>&gt;</w:t>
            </w:r>
          </w:p>
        </w:tc>
      </w:tr>
    </w:tbl>
    <w:p>
      <w:pPr>
        <w:spacing w:before="100" w:line="288" w:lineRule="auto"/>
        <w:ind w:left="111" w:right="105"/>
        <w:rPr>
          <w:rFonts w:ascii="Arial" w:hAnsi="Arial" w:eastAsia="Arial" w:cs="Arial"/>
          <w:color w:val="000000"/>
          <w:sz w:val="18"/>
        </w:rPr>
      </w:pPr>
      <w:bookmarkStart w:id="0" w:name="page_total_master0"/>
      <w:r>
        <w:rPr>
          <w:rFonts w:ascii="Arial" w:hAnsi="Arial" w:eastAsia="Arial" w:cs="Arial"/>
          <w:color w:val="000000"/>
          <w:sz w:val="18"/>
        </w:rPr>
        <w:t/>
      </w:r>
      <w:bookmarkEnd w:id="0"/>
      <w:bookmarkStart w:id="1" w:name="page_total"/>
      <w:r>
        <w:rPr>
          <w:rFonts w:ascii="Arial" w:hAnsi="Arial" w:eastAsia="Arial" w:cs="Arial"/>
          <w:color w:val="000000"/>
          <w:sz w:val="18"/>
        </w:rPr>
        <w:t/>
      </w:r>
      <w:bookmarkEnd w:id="1"/>
    </w:p>
    <w:sectPr>
      <w:headerReference w:type="default" r:id="rId6"/>
      <w:headerReference w:type="first" r:id="rId7"/>
      <w:footerReference w:type="default" r:id="rId8"/>
      <w:footerReference w:type="first" r:id="rId9"/>
      <w:pgSz w:w="11900" w:h="16820"/>
      <w:pgMar w:top="560" w:right="740" w:bottom="1120" w:left="740" w:header="567" w:footer="0" w:gutter="0"/>
      <w:cols w:space="720"/>
      <w:noEndnote/>
      <w:titlePg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\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4428"/>
        <w:tab w:val="left" w:pos="9123"/>
        <w:tab w:val="right" w:pos="10314"/>
      </w:tabs>
      <w:ind w:left="111" w:right="105"/>
      <w:rPr/>
    </w:pPr>
    <w:r>
      <w:rPr>
        <w:rFonts w:ascii="Arial" w:hAnsi="Arial" w:eastAsia="Arial" w:cs="Arial"/>
        <w:color w:val="000000"/>
        <w:sz w:val="18"/>
      </w:rPr>
      <w:tab/>
    </w:r>
  </w:p>
  <w:tbl>
    <w:tblPr>
      <w:tblW w:w="0" w:type="auto"/>
      <w:tblInd w:w="-177" w:type="dxa"/>
      <w:tblLayout w:type="fixed"/>
      <w:tblCellMar>
        <w:left w:w="0" w:type="dxa"/>
        <w:right w:w="0" w:type="dxa"/>
      </w:tblCellMar>
    </w:tblPr>
    <w:tblGrid>
      <w:gridCol w:w="3473"/>
      <w:gridCol w:w="3473"/>
      <w:gridCol w:w="3474"/>
    </w:tblGrid>
    <w:tr>
      <w:tc>
        <w:tcPr>
          <w:tcW w:w="3473" w:type="dxa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 w:right="108"/>
            <w:rPr/>
          </w:pPr>
          <w:r>
            <w:rPr>
              <w:noProof/>
            </w:rPr>
            <w:drawing>
              <wp:inline distT="0" distB="0" distL="0" distR="0">
                <wp:extent cx="1666875" cy="5334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3" w:type="dxa"/>
          <w:vAlign w:val="bottom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hAnsi="Arial" w:eastAsia="Arial" w:cs="Arial"/>
              <w:b/>
              <w:bCs/>
              <w:color w:val="000000"/>
              <w:sz w:val="20"/>
            </w:rPr>
          </w:pPr>
          <w:r>
            <w:rPr>
              <w:rFonts w:ascii="Arial" w:hAnsi="Arial" w:eastAsia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474" w:type="dxa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hAnsi="Arial" w:eastAsia="Arial" w:cs="Arial"/>
              <w:color w:val="000000"/>
              <w:sz w:val="18"/>
            </w:rPr>
          </w:pPr>
          <w:r>
            <w:rPr>
              <w:rFonts w:ascii="Arial" w:hAnsi="Arial" w:eastAsia="Arial" w:cs="Arial"/>
              <w:color w:val="000000"/>
              <w:sz w:val="18"/>
            </w:rPr>
            <w:t xml:space="preserve">             </w:t>
          </w:r>
        </w:p>
      </w:tc>
    </w:tr>
  </w:tbl>
  <w:p>
    <w:pPr>
      <w:tabs>
        <w:tab w:val="right" w:pos="10314"/>
      </w:tabs>
      <w:ind w:left="111" w:right="105"/>
      <w:jc w:val="center"/>
      <w:rPr>
        <w:rFonts w:ascii="Arial" w:hAnsi="Arial" w:eastAsia="Arial" w:cs="Arial"/>
        <w:color w:val="000000"/>
        <w:sz w:val="20"/>
      </w:rPr>
    </w:pPr>
    <w:r>
      <w:rPr>
        <w:rFonts w:ascii="Arial" w:hAnsi="Arial" w:eastAsia="Arial" w:cs="Arial"/>
        <w:color w:val="000000"/>
        <w:sz w:val="20"/>
      </w:rPr>
      <w:t/>
    </w:r>
  </w:p>
</w:ftr>
</file>

<file path=word\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77" w:type="dxa"/>
      <w:tblLayout w:type="fixed"/>
      <w:tblCellMar>
        <w:left w:w="0" w:type="dxa"/>
        <w:right w:w="0" w:type="dxa"/>
      </w:tblCellMar>
    </w:tblPr>
    <w:tblGrid>
      <w:gridCol w:w="3473"/>
      <w:gridCol w:w="3473"/>
      <w:gridCol w:w="3474"/>
    </w:tblGrid>
    <w:tr>
      <w:tc>
        <w:tcPr>
          <w:tcW w:w="3473" w:type="dxa"/>
          <w:shd w:val="clear" w:color="auto" w:fill="FFFFFF"/>
        </w:tcPr>
        <w:p>
          <w:pPr>
            <w:tabs>
              <w:tab w:val="left" w:pos="318"/>
              <w:tab w:val="right" w:pos="10314"/>
            </w:tabs>
            <w:spacing w:before="240"/>
            <w:ind w:left="108" w:right="108"/>
            <w:rPr/>
          </w:pPr>
          <w:r>
            <w:rPr>
              <w:noProof/>
            </w:rPr>
            <w:drawing>
              <wp:inline distT="0" distB="0" distL="0" distR="0">
                <wp:extent cx="1666875" cy="533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3" w:type="dxa"/>
          <w:vAlign w:val="bottom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hAnsi="Arial" w:eastAsia="Arial" w:cs="Arial"/>
              <w:b/>
              <w:bCs/>
              <w:color w:val="000000"/>
              <w:sz w:val="20"/>
            </w:rPr>
          </w:pPr>
          <w:r>
            <w:rPr>
              <w:rFonts w:ascii="Arial" w:hAnsi="Arial" w:eastAsia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474" w:type="dxa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hAnsi="Arial" w:eastAsia="Arial" w:cs="Arial"/>
              <w:color w:val="000000"/>
              <w:sz w:val="18"/>
            </w:rPr>
          </w:pPr>
          <w:r>
            <w:rPr>
              <w:rFonts w:ascii="Arial" w:hAnsi="Arial" w:eastAsia="Arial" w:cs="Arial"/>
              <w:color w:val="000000"/>
              <w:sz w:val="18"/>
            </w:rPr>
            <w:t xml:space="preserve">            </w:t>
          </w:r>
        </w:p>
      </w:tc>
    </w:tr>
  </w:tbl>
  <w:p>
    <w:pPr>
      <w:tabs>
        <w:tab w:val="right" w:pos="10314"/>
      </w:tabs>
      <w:spacing w:before="240"/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/>
    </w:r>
  </w:p>
</w:ftr>
</file>

<file path=word\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408"/>
        <w:tab w:val="right" w:pos="10312"/>
      </w:tabs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>Drug Services 34020 Community Education</w:t>
    </w:r>
    <w:r>
      <w:rPr>
        <w:rFonts w:ascii="Arial" w:hAnsi="Arial" w:eastAsia="Arial" w:cs="Arial"/>
        <w:color w:val="000000"/>
        <w:sz w:val="18"/>
      </w:rPr>
      <w:tab/>
    </w:r>
    <w:r>
      <w:rPr>
        <w:rFonts w:ascii="Arial" w:hAnsi="Arial" w:eastAsia="Arial" w:cs="Arial"/>
        <w:color w:val="000000"/>
        <w:sz w:val="18"/>
      </w:rPr>
      <w:fldChar w:fldCharType="begin"/>
    </w:r>
    <w:r>
      <w:rPr>
        <w:rFonts w:ascii="Arial" w:hAnsi="Arial" w:eastAsia="Arial" w:cs="Arial"/>
        <w:color w:val="000000"/>
        <w:sz w:val="18"/>
      </w:rPr>
      <w:instrText xml:space="preserve"> PAGE   \* MERGEFORMAT </w:instrText>
    </w:r>
    <w:r>
      <w:rPr>
        <w:rFonts w:ascii="Arial" w:hAnsi="Arial" w:eastAsia="Arial" w:cs="Arial"/>
        <w:color w:val="000000"/>
        <w:sz w:val="18"/>
      </w:rPr>
      <w:fldChar w:fldCharType="separate"/>
    </w:r>
    <w:r>
      <w:rPr>
        <w:rFonts w:ascii="Arial" w:hAnsi="Arial" w:eastAsia="Arial" w:cs="Arial"/>
        <w:color w:val="000000"/>
        <w:sz w:val="18"/>
      </w:rPr>
      <w:t>1</w:t>
    </w:r>
    <w:r>
      <w:rPr>
        <w:rFonts w:ascii="Arial" w:hAnsi="Arial" w:eastAsia="Arial" w:cs="Arial"/>
        <w:color w:val="000000"/>
        <w:sz w:val="18"/>
      </w:rPr>
      <w:fldChar w:fldCharType="end"/>
    </w:r>
  </w:p>
  <w:p>
    <w:pPr>
      <w:tabs>
        <w:tab w:val="right" w:pos="10314"/>
      </w:tabs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/>
    </w:r>
  </w:p>
</w:hdr>
</file>

<file path=word\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right" w:pos="10314"/>
      </w:tabs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/>
    </w:r>
  </w:p>
</w:hdr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start w:val="1"/>
      <w:numFmt w:val="decimal"/>
      <w:lvlText w:val="%1."/>
      <w:lvlJc w:val="start"/>
      <w:pPr>
        <w:ind w:left="82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54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226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98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70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42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514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86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58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lvlText w:val=""/>
      <w:lvlJc w:val="start"/>
      <w:pPr>
        <w:ind w:left="46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18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190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62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3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06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478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5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22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2">
    <w:multiLevelType w:val="hybridMultilevel"/>
    <w:lvl w:ilvl="0">
      <w:start w:val="1"/>
      <w:numFmt w:val="decimal"/>
      <w:lvlText w:val="%1.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decimal"/>
      <w:lvlText w:val="%2.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Letter"/>
      <w:lvlText w:val="(%3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lowerLetter"/>
      <w:lvlText w:val="(%4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Roman"/>
      <w:lvlText w:val="(%5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(%6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end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lvlText w:val=""/>
      <w:lvlJc w:val="start"/>
      <w:pPr>
        <w:ind w:left="392" w:hanging="284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"/>
      <w:lvlJc w:val="start"/>
      <w:pPr>
        <w:ind w:left="392" w:hanging="284"/>
      </w:pPr>
      <w:rPr>
        <w:rFonts w:ascii="Symbol" w:hAnsi="Symbol" w:eastAsia="Symbol" w:cs="Symbol" w:hint="default"/>
        <w:color w:val="000000"/>
        <w:sz w:val="24"/>
      </w:rPr>
    </w:lvl>
    <w:lvl w:ilvl="2">
      <w:start w:val="1"/>
      <w:numFmt w:val="bullet"/>
      <w:lvlText w:val="–"/>
      <w:lvlJc w:val="start"/>
      <w:pPr>
        <w:ind w:left="675" w:hanging="283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bullet"/>
      <w:lvlText w:val="–"/>
      <w:lvlJc w:val="start"/>
      <w:pPr>
        <w:ind w:left="675" w:hanging="283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bullet"/>
      <w:lvlText w:val=""/>
      <w:lvlJc w:val="start"/>
      <w:pPr>
        <w:ind w:left="788" w:hanging="283"/>
      </w:pPr>
      <w:rPr>
        <w:rFonts w:ascii="Symbol" w:hAnsi="Symbol" w:eastAsia="Symbol" w:cs="Symbol" w:hint="default"/>
        <w:color w:val="000000"/>
        <w:sz w:val="24"/>
      </w:rPr>
    </w:lvl>
    <w:lvl w:ilvl="5">
      <w:start w:val="1"/>
      <w:numFmt w:val="bullet"/>
      <w:lvlText w:val=""/>
      <w:lvlJc w:val="start"/>
      <w:pPr>
        <w:ind w:left="788" w:hanging="283"/>
      </w:pPr>
      <w:rPr>
        <w:rFonts w:ascii="Symbol" w:hAnsi="Symbol" w:eastAsia="Symbol" w:cs="Symbol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335" w:hanging="227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4">
    <w:multiLevelType w:val="hybridMultilevel"/>
    <w:lvl w:ilvl="0">
      <w:start w:val="1"/>
      <w:numFmt w:val="bullet"/>
      <w:lvlText w:val=""/>
      <w:lvlJc w:val="start"/>
      <w:pPr>
        <w:ind w:left="46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18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190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62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3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06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478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5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22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5">
    <w:multiLevelType w:val="hybridMultilevel"/>
    <w:lvl w:ilvl="0">
      <w:start w:val="1"/>
      <w:numFmt w:val="bullet"/>
      <w:lvlText w:val="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6">
    <w:multiLevelType w:val="hybridMultilevel"/>
    <w:lvl w:ilvl="0">
      <w:start w:val="1"/>
      <w:numFmt w:val="decimal"/>
      <w:lvlText w:val="%1."/>
      <w:lvlJc w:val="start"/>
      <w:pPr>
        <w:ind w:left="82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54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226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98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70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42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514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86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58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7">
    <w:multiLevelType w:val="hybridMultilevel"/>
    <w:lvl w:ilvl="0">
      <w:start w:val="1"/>
      <w:numFmt w:val="decimal"/>
      <w:lvlText w:val="%1.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decimal"/>
      <w:lvlText w:val="%2.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Letter"/>
      <w:lvlText w:val="(%3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lowerLetter"/>
      <w:lvlText w:val="(%4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Roman"/>
      <w:lvlText w:val="(%5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(%6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end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8">
    <w:multiLevelType w:val="hybridMultilevel"/>
    <w:lvl w:ilvl="0">
      <w:start w:val="1"/>
      <w:numFmt w:val="bullet"/>
      <w:lvlText w:val="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9">
    <w:multiLevelType w:val="hybridMultilevel"/>
    <w:lvl w:ilvl="0">
      <w:start w:val="1"/>
      <w:numFmt w:val="decimal"/>
      <w:lvlText w:val="%1."/>
      <w:lvlJc w:val="start"/>
      <w:pPr>
        <w:ind w:left="46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18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190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62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34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06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478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50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22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0">
    <w:multiLevelType w:val="hybridMultilevel"/>
    <w:lvl w:ilvl="0">
      <w:start w:val="1"/>
      <w:numFmt w:val="decimal"/>
      <w:lvlText w:val="%1."/>
      <w:lvlJc w:val="start"/>
      <w:pPr>
        <w:ind w:left="82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54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226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98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70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42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514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86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58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1">
    <w:multiLevelType w:val="hybridMultilevel"/>
    <w:lvl w:ilvl="0">
      <w:start w:val="1"/>
      <w:numFmt w:val="decimal"/>
      <w:lvlText w:val="%1.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decimal"/>
      <w:lvlText w:val="%2.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Letter"/>
      <w:lvlText w:val="(%3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lowerLetter"/>
      <w:lvlText w:val="(%4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Roman"/>
      <w:lvlText w:val="(%5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(%6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end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2">
    <w:multiLevelType w:val="hybridMultilevel"/>
    <w:lvl w:ilvl="0">
      <w:start w:val="1"/>
      <w:numFmt w:val="bullet"/>
      <w:lvlText w:val="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13">
    <w:multiLevelType w:val="hybridMultilevel"/>
    <w:lvl w:ilvl="0">
      <w:start w:val="1"/>
      <w:numFmt w:val="bullet"/>
      <w:lvlText w:val="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14">
    <w:multiLevelType w:val="hybridMultilevel"/>
    <w:lvl w:ilvl="0">
      <w:start w:val="1"/>
      <w:numFmt w:val="bullet"/>
      <w:lvlText w:val="•"/>
      <w:lvlJc w:val="start"/>
      <w:pPr>
        <w:ind w:left="392" w:hanging="284"/>
      </w:pPr>
      <w:rPr>
        <w:rFonts w:ascii="Calibri" w:hAnsi="Calibri" w:eastAsia="Calibri" w:cs="Calibri" w:hint="default"/>
        <w:color w:val="000000"/>
        <w:sz w:val="20"/>
      </w:rPr>
    </w:lvl>
    <w:lvl w:ilvl="1">
      <w:start w:val="1"/>
      <w:numFmt w:val="bullet"/>
      <w:lvlText w:val="•"/>
      <w:lvlJc w:val="start"/>
      <w:pPr>
        <w:ind w:left="392" w:hanging="284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bullet"/>
      <w:lvlText w:val="–"/>
      <w:lvlJc w:val="start"/>
      <w:pPr>
        <w:ind w:left="675" w:hanging="283"/>
      </w:pPr>
      <w:rPr>
        <w:rFonts w:ascii="Arial" w:hAnsi="Arial" w:eastAsia="Arial" w:cs="Arial" w:hint="default"/>
        <w:color w:val="000000"/>
        <w:sz w:val="24"/>
      </w:rPr>
    </w:lvl>
    <w:lvl w:ilvl="3">
      <w:start w:val="1"/>
      <w:numFmt w:val="bullet"/>
      <w:lvlText w:val="–"/>
      <w:lvlJc w:val="start"/>
      <w:pPr>
        <w:ind w:left="675" w:hanging="283"/>
      </w:pPr>
      <w:rPr>
        <w:rFonts w:ascii="Arial" w:hAnsi="Arial" w:eastAsia="Arial" w:cs="Arial" w:hint="default"/>
        <w:color w:val="000000"/>
        <w:sz w:val="24"/>
      </w:rPr>
    </w:lvl>
    <w:lvl w:ilvl="4">
      <w:start w:val="1"/>
      <w:numFmt w:val="bullet"/>
      <w:lvlText w:val="•"/>
      <w:lvlJc w:val="start"/>
      <w:pPr>
        <w:ind w:left="788" w:hanging="283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bullet"/>
      <w:lvlText w:val="•"/>
      <w:lvlJc w:val="start"/>
      <w:pPr>
        <w:ind w:left="788" w:hanging="283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bullet"/>
      <w:lvlText w:val="•"/>
      <w:lvlJc w:val="start"/>
      <w:pPr>
        <w:ind w:left="335" w:hanging="227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num w:numId="19">
    <w:abstractNumId w:val="13"/>
  </w:num>
  <w:num w:numId="18">
    <w:abstractNumId w:val="14"/>
  </w:num>
  <w:num w:numId="17">
    <w:abstractNumId w:val="0"/>
  </w:num>
  <w:num w:numId="16">
    <w:abstractNumId w:val="6"/>
  </w:num>
  <w:num w:numId="15">
    <w:abstractNumId w:val="4"/>
  </w:num>
  <w:num w:numId="14">
    <w:abstractNumId w:val="1"/>
  </w:num>
  <w:num w:numId="13">
    <w:abstractNumId w:val="8"/>
  </w:num>
  <w:num w:numId="12">
    <w:abstractNumId w:val="12"/>
  </w:num>
  <w:num w:numId="11">
    <w:abstractNumId w:val="5"/>
  </w:num>
  <w:num w:numId="10">
    <w:abstractNumId w:val="9"/>
  </w:num>
  <w:num w:numId="9">
    <w:abstractNumId w:val="10"/>
  </w:num>
  <w:num w:numId="8">
    <w:abstractNumId w:val="7"/>
  </w:num>
  <w:num w:numId="7">
    <w:abstractNumId w:val="14"/>
  </w:num>
  <w:num w:numId="6">
    <w:abstractNumId w:val="2"/>
  </w:num>
  <w:num w:numId="5">
    <w:abstractNumId w:val="2"/>
  </w:num>
  <w:num w:numId="4">
    <w:abstractNumId w:val="2"/>
  </w:num>
  <w:num w:numId="3">
    <w:abstractNumId w:val="11"/>
  </w:num>
  <w:num w:numId="2">
    <w:abstractNumId w:val="2"/>
  </w:num>
  <w:num w:numId="1">
    <w:abstractNumId w:val="3"/>
  </w:num>
</w:numbering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\theme\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