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6605B2" w14:textId="77777777" w:rsidR="0074696E" w:rsidRPr="004C6EEE" w:rsidRDefault="001A677A" w:rsidP="00AD784C">
      <w:pPr>
        <w:pStyle w:val="Spacerparatopoffirstpage"/>
      </w:pPr>
      <w:r>
        <w:rPr>
          <w:lang w:eastAsia="en-AU"/>
        </w:rPr>
        <w:drawing>
          <wp:anchor distT="0" distB="0" distL="114300" distR="114300" simplePos="0" relativeHeight="251657728" behindDoc="1" locked="1" layoutInCell="0" allowOverlap="1" wp14:anchorId="49DE7AB0" wp14:editId="7715913F">
            <wp:simplePos x="0" y="0"/>
            <wp:positionH relativeFrom="page">
              <wp:posOffset>0</wp:posOffset>
            </wp:positionH>
            <wp:positionV relativeFrom="page">
              <wp:posOffset>0</wp:posOffset>
            </wp:positionV>
            <wp:extent cx="7570470" cy="2075180"/>
            <wp:effectExtent l="0" t="0" r="0" b="1270"/>
            <wp:wrapNone/>
            <wp:docPr id="30" name="Picture 30"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70470" cy="20751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F55181" w14:textId="77777777" w:rsidR="00A62D44" w:rsidRPr="004C6EEE" w:rsidRDefault="00A62D44" w:rsidP="004C6EEE">
      <w:pPr>
        <w:pStyle w:val="Sectionbreakfirstpage"/>
        <w:sectPr w:rsidR="00A62D44" w:rsidRPr="004C6EEE" w:rsidSect="00AD784C">
          <w:headerReference w:type="even" r:id="rId9"/>
          <w:headerReference w:type="default" r:id="rId10"/>
          <w:footerReference w:type="even" r:id="rId11"/>
          <w:footerReference w:type="default" r:id="rId12"/>
          <w:headerReference w:type="first" r:id="rId13"/>
          <w:footerReference w:type="first" r:id="rId14"/>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789"/>
      </w:tblGrid>
      <w:tr w:rsidR="00AD784C" w14:paraId="78D468A3" w14:textId="77777777" w:rsidTr="00DD299B">
        <w:trPr>
          <w:trHeight w:val="1247"/>
        </w:trPr>
        <w:tc>
          <w:tcPr>
            <w:tcW w:w="8789" w:type="dxa"/>
            <w:shd w:val="clear" w:color="auto" w:fill="auto"/>
            <w:vAlign w:val="bottom"/>
          </w:tcPr>
          <w:p w14:paraId="5478B1D3" w14:textId="60DAFA1A" w:rsidR="004B7AB4" w:rsidRDefault="00FC42A3" w:rsidP="00DD299B">
            <w:pPr>
              <w:pStyle w:val="DHHSmainheading"/>
            </w:pPr>
            <w:r>
              <w:t xml:space="preserve">Better Futures </w:t>
            </w:r>
            <w:r w:rsidR="004D3936">
              <w:t>c</w:t>
            </w:r>
            <w:r w:rsidR="005C0D62">
              <w:t>ommunity</w:t>
            </w:r>
            <w:r w:rsidR="00DD299B">
              <w:t xml:space="preserve"> </w:t>
            </w:r>
            <w:r w:rsidR="004D3936">
              <w:t>c</w:t>
            </w:r>
            <w:r w:rsidR="005C0D62">
              <w:t>onnections</w:t>
            </w:r>
          </w:p>
          <w:p w14:paraId="364E670F" w14:textId="4BB99987" w:rsidR="00C63D47" w:rsidRPr="004B7AB4" w:rsidRDefault="004B7AB4" w:rsidP="00DD299B">
            <w:pPr>
              <w:pStyle w:val="DHHSmainheading"/>
              <w:rPr>
                <w:sz w:val="28"/>
                <w:szCs w:val="28"/>
              </w:rPr>
            </w:pPr>
            <w:r w:rsidRPr="004B7AB4">
              <w:rPr>
                <w:sz w:val="28"/>
                <w:szCs w:val="28"/>
              </w:rPr>
              <w:t xml:space="preserve">Practice </w:t>
            </w:r>
            <w:r w:rsidR="00DD299B">
              <w:rPr>
                <w:sz w:val="28"/>
                <w:szCs w:val="28"/>
              </w:rPr>
              <w:t>a</w:t>
            </w:r>
            <w:r w:rsidR="000A7B9C" w:rsidRPr="004B7AB4">
              <w:rPr>
                <w:sz w:val="28"/>
                <w:szCs w:val="28"/>
              </w:rPr>
              <w:t>dvice</w:t>
            </w:r>
          </w:p>
        </w:tc>
      </w:tr>
      <w:tr w:rsidR="00AD784C" w14:paraId="4C126B65" w14:textId="77777777" w:rsidTr="00DD299B">
        <w:trPr>
          <w:trHeight w:hRule="exact" w:val="1162"/>
        </w:trPr>
        <w:tc>
          <w:tcPr>
            <w:tcW w:w="8789" w:type="dxa"/>
            <w:shd w:val="clear" w:color="auto" w:fill="auto"/>
            <w:tcMar>
              <w:top w:w="170" w:type="dxa"/>
              <w:bottom w:w="510" w:type="dxa"/>
            </w:tcMar>
          </w:tcPr>
          <w:p w14:paraId="07BF2C48" w14:textId="372AC38B" w:rsidR="00357B4E" w:rsidRPr="00AD784C" w:rsidRDefault="00357B4E" w:rsidP="00315C5F">
            <w:pPr>
              <w:pStyle w:val="DHHSmainsubheading"/>
              <w:rPr>
                <w:szCs w:val="28"/>
              </w:rPr>
            </w:pPr>
          </w:p>
        </w:tc>
      </w:tr>
    </w:tbl>
    <w:bookmarkStart w:id="0" w:name="_Toc34141583" w:displacedByCustomXml="next"/>
    <w:sdt>
      <w:sdtPr>
        <w:rPr>
          <w:rFonts w:ascii="Cambria" w:eastAsia="Times New Roman" w:hAnsi="Cambria" w:cs="Times New Roman"/>
          <w:b w:val="0"/>
          <w:bCs w:val="0"/>
          <w:color w:val="auto"/>
          <w:sz w:val="20"/>
          <w:szCs w:val="20"/>
          <w:lang w:val="en-AU" w:eastAsia="en-US"/>
        </w:rPr>
        <w:id w:val="551733494"/>
        <w:docPartObj>
          <w:docPartGallery w:val="Table of Contents"/>
          <w:docPartUnique/>
        </w:docPartObj>
      </w:sdtPr>
      <w:sdtEndPr/>
      <w:sdtContent>
        <w:p w14:paraId="2854DE82" w14:textId="34B5EB76" w:rsidR="00351C3D" w:rsidRPr="00B12FBD" w:rsidRDefault="00351C3D" w:rsidP="00351C3D">
          <w:pPr>
            <w:pStyle w:val="TOCHeading"/>
            <w:rPr>
              <w:rFonts w:ascii="Arial" w:hAnsi="Arial" w:cs="Arial"/>
              <w:color w:val="7030A0"/>
            </w:rPr>
          </w:pPr>
          <w:r w:rsidRPr="00B12FBD">
            <w:rPr>
              <w:rFonts w:ascii="Arial" w:hAnsi="Arial" w:cs="Arial"/>
              <w:color w:val="7030A0"/>
            </w:rPr>
            <w:t>Contents</w:t>
          </w:r>
        </w:p>
        <w:p w14:paraId="4AC0363E" w14:textId="1E1CE532" w:rsidR="008B18C1" w:rsidRDefault="00351C3D">
          <w:pPr>
            <w:pStyle w:val="TOC1"/>
            <w:rPr>
              <w:rFonts w:asciiTheme="minorHAnsi" w:eastAsiaTheme="minorEastAsia" w:hAnsiTheme="minorHAnsi" w:cstheme="minorBidi"/>
              <w:b w:val="0"/>
              <w:sz w:val="22"/>
              <w:szCs w:val="22"/>
              <w:lang w:eastAsia="en-AU"/>
            </w:rPr>
          </w:pPr>
          <w:r>
            <w:rPr>
              <w:b w:val="0"/>
            </w:rPr>
            <w:fldChar w:fldCharType="begin"/>
          </w:r>
          <w:r>
            <w:instrText xml:space="preserve"> TOC \o "1-3" \h \z \u </w:instrText>
          </w:r>
          <w:r>
            <w:rPr>
              <w:b w:val="0"/>
            </w:rPr>
            <w:fldChar w:fldCharType="separate"/>
          </w:r>
          <w:hyperlink w:anchor="_Toc62486292" w:history="1">
            <w:r w:rsidR="008B18C1" w:rsidRPr="00C649B9">
              <w:rPr>
                <w:rStyle w:val="Hyperlink"/>
              </w:rPr>
              <w:t>Purpose</w:t>
            </w:r>
            <w:r w:rsidR="008B18C1">
              <w:rPr>
                <w:webHidden/>
              </w:rPr>
              <w:tab/>
            </w:r>
            <w:r w:rsidR="008B18C1">
              <w:rPr>
                <w:webHidden/>
              </w:rPr>
              <w:fldChar w:fldCharType="begin"/>
            </w:r>
            <w:r w:rsidR="008B18C1">
              <w:rPr>
                <w:webHidden/>
              </w:rPr>
              <w:instrText xml:space="preserve"> PAGEREF _Toc62486292 \h </w:instrText>
            </w:r>
            <w:r w:rsidR="008B18C1">
              <w:rPr>
                <w:webHidden/>
              </w:rPr>
            </w:r>
            <w:r w:rsidR="008B18C1">
              <w:rPr>
                <w:webHidden/>
              </w:rPr>
              <w:fldChar w:fldCharType="separate"/>
            </w:r>
            <w:r w:rsidR="008B18C1">
              <w:rPr>
                <w:webHidden/>
              </w:rPr>
              <w:t>1</w:t>
            </w:r>
            <w:r w:rsidR="008B18C1">
              <w:rPr>
                <w:webHidden/>
              </w:rPr>
              <w:fldChar w:fldCharType="end"/>
            </w:r>
          </w:hyperlink>
        </w:p>
        <w:p w14:paraId="4AEDD65E" w14:textId="24DAD6D4" w:rsidR="008B18C1" w:rsidRDefault="006F7765">
          <w:pPr>
            <w:pStyle w:val="TOC1"/>
            <w:rPr>
              <w:rFonts w:asciiTheme="minorHAnsi" w:eastAsiaTheme="minorEastAsia" w:hAnsiTheme="minorHAnsi" w:cstheme="minorBidi"/>
              <w:b w:val="0"/>
              <w:sz w:val="22"/>
              <w:szCs w:val="22"/>
              <w:lang w:eastAsia="en-AU"/>
            </w:rPr>
          </w:pPr>
          <w:hyperlink w:anchor="_Toc62486293" w:history="1">
            <w:r w:rsidR="008B18C1" w:rsidRPr="00C649B9">
              <w:rPr>
                <w:rStyle w:val="Hyperlink"/>
              </w:rPr>
              <w:t>Audience</w:t>
            </w:r>
            <w:r w:rsidR="008B18C1">
              <w:rPr>
                <w:webHidden/>
              </w:rPr>
              <w:tab/>
            </w:r>
            <w:r w:rsidR="008B18C1">
              <w:rPr>
                <w:webHidden/>
              </w:rPr>
              <w:fldChar w:fldCharType="begin"/>
            </w:r>
            <w:r w:rsidR="008B18C1">
              <w:rPr>
                <w:webHidden/>
              </w:rPr>
              <w:instrText xml:space="preserve"> PAGEREF _Toc62486293 \h </w:instrText>
            </w:r>
            <w:r w:rsidR="008B18C1">
              <w:rPr>
                <w:webHidden/>
              </w:rPr>
            </w:r>
            <w:r w:rsidR="008B18C1">
              <w:rPr>
                <w:webHidden/>
              </w:rPr>
              <w:fldChar w:fldCharType="separate"/>
            </w:r>
            <w:r w:rsidR="008B18C1">
              <w:rPr>
                <w:webHidden/>
              </w:rPr>
              <w:t>1</w:t>
            </w:r>
            <w:r w:rsidR="008B18C1">
              <w:rPr>
                <w:webHidden/>
              </w:rPr>
              <w:fldChar w:fldCharType="end"/>
            </w:r>
          </w:hyperlink>
        </w:p>
        <w:p w14:paraId="2145B8EE" w14:textId="1CC66D91" w:rsidR="008B18C1" w:rsidRDefault="006F7765">
          <w:pPr>
            <w:pStyle w:val="TOC1"/>
            <w:rPr>
              <w:rFonts w:asciiTheme="minorHAnsi" w:eastAsiaTheme="minorEastAsia" w:hAnsiTheme="minorHAnsi" w:cstheme="minorBidi"/>
              <w:b w:val="0"/>
              <w:sz w:val="22"/>
              <w:szCs w:val="22"/>
              <w:lang w:eastAsia="en-AU"/>
            </w:rPr>
          </w:pPr>
          <w:hyperlink w:anchor="_Toc62486294" w:history="1">
            <w:r w:rsidR="008B18C1" w:rsidRPr="00C649B9">
              <w:rPr>
                <w:rStyle w:val="Hyperlink"/>
              </w:rPr>
              <w:t>Introduction</w:t>
            </w:r>
            <w:r w:rsidR="008B18C1">
              <w:rPr>
                <w:webHidden/>
              </w:rPr>
              <w:tab/>
            </w:r>
            <w:r w:rsidR="008B18C1">
              <w:rPr>
                <w:webHidden/>
              </w:rPr>
              <w:fldChar w:fldCharType="begin"/>
            </w:r>
            <w:r w:rsidR="008B18C1">
              <w:rPr>
                <w:webHidden/>
              </w:rPr>
              <w:instrText xml:space="preserve"> PAGEREF _Toc62486294 \h </w:instrText>
            </w:r>
            <w:r w:rsidR="008B18C1">
              <w:rPr>
                <w:webHidden/>
              </w:rPr>
            </w:r>
            <w:r w:rsidR="008B18C1">
              <w:rPr>
                <w:webHidden/>
              </w:rPr>
              <w:fldChar w:fldCharType="separate"/>
            </w:r>
            <w:r w:rsidR="008B18C1">
              <w:rPr>
                <w:webHidden/>
              </w:rPr>
              <w:t>2</w:t>
            </w:r>
            <w:r w:rsidR="008B18C1">
              <w:rPr>
                <w:webHidden/>
              </w:rPr>
              <w:fldChar w:fldCharType="end"/>
            </w:r>
          </w:hyperlink>
        </w:p>
        <w:p w14:paraId="0AD441B4" w14:textId="11D0D28D" w:rsidR="008B18C1" w:rsidRDefault="006F7765">
          <w:pPr>
            <w:pStyle w:val="TOC1"/>
            <w:rPr>
              <w:rFonts w:asciiTheme="minorHAnsi" w:eastAsiaTheme="minorEastAsia" w:hAnsiTheme="minorHAnsi" w:cstheme="minorBidi"/>
              <w:b w:val="0"/>
              <w:sz w:val="22"/>
              <w:szCs w:val="22"/>
              <w:lang w:eastAsia="en-AU"/>
            </w:rPr>
          </w:pPr>
          <w:hyperlink w:anchor="_Toc62486295" w:history="1">
            <w:r w:rsidR="008B18C1" w:rsidRPr="00C649B9">
              <w:rPr>
                <w:rStyle w:val="Hyperlink"/>
              </w:rPr>
              <w:t>Community Connections - the building blocks</w:t>
            </w:r>
            <w:r w:rsidR="008B18C1">
              <w:rPr>
                <w:webHidden/>
              </w:rPr>
              <w:tab/>
            </w:r>
            <w:r w:rsidR="008B18C1">
              <w:rPr>
                <w:webHidden/>
              </w:rPr>
              <w:fldChar w:fldCharType="begin"/>
            </w:r>
            <w:r w:rsidR="008B18C1">
              <w:rPr>
                <w:webHidden/>
              </w:rPr>
              <w:instrText xml:space="preserve"> PAGEREF _Toc62486295 \h </w:instrText>
            </w:r>
            <w:r w:rsidR="008B18C1">
              <w:rPr>
                <w:webHidden/>
              </w:rPr>
            </w:r>
            <w:r w:rsidR="008B18C1">
              <w:rPr>
                <w:webHidden/>
              </w:rPr>
              <w:fldChar w:fldCharType="separate"/>
            </w:r>
            <w:r w:rsidR="008B18C1">
              <w:rPr>
                <w:webHidden/>
              </w:rPr>
              <w:t>2</w:t>
            </w:r>
            <w:r w:rsidR="008B18C1">
              <w:rPr>
                <w:webHidden/>
              </w:rPr>
              <w:fldChar w:fldCharType="end"/>
            </w:r>
          </w:hyperlink>
        </w:p>
        <w:p w14:paraId="0BE9558F" w14:textId="6F6C27C0" w:rsidR="008B18C1" w:rsidRDefault="006F7765">
          <w:pPr>
            <w:pStyle w:val="TOC1"/>
            <w:rPr>
              <w:rFonts w:asciiTheme="minorHAnsi" w:eastAsiaTheme="minorEastAsia" w:hAnsiTheme="minorHAnsi" w:cstheme="minorBidi"/>
              <w:b w:val="0"/>
              <w:sz w:val="22"/>
              <w:szCs w:val="22"/>
              <w:lang w:eastAsia="en-AU"/>
            </w:rPr>
          </w:pPr>
          <w:hyperlink w:anchor="_Toc62486296" w:history="1">
            <w:r w:rsidR="008B18C1" w:rsidRPr="00C649B9">
              <w:rPr>
                <w:rStyle w:val="Hyperlink"/>
              </w:rPr>
              <w:t>Key principles of the Community Connections service offer</w:t>
            </w:r>
            <w:r w:rsidR="008B18C1">
              <w:rPr>
                <w:webHidden/>
              </w:rPr>
              <w:tab/>
            </w:r>
            <w:r w:rsidR="008B18C1">
              <w:rPr>
                <w:webHidden/>
              </w:rPr>
              <w:fldChar w:fldCharType="begin"/>
            </w:r>
            <w:r w:rsidR="008B18C1">
              <w:rPr>
                <w:webHidden/>
              </w:rPr>
              <w:instrText xml:space="preserve"> PAGEREF _Toc62486296 \h </w:instrText>
            </w:r>
            <w:r w:rsidR="008B18C1">
              <w:rPr>
                <w:webHidden/>
              </w:rPr>
            </w:r>
            <w:r w:rsidR="008B18C1">
              <w:rPr>
                <w:webHidden/>
              </w:rPr>
              <w:fldChar w:fldCharType="separate"/>
            </w:r>
            <w:r w:rsidR="008B18C1">
              <w:rPr>
                <w:webHidden/>
              </w:rPr>
              <w:t>2</w:t>
            </w:r>
            <w:r w:rsidR="008B18C1">
              <w:rPr>
                <w:webHidden/>
              </w:rPr>
              <w:fldChar w:fldCharType="end"/>
            </w:r>
          </w:hyperlink>
        </w:p>
        <w:p w14:paraId="11840726" w14:textId="4DA4821A" w:rsidR="008B18C1" w:rsidRDefault="006F7765">
          <w:pPr>
            <w:pStyle w:val="TOC1"/>
            <w:rPr>
              <w:rFonts w:asciiTheme="minorHAnsi" w:eastAsiaTheme="minorEastAsia" w:hAnsiTheme="minorHAnsi" w:cstheme="minorBidi"/>
              <w:b w:val="0"/>
              <w:sz w:val="22"/>
              <w:szCs w:val="22"/>
              <w:lang w:eastAsia="en-AU"/>
            </w:rPr>
          </w:pPr>
          <w:hyperlink w:anchor="_Toc62486297" w:history="1">
            <w:r w:rsidR="008B18C1" w:rsidRPr="00C649B9">
              <w:rPr>
                <w:rStyle w:val="Hyperlink"/>
              </w:rPr>
              <w:t>The Community Connector role</w:t>
            </w:r>
            <w:r w:rsidR="008B18C1">
              <w:rPr>
                <w:webHidden/>
              </w:rPr>
              <w:tab/>
            </w:r>
            <w:r w:rsidR="008B18C1">
              <w:rPr>
                <w:webHidden/>
              </w:rPr>
              <w:fldChar w:fldCharType="begin"/>
            </w:r>
            <w:r w:rsidR="008B18C1">
              <w:rPr>
                <w:webHidden/>
              </w:rPr>
              <w:instrText xml:space="preserve"> PAGEREF _Toc62486297 \h </w:instrText>
            </w:r>
            <w:r w:rsidR="008B18C1">
              <w:rPr>
                <w:webHidden/>
              </w:rPr>
            </w:r>
            <w:r w:rsidR="008B18C1">
              <w:rPr>
                <w:webHidden/>
              </w:rPr>
              <w:fldChar w:fldCharType="separate"/>
            </w:r>
            <w:r w:rsidR="008B18C1">
              <w:rPr>
                <w:webHidden/>
              </w:rPr>
              <w:t>3</w:t>
            </w:r>
            <w:r w:rsidR="008B18C1">
              <w:rPr>
                <w:webHidden/>
              </w:rPr>
              <w:fldChar w:fldCharType="end"/>
            </w:r>
          </w:hyperlink>
        </w:p>
        <w:p w14:paraId="1112F920" w14:textId="2846C19E" w:rsidR="008B18C1" w:rsidRDefault="006F7765">
          <w:pPr>
            <w:pStyle w:val="TOC1"/>
            <w:rPr>
              <w:rFonts w:asciiTheme="minorHAnsi" w:eastAsiaTheme="minorEastAsia" w:hAnsiTheme="minorHAnsi" w:cstheme="minorBidi"/>
              <w:b w:val="0"/>
              <w:sz w:val="22"/>
              <w:szCs w:val="22"/>
              <w:lang w:eastAsia="en-AU"/>
            </w:rPr>
          </w:pPr>
          <w:hyperlink w:anchor="_Toc62486298" w:history="1">
            <w:r w:rsidR="008B18C1" w:rsidRPr="00C649B9">
              <w:rPr>
                <w:rStyle w:val="Hyperlink"/>
              </w:rPr>
              <w:t>Stakeholders</w:t>
            </w:r>
            <w:r w:rsidR="008B18C1">
              <w:rPr>
                <w:webHidden/>
              </w:rPr>
              <w:tab/>
            </w:r>
            <w:r w:rsidR="008B18C1">
              <w:rPr>
                <w:webHidden/>
              </w:rPr>
              <w:fldChar w:fldCharType="begin"/>
            </w:r>
            <w:r w:rsidR="008B18C1">
              <w:rPr>
                <w:webHidden/>
              </w:rPr>
              <w:instrText xml:space="preserve"> PAGEREF _Toc62486298 \h </w:instrText>
            </w:r>
            <w:r w:rsidR="008B18C1">
              <w:rPr>
                <w:webHidden/>
              </w:rPr>
            </w:r>
            <w:r w:rsidR="008B18C1">
              <w:rPr>
                <w:webHidden/>
              </w:rPr>
              <w:fldChar w:fldCharType="separate"/>
            </w:r>
            <w:r w:rsidR="008B18C1">
              <w:rPr>
                <w:webHidden/>
              </w:rPr>
              <w:t>4</w:t>
            </w:r>
            <w:r w:rsidR="008B18C1">
              <w:rPr>
                <w:webHidden/>
              </w:rPr>
              <w:fldChar w:fldCharType="end"/>
            </w:r>
          </w:hyperlink>
        </w:p>
        <w:p w14:paraId="1FEBFC92" w14:textId="35A9E1CE" w:rsidR="008B18C1" w:rsidRDefault="006F7765">
          <w:pPr>
            <w:pStyle w:val="TOC1"/>
            <w:rPr>
              <w:rFonts w:asciiTheme="minorHAnsi" w:eastAsiaTheme="minorEastAsia" w:hAnsiTheme="minorHAnsi" w:cstheme="minorBidi"/>
              <w:b w:val="0"/>
              <w:sz w:val="22"/>
              <w:szCs w:val="22"/>
              <w:lang w:eastAsia="en-AU"/>
            </w:rPr>
          </w:pPr>
          <w:hyperlink w:anchor="_Toc62486299" w:history="1">
            <w:r w:rsidR="008B18C1" w:rsidRPr="00C649B9">
              <w:rPr>
                <w:rStyle w:val="Hyperlink"/>
              </w:rPr>
              <w:t>The role of the Better Futures worker and the Community Connections service offer</w:t>
            </w:r>
            <w:r w:rsidR="008B18C1">
              <w:rPr>
                <w:webHidden/>
              </w:rPr>
              <w:tab/>
            </w:r>
            <w:r w:rsidR="008B18C1">
              <w:rPr>
                <w:webHidden/>
              </w:rPr>
              <w:fldChar w:fldCharType="begin"/>
            </w:r>
            <w:r w:rsidR="008B18C1">
              <w:rPr>
                <w:webHidden/>
              </w:rPr>
              <w:instrText xml:space="preserve"> PAGEREF _Toc62486299 \h </w:instrText>
            </w:r>
            <w:r w:rsidR="008B18C1">
              <w:rPr>
                <w:webHidden/>
              </w:rPr>
            </w:r>
            <w:r w:rsidR="008B18C1">
              <w:rPr>
                <w:webHidden/>
              </w:rPr>
              <w:fldChar w:fldCharType="separate"/>
            </w:r>
            <w:r w:rsidR="008B18C1">
              <w:rPr>
                <w:webHidden/>
              </w:rPr>
              <w:t>5</w:t>
            </w:r>
            <w:r w:rsidR="008B18C1">
              <w:rPr>
                <w:webHidden/>
              </w:rPr>
              <w:fldChar w:fldCharType="end"/>
            </w:r>
          </w:hyperlink>
        </w:p>
        <w:p w14:paraId="3B452C81" w14:textId="6E2507E7" w:rsidR="008B18C1" w:rsidRDefault="006F7765">
          <w:pPr>
            <w:pStyle w:val="TOC1"/>
            <w:rPr>
              <w:rFonts w:asciiTheme="minorHAnsi" w:eastAsiaTheme="minorEastAsia" w:hAnsiTheme="minorHAnsi" w:cstheme="minorBidi"/>
              <w:b w:val="0"/>
              <w:sz w:val="22"/>
              <w:szCs w:val="22"/>
              <w:lang w:eastAsia="en-AU"/>
            </w:rPr>
          </w:pPr>
          <w:hyperlink w:anchor="_Toc62486300" w:history="1">
            <w:r w:rsidR="008B18C1" w:rsidRPr="00C649B9">
              <w:rPr>
                <w:rStyle w:val="Hyperlink"/>
              </w:rPr>
              <w:t>Referral to Community Connections</w:t>
            </w:r>
            <w:r w:rsidR="008B18C1">
              <w:rPr>
                <w:webHidden/>
              </w:rPr>
              <w:tab/>
            </w:r>
            <w:r w:rsidR="008B18C1">
              <w:rPr>
                <w:webHidden/>
              </w:rPr>
              <w:fldChar w:fldCharType="begin"/>
            </w:r>
            <w:r w:rsidR="008B18C1">
              <w:rPr>
                <w:webHidden/>
              </w:rPr>
              <w:instrText xml:space="preserve"> PAGEREF _Toc62486300 \h </w:instrText>
            </w:r>
            <w:r w:rsidR="008B18C1">
              <w:rPr>
                <w:webHidden/>
              </w:rPr>
            </w:r>
            <w:r w:rsidR="008B18C1">
              <w:rPr>
                <w:webHidden/>
              </w:rPr>
              <w:fldChar w:fldCharType="separate"/>
            </w:r>
            <w:r w:rsidR="008B18C1">
              <w:rPr>
                <w:webHidden/>
              </w:rPr>
              <w:t>5</w:t>
            </w:r>
            <w:r w:rsidR="008B18C1">
              <w:rPr>
                <w:webHidden/>
              </w:rPr>
              <w:fldChar w:fldCharType="end"/>
            </w:r>
          </w:hyperlink>
        </w:p>
        <w:p w14:paraId="67C924EE" w14:textId="40E94B41" w:rsidR="008B18C1" w:rsidRDefault="006F7765">
          <w:pPr>
            <w:pStyle w:val="TOC2"/>
            <w:rPr>
              <w:rFonts w:asciiTheme="minorHAnsi" w:eastAsiaTheme="minorEastAsia" w:hAnsiTheme="minorHAnsi" w:cstheme="minorBidi"/>
              <w:sz w:val="22"/>
              <w:szCs w:val="22"/>
              <w:lang w:eastAsia="en-AU"/>
            </w:rPr>
          </w:pPr>
          <w:hyperlink w:anchor="_Toc62486301" w:history="1">
            <w:r w:rsidR="008B18C1" w:rsidRPr="00C649B9">
              <w:rPr>
                <w:rStyle w:val="Hyperlink"/>
              </w:rPr>
              <w:t>When should a Community Connections referral be made?</w:t>
            </w:r>
            <w:r w:rsidR="008B18C1">
              <w:rPr>
                <w:webHidden/>
              </w:rPr>
              <w:tab/>
            </w:r>
            <w:r w:rsidR="008B18C1">
              <w:rPr>
                <w:webHidden/>
              </w:rPr>
              <w:fldChar w:fldCharType="begin"/>
            </w:r>
            <w:r w:rsidR="008B18C1">
              <w:rPr>
                <w:webHidden/>
              </w:rPr>
              <w:instrText xml:space="preserve"> PAGEREF _Toc62486301 \h </w:instrText>
            </w:r>
            <w:r w:rsidR="008B18C1">
              <w:rPr>
                <w:webHidden/>
              </w:rPr>
            </w:r>
            <w:r w:rsidR="008B18C1">
              <w:rPr>
                <w:webHidden/>
              </w:rPr>
              <w:fldChar w:fldCharType="separate"/>
            </w:r>
            <w:r w:rsidR="008B18C1">
              <w:rPr>
                <w:webHidden/>
              </w:rPr>
              <w:t>5</w:t>
            </w:r>
            <w:r w:rsidR="008B18C1">
              <w:rPr>
                <w:webHidden/>
              </w:rPr>
              <w:fldChar w:fldCharType="end"/>
            </w:r>
          </w:hyperlink>
        </w:p>
        <w:p w14:paraId="2A9AB706" w14:textId="150F78E1" w:rsidR="008B18C1" w:rsidRDefault="006F7765">
          <w:pPr>
            <w:pStyle w:val="TOC2"/>
            <w:rPr>
              <w:rFonts w:asciiTheme="minorHAnsi" w:eastAsiaTheme="minorEastAsia" w:hAnsiTheme="minorHAnsi" w:cstheme="minorBidi"/>
              <w:sz w:val="22"/>
              <w:szCs w:val="22"/>
              <w:lang w:eastAsia="en-AU"/>
            </w:rPr>
          </w:pPr>
          <w:hyperlink w:anchor="_Toc62486302" w:history="1">
            <w:r w:rsidR="008B18C1" w:rsidRPr="00C649B9">
              <w:rPr>
                <w:rStyle w:val="Hyperlink"/>
              </w:rPr>
              <w:t>Who is responsible for making a Community Connections referral?</w:t>
            </w:r>
            <w:r w:rsidR="008B18C1">
              <w:rPr>
                <w:webHidden/>
              </w:rPr>
              <w:tab/>
            </w:r>
            <w:r w:rsidR="008B18C1">
              <w:rPr>
                <w:webHidden/>
              </w:rPr>
              <w:fldChar w:fldCharType="begin"/>
            </w:r>
            <w:r w:rsidR="008B18C1">
              <w:rPr>
                <w:webHidden/>
              </w:rPr>
              <w:instrText xml:space="preserve"> PAGEREF _Toc62486302 \h </w:instrText>
            </w:r>
            <w:r w:rsidR="008B18C1">
              <w:rPr>
                <w:webHidden/>
              </w:rPr>
            </w:r>
            <w:r w:rsidR="008B18C1">
              <w:rPr>
                <w:webHidden/>
              </w:rPr>
              <w:fldChar w:fldCharType="separate"/>
            </w:r>
            <w:r w:rsidR="008B18C1">
              <w:rPr>
                <w:webHidden/>
              </w:rPr>
              <w:t>6</w:t>
            </w:r>
            <w:r w:rsidR="008B18C1">
              <w:rPr>
                <w:webHidden/>
              </w:rPr>
              <w:fldChar w:fldCharType="end"/>
            </w:r>
          </w:hyperlink>
        </w:p>
        <w:p w14:paraId="0C6C1EA0" w14:textId="7019401C" w:rsidR="008B18C1" w:rsidRDefault="006F7765">
          <w:pPr>
            <w:pStyle w:val="TOC2"/>
            <w:rPr>
              <w:rFonts w:asciiTheme="minorHAnsi" w:eastAsiaTheme="minorEastAsia" w:hAnsiTheme="minorHAnsi" w:cstheme="minorBidi"/>
              <w:sz w:val="22"/>
              <w:szCs w:val="22"/>
              <w:lang w:eastAsia="en-AU"/>
            </w:rPr>
          </w:pPr>
          <w:hyperlink w:anchor="_Toc62486303" w:history="1">
            <w:r w:rsidR="008B18C1" w:rsidRPr="00C649B9">
              <w:rPr>
                <w:rStyle w:val="Hyperlink"/>
              </w:rPr>
              <w:t>Referral process</w:t>
            </w:r>
            <w:r w:rsidR="008B18C1">
              <w:rPr>
                <w:webHidden/>
              </w:rPr>
              <w:tab/>
            </w:r>
            <w:r w:rsidR="008B18C1">
              <w:rPr>
                <w:webHidden/>
              </w:rPr>
              <w:fldChar w:fldCharType="begin"/>
            </w:r>
            <w:r w:rsidR="008B18C1">
              <w:rPr>
                <w:webHidden/>
              </w:rPr>
              <w:instrText xml:space="preserve"> PAGEREF _Toc62486303 \h </w:instrText>
            </w:r>
            <w:r w:rsidR="008B18C1">
              <w:rPr>
                <w:webHidden/>
              </w:rPr>
            </w:r>
            <w:r w:rsidR="008B18C1">
              <w:rPr>
                <w:webHidden/>
              </w:rPr>
              <w:fldChar w:fldCharType="separate"/>
            </w:r>
            <w:r w:rsidR="008B18C1">
              <w:rPr>
                <w:webHidden/>
              </w:rPr>
              <w:t>6</w:t>
            </w:r>
            <w:r w:rsidR="008B18C1">
              <w:rPr>
                <w:webHidden/>
              </w:rPr>
              <w:fldChar w:fldCharType="end"/>
            </w:r>
          </w:hyperlink>
        </w:p>
        <w:p w14:paraId="2ADF9181" w14:textId="27203C56" w:rsidR="008B18C1" w:rsidRDefault="006F7765">
          <w:pPr>
            <w:pStyle w:val="TOC1"/>
            <w:rPr>
              <w:rFonts w:asciiTheme="minorHAnsi" w:eastAsiaTheme="minorEastAsia" w:hAnsiTheme="minorHAnsi" w:cstheme="minorBidi"/>
              <w:b w:val="0"/>
              <w:sz w:val="22"/>
              <w:szCs w:val="22"/>
              <w:lang w:eastAsia="en-AU"/>
            </w:rPr>
          </w:pPr>
          <w:hyperlink w:anchor="_Toc62486304" w:history="1">
            <w:r w:rsidR="008B18C1" w:rsidRPr="00C649B9">
              <w:rPr>
                <w:rStyle w:val="Hyperlink"/>
              </w:rPr>
              <w:t>Reporting requirements</w:t>
            </w:r>
            <w:r w:rsidR="008B18C1">
              <w:rPr>
                <w:webHidden/>
              </w:rPr>
              <w:tab/>
            </w:r>
            <w:r w:rsidR="008B18C1">
              <w:rPr>
                <w:webHidden/>
              </w:rPr>
              <w:fldChar w:fldCharType="begin"/>
            </w:r>
            <w:r w:rsidR="008B18C1">
              <w:rPr>
                <w:webHidden/>
              </w:rPr>
              <w:instrText xml:space="preserve"> PAGEREF _Toc62486304 \h </w:instrText>
            </w:r>
            <w:r w:rsidR="008B18C1">
              <w:rPr>
                <w:webHidden/>
              </w:rPr>
            </w:r>
            <w:r w:rsidR="008B18C1">
              <w:rPr>
                <w:webHidden/>
              </w:rPr>
              <w:fldChar w:fldCharType="separate"/>
            </w:r>
            <w:r w:rsidR="008B18C1">
              <w:rPr>
                <w:webHidden/>
              </w:rPr>
              <w:t>6</w:t>
            </w:r>
            <w:r w:rsidR="008B18C1">
              <w:rPr>
                <w:webHidden/>
              </w:rPr>
              <w:fldChar w:fldCharType="end"/>
            </w:r>
          </w:hyperlink>
        </w:p>
        <w:p w14:paraId="5DDDD03D" w14:textId="1AD303C1" w:rsidR="008B18C1" w:rsidRDefault="006F7765">
          <w:pPr>
            <w:pStyle w:val="TOC1"/>
            <w:rPr>
              <w:rFonts w:asciiTheme="minorHAnsi" w:eastAsiaTheme="minorEastAsia" w:hAnsiTheme="minorHAnsi" w:cstheme="minorBidi"/>
              <w:b w:val="0"/>
              <w:sz w:val="22"/>
              <w:szCs w:val="22"/>
              <w:lang w:eastAsia="en-AU"/>
            </w:rPr>
          </w:pPr>
          <w:hyperlink w:anchor="_Toc62486305" w:history="1">
            <w:r w:rsidR="008B18C1" w:rsidRPr="00C649B9">
              <w:rPr>
                <w:rStyle w:val="Hyperlink"/>
              </w:rPr>
              <w:t>Outcomes</w:t>
            </w:r>
            <w:r w:rsidR="008B18C1">
              <w:rPr>
                <w:webHidden/>
              </w:rPr>
              <w:tab/>
            </w:r>
            <w:r w:rsidR="008B18C1">
              <w:rPr>
                <w:webHidden/>
              </w:rPr>
              <w:fldChar w:fldCharType="begin"/>
            </w:r>
            <w:r w:rsidR="008B18C1">
              <w:rPr>
                <w:webHidden/>
              </w:rPr>
              <w:instrText xml:space="preserve"> PAGEREF _Toc62486305 \h </w:instrText>
            </w:r>
            <w:r w:rsidR="008B18C1">
              <w:rPr>
                <w:webHidden/>
              </w:rPr>
            </w:r>
            <w:r w:rsidR="008B18C1">
              <w:rPr>
                <w:webHidden/>
              </w:rPr>
              <w:fldChar w:fldCharType="separate"/>
            </w:r>
            <w:r w:rsidR="008B18C1">
              <w:rPr>
                <w:webHidden/>
              </w:rPr>
              <w:t>7</w:t>
            </w:r>
            <w:r w:rsidR="008B18C1">
              <w:rPr>
                <w:webHidden/>
              </w:rPr>
              <w:fldChar w:fldCharType="end"/>
            </w:r>
          </w:hyperlink>
        </w:p>
        <w:p w14:paraId="5CC3BCD6" w14:textId="218A8DDA" w:rsidR="003A4342" w:rsidRPr="000C6FE8" w:rsidRDefault="00351C3D" w:rsidP="000C6FE8">
          <w:pPr>
            <w:rPr>
              <w:noProof/>
            </w:rPr>
          </w:pPr>
          <w:r>
            <w:rPr>
              <w:b/>
              <w:bCs/>
              <w:noProof/>
            </w:rPr>
            <w:fldChar w:fldCharType="end"/>
          </w:r>
        </w:p>
      </w:sdtContent>
    </w:sdt>
    <w:p w14:paraId="445CB5C1" w14:textId="6AE48B5F" w:rsidR="00893AF6" w:rsidRPr="00DD299B" w:rsidRDefault="000A7B9C" w:rsidP="00B87BA9">
      <w:pPr>
        <w:pStyle w:val="Heading1"/>
      </w:pPr>
      <w:bookmarkStart w:id="1" w:name="_Toc62486292"/>
      <w:r w:rsidRPr="00DD299B">
        <w:t>Purpose</w:t>
      </w:r>
      <w:bookmarkEnd w:id="1"/>
      <w:bookmarkEnd w:id="0"/>
      <w:r w:rsidR="00704A92" w:rsidRPr="00DD299B">
        <w:t xml:space="preserve"> </w:t>
      </w:r>
    </w:p>
    <w:p w14:paraId="7B08BE86" w14:textId="027FF432" w:rsidR="00153137" w:rsidRPr="00621F21" w:rsidRDefault="00A932D7" w:rsidP="00621F21">
      <w:pPr>
        <w:pStyle w:val="DHHSbody"/>
      </w:pPr>
      <w:bookmarkStart w:id="2" w:name="_Toc440566509"/>
      <w:r w:rsidRPr="00621F21">
        <w:t>Better Futures is a new service and practice model designed to improve outcomes for young people transitioning from care to supported independence, up to the age of 21</w:t>
      </w:r>
      <w:r w:rsidR="00F26BD0">
        <w:t xml:space="preserve"> years</w:t>
      </w:r>
      <w:r w:rsidRPr="00621F21">
        <w:t xml:space="preserve">. It is guided by a Better Futures (Advantaged Thinking) practice framework and support is tailored to meet the individual needs of young people. </w:t>
      </w:r>
    </w:p>
    <w:p w14:paraId="63A783A0" w14:textId="6FB84BA4" w:rsidR="003B21BB" w:rsidRDefault="00B9628C" w:rsidP="00621F21">
      <w:pPr>
        <w:pStyle w:val="DHHSbody"/>
      </w:pPr>
      <w:r w:rsidRPr="00621F21">
        <w:t xml:space="preserve">The </w:t>
      </w:r>
      <w:r w:rsidRPr="009C7F0C">
        <w:t xml:space="preserve">Community Connections </w:t>
      </w:r>
      <w:r w:rsidR="00662709" w:rsidRPr="009C7F0C">
        <w:t xml:space="preserve">service </w:t>
      </w:r>
      <w:r w:rsidRPr="009C7F0C">
        <w:t>offer is a key component of the Better Futures model</w:t>
      </w:r>
      <w:r w:rsidR="00D2398A" w:rsidRPr="009C7F0C">
        <w:t xml:space="preserve"> and aims to build </w:t>
      </w:r>
      <w:r w:rsidR="00013BE6">
        <w:t xml:space="preserve">supportive </w:t>
      </w:r>
      <w:r w:rsidR="00D2398A" w:rsidRPr="009C7F0C">
        <w:t>networks</w:t>
      </w:r>
      <w:r w:rsidR="00013BE6">
        <w:t>, pathways</w:t>
      </w:r>
      <w:r w:rsidR="00EB0F30" w:rsidRPr="009C7F0C">
        <w:t xml:space="preserve"> and connections</w:t>
      </w:r>
      <w:r w:rsidR="00D2398A" w:rsidRPr="009C7F0C">
        <w:t xml:space="preserve"> for young people in their communit</w:t>
      </w:r>
      <w:r w:rsidR="00D92D93" w:rsidRPr="009C7F0C">
        <w:t>ies</w:t>
      </w:r>
      <w:r w:rsidR="00D2398A" w:rsidRPr="009C7F0C">
        <w:t xml:space="preserve">. </w:t>
      </w:r>
      <w:r w:rsidR="0090678A" w:rsidRPr="009C7F0C">
        <w:t>T</w:t>
      </w:r>
      <w:r w:rsidR="0070684B" w:rsidRPr="009C7F0C">
        <w:t>h</w:t>
      </w:r>
      <w:r w:rsidR="0059065E" w:rsidRPr="009C7F0C">
        <w:t>is</w:t>
      </w:r>
      <w:r w:rsidR="0070684B" w:rsidRPr="009C7F0C">
        <w:t xml:space="preserve"> advice</w:t>
      </w:r>
      <w:r w:rsidR="0090678A" w:rsidRPr="009C7F0C">
        <w:t xml:space="preserve"> </w:t>
      </w:r>
      <w:r w:rsidR="00503186" w:rsidRPr="009C7F0C">
        <w:t>sets out practice expectations of Better Futures providers and other stakeholders</w:t>
      </w:r>
      <w:r w:rsidR="00657FF7" w:rsidRPr="009C7F0C">
        <w:t xml:space="preserve"> </w:t>
      </w:r>
      <w:r w:rsidR="0011718A" w:rsidRPr="009C7F0C">
        <w:t xml:space="preserve">to support </w:t>
      </w:r>
      <w:r w:rsidR="00013BE6">
        <w:t xml:space="preserve">the </w:t>
      </w:r>
      <w:r w:rsidR="0011718A" w:rsidRPr="009C7F0C">
        <w:t>delivery of the</w:t>
      </w:r>
      <w:r w:rsidR="00A2500F" w:rsidRPr="009C7F0C">
        <w:t xml:space="preserve"> </w:t>
      </w:r>
      <w:r w:rsidR="005C0D62" w:rsidRPr="009C7F0C">
        <w:t>Community Connection</w:t>
      </w:r>
      <w:r w:rsidR="00A2500F" w:rsidRPr="009C7F0C">
        <w:t xml:space="preserve">s </w:t>
      </w:r>
      <w:r w:rsidR="00D97647" w:rsidRPr="009C7F0C">
        <w:t>service offer.</w:t>
      </w:r>
      <w:r w:rsidR="00D97647" w:rsidRPr="009C7F0C" w:rsidDel="00D97647">
        <w:t xml:space="preserve"> </w:t>
      </w:r>
    </w:p>
    <w:p w14:paraId="0C3ABE07" w14:textId="77777777" w:rsidR="008B18C1" w:rsidRPr="002877F2" w:rsidRDefault="008B18C1" w:rsidP="00621F21">
      <w:pPr>
        <w:pStyle w:val="DHHSbody"/>
        <w:rPr>
          <w:color w:val="FF0000"/>
        </w:rPr>
      </w:pPr>
    </w:p>
    <w:p w14:paraId="79FAB778" w14:textId="51E83832" w:rsidR="0090678A" w:rsidRPr="00DD299B" w:rsidRDefault="0090678A" w:rsidP="00B87BA9">
      <w:pPr>
        <w:pStyle w:val="Heading1"/>
      </w:pPr>
      <w:bookmarkStart w:id="3" w:name="_Toc34141584"/>
      <w:bookmarkStart w:id="4" w:name="_Toc62486293"/>
      <w:r w:rsidRPr="00DD299B">
        <w:t>Audienc</w:t>
      </w:r>
      <w:bookmarkEnd w:id="3"/>
      <w:r w:rsidR="00B12FBD">
        <w:t>e</w:t>
      </w:r>
      <w:bookmarkEnd w:id="4"/>
    </w:p>
    <w:p w14:paraId="791A0D82" w14:textId="162E1418" w:rsidR="003A4342" w:rsidRPr="00791904" w:rsidRDefault="002877F2" w:rsidP="00791904">
      <w:pPr>
        <w:pStyle w:val="DHHSbody"/>
      </w:pPr>
      <w:r>
        <w:t xml:space="preserve">Better Futures </w:t>
      </w:r>
      <w:r w:rsidR="00A932D7">
        <w:t>Community Connection</w:t>
      </w:r>
      <w:r>
        <w:t>s</w:t>
      </w:r>
      <w:r w:rsidR="00A932D7">
        <w:t xml:space="preserve"> providers, </w:t>
      </w:r>
      <w:r w:rsidR="00A932D7" w:rsidRPr="00A932D7">
        <w:t>Better Futures workers, the Department of Health and Human Services (the department) child protection case managers, case managers delivering contracted case management in community service organisations, and case managers in Aboriginal Community Controlled Organisations (ACCOs), Agency Performance and System Support (APSS) advis</w:t>
      </w:r>
      <w:r w:rsidR="000C6FE8">
        <w:t>o</w:t>
      </w:r>
      <w:r w:rsidR="00A932D7" w:rsidRPr="00A932D7">
        <w:t>rs</w:t>
      </w:r>
      <w:r w:rsidR="00A932D7">
        <w:t>, Population Health and Community Wellbeing advis</w:t>
      </w:r>
      <w:r w:rsidR="000C6FE8">
        <w:t>o</w:t>
      </w:r>
      <w:r w:rsidR="00A932D7">
        <w:t>rs,</w:t>
      </w:r>
      <w:r w:rsidR="00A932D7" w:rsidRPr="00A932D7">
        <w:t xml:space="preserve"> and other organisations working with young people. </w:t>
      </w:r>
      <w:bookmarkStart w:id="5" w:name="_Toc34141585"/>
      <w:bookmarkStart w:id="6" w:name="_Hlk23182776"/>
    </w:p>
    <w:p w14:paraId="7A48E0C8" w14:textId="67423259" w:rsidR="00FA15E7" w:rsidRPr="00DD299B" w:rsidRDefault="0090678A" w:rsidP="00B87BA9">
      <w:pPr>
        <w:pStyle w:val="Heading1"/>
      </w:pPr>
      <w:bookmarkStart w:id="7" w:name="_Toc62486294"/>
      <w:r w:rsidRPr="00DD299B">
        <w:lastRenderedPageBreak/>
        <w:t>Introduction</w:t>
      </w:r>
      <w:bookmarkEnd w:id="5"/>
      <w:bookmarkEnd w:id="7"/>
      <w:r w:rsidRPr="00DD299B">
        <w:t xml:space="preserve"> </w:t>
      </w:r>
      <w:bookmarkStart w:id="8" w:name="_Hlk16508858"/>
    </w:p>
    <w:bookmarkEnd w:id="6"/>
    <w:p w14:paraId="06E8667C" w14:textId="1174175C" w:rsidR="00DD299B" w:rsidRDefault="00A932D7" w:rsidP="0020673A">
      <w:pPr>
        <w:pStyle w:val="DHHSbody"/>
      </w:pPr>
      <w:r w:rsidRPr="00E166BB">
        <w:t>Better Futures is a new way of supporting care leavers</w:t>
      </w:r>
      <w:r w:rsidR="0052271A">
        <w:t xml:space="preserve">. Better Futures engages </w:t>
      </w:r>
      <w:r w:rsidRPr="00E166BB">
        <w:t xml:space="preserve">with young people and their support networks, including case managers and care teams early in </w:t>
      </w:r>
      <w:r w:rsidR="0052271A">
        <w:t>the young person’s</w:t>
      </w:r>
      <w:r w:rsidR="000C6FE8">
        <w:t xml:space="preserve"> </w:t>
      </w:r>
      <w:r w:rsidRPr="00E166BB">
        <w:t xml:space="preserve">transition from care, across </w:t>
      </w:r>
      <w:r>
        <w:t>five</w:t>
      </w:r>
      <w:r w:rsidRPr="00E166BB">
        <w:t xml:space="preserve"> service offers; housing and living skills</w:t>
      </w:r>
      <w:r w:rsidR="00AC2DCC">
        <w:t>;</w:t>
      </w:r>
      <w:r w:rsidRPr="00E166BB">
        <w:t xml:space="preserve"> education</w:t>
      </w:r>
      <w:r w:rsidR="00AC2DCC">
        <w:t>;</w:t>
      </w:r>
      <w:r w:rsidRPr="00E166BB">
        <w:t xml:space="preserve"> employment</w:t>
      </w:r>
      <w:r w:rsidR="00AC2DCC">
        <w:t>;</w:t>
      </w:r>
      <w:r w:rsidRPr="00E166BB">
        <w:t xml:space="preserve"> health and wellbeing and community connections. Young people are eligible for Better Futures support from 15 years and 9 months until their 21st birthday</w:t>
      </w:r>
      <w:r w:rsidR="008A20F3">
        <w:t>.</w:t>
      </w:r>
    </w:p>
    <w:p w14:paraId="64D5264B" w14:textId="0314F055" w:rsidR="00503186" w:rsidRDefault="002877F2" w:rsidP="00621F21">
      <w:pPr>
        <w:pStyle w:val="DHHSbody"/>
      </w:pPr>
      <w:bookmarkStart w:id="9" w:name="_Hlk42266323"/>
      <w:r>
        <w:t xml:space="preserve">The Better Futures </w:t>
      </w:r>
      <w:r w:rsidR="00670ACB" w:rsidRPr="00621F21">
        <w:t>Community Connections</w:t>
      </w:r>
      <w:r>
        <w:t xml:space="preserve"> service offer </w:t>
      </w:r>
      <w:r w:rsidR="003D0E1C">
        <w:t>builds</w:t>
      </w:r>
      <w:r w:rsidR="00351C3D" w:rsidRPr="00621F21">
        <w:t xml:space="preserve"> access</w:t>
      </w:r>
      <w:r w:rsidR="0003459D" w:rsidRPr="00621F21">
        <w:t xml:space="preserve"> to new pathways, networks and resources within the community</w:t>
      </w:r>
      <w:r w:rsidR="00B9628C" w:rsidRPr="00621F21">
        <w:t xml:space="preserve">, </w:t>
      </w:r>
      <w:r w:rsidR="0003459D" w:rsidRPr="00621F21">
        <w:t xml:space="preserve">so that young </w:t>
      </w:r>
      <w:r w:rsidR="00445490" w:rsidRPr="00621F21">
        <w:t>people</w:t>
      </w:r>
      <w:r w:rsidR="0003459D" w:rsidRPr="00621F21">
        <w:t xml:space="preserve"> can </w:t>
      </w:r>
      <w:r w:rsidR="003D0E1C">
        <w:t>develop</w:t>
      </w:r>
      <w:r w:rsidR="003D0E1C" w:rsidRPr="00621F21">
        <w:t xml:space="preserve"> </w:t>
      </w:r>
      <w:r w:rsidR="0003459D" w:rsidRPr="00621F21">
        <w:t>enabling</w:t>
      </w:r>
      <w:r w:rsidR="00662709" w:rsidRPr="00621F21">
        <w:t>,</w:t>
      </w:r>
      <w:r w:rsidR="0011332A" w:rsidRPr="00621F21">
        <w:t xml:space="preserve"> meaningful</w:t>
      </w:r>
      <w:r w:rsidR="0003459D" w:rsidRPr="00621F21">
        <w:t xml:space="preserve"> and sustained connections</w:t>
      </w:r>
      <w:r w:rsidR="0005090C" w:rsidRPr="0005090C">
        <w:t xml:space="preserve"> </w:t>
      </w:r>
      <w:r w:rsidR="0005090C" w:rsidRPr="00621F21">
        <w:t>that will help them achieve their goals and support their transition to independence</w:t>
      </w:r>
      <w:r w:rsidR="0003459D" w:rsidRPr="00621F21">
        <w:t>.</w:t>
      </w:r>
      <w:r w:rsidR="00445490" w:rsidRPr="00621F21">
        <w:t xml:space="preserve"> </w:t>
      </w:r>
    </w:p>
    <w:p w14:paraId="504992B5" w14:textId="07DB2160" w:rsidR="00C95D27" w:rsidRDefault="00445490" w:rsidP="00BB021E">
      <w:pPr>
        <w:pStyle w:val="DHHSbody"/>
      </w:pPr>
      <w:r w:rsidRPr="00621F21">
        <w:t xml:space="preserve">Community Connections focusses on </w:t>
      </w:r>
      <w:r w:rsidR="00EB0F30" w:rsidRPr="00621F21">
        <w:t>strengthening</w:t>
      </w:r>
      <w:r w:rsidR="00893804" w:rsidRPr="00621F21">
        <w:t xml:space="preserve"> </w:t>
      </w:r>
      <w:r w:rsidR="00DC1966" w:rsidRPr="00621F21">
        <w:t>young people’s</w:t>
      </w:r>
      <w:r w:rsidR="00777BFB" w:rsidRPr="00621F21">
        <w:t xml:space="preserve"> </w:t>
      </w:r>
      <w:r w:rsidRPr="00621F21">
        <w:t>social capital</w:t>
      </w:r>
      <w:r w:rsidR="00777BFB" w:rsidRPr="00621F21">
        <w:t xml:space="preserve">, </w:t>
      </w:r>
      <w:r w:rsidR="00885A8C" w:rsidRPr="00621F21">
        <w:t>with an emphasis on</w:t>
      </w:r>
      <w:r w:rsidR="00695BF3" w:rsidRPr="00621F21">
        <w:t xml:space="preserve"> </w:t>
      </w:r>
      <w:r w:rsidR="00DC1966" w:rsidRPr="00621F21">
        <w:t>building</w:t>
      </w:r>
      <w:r w:rsidR="00777BFB" w:rsidRPr="00621F21">
        <w:t xml:space="preserve"> </w:t>
      </w:r>
      <w:r w:rsidR="002D3FDE">
        <w:t>support</w:t>
      </w:r>
      <w:r w:rsidR="00F26BD0">
        <w:t xml:space="preserve"> </w:t>
      </w:r>
      <w:r w:rsidR="00695BF3" w:rsidRPr="00621F21">
        <w:t>networks</w:t>
      </w:r>
      <w:r w:rsidR="007453A5" w:rsidRPr="002D3FDE">
        <w:t xml:space="preserve">, and </w:t>
      </w:r>
      <w:r w:rsidR="00045E3B" w:rsidRPr="002D3FDE">
        <w:t>provid</w:t>
      </w:r>
      <w:r w:rsidR="007453A5" w:rsidRPr="002D3FDE">
        <w:t>ing</w:t>
      </w:r>
      <w:r w:rsidR="00F26BD0" w:rsidRPr="002D3FDE">
        <w:t xml:space="preserve"> opportunities</w:t>
      </w:r>
      <w:r w:rsidR="002D3FDE" w:rsidRPr="002D3FDE">
        <w:t xml:space="preserve"> for young people</w:t>
      </w:r>
      <w:r w:rsidR="00F26BD0" w:rsidRPr="002D3FDE">
        <w:t xml:space="preserve"> to participate in</w:t>
      </w:r>
      <w:r w:rsidR="00893804" w:rsidRPr="002D3FDE">
        <w:t xml:space="preserve"> civic, social</w:t>
      </w:r>
      <w:r w:rsidR="00EB0F30" w:rsidRPr="002D3FDE">
        <w:t>, economic</w:t>
      </w:r>
      <w:r w:rsidR="00893804" w:rsidRPr="002D3FDE">
        <w:t xml:space="preserve"> and </w:t>
      </w:r>
      <w:r w:rsidR="002D3FDE" w:rsidRPr="002D3FDE">
        <w:t>cultural life</w:t>
      </w:r>
      <w:r w:rsidR="00F26BD0" w:rsidRPr="002D3FDE">
        <w:t>. To achieve this t</w:t>
      </w:r>
      <w:r w:rsidR="00F26BD0">
        <w:t>he Community Connections service offer leverages</w:t>
      </w:r>
      <w:r w:rsidR="00300A98" w:rsidRPr="00621F21">
        <w:t xml:space="preserve"> existing local partnerships, and </w:t>
      </w:r>
      <w:r w:rsidR="00F26BD0">
        <w:t>develops</w:t>
      </w:r>
      <w:r w:rsidR="00F26BD0" w:rsidRPr="00621F21">
        <w:t xml:space="preserve"> </w:t>
      </w:r>
      <w:r w:rsidR="00300A98" w:rsidRPr="00621F21">
        <w:t xml:space="preserve">new relationships within the community spanning government, business, services, community and philanthropy. </w:t>
      </w:r>
      <w:r w:rsidR="00F26BD0">
        <w:t>This approach</w:t>
      </w:r>
      <w:r w:rsidR="00F26BD0" w:rsidRPr="00621F21">
        <w:t xml:space="preserve"> </w:t>
      </w:r>
      <w:r w:rsidR="00CC6F4D" w:rsidRPr="00621F21">
        <w:t>may</w:t>
      </w:r>
      <w:r w:rsidR="00300A98" w:rsidRPr="00621F21">
        <w:t xml:space="preserve"> also</w:t>
      </w:r>
      <w:r w:rsidR="00CC6F4D" w:rsidRPr="00621F21">
        <w:t xml:space="preserve"> include matching young people with a mentor based on their interests, goals and aspirations.</w:t>
      </w:r>
      <w:r w:rsidR="006F5CC0">
        <w:t xml:space="preserve"> </w:t>
      </w:r>
      <w:bookmarkStart w:id="10" w:name="_Toc34141588"/>
      <w:bookmarkStart w:id="11" w:name="_Toc5878827"/>
      <w:bookmarkStart w:id="12" w:name="_Toc16599201"/>
      <w:bookmarkStart w:id="13" w:name="_Hlk23199632"/>
      <w:bookmarkEnd w:id="9"/>
    </w:p>
    <w:p w14:paraId="6848ADDD" w14:textId="77777777" w:rsidR="008B18C1" w:rsidRPr="00BB021E" w:rsidRDefault="008B18C1" w:rsidP="00BB021E">
      <w:pPr>
        <w:pStyle w:val="DHHSbody"/>
      </w:pPr>
    </w:p>
    <w:p w14:paraId="6BCE8B35" w14:textId="59E44F0C" w:rsidR="00E92093" w:rsidRDefault="00E92093" w:rsidP="00B87BA9">
      <w:pPr>
        <w:pStyle w:val="Heading1"/>
      </w:pPr>
      <w:bookmarkStart w:id="14" w:name="_Toc62486295"/>
      <w:r>
        <w:t>Community Connections</w:t>
      </w:r>
      <w:r w:rsidR="00137D3C">
        <w:t xml:space="preserve"> </w:t>
      </w:r>
      <w:r w:rsidR="00503186">
        <w:t>- the building blocks</w:t>
      </w:r>
      <w:bookmarkEnd w:id="14"/>
    </w:p>
    <w:bookmarkEnd w:id="10"/>
    <w:p w14:paraId="633DD2B5" w14:textId="3E64B5C5" w:rsidR="006E2963" w:rsidRPr="00621F21" w:rsidRDefault="00503186" w:rsidP="00621F21">
      <w:pPr>
        <w:pStyle w:val="DHHSbody"/>
      </w:pPr>
      <w:r>
        <w:t>Effective delivery of t</w:t>
      </w:r>
      <w:r w:rsidR="00137D3C" w:rsidRPr="00621F21">
        <w:t xml:space="preserve">he Community Connections </w:t>
      </w:r>
      <w:r>
        <w:t xml:space="preserve">service offer </w:t>
      </w:r>
      <w:r w:rsidR="007E19BE">
        <w:t xml:space="preserve">sees </w:t>
      </w:r>
      <w:r>
        <w:t xml:space="preserve">workers drawing on </w:t>
      </w:r>
      <w:r w:rsidR="00BB021E">
        <w:t>several</w:t>
      </w:r>
      <w:r>
        <w:t xml:space="preserve"> </w:t>
      </w:r>
      <w:r w:rsidR="00137D3C" w:rsidRPr="00621F21">
        <w:t>practice approach</w:t>
      </w:r>
      <w:r>
        <w:t>es, including</w:t>
      </w:r>
      <w:r w:rsidR="006E2963" w:rsidRPr="00621F21">
        <w:t>:</w:t>
      </w:r>
    </w:p>
    <w:p w14:paraId="12376C9A" w14:textId="77777777" w:rsidR="003B2DFF" w:rsidRPr="00621F21" w:rsidRDefault="003B2DFF" w:rsidP="003B2DFF">
      <w:pPr>
        <w:pStyle w:val="DHHSbullet1"/>
      </w:pPr>
      <w:r w:rsidRPr="00621F21">
        <w:rPr>
          <w:b/>
          <w:bCs/>
        </w:rPr>
        <w:t>Advantaged Thinking</w:t>
      </w:r>
      <w:r>
        <w:rPr>
          <w:b/>
          <w:bCs/>
        </w:rPr>
        <w:t>:</w:t>
      </w:r>
      <w:r w:rsidRPr="00621F21">
        <w:rPr>
          <w:b/>
          <w:bCs/>
        </w:rPr>
        <w:t xml:space="preserve"> </w:t>
      </w:r>
      <w:r w:rsidRPr="00621F21">
        <w:t>develop</w:t>
      </w:r>
      <w:r>
        <w:t>ing</w:t>
      </w:r>
      <w:r w:rsidRPr="00621F21">
        <w:t xml:space="preserve"> and invest</w:t>
      </w:r>
      <w:r>
        <w:t>ing</w:t>
      </w:r>
      <w:r w:rsidRPr="00621F21">
        <w:t xml:space="preserve"> in young people’s skills, talents and capabilities and enabli</w:t>
      </w:r>
      <w:r>
        <w:t xml:space="preserve">ng </w:t>
      </w:r>
      <w:r w:rsidRPr="00621F21">
        <w:t>young people to thrive.</w:t>
      </w:r>
    </w:p>
    <w:p w14:paraId="734DF884" w14:textId="77777777" w:rsidR="003B2DFF" w:rsidRPr="00621F21" w:rsidRDefault="003B2DFF" w:rsidP="003B2DFF">
      <w:pPr>
        <w:pStyle w:val="DHHSbullet1"/>
      </w:pPr>
      <w:r>
        <w:rPr>
          <w:b/>
          <w:bCs/>
        </w:rPr>
        <w:t>h</w:t>
      </w:r>
      <w:r w:rsidRPr="00621F21">
        <w:rPr>
          <w:b/>
          <w:bCs/>
        </w:rPr>
        <w:t xml:space="preserve">arnessing </w:t>
      </w:r>
      <w:r>
        <w:rPr>
          <w:b/>
          <w:bCs/>
        </w:rPr>
        <w:t>c</w:t>
      </w:r>
      <w:r w:rsidRPr="00621F21">
        <w:rPr>
          <w:b/>
          <w:bCs/>
        </w:rPr>
        <w:t xml:space="preserve">ommunity </w:t>
      </w:r>
      <w:r>
        <w:rPr>
          <w:b/>
          <w:bCs/>
        </w:rPr>
        <w:t>e</w:t>
      </w:r>
      <w:r w:rsidRPr="00621F21">
        <w:rPr>
          <w:b/>
          <w:bCs/>
        </w:rPr>
        <w:t>ffort</w:t>
      </w:r>
      <w:r>
        <w:rPr>
          <w:b/>
          <w:bCs/>
        </w:rPr>
        <w:t>:</w:t>
      </w:r>
      <w:r w:rsidRPr="00621F21">
        <w:t xml:space="preserve"> leveraging key partnerships across local communities, businesses, services, government and philanthropic organisations to provide young people with the opportunities, networks and resources they need to build sustainable livelihoods. </w:t>
      </w:r>
    </w:p>
    <w:p w14:paraId="1143DABA" w14:textId="77777777" w:rsidR="003B2DFF" w:rsidRPr="00621F21" w:rsidRDefault="003B2DFF" w:rsidP="003B2DFF">
      <w:pPr>
        <w:pStyle w:val="DHHSbullet1"/>
      </w:pPr>
      <w:r>
        <w:rPr>
          <w:b/>
          <w:bCs/>
        </w:rPr>
        <w:t>a</w:t>
      </w:r>
      <w:r w:rsidRPr="00621F21">
        <w:rPr>
          <w:b/>
          <w:bCs/>
        </w:rPr>
        <w:t xml:space="preserve"> </w:t>
      </w:r>
      <w:r>
        <w:rPr>
          <w:b/>
          <w:bCs/>
        </w:rPr>
        <w:t xml:space="preserve">focus on </w:t>
      </w:r>
      <w:r w:rsidRPr="00621F21">
        <w:rPr>
          <w:b/>
          <w:bCs/>
        </w:rPr>
        <w:t>place</w:t>
      </w:r>
      <w:r>
        <w:t>:</w:t>
      </w:r>
      <w:r w:rsidRPr="00621F21">
        <w:t xml:space="preserve"> recognising that young people and their communities are interrelated</w:t>
      </w:r>
      <w:r>
        <w:t xml:space="preserve"> and that</w:t>
      </w:r>
      <w:r w:rsidRPr="00621F21">
        <w:t xml:space="preserve"> the places where young people live, learn, work and play have an important role in shaping their health and wellbeing</w:t>
      </w:r>
      <w:r>
        <w:rPr>
          <w:rStyle w:val="FootnoteReference"/>
        </w:rPr>
        <w:footnoteReference w:id="1"/>
      </w:r>
      <w:r>
        <w:t>.</w:t>
      </w:r>
    </w:p>
    <w:p w14:paraId="732AC9B0" w14:textId="3DFB2A5F" w:rsidR="003B2DFF" w:rsidRDefault="003B2DFF" w:rsidP="003B2DFF">
      <w:pPr>
        <w:pStyle w:val="DHHSbullet1"/>
      </w:pPr>
      <w:r>
        <w:rPr>
          <w:b/>
          <w:bCs/>
        </w:rPr>
        <w:t>c</w:t>
      </w:r>
      <w:r w:rsidRPr="007E19BE">
        <w:rPr>
          <w:b/>
          <w:bCs/>
        </w:rPr>
        <w:t>ulturally informed</w:t>
      </w:r>
      <w:r>
        <w:rPr>
          <w:b/>
          <w:bCs/>
        </w:rPr>
        <w:t xml:space="preserve"> responses:</w:t>
      </w:r>
      <w:r w:rsidRPr="00621F21">
        <w:t xml:space="preserve"> building on the work delivered by ACCOs to support Aboriginal young people’s self-determination and cultural development across</w:t>
      </w:r>
      <w:r>
        <w:t xml:space="preserve"> </w:t>
      </w:r>
      <w:r w:rsidRPr="00621F21">
        <w:t>all areas of their life</w:t>
      </w:r>
      <w:r>
        <w:t>.</w:t>
      </w:r>
      <w:r w:rsidRPr="00621F21">
        <w:t xml:space="preserve"> </w:t>
      </w:r>
    </w:p>
    <w:p w14:paraId="67956550" w14:textId="77777777" w:rsidR="003B2DFF" w:rsidRDefault="003B2DFF" w:rsidP="003B2DFF">
      <w:pPr>
        <w:pStyle w:val="DHHSbullet1"/>
        <w:numPr>
          <w:ilvl w:val="0"/>
          <w:numId w:val="0"/>
        </w:numPr>
        <w:ind w:left="426"/>
      </w:pPr>
    </w:p>
    <w:p w14:paraId="1144EF03" w14:textId="1C18CC6C" w:rsidR="00265DC9" w:rsidRDefault="00265DC9" w:rsidP="00BB021E">
      <w:pPr>
        <w:pStyle w:val="DHHSbody"/>
      </w:pPr>
      <w:r w:rsidRPr="00621F21">
        <w:t xml:space="preserve">For further information, please refer to the </w:t>
      </w:r>
      <w:hyperlink r:id="rId15" w:history="1">
        <w:r w:rsidRPr="006F7765">
          <w:rPr>
            <w:rStyle w:val="Hyperlink"/>
          </w:rPr>
          <w:t>Better Futures Advantaged Thinking Practice Framework</w:t>
        </w:r>
      </w:hyperlink>
      <w:r w:rsidR="006F7765">
        <w:rPr>
          <w:rFonts w:cs="Arial"/>
        </w:rPr>
        <w:t xml:space="preserve"> </w:t>
      </w:r>
      <w:r w:rsidR="003B2DFF">
        <w:rPr>
          <w:rFonts w:cs="Arial"/>
        </w:rPr>
        <w:t>&lt;</w:t>
      </w:r>
      <w:r w:rsidR="006F7765" w:rsidRPr="006F7765">
        <w:t>https://www.bsl.org.au/services/youth/better-futures</w:t>
      </w:r>
      <w:r w:rsidR="006F7765">
        <w:t>&gt;</w:t>
      </w:r>
    </w:p>
    <w:p w14:paraId="0EAE9CBE" w14:textId="77777777" w:rsidR="008B18C1" w:rsidRPr="00265DC9" w:rsidRDefault="008B18C1" w:rsidP="00BB021E">
      <w:pPr>
        <w:pStyle w:val="DHHSbody"/>
        <w:rPr>
          <w:rFonts w:cs="Arial"/>
        </w:rPr>
      </w:pPr>
      <w:bookmarkStart w:id="15" w:name="_GoBack"/>
      <w:bookmarkEnd w:id="15"/>
    </w:p>
    <w:p w14:paraId="34C6FFA5" w14:textId="29BD42F2" w:rsidR="00E92093" w:rsidRPr="00137D3C" w:rsidRDefault="00E92093" w:rsidP="00B87BA9">
      <w:pPr>
        <w:pStyle w:val="Heading1"/>
      </w:pPr>
      <w:bookmarkStart w:id="16" w:name="_Toc62486296"/>
      <w:r w:rsidRPr="00137D3C">
        <w:t xml:space="preserve">Key </w:t>
      </w:r>
      <w:r w:rsidR="007E19BE">
        <w:t xml:space="preserve">principles </w:t>
      </w:r>
      <w:r w:rsidR="00F26BD0">
        <w:t>of the Community Connections service offer</w:t>
      </w:r>
      <w:bookmarkEnd w:id="16"/>
    </w:p>
    <w:p w14:paraId="5448B62B" w14:textId="5C87671B" w:rsidR="004832F5" w:rsidRDefault="00F26BD0" w:rsidP="00137D3C">
      <w:pPr>
        <w:pStyle w:val="DHHSbody"/>
      </w:pPr>
      <w:r>
        <w:t>A</w:t>
      </w:r>
      <w:r w:rsidRPr="00137D3C">
        <w:t xml:space="preserve"> </w:t>
      </w:r>
      <w:r w:rsidR="00137D3C" w:rsidRPr="00137D3C">
        <w:t xml:space="preserve">Community Connections </w:t>
      </w:r>
      <w:r w:rsidR="00137D3C" w:rsidRPr="00C02996">
        <w:t>service offer</w:t>
      </w:r>
      <w:r w:rsidR="00137D3C" w:rsidRPr="00137D3C">
        <w:t xml:space="preserve"> </w:t>
      </w:r>
      <w:r>
        <w:t xml:space="preserve">response </w:t>
      </w:r>
      <w:r w:rsidR="004832F5">
        <w:t xml:space="preserve">will vary according to the needs of each young person, their existing connection to culture and community, their transition goals, and the community they reside in. </w:t>
      </w:r>
      <w:r w:rsidR="00B4120C">
        <w:t>C</w:t>
      </w:r>
      <w:r w:rsidR="00B4120C" w:rsidRPr="00137D3C">
        <w:t xml:space="preserve">ommunities are diverse and dynamic and </w:t>
      </w:r>
      <w:r w:rsidR="00B4120C">
        <w:t xml:space="preserve">as such </w:t>
      </w:r>
      <w:r w:rsidR="00B4120C" w:rsidRPr="00137D3C">
        <w:t>working in place occur</w:t>
      </w:r>
      <w:r w:rsidR="00B4120C">
        <w:t>s</w:t>
      </w:r>
      <w:r w:rsidR="00B4120C" w:rsidRPr="00137D3C">
        <w:t xml:space="preserve"> in different ways </w:t>
      </w:r>
      <w:r w:rsidR="00B4120C">
        <w:t>across different communities.</w:t>
      </w:r>
      <w:r w:rsidR="00C43D05">
        <w:t xml:space="preserve"> </w:t>
      </w:r>
    </w:p>
    <w:p w14:paraId="6FB884B9" w14:textId="0C628111" w:rsidR="00B4120C" w:rsidRDefault="004832F5" w:rsidP="00621F21">
      <w:pPr>
        <w:pStyle w:val="DHHSbody"/>
      </w:pPr>
      <w:r>
        <w:t xml:space="preserve">Notwithstanding the requirement for flexibility in the way in which this </w:t>
      </w:r>
      <w:r w:rsidR="00CE607C">
        <w:t xml:space="preserve">service </w:t>
      </w:r>
      <w:r>
        <w:t xml:space="preserve">offer is delivered, there are some key principles </w:t>
      </w:r>
      <w:r w:rsidR="00CE607C">
        <w:t xml:space="preserve">that </w:t>
      </w:r>
      <w:r>
        <w:t>apply in all circumstances.</w:t>
      </w:r>
      <w:r w:rsidR="006F5CC0">
        <w:t xml:space="preserve"> </w:t>
      </w:r>
    </w:p>
    <w:p w14:paraId="2D9935B8" w14:textId="77777777" w:rsidR="00BB021E" w:rsidRDefault="00BB021E">
      <w:pPr>
        <w:rPr>
          <w:rFonts w:ascii="Arial" w:eastAsia="Times" w:hAnsi="Arial"/>
        </w:rPr>
      </w:pPr>
      <w:r>
        <w:br w:type="page"/>
      </w:r>
    </w:p>
    <w:p w14:paraId="44337949" w14:textId="4C993BD5" w:rsidR="00B56FC1" w:rsidRPr="00621F21" w:rsidRDefault="00B56FC1" w:rsidP="00621F21">
      <w:pPr>
        <w:pStyle w:val="DHHSbody"/>
      </w:pPr>
      <w:r w:rsidRPr="00621F21">
        <w:lastRenderedPageBreak/>
        <w:t xml:space="preserve">Key </w:t>
      </w:r>
      <w:r w:rsidR="00C43D05">
        <w:t>principles</w:t>
      </w:r>
      <w:r w:rsidRPr="00621F21">
        <w:t xml:space="preserve"> include:</w:t>
      </w:r>
    </w:p>
    <w:p w14:paraId="7861835A" w14:textId="7113CB4F" w:rsidR="006E2963" w:rsidRPr="00621F21" w:rsidRDefault="00CE607C" w:rsidP="008B18C1">
      <w:pPr>
        <w:pStyle w:val="DHHSbullet1"/>
      </w:pPr>
      <w:r>
        <w:t>t</w:t>
      </w:r>
      <w:r w:rsidRPr="00621F21">
        <w:t xml:space="preserve">he </w:t>
      </w:r>
      <w:r w:rsidR="006E2963" w:rsidRPr="00621F21">
        <w:t>voice and expertise of young people</w:t>
      </w:r>
      <w:r w:rsidR="00B70B53" w:rsidRPr="00621F21">
        <w:t xml:space="preserve"> should</w:t>
      </w:r>
      <w:r w:rsidR="006E2963" w:rsidRPr="00621F21">
        <w:t xml:space="preserve"> </w:t>
      </w:r>
      <w:r w:rsidR="00B9000F" w:rsidRPr="00621F21">
        <w:t xml:space="preserve">inform </w:t>
      </w:r>
      <w:r w:rsidR="006E2963" w:rsidRPr="00621F21">
        <w:t xml:space="preserve">the design, implementation and delivery of </w:t>
      </w:r>
      <w:r w:rsidR="00E92093" w:rsidRPr="00621F21">
        <w:t xml:space="preserve">a </w:t>
      </w:r>
      <w:r w:rsidR="006E2963" w:rsidRPr="00621F21">
        <w:t>Community Connections</w:t>
      </w:r>
      <w:r w:rsidR="00E92093" w:rsidRPr="00621F21">
        <w:t xml:space="preserve"> </w:t>
      </w:r>
      <w:r w:rsidR="00321A65" w:rsidRPr="006F0110">
        <w:t>service offer</w:t>
      </w:r>
      <w:r w:rsidR="00E92093" w:rsidRPr="00C02996">
        <w:t>;</w:t>
      </w:r>
      <w:r w:rsidR="00E92093" w:rsidRPr="00621F21">
        <w:t xml:space="preserve"> </w:t>
      </w:r>
      <w:r w:rsidR="006E2963" w:rsidRPr="00621F21">
        <w:t xml:space="preserve">young people are </w:t>
      </w:r>
      <w:r w:rsidR="008F5E5C" w:rsidRPr="00621F21">
        <w:t xml:space="preserve">given </w:t>
      </w:r>
      <w:r w:rsidR="006E2963" w:rsidRPr="00621F21">
        <w:t>opportunities to meaningfully participate in the design of services</w:t>
      </w:r>
      <w:r w:rsidR="007F7C66" w:rsidRPr="00621F21">
        <w:t xml:space="preserve"> and responses</w:t>
      </w:r>
      <w:r w:rsidR="006E2963" w:rsidRPr="00621F21">
        <w:t xml:space="preserve"> that affect them.</w:t>
      </w:r>
    </w:p>
    <w:p w14:paraId="75267318" w14:textId="79A83B99" w:rsidR="00696284" w:rsidRDefault="00CE607C" w:rsidP="008B18C1">
      <w:pPr>
        <w:pStyle w:val="DHHSbullet1"/>
      </w:pPr>
      <w:r>
        <w:t>t</w:t>
      </w:r>
      <w:r w:rsidRPr="00A040D7">
        <w:t xml:space="preserve">he </w:t>
      </w:r>
      <w:r w:rsidR="006E2963" w:rsidRPr="00055C39">
        <w:t>Community Connections</w:t>
      </w:r>
      <w:r w:rsidR="00201BE7">
        <w:t xml:space="preserve"> service offer</w:t>
      </w:r>
      <w:r w:rsidR="006E2963" w:rsidRPr="00055C39">
        <w:t xml:space="preserve"> delivered by providers may vary depending on the needs of young people in the local area, service demand</w:t>
      </w:r>
      <w:r w:rsidR="008F5E5C">
        <w:t xml:space="preserve">, </w:t>
      </w:r>
      <w:r w:rsidR="006E2963" w:rsidRPr="00055C39">
        <w:t>local</w:t>
      </w:r>
      <w:r w:rsidR="008F5E5C">
        <w:t xml:space="preserve"> opportunities and</w:t>
      </w:r>
      <w:r w:rsidR="006E2963" w:rsidRPr="00055C39">
        <w:t xml:space="preserve"> area arrangements.</w:t>
      </w:r>
    </w:p>
    <w:p w14:paraId="646A2EB6" w14:textId="4603566A" w:rsidR="00407F2B" w:rsidRPr="00696284" w:rsidRDefault="00CE607C" w:rsidP="008B18C1">
      <w:pPr>
        <w:pStyle w:val="DHHSbullet1"/>
      </w:pPr>
      <w:r>
        <w:t>m</w:t>
      </w:r>
      <w:r w:rsidRPr="00696284">
        <w:t xml:space="preserve">entoring </w:t>
      </w:r>
      <w:r w:rsidR="00B70B53" w:rsidRPr="00696284">
        <w:t xml:space="preserve">is an integral element of the Community Connections </w:t>
      </w:r>
      <w:r w:rsidR="00B70B53" w:rsidRPr="00C02996">
        <w:t>service offer</w:t>
      </w:r>
      <w:r w:rsidR="00B70B53" w:rsidRPr="00696284">
        <w:t xml:space="preserve"> and will remain a service option for young people transitioning from care. </w:t>
      </w:r>
    </w:p>
    <w:p w14:paraId="7294C219" w14:textId="539462B9" w:rsidR="00407F2B" w:rsidRDefault="00CE607C" w:rsidP="008B18C1">
      <w:pPr>
        <w:pStyle w:val="DHHSbullet1"/>
      </w:pPr>
      <w:r>
        <w:t>w</w:t>
      </w:r>
      <w:r w:rsidRPr="00C95D27">
        <w:t xml:space="preserve">here </w:t>
      </w:r>
      <w:r w:rsidR="00C95D27" w:rsidRPr="00C95D27">
        <w:t>there are multiple providers servicing the same area/s, providers are encouraged to</w:t>
      </w:r>
      <w:r w:rsidR="00013103">
        <w:t xml:space="preserve"> collaborate and</w:t>
      </w:r>
      <w:r w:rsidR="00C95D27" w:rsidRPr="00C95D27">
        <w:t xml:space="preserve"> build strong partnerships </w:t>
      </w:r>
      <w:r w:rsidR="00013103">
        <w:t>to</w:t>
      </w:r>
      <w:r w:rsidR="00C95D27" w:rsidRPr="00C95D27">
        <w:t xml:space="preserve"> </w:t>
      </w:r>
      <w:r w:rsidR="00013103">
        <w:t>develop</w:t>
      </w:r>
      <w:r w:rsidR="00C95D27" w:rsidRPr="00C95D27">
        <w:t xml:space="preserve"> </w:t>
      </w:r>
      <w:r w:rsidRPr="00C95D27">
        <w:t>compl</w:t>
      </w:r>
      <w:r>
        <w:t>e</w:t>
      </w:r>
      <w:r w:rsidRPr="00C95D27">
        <w:t xml:space="preserve">mentary </w:t>
      </w:r>
      <w:r w:rsidR="00C95D27" w:rsidRPr="00C02996">
        <w:t xml:space="preserve">service </w:t>
      </w:r>
      <w:r w:rsidR="00321A65" w:rsidRPr="00013103">
        <w:t>offers</w:t>
      </w:r>
      <w:r w:rsidR="00013103">
        <w:t>.</w:t>
      </w:r>
    </w:p>
    <w:p w14:paraId="0D6D2D48" w14:textId="7E9C4612" w:rsidR="00C95D27" w:rsidRPr="00C95D27" w:rsidRDefault="00CE607C" w:rsidP="008B18C1">
      <w:pPr>
        <w:pStyle w:val="DHHSbullet1"/>
      </w:pPr>
      <w:r>
        <w:t>p</w:t>
      </w:r>
      <w:r w:rsidRPr="00407F2B">
        <w:t xml:space="preserve">roviders </w:t>
      </w:r>
      <w:r w:rsidR="00FB2D62" w:rsidRPr="00407F2B">
        <w:t xml:space="preserve">are encouraged to </w:t>
      </w:r>
      <w:r w:rsidR="007453A5">
        <w:t xml:space="preserve">develop and deliver </w:t>
      </w:r>
      <w:r w:rsidR="00FB2D62" w:rsidRPr="00407F2B">
        <w:t xml:space="preserve">new and innovative mentoring models outside of the traditional one-to-one model, </w:t>
      </w:r>
      <w:r w:rsidR="008F5E5C">
        <w:t>this includes</w:t>
      </w:r>
      <w:r w:rsidR="00FB2D62" w:rsidRPr="00407F2B">
        <w:t xml:space="preserve"> group mentoring and Circles of Support models</w:t>
      </w:r>
      <w:r w:rsidR="00621F21">
        <w:rPr>
          <w:rStyle w:val="FootnoteReference"/>
        </w:rPr>
        <w:footnoteReference w:id="2"/>
      </w:r>
      <w:r w:rsidR="00FB2D62" w:rsidRPr="00407F2B">
        <w:t>.</w:t>
      </w:r>
    </w:p>
    <w:p w14:paraId="74AC91D4" w14:textId="4387EEC7" w:rsidR="006E2963" w:rsidRPr="00863E01" w:rsidRDefault="00CE607C" w:rsidP="008B18C1">
      <w:pPr>
        <w:pStyle w:val="DHHSbullet1"/>
      </w:pPr>
      <w:r>
        <w:t>t</w:t>
      </w:r>
      <w:r w:rsidRPr="00621F21">
        <w:t xml:space="preserve">he </w:t>
      </w:r>
      <w:r w:rsidR="006E2963" w:rsidRPr="00621F21">
        <w:t xml:space="preserve">use of different communication and engagement platforms to effectively communicate what is being achieved </w:t>
      </w:r>
      <w:r w:rsidR="00A66637" w:rsidRPr="00621F21">
        <w:t xml:space="preserve">and how community can get involved, and to ensure </w:t>
      </w:r>
      <w:r w:rsidR="006E2963" w:rsidRPr="00621F21">
        <w:t xml:space="preserve">stakeholders are kept informed and </w:t>
      </w:r>
      <w:r w:rsidR="00C36D1B" w:rsidRPr="00621F21">
        <w:t xml:space="preserve">engaged </w:t>
      </w:r>
      <w:r w:rsidR="006E2963" w:rsidRPr="00621F21">
        <w:t xml:space="preserve">as the </w:t>
      </w:r>
      <w:r w:rsidR="006F0110">
        <w:t xml:space="preserve">Community Connections </w:t>
      </w:r>
      <w:r w:rsidR="00201BE7" w:rsidRPr="006F0110">
        <w:t>service offer</w:t>
      </w:r>
      <w:r w:rsidR="006E2963" w:rsidRPr="00621F21">
        <w:t xml:space="preserve"> evolves.</w:t>
      </w:r>
    </w:p>
    <w:p w14:paraId="41616AF2" w14:textId="6555FC10" w:rsidR="003A4342" w:rsidRDefault="00CE607C" w:rsidP="008B18C1">
      <w:pPr>
        <w:pStyle w:val="DHHSbullet1"/>
      </w:pPr>
      <w:r>
        <w:t>w</w:t>
      </w:r>
      <w:r w:rsidRPr="00621F21">
        <w:t xml:space="preserve">here </w:t>
      </w:r>
      <w:r w:rsidR="006E2963" w:rsidRPr="00621F21">
        <w:t xml:space="preserve">possible, providers </w:t>
      </w:r>
      <w:r w:rsidR="00623366">
        <w:t>should</w:t>
      </w:r>
      <w:r w:rsidR="006E2963" w:rsidRPr="00621F21">
        <w:t xml:space="preserve"> consider co-location </w:t>
      </w:r>
      <w:r w:rsidR="00C17E98" w:rsidRPr="00621F21">
        <w:t>opportunit</w:t>
      </w:r>
      <w:r w:rsidR="00C17E98">
        <w:t>ies t</w:t>
      </w:r>
      <w:r w:rsidR="00623366">
        <w:t>hat will</w:t>
      </w:r>
      <w:r w:rsidR="00C17E98">
        <w:t xml:space="preserve"> </w:t>
      </w:r>
      <w:r w:rsidR="00623366">
        <w:t>increase awareness and engagement with the community and create a greater understanding of young people’s talents and potential.</w:t>
      </w:r>
      <w:r w:rsidR="006F5CC0">
        <w:t xml:space="preserve"> </w:t>
      </w:r>
      <w:r w:rsidR="00623366">
        <w:t xml:space="preserve"> </w:t>
      </w:r>
      <w:bookmarkStart w:id="17" w:name="_Toc34141586"/>
    </w:p>
    <w:p w14:paraId="1C01E36D" w14:textId="77777777" w:rsidR="008B18C1" w:rsidRDefault="008B18C1" w:rsidP="008B18C1">
      <w:pPr>
        <w:pStyle w:val="DHHSbullet1"/>
        <w:numPr>
          <w:ilvl w:val="0"/>
          <w:numId w:val="0"/>
        </w:numPr>
        <w:ind w:left="426"/>
      </w:pPr>
    </w:p>
    <w:p w14:paraId="04D641F2" w14:textId="072F30C2" w:rsidR="00710E44" w:rsidRDefault="00CE607C" w:rsidP="00B87BA9">
      <w:pPr>
        <w:pStyle w:val="Heading1"/>
      </w:pPr>
      <w:bookmarkStart w:id="18" w:name="_Toc62486297"/>
      <w:r>
        <w:t xml:space="preserve">The </w:t>
      </w:r>
      <w:r w:rsidR="00512088" w:rsidRPr="00DD299B">
        <w:t>Community Connect</w:t>
      </w:r>
      <w:bookmarkEnd w:id="11"/>
      <w:bookmarkEnd w:id="12"/>
      <w:r w:rsidR="00C95ADB" w:rsidRPr="00DD299B">
        <w:t>or</w:t>
      </w:r>
      <w:r w:rsidR="00C922D2" w:rsidRPr="00DD299B">
        <w:t xml:space="preserve"> role</w:t>
      </w:r>
      <w:bookmarkEnd w:id="17"/>
      <w:bookmarkEnd w:id="18"/>
    </w:p>
    <w:p w14:paraId="025A2A37" w14:textId="70EBBB81" w:rsidR="00A43ACB" w:rsidRDefault="00FE4128" w:rsidP="00621F21">
      <w:pPr>
        <w:pStyle w:val="DHHSbody"/>
      </w:pPr>
      <w:r w:rsidRPr="00FE4128">
        <w:t xml:space="preserve">Community Connectors </w:t>
      </w:r>
      <w:r w:rsidR="00CE607C">
        <w:t xml:space="preserve">are people who </w:t>
      </w:r>
      <w:r w:rsidRPr="00FE4128">
        <w:t>build</w:t>
      </w:r>
      <w:r w:rsidR="00B4120C">
        <w:t xml:space="preserve"> and seek out </w:t>
      </w:r>
      <w:r w:rsidRPr="00FE4128">
        <w:t>partnerships</w:t>
      </w:r>
      <w:r w:rsidR="00B4120C">
        <w:t xml:space="preserve"> and networks</w:t>
      </w:r>
      <w:r w:rsidR="00AC3D3A">
        <w:t xml:space="preserve"> </w:t>
      </w:r>
      <w:r w:rsidRPr="00FE4128">
        <w:t>within and across local communities</w:t>
      </w:r>
      <w:r w:rsidR="00B4120C">
        <w:t xml:space="preserve"> </w:t>
      </w:r>
      <w:r w:rsidR="00AC3D3A">
        <w:t xml:space="preserve">to </w:t>
      </w:r>
      <w:r w:rsidRPr="00FE4128">
        <w:t>leverag</w:t>
      </w:r>
      <w:r w:rsidR="00AC3D3A">
        <w:t>e</w:t>
      </w:r>
      <w:r w:rsidRPr="00FE4128">
        <w:t xml:space="preserve"> community investment </w:t>
      </w:r>
      <w:r w:rsidR="00AC3D3A">
        <w:t xml:space="preserve">and </w:t>
      </w:r>
      <w:r w:rsidRPr="00FE4128">
        <w:t>strengthen</w:t>
      </w:r>
      <w:r w:rsidR="00AC3D3A">
        <w:t xml:space="preserve"> young people’s</w:t>
      </w:r>
      <w:r w:rsidRPr="00FE4128">
        <w:t xml:space="preserve"> social</w:t>
      </w:r>
      <w:r w:rsidR="00AC3D3A">
        <w:t xml:space="preserve"> capital</w:t>
      </w:r>
      <w:r w:rsidRPr="00FE4128">
        <w:t xml:space="preserve"> and community connectedness</w:t>
      </w:r>
      <w:r w:rsidR="00AC3D3A">
        <w:t>.</w:t>
      </w:r>
    </w:p>
    <w:p w14:paraId="7AA959D5" w14:textId="606D182F" w:rsidR="0058660D" w:rsidRDefault="00FE4128" w:rsidP="00621F21">
      <w:pPr>
        <w:pStyle w:val="DHHSbody"/>
      </w:pPr>
      <w:r w:rsidRPr="00FE4128">
        <w:t>Community Connectors do not provide case work</w:t>
      </w:r>
      <w:r w:rsidR="00C7573B" w:rsidRPr="00C7573B">
        <w:t>, as this role sits with the Better Futures worker or the young person’s case manager if the young person is in care.</w:t>
      </w:r>
      <w:bookmarkEnd w:id="13"/>
    </w:p>
    <w:p w14:paraId="107E8DB4" w14:textId="620EFCB8" w:rsidR="0058660D" w:rsidRDefault="0005090C" w:rsidP="00621F21">
      <w:pPr>
        <w:pStyle w:val="DHHSbody"/>
      </w:pPr>
      <w:r>
        <w:t xml:space="preserve">Key </w:t>
      </w:r>
      <w:r w:rsidRPr="00621F21">
        <w:t>f</w:t>
      </w:r>
      <w:r w:rsidR="00A2500F" w:rsidRPr="00621F21">
        <w:t>unct</w:t>
      </w:r>
      <w:r w:rsidR="00096717" w:rsidRPr="00621F21">
        <w:t>ions</w:t>
      </w:r>
      <w:r w:rsidR="00114096" w:rsidRPr="00621F21">
        <w:t xml:space="preserve"> and </w:t>
      </w:r>
      <w:r w:rsidR="00166F46" w:rsidRPr="00621F21">
        <w:t>responsibilities for</w:t>
      </w:r>
      <w:r w:rsidR="00A2500F" w:rsidRPr="00621F21">
        <w:t xml:space="preserve"> this role </w:t>
      </w:r>
      <w:r w:rsidR="00C96BEE" w:rsidRPr="00621F21">
        <w:t>include</w:t>
      </w:r>
      <w:r w:rsidRPr="00621F21">
        <w:t>:</w:t>
      </w:r>
    </w:p>
    <w:p w14:paraId="4617F4F2" w14:textId="4EA5E550" w:rsidR="00BD1B95" w:rsidRPr="000D675F" w:rsidRDefault="00BD1B95" w:rsidP="000D675F">
      <w:pPr>
        <w:pStyle w:val="DHHSbody"/>
        <w:rPr>
          <w:b/>
          <w:bCs/>
        </w:rPr>
      </w:pPr>
      <w:r w:rsidRPr="000D675F">
        <w:rPr>
          <w:b/>
          <w:bCs/>
        </w:rPr>
        <w:t>Harness</w:t>
      </w:r>
      <w:r w:rsidR="003D0E1C">
        <w:rPr>
          <w:b/>
          <w:bCs/>
        </w:rPr>
        <w:t>ing</w:t>
      </w:r>
      <w:r w:rsidRPr="000D675F">
        <w:rPr>
          <w:b/>
          <w:bCs/>
        </w:rPr>
        <w:t xml:space="preserve"> community effort</w:t>
      </w:r>
      <w:r w:rsidR="00321A65">
        <w:rPr>
          <w:b/>
          <w:bCs/>
        </w:rPr>
        <w:t>:</w:t>
      </w:r>
      <w:r w:rsidRPr="000D675F">
        <w:rPr>
          <w:b/>
          <w:bCs/>
        </w:rPr>
        <w:t xml:space="preserve"> </w:t>
      </w:r>
    </w:p>
    <w:p w14:paraId="201CB1A5" w14:textId="4377CF5C" w:rsidR="00BD1B95" w:rsidRPr="000D675F" w:rsidRDefault="00BD1B95" w:rsidP="008B18C1">
      <w:pPr>
        <w:pStyle w:val="DHHSbullet1"/>
      </w:pPr>
      <w:r w:rsidRPr="000D675F">
        <w:t>bring</w:t>
      </w:r>
      <w:r w:rsidR="003D0E1C">
        <w:t>ing</w:t>
      </w:r>
      <w:r w:rsidRPr="000D675F">
        <w:t xml:space="preserve"> together </w:t>
      </w:r>
      <w:r w:rsidR="00410E7B" w:rsidRPr="000D675F">
        <w:t>community</w:t>
      </w:r>
      <w:r w:rsidRPr="000D675F">
        <w:t xml:space="preserve"> stakeholders to </w:t>
      </w:r>
      <w:r w:rsidR="004D62CB" w:rsidRPr="000D675F">
        <w:t xml:space="preserve">strengthen and </w:t>
      </w:r>
      <w:r w:rsidRPr="000D675F">
        <w:t>create new opportunities and pathways for young people transitioning from care</w:t>
      </w:r>
      <w:r w:rsidR="002B67D9" w:rsidRPr="000D675F">
        <w:t xml:space="preserve"> (s</w:t>
      </w:r>
      <w:r w:rsidRPr="000D675F">
        <w:t>takeholders</w:t>
      </w:r>
      <w:r w:rsidR="00E53BA3" w:rsidRPr="000D675F">
        <w:t xml:space="preserve"> may </w:t>
      </w:r>
      <w:r w:rsidRPr="000D675F">
        <w:t>include all levels of government, local businesses and employers, education</w:t>
      </w:r>
      <w:r w:rsidR="004D62CB" w:rsidRPr="000D675F">
        <w:t xml:space="preserve"> and employment</w:t>
      </w:r>
      <w:r w:rsidRPr="000D675F">
        <w:t xml:space="preserve"> providers, philanthropic organisations, community</w:t>
      </w:r>
      <w:r w:rsidR="00533C94" w:rsidRPr="000D675F">
        <w:t xml:space="preserve"> group</w:t>
      </w:r>
      <w:r w:rsidR="00410E7B" w:rsidRPr="000D675F">
        <w:t xml:space="preserve">s and services, </w:t>
      </w:r>
      <w:r w:rsidRPr="000D675F">
        <w:t>sporting</w:t>
      </w:r>
      <w:r w:rsidR="00410E7B" w:rsidRPr="000D675F">
        <w:t xml:space="preserve"> and recreation</w:t>
      </w:r>
      <w:r w:rsidR="002B67D9" w:rsidRPr="000D675F">
        <w:t>)</w:t>
      </w:r>
    </w:p>
    <w:p w14:paraId="010B31EB" w14:textId="75F564BC" w:rsidR="009B0B32" w:rsidRPr="000D675F" w:rsidRDefault="002B67D9" w:rsidP="008B18C1">
      <w:pPr>
        <w:pStyle w:val="DHHSbullet1"/>
      </w:pPr>
      <w:r w:rsidRPr="000D675F">
        <w:t>map</w:t>
      </w:r>
      <w:r w:rsidR="003D0E1C">
        <w:t>ping</w:t>
      </w:r>
      <w:r w:rsidRPr="000D675F">
        <w:t xml:space="preserve"> and identify</w:t>
      </w:r>
      <w:r w:rsidR="003D0E1C">
        <w:t>ing</w:t>
      </w:r>
      <w:r w:rsidRPr="000D675F">
        <w:t xml:space="preserve"> </w:t>
      </w:r>
      <w:r w:rsidR="00BD1B95" w:rsidRPr="000D675F">
        <w:t xml:space="preserve">existing </w:t>
      </w:r>
      <w:r w:rsidR="0055734D" w:rsidRPr="000D675F">
        <w:t>stakeholders</w:t>
      </w:r>
      <w:r w:rsidR="00962B0F" w:rsidRPr="000D675F">
        <w:t xml:space="preserve">, </w:t>
      </w:r>
      <w:r w:rsidR="00153137" w:rsidRPr="000D675F">
        <w:t>services</w:t>
      </w:r>
      <w:r w:rsidR="00962B0F" w:rsidRPr="000D675F">
        <w:t xml:space="preserve"> and opportunities</w:t>
      </w:r>
      <w:r w:rsidR="00BD1B95" w:rsidRPr="000D675F">
        <w:t xml:space="preserve"> available to young people</w:t>
      </w:r>
      <w:r w:rsidR="0058660D">
        <w:t>, as well as</w:t>
      </w:r>
      <w:r w:rsidR="00BD1B95" w:rsidRPr="000D675F">
        <w:t xml:space="preserve"> </w:t>
      </w:r>
      <w:r w:rsidR="00414C6B">
        <w:t>addressing the structural barriers and gaps in opportunities for young people</w:t>
      </w:r>
    </w:p>
    <w:p w14:paraId="66BBEF8E" w14:textId="7CC24256" w:rsidR="009B44E5" w:rsidRPr="000D675F" w:rsidRDefault="009B44E5" w:rsidP="008B18C1">
      <w:pPr>
        <w:pStyle w:val="DHHSbullet1"/>
      </w:pPr>
      <w:r w:rsidRPr="000D675F">
        <w:t>us</w:t>
      </w:r>
      <w:r w:rsidR="003D0E1C">
        <w:t>ing</w:t>
      </w:r>
      <w:r w:rsidRPr="000D675F">
        <w:t xml:space="preserve"> local data, knowledge and expertise to inform </w:t>
      </w:r>
      <w:r w:rsidR="006F0110">
        <w:t>the local Community Connections service offer and key activities</w:t>
      </w:r>
    </w:p>
    <w:p w14:paraId="7C0DE6EC" w14:textId="43C9B1CF" w:rsidR="0052744C" w:rsidRPr="000D675F" w:rsidRDefault="00EF088E" w:rsidP="008B18C1">
      <w:pPr>
        <w:pStyle w:val="DHHSbullet1"/>
      </w:pPr>
      <w:r w:rsidRPr="000D675F">
        <w:t>foster</w:t>
      </w:r>
      <w:r w:rsidR="003D0E1C">
        <w:t>ing</w:t>
      </w:r>
      <w:r w:rsidRPr="000D675F">
        <w:t xml:space="preserve"> community ownership</w:t>
      </w:r>
      <w:r w:rsidR="004921B6">
        <w:t xml:space="preserve"> </w:t>
      </w:r>
      <w:r w:rsidR="003D0E1C">
        <w:t xml:space="preserve">of </w:t>
      </w:r>
      <w:r w:rsidRPr="000D675F">
        <w:t>issues confronting young people transitioning from care</w:t>
      </w:r>
      <w:r w:rsidR="004921B6">
        <w:t xml:space="preserve"> to</w:t>
      </w:r>
      <w:r w:rsidR="00013103">
        <w:t xml:space="preserve"> </w:t>
      </w:r>
      <w:r w:rsidR="00AC3D3A">
        <w:t>drive</w:t>
      </w:r>
      <w:r w:rsidR="004921B6">
        <w:t xml:space="preserve"> </w:t>
      </w:r>
      <w:r w:rsidR="009F78CB" w:rsidRPr="000D675F">
        <w:t xml:space="preserve">local </w:t>
      </w:r>
      <w:r w:rsidR="003D0E1C">
        <w:t>solutions</w:t>
      </w:r>
      <w:r w:rsidR="003D0E1C" w:rsidRPr="00013103">
        <w:t xml:space="preserve"> </w:t>
      </w:r>
      <w:r w:rsidR="00AC3D3A">
        <w:t>(</w:t>
      </w:r>
      <w:r w:rsidRPr="00013103">
        <w:t>developed</w:t>
      </w:r>
      <w:r w:rsidR="009F78CB" w:rsidRPr="000D675F">
        <w:t xml:space="preserve"> by community, for community</w:t>
      </w:r>
      <w:r w:rsidR="00AC3D3A">
        <w:t>)</w:t>
      </w:r>
      <w:r w:rsidR="007413EC" w:rsidRPr="000D675F" w:rsidDel="007413EC">
        <w:t xml:space="preserve"> </w:t>
      </w:r>
    </w:p>
    <w:p w14:paraId="6C0406A3" w14:textId="1BC79391" w:rsidR="008424E1" w:rsidRDefault="003D0E1C" w:rsidP="008B18C1">
      <w:pPr>
        <w:pStyle w:val="DHHSbullet1"/>
      </w:pPr>
      <w:r w:rsidRPr="000D675F">
        <w:t>promot</w:t>
      </w:r>
      <w:r>
        <w:t>ing</w:t>
      </w:r>
      <w:r w:rsidRPr="000D675F">
        <w:t xml:space="preserve"> </w:t>
      </w:r>
      <w:r w:rsidR="008424E1" w:rsidRPr="000D675F">
        <w:t xml:space="preserve">young people as assets within the local area and raise awareness about what young people and community can achieve together. </w:t>
      </w:r>
    </w:p>
    <w:p w14:paraId="5274DDD8" w14:textId="77777777" w:rsidR="008B18C1" w:rsidRPr="000D675F" w:rsidRDefault="008B18C1" w:rsidP="008B18C1">
      <w:pPr>
        <w:pStyle w:val="DHHSbullet1"/>
        <w:numPr>
          <w:ilvl w:val="0"/>
          <w:numId w:val="0"/>
        </w:numPr>
        <w:ind w:left="426"/>
      </w:pPr>
    </w:p>
    <w:p w14:paraId="5E234F33" w14:textId="5CD17F0D" w:rsidR="004902F6" w:rsidRPr="000D675F" w:rsidRDefault="004902F6" w:rsidP="000D675F">
      <w:pPr>
        <w:pStyle w:val="DHHSbody"/>
        <w:rPr>
          <w:b/>
          <w:bCs/>
        </w:rPr>
      </w:pPr>
      <w:r w:rsidRPr="000D675F">
        <w:rPr>
          <w:b/>
          <w:bCs/>
        </w:rPr>
        <w:t xml:space="preserve">Community </w:t>
      </w:r>
      <w:r w:rsidR="00EA2BCB" w:rsidRPr="000D675F">
        <w:rPr>
          <w:b/>
          <w:bCs/>
        </w:rPr>
        <w:t>e</w:t>
      </w:r>
      <w:r w:rsidRPr="000D675F">
        <w:rPr>
          <w:b/>
          <w:bCs/>
        </w:rPr>
        <w:t xml:space="preserve">ngagement and </w:t>
      </w:r>
      <w:r w:rsidR="00EA2BCB" w:rsidRPr="000D675F">
        <w:rPr>
          <w:b/>
          <w:bCs/>
        </w:rPr>
        <w:t>c</w:t>
      </w:r>
      <w:r w:rsidRPr="000D675F">
        <w:rPr>
          <w:b/>
          <w:bCs/>
        </w:rPr>
        <w:t>apacity building:</w:t>
      </w:r>
    </w:p>
    <w:p w14:paraId="5C5DA698" w14:textId="793837D1" w:rsidR="00C96BEE" w:rsidRPr="000D675F" w:rsidRDefault="003D0E1C" w:rsidP="008B18C1">
      <w:pPr>
        <w:pStyle w:val="DHHSbullet1"/>
      </w:pPr>
      <w:r w:rsidRPr="000D675F">
        <w:t>leverag</w:t>
      </w:r>
      <w:r>
        <w:t>ing</w:t>
      </w:r>
      <w:r w:rsidRPr="000D675F">
        <w:t xml:space="preserve"> </w:t>
      </w:r>
      <w:r w:rsidR="00C96BEE" w:rsidRPr="000D675F">
        <w:t>existing local networks and resources</w:t>
      </w:r>
      <w:r w:rsidR="00096717" w:rsidRPr="000D675F">
        <w:t>,</w:t>
      </w:r>
      <w:r w:rsidR="00C96BEE" w:rsidRPr="000D675F">
        <w:t xml:space="preserve"> and broker</w:t>
      </w:r>
      <w:r w:rsidR="007413EC">
        <w:t>ing</w:t>
      </w:r>
      <w:r w:rsidR="00C96BEE" w:rsidRPr="000D675F">
        <w:t xml:space="preserve"> new relationships within</w:t>
      </w:r>
      <w:r w:rsidR="007413EC">
        <w:t xml:space="preserve"> all aspects of</w:t>
      </w:r>
      <w:r w:rsidR="00C96BEE" w:rsidRPr="000D675F">
        <w:t xml:space="preserve"> the community (</w:t>
      </w:r>
      <w:r w:rsidR="00AE0898" w:rsidRPr="000D675F">
        <w:t>government, business</w:t>
      </w:r>
      <w:r w:rsidR="00C96BEE" w:rsidRPr="000D675F">
        <w:t xml:space="preserve">, philanthropic) to create </w:t>
      </w:r>
      <w:r w:rsidR="00AE0898">
        <w:t>new pathways</w:t>
      </w:r>
      <w:r w:rsidR="00C96BEE" w:rsidRPr="000D675F">
        <w:t xml:space="preserve"> and opportunities for young people</w:t>
      </w:r>
    </w:p>
    <w:p w14:paraId="12C1B82E" w14:textId="3B81AF8B" w:rsidR="00C96BEE" w:rsidRPr="000D675F" w:rsidRDefault="003D0E1C" w:rsidP="008B18C1">
      <w:pPr>
        <w:pStyle w:val="DHHSbullet1"/>
      </w:pPr>
      <w:r w:rsidRPr="000D675F">
        <w:lastRenderedPageBreak/>
        <w:t>shar</w:t>
      </w:r>
      <w:r>
        <w:t>ing</w:t>
      </w:r>
      <w:r w:rsidRPr="000D675F">
        <w:t xml:space="preserve"> </w:t>
      </w:r>
      <w:r w:rsidR="00C96BEE" w:rsidRPr="000D675F">
        <w:t>local expertise</w:t>
      </w:r>
      <w:r w:rsidR="008424E1" w:rsidRPr="000D675F">
        <w:t xml:space="preserve">, </w:t>
      </w:r>
      <w:r w:rsidR="00C96BEE" w:rsidRPr="000D675F">
        <w:t>knowledge</w:t>
      </w:r>
      <w:r w:rsidR="008424E1" w:rsidRPr="000D675F">
        <w:t xml:space="preserve"> and resources</w:t>
      </w:r>
      <w:r w:rsidR="00C96BEE" w:rsidRPr="000D675F">
        <w:t xml:space="preserve"> with Better Futures workers to</w:t>
      </w:r>
      <w:r w:rsidR="007D4222" w:rsidRPr="000D675F">
        <w:t xml:space="preserve"> </w:t>
      </w:r>
      <w:r w:rsidR="00E556FE" w:rsidRPr="000D675F">
        <w:t>assist</w:t>
      </w:r>
      <w:r w:rsidR="007D4222" w:rsidRPr="000D675F">
        <w:t xml:space="preserve"> </w:t>
      </w:r>
      <w:r w:rsidR="008978C0">
        <w:t>them with</w:t>
      </w:r>
      <w:r w:rsidR="0013108A" w:rsidRPr="000D675F">
        <w:t xml:space="preserve"> </w:t>
      </w:r>
      <w:r w:rsidR="00C96BEE" w:rsidRPr="000D675F">
        <w:t>match</w:t>
      </w:r>
      <w:r w:rsidR="007D4222" w:rsidRPr="000D675F">
        <w:t>ing</w:t>
      </w:r>
      <w:r w:rsidR="00C96BEE" w:rsidRPr="000D675F">
        <w:t xml:space="preserve"> a young person to opportunities</w:t>
      </w:r>
      <w:r w:rsidR="00FD3EC4" w:rsidRPr="000D675F">
        <w:t xml:space="preserve"> based on their goals</w:t>
      </w:r>
      <w:r w:rsidR="00526BE2" w:rsidRPr="000D675F">
        <w:t>, interests</w:t>
      </w:r>
      <w:r w:rsidR="00FD3EC4" w:rsidRPr="000D675F">
        <w:t xml:space="preserve"> and </w:t>
      </w:r>
      <w:r w:rsidR="00BD1B95" w:rsidRPr="000D675F">
        <w:t>strengths</w:t>
      </w:r>
    </w:p>
    <w:p w14:paraId="463640BB" w14:textId="3E0E50EB" w:rsidR="00096717" w:rsidRPr="000D675F" w:rsidRDefault="007413EC" w:rsidP="008B18C1">
      <w:pPr>
        <w:pStyle w:val="DHHSbullet1"/>
      </w:pPr>
      <w:r w:rsidRPr="000D675F">
        <w:t>provid</w:t>
      </w:r>
      <w:r>
        <w:t>ing</w:t>
      </w:r>
      <w:r w:rsidRPr="000D675F">
        <w:t xml:space="preserve"> </w:t>
      </w:r>
      <w:r w:rsidR="00096717" w:rsidRPr="000D675F">
        <w:t xml:space="preserve">secondary consultation to Better Futures </w:t>
      </w:r>
      <w:r w:rsidR="00A04585">
        <w:t xml:space="preserve">workers about opportunities </w:t>
      </w:r>
      <w:r w:rsidR="00096717" w:rsidRPr="000D675F">
        <w:t>and resources available to young people</w:t>
      </w:r>
      <w:r w:rsidR="00AE0FF0" w:rsidRPr="000D675F">
        <w:t xml:space="preserve"> - t</w:t>
      </w:r>
      <w:r w:rsidR="00096717" w:rsidRPr="000D675F">
        <w:t xml:space="preserve">he level of secondary consultation and support offered is dependent </w:t>
      </w:r>
      <w:r w:rsidR="00AE0FF0" w:rsidRPr="000D675F">
        <w:t>on</w:t>
      </w:r>
      <w:r w:rsidR="00517A72" w:rsidRPr="000D675F">
        <w:t xml:space="preserve"> </w:t>
      </w:r>
      <w:r w:rsidR="00096717" w:rsidRPr="000D675F">
        <w:t>the circumstances</w:t>
      </w:r>
      <w:r w:rsidR="00517A72" w:rsidRPr="000D675F">
        <w:t xml:space="preserve"> and needs</w:t>
      </w:r>
      <w:r w:rsidR="00096717" w:rsidRPr="000D675F">
        <w:t xml:space="preserve"> of the young person</w:t>
      </w:r>
      <w:r w:rsidR="00517A72" w:rsidRPr="000D675F">
        <w:t xml:space="preserve">, </w:t>
      </w:r>
      <w:r w:rsidR="00096717" w:rsidRPr="000D675F">
        <w:t>the capacity of the</w:t>
      </w:r>
      <w:r w:rsidR="00A04585">
        <w:t xml:space="preserve"> Community </w:t>
      </w:r>
      <w:r>
        <w:t>Connector</w:t>
      </w:r>
      <w:r w:rsidR="00AE0FF0" w:rsidRPr="000D675F">
        <w:t xml:space="preserve">, </w:t>
      </w:r>
      <w:r w:rsidR="00517A72" w:rsidRPr="000D675F">
        <w:t>and local</w:t>
      </w:r>
      <w:r w:rsidR="008424E1" w:rsidRPr="000D675F">
        <w:t xml:space="preserve"> area</w:t>
      </w:r>
      <w:r w:rsidR="00517A72" w:rsidRPr="000D675F">
        <w:t xml:space="preserve"> arrangements</w:t>
      </w:r>
    </w:p>
    <w:p w14:paraId="3EA75C6D" w14:textId="433F4FD7" w:rsidR="00C96BEE" w:rsidRPr="000D675F" w:rsidRDefault="00DB7335" w:rsidP="008B18C1">
      <w:pPr>
        <w:pStyle w:val="DHHSbullet1"/>
      </w:pPr>
      <w:r w:rsidRPr="000D675F">
        <w:t>strengthen</w:t>
      </w:r>
      <w:r w:rsidR="007413EC">
        <w:t>ing</w:t>
      </w:r>
      <w:r w:rsidR="00096717" w:rsidRPr="000D675F">
        <w:t xml:space="preserve"> young pe</w:t>
      </w:r>
      <w:r w:rsidR="00A04585">
        <w:t>ople</w:t>
      </w:r>
      <w:r w:rsidR="00096717" w:rsidRPr="000D675F">
        <w:t>’s social capital by</w:t>
      </w:r>
      <w:r w:rsidR="00C96BEE" w:rsidRPr="000D675F">
        <w:t xml:space="preserve"> </w:t>
      </w:r>
      <w:r w:rsidR="00096717" w:rsidRPr="000D675F">
        <w:t>creating</w:t>
      </w:r>
      <w:r w:rsidR="00C96BEE" w:rsidRPr="000D675F">
        <w:t xml:space="preserve"> connections and opportunities </w:t>
      </w:r>
      <w:r w:rsidR="00201BE7" w:rsidRPr="000D675F">
        <w:t>beyond the</w:t>
      </w:r>
      <w:r w:rsidR="00C96BEE" w:rsidRPr="000D675F">
        <w:t xml:space="preserve"> service system</w:t>
      </w:r>
      <w:r w:rsidR="009C36A7" w:rsidRPr="000D675F">
        <w:t>, including</w:t>
      </w:r>
      <w:r w:rsidR="00C96BEE" w:rsidRPr="000D675F">
        <w:t xml:space="preserve"> connections </w:t>
      </w:r>
      <w:r w:rsidR="000833B6" w:rsidRPr="000D675F">
        <w:t xml:space="preserve">with </w:t>
      </w:r>
      <w:r w:rsidR="00C96BEE" w:rsidRPr="000D675F">
        <w:t>mentors, peers,</w:t>
      </w:r>
      <w:r w:rsidR="00BA2DCD" w:rsidRPr="000D675F">
        <w:t xml:space="preserve"> elders,</w:t>
      </w:r>
      <w:r w:rsidR="00C96BEE" w:rsidRPr="000D675F">
        <w:t xml:space="preserve"> community groups, sporting clubs, rotary, local businesses</w:t>
      </w:r>
      <w:r w:rsidR="000C197A">
        <w:t xml:space="preserve"> and</w:t>
      </w:r>
      <w:r w:rsidR="00C96BEE" w:rsidRPr="000D675F">
        <w:t xml:space="preserve"> neighbourhood houses</w:t>
      </w:r>
      <w:r w:rsidR="00BA2DCD" w:rsidRPr="000D675F">
        <w:t xml:space="preserve"> </w:t>
      </w:r>
      <w:r w:rsidR="00C96BEE" w:rsidRPr="000D675F">
        <w:t>(</w:t>
      </w:r>
      <w:r w:rsidR="00F95B53">
        <w:t xml:space="preserve">i.e. </w:t>
      </w:r>
      <w:r w:rsidR="00C96BEE" w:rsidRPr="000D675F">
        <w:t>minimis</w:t>
      </w:r>
      <w:r w:rsidR="00BD1B95" w:rsidRPr="000D675F">
        <w:t>ing</w:t>
      </w:r>
      <w:r w:rsidR="008A1B66" w:rsidRPr="000D675F">
        <w:t xml:space="preserve"> the</w:t>
      </w:r>
      <w:r w:rsidR="00C96BEE" w:rsidRPr="000D675F">
        <w:t xml:space="preserve"> number of </w:t>
      </w:r>
      <w:r w:rsidR="00096717" w:rsidRPr="000D675F">
        <w:t xml:space="preserve">paid </w:t>
      </w:r>
      <w:r w:rsidR="00C96BEE" w:rsidRPr="000D675F">
        <w:t xml:space="preserve">workers and </w:t>
      </w:r>
      <w:r w:rsidR="00F95B53">
        <w:t>increasing the number of</w:t>
      </w:r>
      <w:r w:rsidR="00C96BEE" w:rsidRPr="000D675F">
        <w:t xml:space="preserve"> </w:t>
      </w:r>
      <w:r w:rsidR="00096717" w:rsidRPr="000D675F">
        <w:t xml:space="preserve">unpaid workers </w:t>
      </w:r>
      <w:r w:rsidR="00F95B53">
        <w:t>in a young</w:t>
      </w:r>
      <w:r w:rsidR="006F5CC0">
        <w:t xml:space="preserve"> </w:t>
      </w:r>
      <w:r w:rsidR="00F95B53">
        <w:t>person’s life)</w:t>
      </w:r>
    </w:p>
    <w:p w14:paraId="17B6698A" w14:textId="164A3716" w:rsidR="000D675F" w:rsidRDefault="008424E1" w:rsidP="008B18C1">
      <w:pPr>
        <w:pStyle w:val="DHHSbullet1"/>
      </w:pPr>
      <w:r w:rsidRPr="000D675F">
        <w:t>us</w:t>
      </w:r>
      <w:r w:rsidR="007413EC">
        <w:t>ing</w:t>
      </w:r>
      <w:r w:rsidRPr="000D675F">
        <w:t xml:space="preserve"> vari</w:t>
      </w:r>
      <w:r w:rsidR="00F95B53">
        <w:t>ous</w:t>
      </w:r>
      <w:r w:rsidRPr="000D675F">
        <w:t xml:space="preserve"> communication and engagement platforms to communicate young people</w:t>
      </w:r>
      <w:r w:rsidR="00115F75">
        <w:t>’s</w:t>
      </w:r>
      <w:r w:rsidRPr="000D675F">
        <w:t xml:space="preserve"> achiev</w:t>
      </w:r>
      <w:r w:rsidR="00115F75">
        <w:t>ements to the community, helping communities to value young people as</w:t>
      </w:r>
      <w:r w:rsidR="007413EC">
        <w:t xml:space="preserve"> contributing</w:t>
      </w:r>
      <w:r w:rsidRPr="000D675F">
        <w:t xml:space="preserve"> members of the community</w:t>
      </w:r>
    </w:p>
    <w:p w14:paraId="049C8619" w14:textId="7E362889" w:rsidR="00DE613F" w:rsidRPr="000D675F" w:rsidRDefault="00517A72" w:rsidP="008B18C1">
      <w:pPr>
        <w:pStyle w:val="DHHSbullet1"/>
      </w:pPr>
      <w:r w:rsidRPr="000D675F">
        <w:t>shar</w:t>
      </w:r>
      <w:r w:rsidR="00115F75">
        <w:t>ing</w:t>
      </w:r>
      <w:r w:rsidRPr="000D675F">
        <w:t xml:space="preserve"> learnings, resources and practice by contributing to the Better Futures Communities of Practice (CoP), attend</w:t>
      </w:r>
      <w:r w:rsidR="00BD1B95" w:rsidRPr="000D675F">
        <w:t>ing</w:t>
      </w:r>
      <w:r w:rsidRPr="000D675F">
        <w:t xml:space="preserve"> Better Futures local governance meetings</w:t>
      </w:r>
      <w:r w:rsidR="00A04585">
        <w:t xml:space="preserve"> </w:t>
      </w:r>
      <w:r w:rsidRPr="000D675F">
        <w:t xml:space="preserve">and </w:t>
      </w:r>
      <w:r w:rsidR="00526BE2" w:rsidRPr="000D675F">
        <w:t xml:space="preserve">linking </w:t>
      </w:r>
      <w:r w:rsidR="00C33A6C" w:rsidRPr="000D675F">
        <w:t xml:space="preserve">with </w:t>
      </w:r>
      <w:r w:rsidRPr="000D675F">
        <w:t>similar initiatives.</w:t>
      </w:r>
    </w:p>
    <w:p w14:paraId="4ABD4968" w14:textId="77777777" w:rsidR="00BD1B95" w:rsidRPr="003A0F06" w:rsidRDefault="00BD1B95" w:rsidP="000D675F">
      <w:pPr>
        <w:pStyle w:val="DHHSbody"/>
        <w:ind w:left="360"/>
        <w:rPr>
          <w:rFonts w:eastAsiaTheme="minorHAnsi" w:cs="Arial"/>
        </w:rPr>
      </w:pPr>
    </w:p>
    <w:p w14:paraId="06F911AF" w14:textId="3C5E1310" w:rsidR="00517A72" w:rsidRPr="000D675F" w:rsidRDefault="00517A72" w:rsidP="000D675F">
      <w:pPr>
        <w:pStyle w:val="DHHSbody"/>
        <w:rPr>
          <w:b/>
          <w:bCs/>
        </w:rPr>
      </w:pPr>
      <w:r w:rsidRPr="000D675F">
        <w:rPr>
          <w:b/>
          <w:bCs/>
        </w:rPr>
        <w:t xml:space="preserve">Mentoring: </w:t>
      </w:r>
    </w:p>
    <w:p w14:paraId="1F5FF061" w14:textId="083DD52A" w:rsidR="00241222" w:rsidRPr="000D675F" w:rsidRDefault="00241222" w:rsidP="008B18C1">
      <w:pPr>
        <w:pStyle w:val="DHHSbullet1"/>
      </w:pPr>
      <w:r w:rsidRPr="000D675F">
        <w:t>sourc</w:t>
      </w:r>
      <w:r w:rsidR="00115F75">
        <w:t>ing</w:t>
      </w:r>
      <w:r w:rsidRPr="000D675F">
        <w:t xml:space="preserve"> opportunities to connect young people to community mentors who can help them explore their personal and professional aspirations and provide them with guidance, support and encouragement in line with their identified goals</w:t>
      </w:r>
    </w:p>
    <w:p w14:paraId="30B5BEB1" w14:textId="68AF8AC4" w:rsidR="00E35CAF" w:rsidRPr="000D675F" w:rsidRDefault="00E35CAF" w:rsidP="008B18C1">
      <w:pPr>
        <w:pStyle w:val="DHHSbullet1"/>
      </w:pPr>
      <w:r w:rsidRPr="000D675F">
        <w:t>develop</w:t>
      </w:r>
      <w:r w:rsidR="00115F75">
        <w:t>ing</w:t>
      </w:r>
      <w:r w:rsidRPr="000D675F">
        <w:t xml:space="preserve"> and maintai</w:t>
      </w:r>
      <w:r w:rsidR="00EA5528" w:rsidRPr="000D675F">
        <w:t>n</w:t>
      </w:r>
      <w:r w:rsidR="00115F75">
        <w:t>ing</w:t>
      </w:r>
      <w:r w:rsidRPr="000D675F">
        <w:t xml:space="preserve"> </w:t>
      </w:r>
      <w:r w:rsidR="00EA5528" w:rsidRPr="000D675F">
        <w:t xml:space="preserve">communication and engagement platforms </w:t>
      </w:r>
      <w:r w:rsidRPr="000D675F">
        <w:t>to target community volunteers and key stakeholders</w:t>
      </w:r>
      <w:r w:rsidR="00A23418">
        <w:t xml:space="preserve"> for mentoring opportunities</w:t>
      </w:r>
    </w:p>
    <w:p w14:paraId="211677EB" w14:textId="664F17F0" w:rsidR="00241222" w:rsidRPr="000D675F" w:rsidRDefault="00115F75" w:rsidP="008B18C1">
      <w:pPr>
        <w:pStyle w:val="DHHSbullet1"/>
      </w:pPr>
      <w:r>
        <w:t>developing and delivering</w:t>
      </w:r>
      <w:r w:rsidR="00241222" w:rsidRPr="000D675F">
        <w:t xml:space="preserve"> innovative </w:t>
      </w:r>
      <w:r w:rsidR="00321A65" w:rsidRPr="000A704F">
        <w:t>practices</w:t>
      </w:r>
      <w:r w:rsidR="00241222" w:rsidRPr="000D675F">
        <w:t xml:space="preserve"> outside of the traditional one-to-one mentoring model, including group mentoring and circles of support</w:t>
      </w:r>
    </w:p>
    <w:p w14:paraId="288A0120" w14:textId="60B53508" w:rsidR="00E35CAF" w:rsidRPr="000D675F" w:rsidRDefault="00511F1D" w:rsidP="008B18C1">
      <w:pPr>
        <w:pStyle w:val="DHHSbullet1"/>
      </w:pPr>
      <w:r w:rsidRPr="000D675F">
        <w:t>recruit</w:t>
      </w:r>
      <w:r w:rsidR="00115F75">
        <w:t>ing</w:t>
      </w:r>
      <w:r w:rsidRPr="000D675F">
        <w:t>, train</w:t>
      </w:r>
      <w:r w:rsidR="00115F75">
        <w:t>ing</w:t>
      </w:r>
      <w:r w:rsidRPr="000D675F">
        <w:t xml:space="preserve"> and support</w:t>
      </w:r>
      <w:r w:rsidR="00115F75">
        <w:t>ing</w:t>
      </w:r>
      <w:r w:rsidRPr="000D675F">
        <w:t xml:space="preserve"> volunteer mentors </w:t>
      </w:r>
      <w:r w:rsidR="00105296">
        <w:t>who have</w:t>
      </w:r>
      <w:r w:rsidR="00105296" w:rsidRPr="000D675F">
        <w:t xml:space="preserve"> </w:t>
      </w:r>
      <w:r w:rsidRPr="000D675F">
        <w:t>broad life experiences</w:t>
      </w:r>
      <w:r w:rsidR="00105296">
        <w:t>,</w:t>
      </w:r>
      <w:r w:rsidRPr="000D675F">
        <w:t xml:space="preserve"> from community, business, philanthropy and other key partners</w:t>
      </w:r>
    </w:p>
    <w:p w14:paraId="0289C3E2" w14:textId="48F54B30" w:rsidR="00E35CAF" w:rsidRPr="000D675F" w:rsidRDefault="00105296" w:rsidP="008B18C1">
      <w:pPr>
        <w:pStyle w:val="DHHSbullet1"/>
      </w:pPr>
      <w:r w:rsidRPr="000D675F">
        <w:t>facilitat</w:t>
      </w:r>
      <w:r>
        <w:t>ing</w:t>
      </w:r>
      <w:r w:rsidR="00E35CAF" w:rsidRPr="000D675F">
        <w:t>, monitor</w:t>
      </w:r>
      <w:r>
        <w:t>ing</w:t>
      </w:r>
      <w:r w:rsidR="00E35CAF" w:rsidRPr="000D675F">
        <w:t xml:space="preserve"> and review</w:t>
      </w:r>
      <w:r>
        <w:t>ing</w:t>
      </w:r>
      <w:r w:rsidR="00E35CAF" w:rsidRPr="000D675F">
        <w:t xml:space="preserve"> the </w:t>
      </w:r>
      <w:r w:rsidR="00A23418">
        <w:t xml:space="preserve">mentoring </w:t>
      </w:r>
      <w:r w:rsidR="00E35CAF" w:rsidRPr="000D675F">
        <w:t>match process between the young people and their mentors</w:t>
      </w:r>
    </w:p>
    <w:p w14:paraId="7F846913" w14:textId="3FA526BA" w:rsidR="00511F1D" w:rsidRPr="000D675F" w:rsidRDefault="00034E64" w:rsidP="008B18C1">
      <w:pPr>
        <w:pStyle w:val="DHHSbullet1"/>
      </w:pPr>
      <w:r w:rsidRPr="000D675F">
        <w:t>support</w:t>
      </w:r>
      <w:r w:rsidR="00105296">
        <w:t>ing</w:t>
      </w:r>
      <w:r w:rsidRPr="000D675F">
        <w:t xml:space="preserve"> mentors to connect with young people in social and recreational activities that contribute to a young person’s self-esteem, resilience, agency, health and wellbeing </w:t>
      </w:r>
      <w:r w:rsidR="00B82EC1" w:rsidRPr="000D675F">
        <w:t>goals</w:t>
      </w:r>
    </w:p>
    <w:p w14:paraId="6D4A5EFC" w14:textId="09EFBF63" w:rsidR="00FE7D47" w:rsidRDefault="00511F1D" w:rsidP="008B18C1">
      <w:pPr>
        <w:pStyle w:val="DHHSbullet1"/>
      </w:pPr>
      <w:r w:rsidRPr="000D675F">
        <w:t>develop</w:t>
      </w:r>
      <w:r w:rsidR="00105296">
        <w:t>ing</w:t>
      </w:r>
      <w:r w:rsidRPr="000D675F">
        <w:t xml:space="preserve"> and maintain</w:t>
      </w:r>
      <w:r w:rsidR="00105296">
        <w:t>ing</w:t>
      </w:r>
      <w:r w:rsidRPr="000D675F">
        <w:t xml:space="preserve"> networks with key community </w:t>
      </w:r>
      <w:r w:rsidR="00EA5528" w:rsidRPr="000D675F">
        <w:t>partners</w:t>
      </w:r>
      <w:r w:rsidRPr="000D675F">
        <w:t xml:space="preserve"> including local businesses, local government, community organisation</w:t>
      </w:r>
      <w:r w:rsidR="00E35CAF" w:rsidRPr="000D675F">
        <w:t>s</w:t>
      </w:r>
      <w:r w:rsidR="00EA5528" w:rsidRPr="000D675F">
        <w:t xml:space="preserve"> and</w:t>
      </w:r>
      <w:r w:rsidR="00E35CAF" w:rsidRPr="000D675F">
        <w:t xml:space="preserve"> </w:t>
      </w:r>
      <w:r w:rsidRPr="000D675F">
        <w:t>services and other key stakeholders.</w:t>
      </w:r>
      <w:bookmarkStart w:id="19" w:name="_Toc34141587"/>
      <w:bookmarkStart w:id="20" w:name="_Toc16599202"/>
    </w:p>
    <w:p w14:paraId="4D8DF86E" w14:textId="77777777" w:rsidR="008B18C1" w:rsidRDefault="008B18C1" w:rsidP="008B18C1">
      <w:pPr>
        <w:pStyle w:val="DHHSbullet1"/>
        <w:numPr>
          <w:ilvl w:val="0"/>
          <w:numId w:val="0"/>
        </w:numPr>
        <w:ind w:left="426"/>
      </w:pPr>
    </w:p>
    <w:p w14:paraId="63518185" w14:textId="0DCE82D8" w:rsidR="00A919FD" w:rsidRPr="00DD299B" w:rsidRDefault="00B31B75" w:rsidP="00B87BA9">
      <w:pPr>
        <w:pStyle w:val="Heading1"/>
      </w:pPr>
      <w:bookmarkStart w:id="21" w:name="_Toc62486298"/>
      <w:bookmarkStart w:id="22" w:name="_Hlk41473762"/>
      <w:r w:rsidRPr="00DD299B">
        <w:t>S</w:t>
      </w:r>
      <w:r w:rsidR="00A919FD" w:rsidRPr="00DD299B">
        <w:t>takeholders</w:t>
      </w:r>
      <w:bookmarkEnd w:id="19"/>
      <w:bookmarkEnd w:id="21"/>
    </w:p>
    <w:bookmarkEnd w:id="22"/>
    <w:p w14:paraId="75403C77" w14:textId="4E324854" w:rsidR="00C95ADB" w:rsidRPr="000D675F" w:rsidRDefault="00C95ADB" w:rsidP="000D675F">
      <w:pPr>
        <w:pStyle w:val="DHHSbody"/>
      </w:pPr>
      <w:r w:rsidRPr="000D675F">
        <w:t xml:space="preserve">Key stakeholders </w:t>
      </w:r>
      <w:r w:rsidR="00561A8B" w:rsidRPr="000D675F">
        <w:t>and partnerships</w:t>
      </w:r>
      <w:r w:rsidR="00B82EC1" w:rsidRPr="000D675F">
        <w:t xml:space="preserve"> may</w:t>
      </w:r>
      <w:r w:rsidR="00561A8B" w:rsidRPr="000D675F">
        <w:t xml:space="preserve"> </w:t>
      </w:r>
      <w:r w:rsidRPr="000D675F">
        <w:t>include:</w:t>
      </w:r>
    </w:p>
    <w:p w14:paraId="422D163B" w14:textId="7C8866F3" w:rsidR="00B31B75" w:rsidRPr="000D675F" w:rsidRDefault="00105296" w:rsidP="00BB021E">
      <w:pPr>
        <w:pStyle w:val="DHHSbullet1"/>
      </w:pPr>
      <w:r>
        <w:t>y</w:t>
      </w:r>
      <w:r w:rsidRPr="000D675F">
        <w:t xml:space="preserve">oung </w:t>
      </w:r>
      <w:r w:rsidR="00B31B75" w:rsidRPr="000D675F">
        <w:t>people</w:t>
      </w:r>
    </w:p>
    <w:p w14:paraId="3C5C9EBC" w14:textId="516940FC" w:rsidR="00C95ADB" w:rsidRPr="000D675F" w:rsidRDefault="00105296" w:rsidP="00BB021E">
      <w:pPr>
        <w:pStyle w:val="DHHSbullet1"/>
      </w:pPr>
      <w:r>
        <w:t>o</w:t>
      </w:r>
      <w:r w:rsidRPr="000D675F">
        <w:t xml:space="preserve">ther </w:t>
      </w:r>
      <w:r w:rsidR="00B82EC1" w:rsidRPr="000D675F">
        <w:t>C</w:t>
      </w:r>
      <w:r w:rsidR="00C95ADB" w:rsidRPr="000D675F">
        <w:t>ommunity Connect</w:t>
      </w:r>
      <w:r>
        <w:t>ors</w:t>
      </w:r>
      <w:r w:rsidR="003A4342">
        <w:t xml:space="preserve"> and Better Futures</w:t>
      </w:r>
      <w:r w:rsidR="00BD1B95" w:rsidRPr="000D675F">
        <w:t xml:space="preserve"> providers</w:t>
      </w:r>
    </w:p>
    <w:p w14:paraId="020AF9CA" w14:textId="5AF471AD" w:rsidR="00737565" w:rsidRPr="000D675F" w:rsidRDefault="00DF1DD0" w:rsidP="00BB021E">
      <w:pPr>
        <w:pStyle w:val="DHHSbullet1"/>
      </w:pPr>
      <w:r w:rsidRPr="000D675F">
        <w:t>ACCOs</w:t>
      </w:r>
    </w:p>
    <w:p w14:paraId="1CDCD6F8" w14:textId="16781C26" w:rsidR="00C95ADB" w:rsidRPr="000D675F" w:rsidRDefault="00105296" w:rsidP="00BB021E">
      <w:pPr>
        <w:pStyle w:val="DHHSbullet1"/>
      </w:pPr>
      <w:r>
        <w:t>c</w:t>
      </w:r>
      <w:r w:rsidRPr="000D675F">
        <w:t xml:space="preserve">ommunity </w:t>
      </w:r>
      <w:r w:rsidR="00AE0FF0" w:rsidRPr="000D675F">
        <w:t>groups</w:t>
      </w:r>
      <w:r w:rsidR="00C0676F" w:rsidRPr="000D675F">
        <w:t xml:space="preserve"> (</w:t>
      </w:r>
      <w:r>
        <w:t xml:space="preserve">for example </w:t>
      </w:r>
      <w:r w:rsidR="00C0676F" w:rsidRPr="000D675F">
        <w:t xml:space="preserve">arts, theatre, sporting </w:t>
      </w:r>
      <w:r w:rsidR="00E00461" w:rsidRPr="000D675F">
        <w:t>and recreation</w:t>
      </w:r>
      <w:r w:rsidR="00C0676F" w:rsidRPr="000D675F">
        <w:t>, rotary)</w:t>
      </w:r>
    </w:p>
    <w:p w14:paraId="76CB8A87" w14:textId="12C06196" w:rsidR="00B82EC1" w:rsidRPr="000D675F" w:rsidRDefault="00105296" w:rsidP="00BB021E">
      <w:pPr>
        <w:pStyle w:val="DHHSbullet1"/>
      </w:pPr>
      <w:r>
        <w:t>y</w:t>
      </w:r>
      <w:r w:rsidRPr="000D675F">
        <w:t>outh</w:t>
      </w:r>
      <w:r w:rsidR="00F87668" w:rsidRPr="000D675F">
        <w:t xml:space="preserve">, </w:t>
      </w:r>
      <w:r w:rsidR="00B335B1" w:rsidRPr="000D675F">
        <w:t>multicultural</w:t>
      </w:r>
      <w:r w:rsidR="00B82EC1" w:rsidRPr="000D675F">
        <w:t xml:space="preserve"> and disability specific organisations</w:t>
      </w:r>
    </w:p>
    <w:p w14:paraId="48F13592" w14:textId="571544C0" w:rsidR="00B335B1" w:rsidRPr="000D675F" w:rsidRDefault="00561A8B" w:rsidP="00BB021E">
      <w:pPr>
        <w:pStyle w:val="DHHSbullet1"/>
      </w:pPr>
      <w:r w:rsidRPr="000D675F">
        <w:t>LGBTI</w:t>
      </w:r>
      <w:r w:rsidR="00B82EC1" w:rsidRPr="000D675F">
        <w:t xml:space="preserve"> support services</w:t>
      </w:r>
    </w:p>
    <w:p w14:paraId="0DB6D1C9" w14:textId="796C83C4" w:rsidR="00C95ADB" w:rsidRPr="000D675F" w:rsidRDefault="00105296" w:rsidP="00BB021E">
      <w:pPr>
        <w:pStyle w:val="DHHSbullet1"/>
      </w:pPr>
      <w:r>
        <w:t>l</w:t>
      </w:r>
      <w:r w:rsidRPr="000D675F">
        <w:t xml:space="preserve">ocal </w:t>
      </w:r>
      <w:r w:rsidR="00517A72" w:rsidRPr="000D675F">
        <w:t>g</w:t>
      </w:r>
      <w:r w:rsidR="00C95ADB" w:rsidRPr="000D675F">
        <w:t>overnment</w:t>
      </w:r>
    </w:p>
    <w:p w14:paraId="1C0EF728" w14:textId="0B80A950" w:rsidR="00B31B75" w:rsidRPr="000D675F" w:rsidRDefault="00A23418" w:rsidP="00BB021E">
      <w:pPr>
        <w:pStyle w:val="DHHSbullet1"/>
      </w:pPr>
      <w:r>
        <w:t xml:space="preserve">child protection </w:t>
      </w:r>
      <w:r w:rsidR="00105296">
        <w:t>c</w:t>
      </w:r>
      <w:r w:rsidR="00105296" w:rsidRPr="000D675F">
        <w:t xml:space="preserve">ase </w:t>
      </w:r>
      <w:r w:rsidR="00B31B75" w:rsidRPr="000D675F">
        <w:t>managers and care services providers</w:t>
      </w:r>
    </w:p>
    <w:p w14:paraId="0EF5CA3E" w14:textId="73008B79" w:rsidR="00C95ADB" w:rsidRPr="000D675F" w:rsidRDefault="00105296" w:rsidP="00BB021E">
      <w:pPr>
        <w:pStyle w:val="DHHSbullet1"/>
      </w:pPr>
      <w:r>
        <w:t>l</w:t>
      </w:r>
      <w:r w:rsidRPr="000D675F">
        <w:t xml:space="preserve">ocal </w:t>
      </w:r>
      <w:r w:rsidR="00C95ADB" w:rsidRPr="000D675F">
        <w:t>businesses</w:t>
      </w:r>
      <w:r w:rsidR="00C0676F" w:rsidRPr="000D675F">
        <w:t xml:space="preserve"> (retail, real estate agencies</w:t>
      </w:r>
      <w:r w:rsidR="00DF1DD0" w:rsidRPr="000D675F">
        <w:t xml:space="preserve"> etc</w:t>
      </w:r>
      <w:r w:rsidR="00C0676F" w:rsidRPr="000D675F">
        <w:t>)</w:t>
      </w:r>
    </w:p>
    <w:p w14:paraId="065C5B82" w14:textId="37F7CCD5" w:rsidR="00C95ADB" w:rsidRPr="000D675F" w:rsidRDefault="00105296" w:rsidP="00BB021E">
      <w:pPr>
        <w:pStyle w:val="DHHSbullet1"/>
      </w:pPr>
      <w:r>
        <w:t>p</w:t>
      </w:r>
      <w:r w:rsidRPr="000D675F">
        <w:t xml:space="preserve">hilanthropic </w:t>
      </w:r>
      <w:r w:rsidR="00055C39" w:rsidRPr="000D675F">
        <w:t>organisations</w:t>
      </w:r>
    </w:p>
    <w:p w14:paraId="32B4A634" w14:textId="3879E065" w:rsidR="00C0676F" w:rsidRPr="000D675F" w:rsidRDefault="00105296" w:rsidP="00BB021E">
      <w:pPr>
        <w:pStyle w:val="DHHSbullet1"/>
      </w:pPr>
      <w:r>
        <w:t>e</w:t>
      </w:r>
      <w:r w:rsidRPr="000D675F">
        <w:t xml:space="preserve">ducation </w:t>
      </w:r>
      <w:r w:rsidR="00C0676F" w:rsidRPr="000D675F">
        <w:t>providers (TAFEs, Universities</w:t>
      </w:r>
      <w:r w:rsidR="00737565" w:rsidRPr="000D675F">
        <w:t>, local schools</w:t>
      </w:r>
      <w:r w:rsidR="00533C94" w:rsidRPr="000D675F">
        <w:t xml:space="preserve"> and</w:t>
      </w:r>
      <w:r w:rsidR="00737565" w:rsidRPr="000D675F">
        <w:t xml:space="preserve"> training providers</w:t>
      </w:r>
      <w:r w:rsidR="0013108A" w:rsidRPr="000D675F">
        <w:t xml:space="preserve"> etc</w:t>
      </w:r>
      <w:r w:rsidR="00C0676F" w:rsidRPr="000D675F">
        <w:t>)</w:t>
      </w:r>
    </w:p>
    <w:p w14:paraId="7C037352" w14:textId="6F83FBDB" w:rsidR="00C0676F" w:rsidRPr="000D675F" w:rsidRDefault="00C0676F" w:rsidP="00BB021E">
      <w:pPr>
        <w:pStyle w:val="DHHSbullet1"/>
      </w:pPr>
      <w:r w:rsidRPr="000D675F">
        <w:t>Local Learning and Employment Networks (LLENs)</w:t>
      </w:r>
    </w:p>
    <w:p w14:paraId="35620568" w14:textId="36A25470" w:rsidR="00737565" w:rsidRPr="000D675F" w:rsidRDefault="00105296" w:rsidP="00BB021E">
      <w:pPr>
        <w:pStyle w:val="DHHSbullet1"/>
      </w:pPr>
      <w:r>
        <w:lastRenderedPageBreak/>
        <w:t>l</w:t>
      </w:r>
      <w:r w:rsidRPr="000D675F">
        <w:t xml:space="preserve">ocal </w:t>
      </w:r>
      <w:r w:rsidR="00737565" w:rsidRPr="000D675F">
        <w:t>employers</w:t>
      </w:r>
    </w:p>
    <w:p w14:paraId="66D797EA" w14:textId="0C8E2D0C" w:rsidR="00256FEF" w:rsidRPr="000D675F" w:rsidRDefault="00105296" w:rsidP="00BB021E">
      <w:pPr>
        <w:pStyle w:val="DHHSbullet1"/>
      </w:pPr>
      <w:r>
        <w:t>a</w:t>
      </w:r>
      <w:r w:rsidRPr="000D675F">
        <w:t xml:space="preserve">llied </w:t>
      </w:r>
      <w:r w:rsidR="00256FEF" w:rsidRPr="000D675F">
        <w:t>health</w:t>
      </w:r>
      <w:r w:rsidR="00AE0FF0" w:rsidRPr="000D675F">
        <w:t xml:space="preserve"> and women’s</w:t>
      </w:r>
      <w:r w:rsidR="00256FEF" w:rsidRPr="000D675F">
        <w:t xml:space="preserve"> </w:t>
      </w:r>
      <w:r w:rsidR="00F62548" w:rsidRPr="000D675F">
        <w:t xml:space="preserve">health </w:t>
      </w:r>
      <w:r w:rsidR="00256FEF" w:rsidRPr="000D675F">
        <w:t>organisations</w:t>
      </w:r>
    </w:p>
    <w:p w14:paraId="07F27872" w14:textId="4562EF77" w:rsidR="00C0676F" w:rsidRPr="000D675F" w:rsidRDefault="00105296" w:rsidP="00BB021E">
      <w:pPr>
        <w:pStyle w:val="DHHSbullet1"/>
      </w:pPr>
      <w:r>
        <w:t>n</w:t>
      </w:r>
      <w:r w:rsidRPr="000D675F">
        <w:t xml:space="preserve">eighbourhood </w:t>
      </w:r>
      <w:r w:rsidR="00C53EC5" w:rsidRPr="000D675F">
        <w:t>H</w:t>
      </w:r>
      <w:r w:rsidR="00C0676F" w:rsidRPr="000D675F">
        <w:t>ouses</w:t>
      </w:r>
      <w:r w:rsidR="003A4342">
        <w:t xml:space="preserve"> and Men’s Sheds</w:t>
      </w:r>
    </w:p>
    <w:p w14:paraId="1CFF3129" w14:textId="5741B5E0" w:rsidR="00C95ADB" w:rsidRPr="000D675F" w:rsidRDefault="00105296" w:rsidP="00BB021E">
      <w:pPr>
        <w:pStyle w:val="DHHSbullet1"/>
      </w:pPr>
      <w:r>
        <w:t>p</w:t>
      </w:r>
      <w:r w:rsidRPr="000D675F">
        <w:t xml:space="preserve">opulation </w:t>
      </w:r>
      <w:r w:rsidR="00C95ADB" w:rsidRPr="000D675F">
        <w:t xml:space="preserve">Health and Community Wellbeing </w:t>
      </w:r>
      <w:r w:rsidR="002B67D9" w:rsidRPr="000D675F">
        <w:t>t</w:t>
      </w:r>
      <w:r w:rsidR="00C95ADB" w:rsidRPr="000D675F">
        <w:t>eams</w:t>
      </w:r>
      <w:r w:rsidR="004D27C9" w:rsidRPr="000D675F">
        <w:t xml:space="preserve"> (DHHS)</w:t>
      </w:r>
    </w:p>
    <w:p w14:paraId="074FB6A2" w14:textId="0EEB4518" w:rsidR="008B5D6C" w:rsidRPr="000D675F" w:rsidRDefault="00105296" w:rsidP="00BB021E">
      <w:pPr>
        <w:pStyle w:val="DHHSbullet1"/>
      </w:pPr>
      <w:r>
        <w:t>o</w:t>
      </w:r>
      <w:r w:rsidRPr="000D675F">
        <w:t xml:space="preserve">ther </w:t>
      </w:r>
      <w:r w:rsidR="002B67D9" w:rsidRPr="000D675F">
        <w:t>g</w:t>
      </w:r>
      <w:r w:rsidR="00C95ADB" w:rsidRPr="000D675F">
        <w:t xml:space="preserve">overnment departments </w:t>
      </w:r>
    </w:p>
    <w:p w14:paraId="19174C00" w14:textId="5DBC1EB8" w:rsidR="00791904" w:rsidRDefault="009F1338" w:rsidP="008B18C1">
      <w:pPr>
        <w:pStyle w:val="DHHSbullet1"/>
      </w:pPr>
      <w:r w:rsidRPr="000D675F">
        <w:t xml:space="preserve">Victoria </w:t>
      </w:r>
      <w:r w:rsidR="009342A3" w:rsidRPr="000D675F">
        <w:t>Police</w:t>
      </w:r>
      <w:bookmarkStart w:id="23" w:name="_Toc34141589"/>
      <w:bookmarkStart w:id="24" w:name="_Hlk23087406"/>
      <w:r w:rsidR="00105296">
        <w:t>.</w:t>
      </w:r>
    </w:p>
    <w:p w14:paraId="14F36784" w14:textId="77777777" w:rsidR="008B18C1" w:rsidRPr="00791904" w:rsidRDefault="008B18C1" w:rsidP="008B18C1">
      <w:pPr>
        <w:pStyle w:val="DHHSbullet1"/>
        <w:numPr>
          <w:ilvl w:val="0"/>
          <w:numId w:val="0"/>
        </w:numPr>
        <w:ind w:left="426"/>
      </w:pPr>
    </w:p>
    <w:p w14:paraId="6C0C24FB" w14:textId="5DD22A39" w:rsidR="00290F91" w:rsidRDefault="00F41727" w:rsidP="00B87BA9">
      <w:pPr>
        <w:pStyle w:val="Heading1"/>
      </w:pPr>
      <w:bookmarkStart w:id="25" w:name="_Toc62486299"/>
      <w:bookmarkStart w:id="26" w:name="_Hlk42670265"/>
      <w:r>
        <w:t>The r</w:t>
      </w:r>
      <w:r w:rsidR="00BD057B">
        <w:t xml:space="preserve">ole of the </w:t>
      </w:r>
      <w:r w:rsidR="00C33A6C">
        <w:t>Better Futures</w:t>
      </w:r>
      <w:r w:rsidR="00AF71AF">
        <w:t xml:space="preserve"> worker</w:t>
      </w:r>
      <w:r w:rsidR="007A08A3">
        <w:t xml:space="preserve"> </w:t>
      </w:r>
      <w:r w:rsidR="00EF108F">
        <w:t>and</w:t>
      </w:r>
      <w:r w:rsidR="007A08A3">
        <w:t xml:space="preserve"> </w:t>
      </w:r>
      <w:r w:rsidR="00105296">
        <w:t xml:space="preserve">the </w:t>
      </w:r>
      <w:r w:rsidR="007A08A3">
        <w:t>Community Connect</w:t>
      </w:r>
      <w:r w:rsidR="00BD057B">
        <w:t>ions</w:t>
      </w:r>
      <w:r w:rsidR="00105296">
        <w:t xml:space="preserve"> service offer</w:t>
      </w:r>
      <w:bookmarkEnd w:id="25"/>
    </w:p>
    <w:bookmarkEnd w:id="26"/>
    <w:p w14:paraId="3A98BF90" w14:textId="1AAEE24C" w:rsidR="000B3DFF" w:rsidRDefault="00013987" w:rsidP="009D05AD">
      <w:pPr>
        <w:pStyle w:val="DHHSbody"/>
      </w:pPr>
      <w:r w:rsidRPr="00013987">
        <w:t>Better Futures workers</w:t>
      </w:r>
      <w:r w:rsidR="00DE62D6">
        <w:t xml:space="preserve"> </w:t>
      </w:r>
      <w:r w:rsidR="00BD486A">
        <w:t>provid</w:t>
      </w:r>
      <w:r w:rsidR="00B47782">
        <w:t>e</w:t>
      </w:r>
      <w:r w:rsidR="00BD486A">
        <w:t xml:space="preserve"> </w:t>
      </w:r>
      <w:r w:rsidR="00416B5E">
        <w:t xml:space="preserve">flexible, tailored and </w:t>
      </w:r>
      <w:r w:rsidR="00BD486A">
        <w:t>holistic support</w:t>
      </w:r>
      <w:r w:rsidR="00DE62D6">
        <w:t xml:space="preserve"> to young people</w:t>
      </w:r>
      <w:r w:rsidR="0052271A">
        <w:t xml:space="preserve"> leaving care</w:t>
      </w:r>
      <w:r w:rsidR="00DE62D6">
        <w:t>,</w:t>
      </w:r>
      <w:r w:rsidR="00DE62D6" w:rsidRPr="00DE62D6">
        <w:t xml:space="preserve"> engaging with their networks</w:t>
      </w:r>
      <w:r w:rsidR="00DE62D6">
        <w:t xml:space="preserve"> </w:t>
      </w:r>
      <w:r w:rsidR="00DE62D6" w:rsidRPr="00DE62D6">
        <w:t>early in their transition from care</w:t>
      </w:r>
      <w:r w:rsidR="00416B5E" w:rsidRPr="00416B5E">
        <w:t xml:space="preserve"> and invest</w:t>
      </w:r>
      <w:r w:rsidR="00416B5E">
        <w:t>ing</w:t>
      </w:r>
      <w:r w:rsidR="00416B5E" w:rsidRPr="00416B5E">
        <w:t xml:space="preserve"> in their talents and aspirations</w:t>
      </w:r>
      <w:r w:rsidR="00BD486A">
        <w:t xml:space="preserve"> </w:t>
      </w:r>
      <w:r w:rsidR="00363ACB">
        <w:t>to support</w:t>
      </w:r>
      <w:r w:rsidR="0037303E">
        <w:t xml:space="preserve"> their transition to </w:t>
      </w:r>
      <w:r w:rsidR="00363ACB">
        <w:t>independence</w:t>
      </w:r>
      <w:r w:rsidR="00A076CB">
        <w:t xml:space="preserve">. </w:t>
      </w:r>
      <w:r w:rsidR="00B47782">
        <w:t>This include</w:t>
      </w:r>
      <w:r w:rsidR="00C53F37">
        <w:t>s</w:t>
      </w:r>
      <w:r w:rsidR="00BD486A">
        <w:t xml:space="preserve"> </w:t>
      </w:r>
      <w:r w:rsidR="00031646">
        <w:t xml:space="preserve">identifying young people’s </w:t>
      </w:r>
      <w:r w:rsidR="0058660D">
        <w:t xml:space="preserve">capabilities and </w:t>
      </w:r>
      <w:r w:rsidR="00031646">
        <w:t xml:space="preserve">interests </w:t>
      </w:r>
      <w:r w:rsidR="00B47782">
        <w:t>t</w:t>
      </w:r>
      <w:r w:rsidR="00505037">
        <w:t>o</w:t>
      </w:r>
      <w:r w:rsidR="00B47782">
        <w:t xml:space="preserve"> </w:t>
      </w:r>
      <w:r w:rsidR="00A43ACB" w:rsidRPr="00013987">
        <w:t xml:space="preserve">support </w:t>
      </w:r>
      <w:r w:rsidR="00A43ACB">
        <w:t>young</w:t>
      </w:r>
      <w:r w:rsidR="00505037">
        <w:t xml:space="preserve"> people’s</w:t>
      </w:r>
      <w:r w:rsidRPr="00013987">
        <w:t xml:space="preserve"> individual goals </w:t>
      </w:r>
      <w:r w:rsidR="00A076CB">
        <w:t xml:space="preserve">and aspirations </w:t>
      </w:r>
      <w:r w:rsidRPr="00013987">
        <w:t>across five service offers</w:t>
      </w:r>
      <w:r w:rsidR="00DE62D6">
        <w:t>; e</w:t>
      </w:r>
      <w:r w:rsidRPr="00013987">
        <w:t>ducation</w:t>
      </w:r>
      <w:r w:rsidR="00E062E6">
        <w:t>,</w:t>
      </w:r>
      <w:r w:rsidRPr="00013987">
        <w:t xml:space="preserve"> </w:t>
      </w:r>
      <w:r w:rsidR="00DE62D6">
        <w:t>h</w:t>
      </w:r>
      <w:r w:rsidRPr="00013987">
        <w:t xml:space="preserve">ousing and </w:t>
      </w:r>
      <w:r w:rsidR="00DE62D6">
        <w:t>l</w:t>
      </w:r>
      <w:r w:rsidRPr="00013987">
        <w:t xml:space="preserve">iving </w:t>
      </w:r>
      <w:r w:rsidR="00DE62D6">
        <w:t>s</w:t>
      </w:r>
      <w:r w:rsidRPr="00013987">
        <w:t xml:space="preserve">kills, </w:t>
      </w:r>
      <w:r w:rsidR="00DE62D6">
        <w:t>h</w:t>
      </w:r>
      <w:r w:rsidRPr="00013987">
        <w:t xml:space="preserve">ealth and </w:t>
      </w:r>
      <w:r w:rsidR="00DE62D6">
        <w:t>w</w:t>
      </w:r>
      <w:r w:rsidRPr="00013987">
        <w:t xml:space="preserve">ellbeing, </w:t>
      </w:r>
      <w:r w:rsidR="00DE62D6">
        <w:t>e</w:t>
      </w:r>
      <w:r w:rsidRPr="00013987">
        <w:t xml:space="preserve">mployment and </w:t>
      </w:r>
      <w:r w:rsidR="00DE62D6">
        <w:t>c</w:t>
      </w:r>
      <w:r w:rsidRPr="00013987">
        <w:t xml:space="preserve">ommunity </w:t>
      </w:r>
      <w:r w:rsidR="00DE62D6">
        <w:t>c</w:t>
      </w:r>
      <w:r w:rsidRPr="00013987">
        <w:t>onnections</w:t>
      </w:r>
      <w:r w:rsidR="005E12D5">
        <w:t>.</w:t>
      </w:r>
      <w:r w:rsidR="00505037" w:rsidRPr="00505037">
        <w:t xml:space="preserve"> </w:t>
      </w:r>
    </w:p>
    <w:p w14:paraId="55118DE8" w14:textId="24B9D9A0" w:rsidR="00AD7E48" w:rsidRDefault="00836B51" w:rsidP="00C33A6C">
      <w:pPr>
        <w:pStyle w:val="DHHSbody"/>
      </w:pPr>
      <w:r w:rsidRPr="00836B51">
        <w:t>Better Futures workers</w:t>
      </w:r>
      <w:r w:rsidR="00B4120C">
        <w:t xml:space="preserve"> will continue to</w:t>
      </w:r>
      <w:r w:rsidRPr="00836B51">
        <w:t xml:space="preserve"> play a vital role in </w:t>
      </w:r>
      <w:r w:rsidR="00B4120C" w:rsidRPr="00836B51">
        <w:t>identifying</w:t>
      </w:r>
      <w:r w:rsidR="00B4120C">
        <w:t>,</w:t>
      </w:r>
      <w:r w:rsidR="00B4120C" w:rsidRPr="00836B51">
        <w:t xml:space="preserve"> sourcing</w:t>
      </w:r>
      <w:r w:rsidR="00B4120C">
        <w:t xml:space="preserve"> and connecting young people to</w:t>
      </w:r>
      <w:r w:rsidRPr="00836B51">
        <w:t xml:space="preserve"> opportunities in the</w:t>
      </w:r>
      <w:r w:rsidR="00B4120C">
        <w:t>ir</w:t>
      </w:r>
      <w:r w:rsidRPr="00836B51">
        <w:t xml:space="preserve"> </w:t>
      </w:r>
      <w:r w:rsidR="00B4120C" w:rsidRPr="00836B51">
        <w:t>community</w:t>
      </w:r>
      <w:r w:rsidR="00B4120C">
        <w:t>.</w:t>
      </w:r>
      <w:r w:rsidR="00505037" w:rsidRPr="00505037">
        <w:t xml:space="preserve"> Th</w:t>
      </w:r>
      <w:r w:rsidR="005E12D5">
        <w:t>is includes</w:t>
      </w:r>
      <w:r w:rsidR="00505037" w:rsidRPr="00505037">
        <w:t xml:space="preserve"> work</w:t>
      </w:r>
      <w:r w:rsidR="005E12D5">
        <w:t>ing</w:t>
      </w:r>
      <w:r w:rsidR="00505037" w:rsidRPr="00505037">
        <w:t xml:space="preserve"> </w:t>
      </w:r>
      <w:r w:rsidR="00105296">
        <w:t xml:space="preserve">with </w:t>
      </w:r>
      <w:r w:rsidR="00505037" w:rsidRPr="00505037">
        <w:t>the whole community – including business, government, services and philanthropy –</w:t>
      </w:r>
      <w:r w:rsidR="00E863C8">
        <w:t xml:space="preserve"> </w:t>
      </w:r>
      <w:r w:rsidR="00505037" w:rsidRPr="00505037">
        <w:t xml:space="preserve">to create greater access to resources, networks and </w:t>
      </w:r>
      <w:r w:rsidR="00E863C8">
        <w:t>pathways</w:t>
      </w:r>
      <w:r w:rsidR="00505037" w:rsidRPr="00505037">
        <w:t xml:space="preserve"> for young people.</w:t>
      </w:r>
      <w:r w:rsidR="006F5CC0">
        <w:t xml:space="preserve"> </w:t>
      </w:r>
    </w:p>
    <w:p w14:paraId="1C869309" w14:textId="41221F24" w:rsidR="002805FD" w:rsidRDefault="00C717DF" w:rsidP="00C33A6C">
      <w:pPr>
        <w:pStyle w:val="DHHSbody"/>
      </w:pPr>
      <w:r w:rsidRPr="00C717DF" w:rsidDel="005A2C5B">
        <w:t>When a</w:t>
      </w:r>
      <w:r w:rsidR="00C660D2" w:rsidDel="005A2C5B">
        <w:t xml:space="preserve"> young person and</w:t>
      </w:r>
      <w:r w:rsidR="00E5616D" w:rsidDel="005A2C5B">
        <w:t xml:space="preserve"> </w:t>
      </w:r>
      <w:r w:rsidR="00C660D2" w:rsidDel="005A2C5B">
        <w:t xml:space="preserve">the </w:t>
      </w:r>
      <w:r w:rsidRPr="00C717DF" w:rsidDel="005A2C5B">
        <w:t>Better Futures worker</w:t>
      </w:r>
      <w:r w:rsidR="00C660D2" w:rsidDel="005A2C5B">
        <w:t xml:space="preserve"> </w:t>
      </w:r>
      <w:r w:rsidRPr="00C717DF" w:rsidDel="005A2C5B">
        <w:t>identif</w:t>
      </w:r>
      <w:r w:rsidR="00253094">
        <w:t>y</w:t>
      </w:r>
      <w:r w:rsidRPr="00C717DF" w:rsidDel="005A2C5B">
        <w:t xml:space="preserve"> </w:t>
      </w:r>
      <w:r w:rsidR="00253094">
        <w:t xml:space="preserve">that </w:t>
      </w:r>
      <w:r w:rsidRPr="00C717DF" w:rsidDel="005A2C5B">
        <w:t>Community Connection</w:t>
      </w:r>
      <w:r w:rsidR="008D7B81">
        <w:t>s</w:t>
      </w:r>
      <w:r w:rsidRPr="00C717DF" w:rsidDel="005A2C5B">
        <w:t xml:space="preserve"> support is required, the Better Futures worker </w:t>
      </w:r>
      <w:r w:rsidR="00BD057B" w:rsidDel="005A2C5B">
        <w:t>is responsible for making</w:t>
      </w:r>
      <w:r w:rsidRPr="00C717DF" w:rsidDel="005A2C5B">
        <w:t xml:space="preserve"> a referral to Community Connections. The Community </w:t>
      </w:r>
      <w:r w:rsidR="0084456B" w:rsidRPr="00C717DF" w:rsidDel="005A2C5B">
        <w:t>Connector then</w:t>
      </w:r>
      <w:r w:rsidRPr="00C717DF" w:rsidDel="005A2C5B">
        <w:t xml:space="preserve"> matches a young person to a mentor or facilitates a connection </w:t>
      </w:r>
      <w:r w:rsidR="0084456B" w:rsidRPr="00C717DF" w:rsidDel="005A2C5B">
        <w:t xml:space="preserve">to </w:t>
      </w:r>
      <w:r w:rsidR="0084456B">
        <w:t xml:space="preserve">a </w:t>
      </w:r>
      <w:r w:rsidR="0084456B" w:rsidRPr="00C717DF" w:rsidDel="005A2C5B">
        <w:t>community</w:t>
      </w:r>
      <w:r w:rsidRPr="00C717DF" w:rsidDel="005A2C5B">
        <w:t xml:space="preserve"> service, resource or opportunity. This could include supporting a connection to a social or recreational activity such as </w:t>
      </w:r>
      <w:r w:rsidR="00836B51" w:rsidDel="005A2C5B">
        <w:t>a basketball club</w:t>
      </w:r>
      <w:r w:rsidRPr="00C717DF" w:rsidDel="005A2C5B">
        <w:t xml:space="preserve"> or a book club. The Better Futures worker and the Community Connector work collaboratively to support a young person with these connection</w:t>
      </w:r>
      <w:r w:rsidR="00EF108F" w:rsidDel="005A2C5B">
        <w:t>/</w:t>
      </w:r>
      <w:r w:rsidRPr="00C717DF" w:rsidDel="005A2C5B">
        <w:t>s.</w:t>
      </w:r>
      <w:r w:rsidR="00EF108F" w:rsidDel="005A2C5B">
        <w:t xml:space="preserve"> </w:t>
      </w:r>
    </w:p>
    <w:p w14:paraId="18794826" w14:textId="1F16DD06" w:rsidR="007C5DED" w:rsidRDefault="00705D06" w:rsidP="00A23418">
      <w:pPr>
        <w:pStyle w:val="DHHSbody"/>
      </w:pPr>
      <w:bookmarkStart w:id="27" w:name="_Hlk41473471"/>
      <w:bookmarkStart w:id="28" w:name="_Toc34141590"/>
      <w:bookmarkStart w:id="29" w:name="_Hlk41473622"/>
      <w:bookmarkEnd w:id="23"/>
      <w:bookmarkEnd w:id="24"/>
      <w:r>
        <w:t>Local Better Futures governance structures should ensure that the Community Connections service offer is embedded in local planning and practice. A</w:t>
      </w:r>
      <w:r w:rsidRPr="00A9491A">
        <w:t xml:space="preserve"> strong </w:t>
      </w:r>
      <w:r>
        <w:t xml:space="preserve">working </w:t>
      </w:r>
      <w:r w:rsidRPr="00A9491A">
        <w:t xml:space="preserve">partnership between </w:t>
      </w:r>
      <w:r>
        <w:t xml:space="preserve">the </w:t>
      </w:r>
      <w:r w:rsidRPr="00A9491A">
        <w:t>Better Futures and Community Connection</w:t>
      </w:r>
      <w:r>
        <w:t xml:space="preserve">s </w:t>
      </w:r>
      <w:r w:rsidRPr="00A9491A">
        <w:t>providers is essential</w:t>
      </w:r>
      <w:r w:rsidRPr="00425F90">
        <w:t xml:space="preserve"> to encourage the transfer and sharing of local knowledge and information, particularly surrounding local needs, gaps and opportunities available to young people.</w:t>
      </w:r>
      <w:r>
        <w:t xml:space="preserve"> This includes setting up regular meetings and networking opportunities for Community Connectors and Better Futures workers.</w:t>
      </w:r>
    </w:p>
    <w:p w14:paraId="4B29E5E1" w14:textId="77777777" w:rsidR="008B18C1" w:rsidRDefault="008B18C1" w:rsidP="00A23418">
      <w:pPr>
        <w:pStyle w:val="DHHSbody"/>
      </w:pPr>
    </w:p>
    <w:p w14:paraId="535DFAFF" w14:textId="5DB3F4D2" w:rsidR="00C95ADB" w:rsidRPr="00DD299B" w:rsidRDefault="008827FD" w:rsidP="00B87BA9">
      <w:pPr>
        <w:pStyle w:val="Heading1"/>
      </w:pPr>
      <w:bookmarkStart w:id="30" w:name="_Toc62486300"/>
      <w:bookmarkEnd w:id="27"/>
      <w:r>
        <w:t>R</w:t>
      </w:r>
      <w:r w:rsidR="00917C66" w:rsidRPr="00DD299B">
        <w:t>eferral to Community Connections</w:t>
      </w:r>
      <w:bookmarkEnd w:id="30"/>
      <w:r w:rsidR="00917C66" w:rsidRPr="00DD299B">
        <w:t xml:space="preserve"> </w:t>
      </w:r>
      <w:bookmarkEnd w:id="28"/>
    </w:p>
    <w:bookmarkEnd w:id="29"/>
    <w:p w14:paraId="6A4F199F" w14:textId="7867794C" w:rsidR="00304D7A" w:rsidRDefault="00304D7A" w:rsidP="007C5DED">
      <w:pPr>
        <w:pStyle w:val="DHHSbody"/>
      </w:pPr>
      <w:r w:rsidRPr="00304D7A">
        <w:t xml:space="preserve">Young people are referred to Better Futures at </w:t>
      </w:r>
      <w:r w:rsidRPr="00A23418">
        <w:t>15 years and 9 months</w:t>
      </w:r>
      <w:r w:rsidR="008A7980" w:rsidRPr="008A7980">
        <w:t xml:space="preserve"> by their child protection case manager/contracted case manager/ Aboriginal Children Aboriginal Care</w:t>
      </w:r>
      <w:r w:rsidR="008A7980">
        <w:t xml:space="preserve"> </w:t>
      </w:r>
      <w:r w:rsidR="008A7980" w:rsidRPr="008A7980">
        <w:t>(ACAC) case manager via the Client Relationship Information System/Service Providers (CRIS/SP)</w:t>
      </w:r>
      <w:r w:rsidRPr="008A7980">
        <w:t>.</w:t>
      </w:r>
      <w:r w:rsidRPr="00304D7A">
        <w:t xml:space="preserve"> </w:t>
      </w:r>
      <w:r w:rsidR="00123961" w:rsidRPr="00123961">
        <w:t xml:space="preserve">The Better Futures provider </w:t>
      </w:r>
      <w:r w:rsidR="000D6DCA">
        <w:t xml:space="preserve">completes </w:t>
      </w:r>
      <w:r w:rsidR="00123961" w:rsidRPr="00123961">
        <w:t xml:space="preserve">an initial </w:t>
      </w:r>
      <w:r w:rsidR="000D6DCA">
        <w:t xml:space="preserve">assessment </w:t>
      </w:r>
      <w:r w:rsidR="00123961" w:rsidRPr="00123961">
        <w:t>to determine the required Better Futures response</w:t>
      </w:r>
      <w:r w:rsidRPr="00304D7A">
        <w:t>, including whether Community Connections support is required.</w:t>
      </w:r>
      <w:r>
        <w:t xml:space="preserve"> </w:t>
      </w:r>
    </w:p>
    <w:p w14:paraId="751ACBB6" w14:textId="4911045F" w:rsidR="009C5159" w:rsidRPr="00BB021E" w:rsidRDefault="009C5159" w:rsidP="00BB021E">
      <w:pPr>
        <w:pStyle w:val="Heading2"/>
      </w:pPr>
      <w:bookmarkStart w:id="31" w:name="_Toc62486301"/>
      <w:bookmarkStart w:id="32" w:name="_Hlk41475120"/>
      <w:r w:rsidRPr="00BB021E">
        <w:t>When should a Community Connections</w:t>
      </w:r>
      <w:r w:rsidR="001F1B5C" w:rsidRPr="00BB021E">
        <w:t xml:space="preserve"> </w:t>
      </w:r>
      <w:r w:rsidRPr="00BB021E">
        <w:t>referral be made?</w:t>
      </w:r>
      <w:bookmarkEnd w:id="31"/>
    </w:p>
    <w:bookmarkEnd w:id="32"/>
    <w:p w14:paraId="798B61C8" w14:textId="1CDE995D" w:rsidR="00C425A2" w:rsidRDefault="00C425A2" w:rsidP="0020673A">
      <w:pPr>
        <w:pStyle w:val="DHHSbody"/>
      </w:pPr>
      <w:r>
        <w:t>Community Connections</w:t>
      </w:r>
      <w:r w:rsidR="001F1B5C">
        <w:t xml:space="preserve"> </w:t>
      </w:r>
      <w:r w:rsidR="008B451D">
        <w:t xml:space="preserve">referrals </w:t>
      </w:r>
      <w:r>
        <w:t>can be made when:</w:t>
      </w:r>
    </w:p>
    <w:p w14:paraId="34E3BB5C" w14:textId="459A6849" w:rsidR="003A5880" w:rsidRDefault="003A5880" w:rsidP="00BB021E">
      <w:pPr>
        <w:pStyle w:val="DHHSbullet1"/>
      </w:pPr>
      <w:bookmarkStart w:id="33" w:name="_Hlk42592648"/>
      <w:r>
        <w:t xml:space="preserve">a young person would like to be matched with a mentor (one-to-one and group mentoring); </w:t>
      </w:r>
      <w:r w:rsidR="00363ACB">
        <w:t>or</w:t>
      </w:r>
    </w:p>
    <w:p w14:paraId="4524A393" w14:textId="4753E6E0" w:rsidR="00217A15" w:rsidRDefault="003A5880" w:rsidP="00BB021E">
      <w:pPr>
        <w:pStyle w:val="DHHSbullet1"/>
      </w:pPr>
      <w:r>
        <w:t xml:space="preserve">a young person would like to be connected to a community </w:t>
      </w:r>
      <w:r w:rsidRPr="000A704F">
        <w:t>service or resource</w:t>
      </w:r>
      <w:r>
        <w:t xml:space="preserve"> and the Community Connect</w:t>
      </w:r>
      <w:r w:rsidR="00A23418">
        <w:t>or</w:t>
      </w:r>
      <w:r>
        <w:t xml:space="preserve"> </w:t>
      </w:r>
      <w:r w:rsidR="00FE119F">
        <w:t xml:space="preserve">is required to </w:t>
      </w:r>
      <w:r>
        <w:t>facilitate this connection</w:t>
      </w:r>
      <w:r w:rsidR="00FE119F">
        <w:t>.</w:t>
      </w:r>
      <w:bookmarkEnd w:id="33"/>
    </w:p>
    <w:p w14:paraId="0EDF5A09" w14:textId="0F174F72" w:rsidR="00652E87" w:rsidRDefault="00652E87" w:rsidP="00652E87">
      <w:pPr>
        <w:pStyle w:val="DHHSbody"/>
      </w:pPr>
      <w:r w:rsidRPr="00652E87">
        <w:lastRenderedPageBreak/>
        <w:t xml:space="preserve">Please note, where a Better Futures provider </w:t>
      </w:r>
      <w:r w:rsidR="000D6DCA">
        <w:t xml:space="preserve">is </w:t>
      </w:r>
      <w:r w:rsidR="00DE059D">
        <w:t>seeking</w:t>
      </w:r>
      <w:r w:rsidRPr="00652E87">
        <w:t xml:space="preserve"> information about local </w:t>
      </w:r>
      <w:r w:rsidR="000A704F" w:rsidRPr="00652E87">
        <w:t>groups</w:t>
      </w:r>
      <w:r w:rsidR="000A704F">
        <w:t>,</w:t>
      </w:r>
      <w:r w:rsidR="000A704F" w:rsidRPr="00652E87">
        <w:t xml:space="preserve"> resources</w:t>
      </w:r>
      <w:r w:rsidR="00DE059D">
        <w:t xml:space="preserve"> </w:t>
      </w:r>
      <w:r w:rsidR="000A704F">
        <w:t>and opportunities</w:t>
      </w:r>
      <w:r w:rsidR="00DE059D">
        <w:t xml:space="preserve"> that exist in the community</w:t>
      </w:r>
      <w:r w:rsidR="000D6DCA">
        <w:t xml:space="preserve"> a CRISSP referral is not required.</w:t>
      </w:r>
      <w:r w:rsidRPr="00652E87">
        <w:t xml:space="preserve"> In these instances, the Better Futures </w:t>
      </w:r>
      <w:r w:rsidR="00E12C3A">
        <w:t>worker</w:t>
      </w:r>
      <w:r w:rsidRPr="00652E87">
        <w:t xml:space="preserve"> is encouraged to contact their Community Connections provider directly and/or discuss the</w:t>
      </w:r>
      <w:r w:rsidR="00DE059D">
        <w:t xml:space="preserve">ir </w:t>
      </w:r>
      <w:r w:rsidRPr="00652E87">
        <w:t>support needs at their local governance group meeting.</w:t>
      </w:r>
      <w:r w:rsidR="008D7B81" w:rsidRPr="008D7B81">
        <w:t xml:space="preserve"> </w:t>
      </w:r>
      <w:r w:rsidR="008D7B81">
        <w:t>T</w:t>
      </w:r>
      <w:r w:rsidR="008D7B81" w:rsidRPr="008D7B81">
        <w:t>he level of secondary consultation and support offered by a Community Connector will be dependent on the circumstances and needs of the young person,</w:t>
      </w:r>
      <w:r w:rsidR="008D7B81">
        <w:t xml:space="preserve"> local area arrangements and</w:t>
      </w:r>
      <w:r w:rsidR="008D7B81" w:rsidRPr="008D7B81">
        <w:t xml:space="preserve"> the capacity of the provider</w:t>
      </w:r>
      <w:r w:rsidR="008D7B81">
        <w:t>.</w:t>
      </w:r>
    </w:p>
    <w:p w14:paraId="1C06B95E" w14:textId="3D1B99C0" w:rsidR="007C5DED" w:rsidRPr="00421F5C" w:rsidRDefault="007C5DED" w:rsidP="00BB021E">
      <w:pPr>
        <w:pStyle w:val="Heading2"/>
      </w:pPr>
      <w:bookmarkStart w:id="34" w:name="_Toc62486302"/>
      <w:bookmarkStart w:id="35" w:name="_Hlk41475882"/>
      <w:r w:rsidRPr="00421F5C">
        <w:t>Who is responsible for making a Community Connections referral?</w:t>
      </w:r>
      <w:bookmarkEnd w:id="34"/>
    </w:p>
    <w:bookmarkEnd w:id="35"/>
    <w:p w14:paraId="458448BF" w14:textId="42A19D94" w:rsidR="00FE119F" w:rsidRPr="005A2C5B" w:rsidRDefault="000D6DCA" w:rsidP="003A5880">
      <w:pPr>
        <w:pStyle w:val="DHHSbody"/>
      </w:pPr>
      <w:r>
        <w:t xml:space="preserve">All referrals for Community Connections must come from the </w:t>
      </w:r>
      <w:r w:rsidR="003A5880" w:rsidRPr="005A2C5B">
        <w:t xml:space="preserve">Better Futures </w:t>
      </w:r>
      <w:r w:rsidR="001F1B5C" w:rsidRPr="005A2C5B">
        <w:t>worker</w:t>
      </w:r>
      <w:r>
        <w:t xml:space="preserve">; this is both for young people in care and post-care. </w:t>
      </w:r>
    </w:p>
    <w:p w14:paraId="0CA7AEF5" w14:textId="77777777" w:rsidR="00535440" w:rsidRPr="005A2C5B" w:rsidRDefault="00FE119F" w:rsidP="00201BE7">
      <w:pPr>
        <w:pStyle w:val="DHHSbody"/>
      </w:pPr>
      <w:r w:rsidRPr="005A2C5B">
        <w:t xml:space="preserve">Referrals </w:t>
      </w:r>
      <w:r w:rsidR="000D6DCA">
        <w:t xml:space="preserve">should </w:t>
      </w:r>
      <w:r w:rsidRPr="005A2C5B">
        <w:t xml:space="preserve">be made by the Better Futures </w:t>
      </w:r>
      <w:r w:rsidR="001F1B5C" w:rsidRPr="005A2C5B">
        <w:t>worker</w:t>
      </w:r>
      <w:r w:rsidRPr="005A2C5B">
        <w:t xml:space="preserve"> </w:t>
      </w:r>
      <w:r w:rsidR="006D2B8E">
        <w:t>when a young person is assessed as requiring Community Connections support at any stage between 15 years and 9 months and 21 years of age</w:t>
      </w:r>
      <w:r w:rsidR="00C425A2" w:rsidRPr="005A2C5B">
        <w:t>.</w:t>
      </w:r>
    </w:p>
    <w:p w14:paraId="20E326A3" w14:textId="58B36A70" w:rsidR="00C9068D" w:rsidRPr="00421F5C" w:rsidRDefault="00C9068D" w:rsidP="00BB021E">
      <w:pPr>
        <w:pStyle w:val="Heading2"/>
      </w:pPr>
      <w:bookmarkStart w:id="36" w:name="_Toc62486303"/>
      <w:r w:rsidRPr="00421F5C">
        <w:t>Referral process</w:t>
      </w:r>
      <w:bookmarkEnd w:id="36"/>
    </w:p>
    <w:p w14:paraId="57C49F9B" w14:textId="6E3D1FA6" w:rsidR="00EA55A1" w:rsidRDefault="00694322" w:rsidP="0020673A">
      <w:pPr>
        <w:pStyle w:val="DHHSbody"/>
      </w:pPr>
      <w:r>
        <w:t xml:space="preserve">The </w:t>
      </w:r>
      <w:r w:rsidR="006D2B8E">
        <w:t>Better Futures worker</w:t>
      </w:r>
      <w:r w:rsidR="00EA55A1">
        <w:t>:</w:t>
      </w:r>
    </w:p>
    <w:p w14:paraId="3876B17A" w14:textId="3BFDE72B" w:rsidR="00383110" w:rsidRDefault="00383110" w:rsidP="008B18C1">
      <w:pPr>
        <w:pStyle w:val="DHHSbullet1"/>
      </w:pPr>
      <w:r w:rsidRPr="00383110">
        <w:t>discuss</w:t>
      </w:r>
      <w:r w:rsidR="00694322">
        <w:t>es</w:t>
      </w:r>
      <w:r w:rsidRPr="00383110">
        <w:t xml:space="preserve"> a Community Connections</w:t>
      </w:r>
      <w:r w:rsidR="00C80138">
        <w:t xml:space="preserve"> </w:t>
      </w:r>
      <w:r w:rsidRPr="00383110">
        <w:t>referral with the young person, and obtain</w:t>
      </w:r>
      <w:r w:rsidR="00A23CC8">
        <w:t>s</w:t>
      </w:r>
      <w:r w:rsidRPr="00383110">
        <w:t xml:space="preserve"> their consent to the referral</w:t>
      </w:r>
    </w:p>
    <w:p w14:paraId="17D4396D" w14:textId="70A0B209" w:rsidR="00B51396" w:rsidRDefault="00B51396" w:rsidP="008B18C1">
      <w:pPr>
        <w:pStyle w:val="DHHSbullet1"/>
      </w:pPr>
      <w:r w:rsidRPr="00B51396">
        <w:t>send</w:t>
      </w:r>
      <w:r w:rsidR="00694322">
        <w:t>s</w:t>
      </w:r>
      <w:r w:rsidRPr="00B51396">
        <w:t xml:space="preserve"> a</w:t>
      </w:r>
      <w:r>
        <w:t xml:space="preserve"> CRISSP </w:t>
      </w:r>
      <w:r w:rsidR="00533E55">
        <w:t>referral</w:t>
      </w:r>
      <w:r>
        <w:t xml:space="preserve"> </w:t>
      </w:r>
      <w:r w:rsidRPr="00B51396">
        <w:t xml:space="preserve">to the relevant </w:t>
      </w:r>
      <w:r>
        <w:t>Community Connections</w:t>
      </w:r>
      <w:r w:rsidRPr="00B51396">
        <w:t xml:space="preserve"> provider,</w:t>
      </w:r>
      <w:r>
        <w:t xml:space="preserve"> </w:t>
      </w:r>
      <w:r w:rsidR="00DB456F">
        <w:t>a</w:t>
      </w:r>
      <w:r w:rsidR="008D126D">
        <w:t>nd attach</w:t>
      </w:r>
      <w:r w:rsidR="00DB456F">
        <w:t xml:space="preserve"> a</w:t>
      </w:r>
      <w:r w:rsidR="00253BDE">
        <w:t>ll</w:t>
      </w:r>
      <w:r w:rsidR="00DB456F">
        <w:t xml:space="preserve"> relevant documentation</w:t>
      </w:r>
      <w:r w:rsidR="008D126D">
        <w:t xml:space="preserve"> </w:t>
      </w:r>
      <w:r>
        <w:t xml:space="preserve">(for example the 15+ </w:t>
      </w:r>
      <w:r w:rsidR="00694322">
        <w:t>C</w:t>
      </w:r>
      <w:r>
        <w:t xml:space="preserve">are and </w:t>
      </w:r>
      <w:r w:rsidR="00694322">
        <w:t>T</w:t>
      </w:r>
      <w:r>
        <w:t>ransition</w:t>
      </w:r>
      <w:r w:rsidR="00A23418">
        <w:t xml:space="preserve"> Plan</w:t>
      </w:r>
      <w:r w:rsidR="003A5880">
        <w:t xml:space="preserve"> and </w:t>
      </w:r>
      <w:r w:rsidR="00694322">
        <w:t>C</w:t>
      </w:r>
      <w:r>
        <w:t xml:space="preserve">ultural </w:t>
      </w:r>
      <w:r w:rsidR="00694322">
        <w:t>P</w:t>
      </w:r>
      <w:r>
        <w:t>lan</w:t>
      </w:r>
      <w:r w:rsidR="0006514E">
        <w:t>)</w:t>
      </w:r>
      <w:r w:rsidR="006D2B8E">
        <w:rPr>
          <w:rStyle w:val="FootnoteReference"/>
        </w:rPr>
        <w:footnoteReference w:id="3"/>
      </w:r>
    </w:p>
    <w:p w14:paraId="3F69004D" w14:textId="63B6D9BA" w:rsidR="00E12C3A" w:rsidRDefault="00C95ADB" w:rsidP="008B18C1">
      <w:pPr>
        <w:pStyle w:val="DHHSbullet1"/>
      </w:pPr>
      <w:r>
        <w:t>share</w:t>
      </w:r>
      <w:r w:rsidR="00694322">
        <w:t>s</w:t>
      </w:r>
      <w:r w:rsidR="002251FF">
        <w:t xml:space="preserve"> </w:t>
      </w:r>
      <w:r w:rsidR="008D126D">
        <w:t xml:space="preserve">any </w:t>
      </w:r>
      <w:r w:rsidR="001650EE">
        <w:t xml:space="preserve">other </w:t>
      </w:r>
      <w:r w:rsidR="0054031D">
        <w:t>relevant information</w:t>
      </w:r>
      <w:r>
        <w:t xml:space="preserve"> with the Community Connections provider</w:t>
      </w:r>
      <w:r w:rsidR="009C36A7">
        <w:t xml:space="preserve"> </w:t>
      </w:r>
      <w:r w:rsidR="00B51396">
        <w:t xml:space="preserve">including </w:t>
      </w:r>
      <w:r w:rsidR="00B51396" w:rsidRPr="00B51396">
        <w:t xml:space="preserve">information regarding security alerts or safety </w:t>
      </w:r>
      <w:r w:rsidR="00813102" w:rsidRPr="00B51396">
        <w:t>risks</w:t>
      </w:r>
      <w:r w:rsidR="00C02996">
        <w:t>.</w:t>
      </w:r>
    </w:p>
    <w:p w14:paraId="51F06794" w14:textId="77777777" w:rsidR="0058660D" w:rsidRDefault="0058660D" w:rsidP="0073178B">
      <w:pPr>
        <w:pStyle w:val="DHHSbody"/>
      </w:pPr>
    </w:p>
    <w:p w14:paraId="05EB75DF" w14:textId="3113715A" w:rsidR="006D2816" w:rsidRDefault="00694322" w:rsidP="0073178B">
      <w:pPr>
        <w:pStyle w:val="DHHSbody"/>
      </w:pPr>
      <w:r>
        <w:t>The</w:t>
      </w:r>
      <w:r w:rsidR="006D2816">
        <w:t xml:space="preserve"> Community </w:t>
      </w:r>
      <w:r>
        <w:t>Connector</w:t>
      </w:r>
      <w:r w:rsidR="006D2816" w:rsidRPr="006D2816">
        <w:t>:</w:t>
      </w:r>
    </w:p>
    <w:p w14:paraId="41CAB82D" w14:textId="169A39F2" w:rsidR="00A257EE" w:rsidRPr="00A257EE" w:rsidRDefault="00A257EE" w:rsidP="008B18C1">
      <w:pPr>
        <w:pStyle w:val="DHHSbullet1"/>
      </w:pPr>
      <w:r w:rsidRPr="00A257EE">
        <w:t>create</w:t>
      </w:r>
      <w:r w:rsidR="00694322">
        <w:t>s</w:t>
      </w:r>
      <w:r w:rsidRPr="00A257EE">
        <w:t xml:space="preserve"> a new CRISSP </w:t>
      </w:r>
      <w:r>
        <w:t>client record</w:t>
      </w:r>
      <w:r w:rsidR="00217A15">
        <w:t xml:space="preserve"> and youth case for Community Connections</w:t>
      </w:r>
      <w:r w:rsidR="006D2B8E">
        <w:t xml:space="preserve"> (</w:t>
      </w:r>
      <w:r w:rsidR="006A6443">
        <w:t>where</w:t>
      </w:r>
      <w:r w:rsidR="00A37791">
        <w:t xml:space="preserve"> a referral is made internally (i.e. </w:t>
      </w:r>
      <w:r w:rsidR="006A6443">
        <w:t>a provider delivers both case work support and Community Connections</w:t>
      </w:r>
      <w:r w:rsidR="00A37791">
        <w:t>)</w:t>
      </w:r>
      <w:r w:rsidR="006A6443">
        <w:t xml:space="preserve"> </w:t>
      </w:r>
      <w:r w:rsidR="00DB7347">
        <w:t xml:space="preserve">the </w:t>
      </w:r>
      <w:r w:rsidR="006A6443">
        <w:t>provide</w:t>
      </w:r>
      <w:r w:rsidR="00DB7347">
        <w:t>r</w:t>
      </w:r>
      <w:r w:rsidR="006A6443">
        <w:t xml:space="preserve"> </w:t>
      </w:r>
      <w:r w:rsidR="00172F6F">
        <w:t>should</w:t>
      </w:r>
      <w:r w:rsidR="006A6443">
        <w:t xml:space="preserve"> use the</w:t>
      </w:r>
      <w:r w:rsidR="00A37791">
        <w:t>ir</w:t>
      </w:r>
      <w:r w:rsidR="006A6443">
        <w:t xml:space="preserve"> existing client record</w:t>
      </w:r>
      <w:r w:rsidR="006D2B8E">
        <w:t>)</w:t>
      </w:r>
    </w:p>
    <w:p w14:paraId="7858A8F0" w14:textId="277DE447" w:rsidR="009349A0" w:rsidRDefault="00966910" w:rsidP="008B18C1">
      <w:pPr>
        <w:pStyle w:val="DHHSbullet1"/>
      </w:pPr>
      <w:r>
        <w:t>a</w:t>
      </w:r>
      <w:r w:rsidR="006D2816">
        <w:t>ccept</w:t>
      </w:r>
      <w:r w:rsidR="00694322">
        <w:t>s</w:t>
      </w:r>
      <w:r w:rsidR="006D2816">
        <w:t xml:space="preserve"> the CRISSP referral</w:t>
      </w:r>
    </w:p>
    <w:p w14:paraId="1F154680" w14:textId="35440468" w:rsidR="00A257EE" w:rsidRDefault="00A257EE" w:rsidP="008B18C1">
      <w:pPr>
        <w:pStyle w:val="DHHSbullet1"/>
      </w:pPr>
      <w:r>
        <w:t>create</w:t>
      </w:r>
      <w:r w:rsidR="00694322">
        <w:t>s</w:t>
      </w:r>
      <w:r>
        <w:t xml:space="preserve"> a </w:t>
      </w:r>
      <w:r w:rsidR="00217A15">
        <w:t xml:space="preserve">CRISSP </w:t>
      </w:r>
      <w:r>
        <w:t>service provision record to reflect the Better Futures Community Connections service</w:t>
      </w:r>
      <w:r w:rsidR="00694322">
        <w:t xml:space="preserve"> offer</w:t>
      </w:r>
    </w:p>
    <w:p w14:paraId="18EF5D24" w14:textId="0D69E738" w:rsidR="00A257EE" w:rsidRDefault="00A257EE" w:rsidP="008B18C1">
      <w:pPr>
        <w:pStyle w:val="DHHSbullet1"/>
      </w:pPr>
      <w:r w:rsidRPr="00A257EE">
        <w:t>initiate</w:t>
      </w:r>
      <w:r w:rsidR="00694322">
        <w:t>s</w:t>
      </w:r>
      <w:r w:rsidRPr="00A257EE">
        <w:t xml:space="preserve"> contact with the referrer within five working days to advise of allocation and/or prioritisation processes</w:t>
      </w:r>
    </w:p>
    <w:p w14:paraId="4BBF0DBF" w14:textId="32D8163A" w:rsidR="00F62548" w:rsidRPr="00F62548" w:rsidRDefault="00F62548" w:rsidP="008B18C1">
      <w:pPr>
        <w:pStyle w:val="DHHSbullet1"/>
      </w:pPr>
      <w:r w:rsidRPr="00F62548">
        <w:t>record</w:t>
      </w:r>
      <w:r w:rsidR="00694322">
        <w:t>s</w:t>
      </w:r>
      <w:r w:rsidRPr="00F62548">
        <w:t xml:space="preserve"> all Community Connections </w:t>
      </w:r>
      <w:r w:rsidR="00A257EE">
        <w:t xml:space="preserve">service </w:t>
      </w:r>
      <w:r w:rsidRPr="00F62548">
        <w:t xml:space="preserve">activity </w:t>
      </w:r>
      <w:r w:rsidR="006607B5">
        <w:t>in</w:t>
      </w:r>
      <w:r w:rsidRPr="00F62548">
        <w:t xml:space="preserve"> the CRISSP </w:t>
      </w:r>
      <w:r w:rsidR="00581297">
        <w:t xml:space="preserve">youth </w:t>
      </w:r>
      <w:r w:rsidRPr="00F62548">
        <w:t>case</w:t>
      </w:r>
    </w:p>
    <w:p w14:paraId="4A5071E7" w14:textId="0D9A85B1" w:rsidR="00F62548" w:rsidRDefault="00A257EE" w:rsidP="008B18C1">
      <w:pPr>
        <w:pStyle w:val="DHHSbullet1"/>
      </w:pPr>
      <w:r>
        <w:t>record</w:t>
      </w:r>
      <w:r w:rsidR="00694322">
        <w:t>s</w:t>
      </w:r>
      <w:r>
        <w:t xml:space="preserve"> hours of service via the activity function in CRISSP </w:t>
      </w:r>
      <w:r w:rsidR="006D2B8E">
        <w:t>–</w:t>
      </w:r>
      <w:r>
        <w:t xml:space="preserve"> </w:t>
      </w:r>
      <w:r w:rsidR="00F16A15">
        <w:t>(note</w:t>
      </w:r>
      <w:r>
        <w:t xml:space="preserve"> this </w:t>
      </w:r>
      <w:r w:rsidR="00581297">
        <w:t>is an optional function</w:t>
      </w:r>
      <w:r>
        <w:t xml:space="preserve"> for Community </w:t>
      </w:r>
      <w:r w:rsidR="00694322">
        <w:t>Connectors</w:t>
      </w:r>
      <w:r>
        <w:t xml:space="preserve"> </w:t>
      </w:r>
      <w:r w:rsidR="00581297">
        <w:t>who wish to</w:t>
      </w:r>
      <w:r>
        <w:t xml:space="preserve"> track </w:t>
      </w:r>
      <w:r w:rsidR="00581297">
        <w:t xml:space="preserve">hours of </w:t>
      </w:r>
      <w:r>
        <w:t xml:space="preserve">support </w:t>
      </w:r>
      <w:r w:rsidR="00581297">
        <w:t>provided to</w:t>
      </w:r>
      <w:r>
        <w:t xml:space="preserve"> young people</w:t>
      </w:r>
      <w:r w:rsidR="006D2B8E">
        <w:t>)</w:t>
      </w:r>
    </w:p>
    <w:p w14:paraId="4762732F" w14:textId="75DDB71A" w:rsidR="003A4342" w:rsidRDefault="00966910" w:rsidP="008B18C1">
      <w:pPr>
        <w:pStyle w:val="DHHSbullet1"/>
      </w:pPr>
      <w:r>
        <w:t>seek</w:t>
      </w:r>
      <w:r w:rsidR="00694322">
        <w:t>s</w:t>
      </w:r>
      <w:r>
        <w:t xml:space="preserve"> any additional information from the Better Futures </w:t>
      </w:r>
      <w:r w:rsidR="00470878">
        <w:t>worker</w:t>
      </w:r>
      <w:r>
        <w:t xml:space="preserve"> if required</w:t>
      </w:r>
      <w:bookmarkStart w:id="37" w:name="_Toc34141591"/>
      <w:bookmarkStart w:id="38" w:name="_Hlk31038989"/>
      <w:r w:rsidR="00217A15">
        <w:t>.</w:t>
      </w:r>
    </w:p>
    <w:p w14:paraId="55C65901" w14:textId="77777777" w:rsidR="008B18C1" w:rsidRPr="00217A15" w:rsidRDefault="008B18C1" w:rsidP="008B18C1">
      <w:pPr>
        <w:pStyle w:val="DHHSbullet1"/>
        <w:numPr>
          <w:ilvl w:val="0"/>
          <w:numId w:val="0"/>
        </w:numPr>
        <w:ind w:left="426"/>
      </w:pPr>
    </w:p>
    <w:p w14:paraId="4662BB43" w14:textId="6B2AD9DA" w:rsidR="008B18C1" w:rsidRDefault="00217A15" w:rsidP="008B18C1">
      <w:pPr>
        <w:pStyle w:val="DHHSbody"/>
      </w:pPr>
      <w:r w:rsidRPr="00217A15">
        <w:t xml:space="preserve">For more information on the Better Futures CRISSP referral and allocation </w:t>
      </w:r>
      <w:r w:rsidR="00F16A15" w:rsidRPr="00217A15">
        <w:t>process, refer</w:t>
      </w:r>
      <w:r w:rsidRPr="00217A15">
        <w:t xml:space="preserve"> to the </w:t>
      </w:r>
      <w:hyperlink r:id="rId16" w:history="1">
        <w:r w:rsidRPr="00900872">
          <w:rPr>
            <w:rStyle w:val="Hyperlink"/>
          </w:rPr>
          <w:t>Better Futures Eligibility and Referral Practice Advice</w:t>
        </w:r>
      </w:hyperlink>
      <w:r w:rsidRPr="00217A15">
        <w:t xml:space="preserve"> </w:t>
      </w:r>
      <w:r w:rsidR="00900872" w:rsidRPr="00900872">
        <w:t>&lt;</w:t>
      </w:r>
      <w:hyperlink r:id="rId17" w:history="1">
        <w:r w:rsidR="00900872" w:rsidRPr="00900872">
          <w:t>https://providers.dhhs.vic.gov.au/better-futures-eligibility-and-referral-practice-advice</w:t>
        </w:r>
      </w:hyperlink>
      <w:r w:rsidR="00900872" w:rsidRPr="00900872">
        <w:t>&gt;</w:t>
      </w:r>
      <w:r w:rsidR="00900872">
        <w:rPr>
          <w:rStyle w:val="Hyperlink"/>
        </w:rPr>
        <w:t xml:space="preserve"> </w:t>
      </w:r>
      <w:r w:rsidRPr="00217A15">
        <w:t xml:space="preserve">and the </w:t>
      </w:r>
      <w:hyperlink r:id="rId18" w:history="1">
        <w:r w:rsidRPr="00900872">
          <w:rPr>
            <w:rStyle w:val="Hyperlink"/>
          </w:rPr>
          <w:t>Better Futures Allocation and Prioritisation Practice Advice</w:t>
        </w:r>
      </w:hyperlink>
      <w:r w:rsidR="00900872">
        <w:t xml:space="preserve"> </w:t>
      </w:r>
      <w:r w:rsidR="00900872" w:rsidRPr="00900872">
        <w:t>&lt;</w:t>
      </w:r>
      <w:hyperlink r:id="rId19" w:history="1">
        <w:r w:rsidR="00900872" w:rsidRPr="00900872">
          <w:t>https://providers.dhhs.vic.gov.au/better-futures-allocation-and-prioritisation-practice-advice</w:t>
        </w:r>
      </w:hyperlink>
      <w:r w:rsidR="00900872" w:rsidRPr="00900872">
        <w:t>&gt;</w:t>
      </w:r>
      <w:r w:rsidR="00900872">
        <w:t>.</w:t>
      </w:r>
      <w:r w:rsidR="008B18C1">
        <w:br/>
      </w:r>
    </w:p>
    <w:p w14:paraId="0B594160" w14:textId="5BD47476" w:rsidR="00D20BD9" w:rsidRPr="00DD299B" w:rsidRDefault="00512088" w:rsidP="00B87BA9">
      <w:pPr>
        <w:pStyle w:val="Heading1"/>
      </w:pPr>
      <w:bookmarkStart w:id="39" w:name="_Toc62486304"/>
      <w:r w:rsidRPr="00DD299B">
        <w:t xml:space="preserve">Reporting </w:t>
      </w:r>
      <w:r w:rsidR="00CA4CC3" w:rsidRPr="00DD299B">
        <w:t>requirements</w:t>
      </w:r>
      <w:bookmarkEnd w:id="37"/>
      <w:bookmarkEnd w:id="39"/>
    </w:p>
    <w:p w14:paraId="6041BD8A" w14:textId="2FD031CD" w:rsidR="00E14121" w:rsidRPr="00E14121" w:rsidRDefault="00CA4CC3" w:rsidP="000D675F">
      <w:pPr>
        <w:pStyle w:val="DHHSbody"/>
      </w:pPr>
      <w:bookmarkStart w:id="40" w:name="_Hlk40623644"/>
      <w:bookmarkEnd w:id="38"/>
      <w:r>
        <w:t xml:space="preserve">Community Connections providers </w:t>
      </w:r>
      <w:r w:rsidR="00380561">
        <w:t>are</w:t>
      </w:r>
      <w:r w:rsidR="00E14121">
        <w:t xml:space="preserve"> required to submit</w:t>
      </w:r>
      <w:r w:rsidR="00813102">
        <w:t>:</w:t>
      </w:r>
    </w:p>
    <w:p w14:paraId="16E5192A" w14:textId="7C0792E7" w:rsidR="005A0DD1" w:rsidRPr="003C2687" w:rsidRDefault="003C2687" w:rsidP="00BB021E">
      <w:pPr>
        <w:pStyle w:val="DHHSbullet1"/>
      </w:pPr>
      <w:r w:rsidRPr="003C2687">
        <w:t>an annual directions plan outlining planned objectives, priorities and activities by 31 July to their local APSS advisor</w:t>
      </w:r>
    </w:p>
    <w:p w14:paraId="4FC9905A" w14:textId="36DD4A21" w:rsidR="003A4342" w:rsidRPr="003C2687" w:rsidRDefault="003C2687" w:rsidP="00BB021E">
      <w:pPr>
        <w:pStyle w:val="DHHSbullet1"/>
      </w:pPr>
      <w:r w:rsidRPr="003C2687">
        <w:lastRenderedPageBreak/>
        <w:t>an annual outcomes report detailing outcomes for young people as a result of the objectives, priorities and activities by 1 June to their local APSS advisor</w:t>
      </w:r>
      <w:r>
        <w:t>.</w:t>
      </w:r>
    </w:p>
    <w:p w14:paraId="65FF33A0" w14:textId="47F88482" w:rsidR="009C7F0C" w:rsidRDefault="0098006F" w:rsidP="005F6D3D">
      <w:pPr>
        <w:spacing w:after="120" w:line="270" w:lineRule="atLeast"/>
        <w:rPr>
          <w:rFonts w:ascii="Arial" w:eastAsia="Times" w:hAnsi="Arial"/>
        </w:rPr>
      </w:pPr>
      <w:bookmarkStart w:id="41" w:name="_Hlk40623181"/>
      <w:bookmarkStart w:id="42" w:name="_Hlk40623291"/>
      <w:r w:rsidRPr="006A385A">
        <w:rPr>
          <w:rFonts w:ascii="Arial" w:eastAsia="Times" w:hAnsi="Arial"/>
        </w:rPr>
        <w:t xml:space="preserve">Community Connection providers must submit their annual directions </w:t>
      </w:r>
      <w:r w:rsidR="00380561" w:rsidRPr="006A385A">
        <w:rPr>
          <w:rFonts w:ascii="Arial" w:eastAsia="Times" w:hAnsi="Arial"/>
        </w:rPr>
        <w:t>plan</w:t>
      </w:r>
      <w:r w:rsidR="005A0DD1">
        <w:rPr>
          <w:rFonts w:ascii="Arial" w:eastAsia="Times" w:hAnsi="Arial"/>
        </w:rPr>
        <w:t xml:space="preserve"> and annual outcomes report</w:t>
      </w:r>
      <w:r w:rsidRPr="006A385A">
        <w:rPr>
          <w:rFonts w:ascii="Arial" w:eastAsia="Times" w:hAnsi="Arial"/>
        </w:rPr>
        <w:t xml:space="preserve"> to their </w:t>
      </w:r>
      <w:r w:rsidR="006A385A">
        <w:rPr>
          <w:rFonts w:ascii="Arial" w:eastAsia="Times" w:hAnsi="Arial"/>
        </w:rPr>
        <w:t xml:space="preserve">local APSS advisor </w:t>
      </w:r>
      <w:r w:rsidRPr="006A385A">
        <w:rPr>
          <w:rFonts w:ascii="Arial" w:eastAsia="Times" w:hAnsi="Arial"/>
        </w:rPr>
        <w:t xml:space="preserve">for </w:t>
      </w:r>
      <w:r w:rsidR="006A385A">
        <w:rPr>
          <w:rFonts w:ascii="Arial" w:eastAsia="Times" w:hAnsi="Arial"/>
        </w:rPr>
        <w:t xml:space="preserve">departmental </w:t>
      </w:r>
      <w:r w:rsidR="009604E6" w:rsidRPr="006A385A">
        <w:rPr>
          <w:rFonts w:ascii="Arial" w:eastAsia="Times" w:hAnsi="Arial"/>
        </w:rPr>
        <w:t>endorsement</w:t>
      </w:r>
      <w:r w:rsidRPr="008D7B81">
        <w:rPr>
          <w:rFonts w:ascii="Arial" w:eastAsia="Times" w:hAnsi="Arial"/>
        </w:rPr>
        <w:t xml:space="preserve">. </w:t>
      </w:r>
      <w:bookmarkEnd w:id="41"/>
      <w:r w:rsidR="00E73796">
        <w:rPr>
          <w:rFonts w:ascii="Arial" w:eastAsia="Times" w:hAnsi="Arial"/>
        </w:rPr>
        <w:t>Departmental e</w:t>
      </w:r>
      <w:r w:rsidR="00FC7237" w:rsidRPr="008D7B81">
        <w:rPr>
          <w:rFonts w:ascii="Arial" w:eastAsia="Times" w:hAnsi="Arial"/>
        </w:rPr>
        <w:t>ndorsement</w:t>
      </w:r>
      <w:r w:rsidR="00682548">
        <w:rPr>
          <w:rFonts w:ascii="Arial" w:eastAsia="Times" w:hAnsi="Arial"/>
        </w:rPr>
        <w:t xml:space="preserve"> is</w:t>
      </w:r>
      <w:r w:rsidR="00FC7237" w:rsidRPr="008D7B81">
        <w:rPr>
          <w:rFonts w:ascii="Arial" w:eastAsia="Times" w:hAnsi="Arial"/>
        </w:rPr>
        <w:t xml:space="preserve"> </w:t>
      </w:r>
      <w:r w:rsidR="00226B80" w:rsidRPr="008D7B81">
        <w:rPr>
          <w:rFonts w:ascii="Arial" w:eastAsia="Times" w:hAnsi="Arial"/>
        </w:rPr>
        <w:t xml:space="preserve">required </w:t>
      </w:r>
      <w:r w:rsidR="00E73796">
        <w:rPr>
          <w:rFonts w:ascii="Arial" w:eastAsia="Times" w:hAnsi="Arial"/>
        </w:rPr>
        <w:t xml:space="preserve">by </w:t>
      </w:r>
      <w:r w:rsidR="004F2B50">
        <w:rPr>
          <w:rFonts w:ascii="Arial" w:eastAsia="Times" w:hAnsi="Arial"/>
        </w:rPr>
        <w:t xml:space="preserve">the APSS Manager or </w:t>
      </w:r>
      <w:r w:rsidR="00E73796">
        <w:rPr>
          <w:rFonts w:ascii="Arial" w:eastAsia="Times" w:hAnsi="Arial"/>
        </w:rPr>
        <w:t xml:space="preserve">a </w:t>
      </w:r>
      <w:r w:rsidR="00682548">
        <w:rPr>
          <w:rFonts w:ascii="Arial" w:eastAsia="Times" w:hAnsi="Arial"/>
        </w:rPr>
        <w:t>nominated delegate</w:t>
      </w:r>
      <w:r w:rsidR="004F2B50">
        <w:rPr>
          <w:rFonts w:ascii="Arial" w:eastAsia="Times" w:hAnsi="Arial"/>
        </w:rPr>
        <w:t xml:space="preserve"> </w:t>
      </w:r>
      <w:r w:rsidR="00682548">
        <w:rPr>
          <w:rFonts w:ascii="Arial" w:eastAsia="Times" w:hAnsi="Arial"/>
        </w:rPr>
        <w:t>determined by</w:t>
      </w:r>
      <w:r w:rsidR="004F2B50">
        <w:rPr>
          <w:rFonts w:ascii="Arial" w:eastAsia="Times" w:hAnsi="Arial"/>
        </w:rPr>
        <w:t xml:space="preserve"> the</w:t>
      </w:r>
      <w:r w:rsidR="00682548">
        <w:rPr>
          <w:rFonts w:ascii="Arial" w:eastAsia="Times" w:hAnsi="Arial"/>
        </w:rPr>
        <w:t xml:space="preserve"> local area</w:t>
      </w:r>
      <w:r w:rsidR="00226B80" w:rsidRPr="008D7B81">
        <w:rPr>
          <w:rFonts w:ascii="Arial" w:eastAsia="Times" w:hAnsi="Arial"/>
        </w:rPr>
        <w:t>.</w:t>
      </w:r>
      <w:r w:rsidR="00226B80">
        <w:rPr>
          <w:rFonts w:ascii="Arial" w:eastAsia="Times" w:hAnsi="Arial"/>
        </w:rPr>
        <w:t xml:space="preserve"> APSS advisors </w:t>
      </w:r>
      <w:r w:rsidR="009F1338">
        <w:rPr>
          <w:rFonts w:ascii="Arial" w:eastAsia="Times" w:hAnsi="Arial"/>
        </w:rPr>
        <w:t>are required to</w:t>
      </w:r>
      <w:r w:rsidR="00E47CA7" w:rsidRPr="006A385A">
        <w:rPr>
          <w:rFonts w:ascii="Arial" w:eastAsia="Times" w:hAnsi="Arial"/>
        </w:rPr>
        <w:t xml:space="preserve"> </w:t>
      </w:r>
      <w:hyperlink r:id="rId20" w:history="1">
        <w:r w:rsidR="000C6FE8" w:rsidRPr="000C6FE8">
          <w:rPr>
            <w:rStyle w:val="Hyperlink"/>
            <w:rFonts w:ascii="Arial" w:eastAsia="Times" w:hAnsi="Arial"/>
          </w:rPr>
          <w:t>email</w:t>
        </w:r>
        <w:r w:rsidR="00380561" w:rsidRPr="000C6FE8">
          <w:rPr>
            <w:rStyle w:val="Hyperlink"/>
            <w:rFonts w:ascii="Arial" w:eastAsia="Times" w:hAnsi="Arial"/>
          </w:rPr>
          <w:t xml:space="preserve"> a copy of the </w:t>
        </w:r>
        <w:r w:rsidR="00E47CA7" w:rsidRPr="000C6FE8">
          <w:rPr>
            <w:rStyle w:val="Hyperlink"/>
            <w:rFonts w:ascii="Arial" w:eastAsia="Times" w:hAnsi="Arial"/>
          </w:rPr>
          <w:t>endorsed directions</w:t>
        </w:r>
        <w:r w:rsidR="00380561" w:rsidRPr="000C6FE8">
          <w:rPr>
            <w:rStyle w:val="Hyperlink"/>
            <w:rFonts w:ascii="Arial" w:eastAsia="Times" w:hAnsi="Arial"/>
          </w:rPr>
          <w:t xml:space="preserve"> plan</w:t>
        </w:r>
        <w:r w:rsidR="006A2BEB" w:rsidRPr="000C6FE8">
          <w:rPr>
            <w:rStyle w:val="Hyperlink"/>
            <w:rFonts w:ascii="Arial" w:eastAsia="Times" w:hAnsi="Arial"/>
          </w:rPr>
          <w:t xml:space="preserve"> and </w:t>
        </w:r>
        <w:r w:rsidR="00BE77B4" w:rsidRPr="000C6FE8">
          <w:rPr>
            <w:rStyle w:val="Hyperlink"/>
            <w:rFonts w:ascii="Arial" w:eastAsia="Times" w:hAnsi="Arial"/>
          </w:rPr>
          <w:t xml:space="preserve">the annual </w:t>
        </w:r>
        <w:r w:rsidR="006A2BEB" w:rsidRPr="000C6FE8">
          <w:rPr>
            <w:rStyle w:val="Hyperlink"/>
            <w:rFonts w:ascii="Arial" w:eastAsia="Times" w:hAnsi="Arial"/>
          </w:rPr>
          <w:t>outcomes report to the</w:t>
        </w:r>
        <w:r w:rsidR="001E6A04" w:rsidRPr="000C6FE8">
          <w:rPr>
            <w:rStyle w:val="Hyperlink"/>
            <w:rFonts w:ascii="Arial" w:eastAsia="Times" w:hAnsi="Arial"/>
          </w:rPr>
          <w:t xml:space="preserve"> </w:t>
        </w:r>
        <w:r w:rsidR="006262A7" w:rsidRPr="000C6FE8">
          <w:rPr>
            <w:rStyle w:val="Hyperlink"/>
            <w:rFonts w:ascii="Arial" w:eastAsia="Times" w:hAnsi="Arial"/>
          </w:rPr>
          <w:t>department’s</w:t>
        </w:r>
        <w:r w:rsidR="006A2BEB" w:rsidRPr="000C6FE8">
          <w:rPr>
            <w:rStyle w:val="Hyperlink"/>
            <w:rFonts w:ascii="Arial" w:eastAsia="Times" w:hAnsi="Arial"/>
          </w:rPr>
          <w:t xml:space="preserve"> </w:t>
        </w:r>
        <w:r w:rsidR="006262A7" w:rsidRPr="000C6FE8">
          <w:rPr>
            <w:rStyle w:val="Hyperlink"/>
            <w:rFonts w:ascii="Arial" w:eastAsia="Times" w:hAnsi="Arial"/>
          </w:rPr>
          <w:t>Children and Families Branch</w:t>
        </w:r>
      </w:hyperlink>
      <w:r w:rsidR="006F5CC0">
        <w:rPr>
          <w:rFonts w:ascii="Arial" w:eastAsia="Times" w:hAnsi="Arial"/>
        </w:rPr>
        <w:t xml:space="preserve"> </w:t>
      </w:r>
      <w:r w:rsidR="000C6FE8">
        <w:rPr>
          <w:rFonts w:ascii="Arial" w:eastAsia="Times" w:hAnsi="Arial"/>
        </w:rPr>
        <w:t>&lt;</w:t>
      </w:r>
      <w:r w:rsidR="000C6FE8" w:rsidRPr="000C6FE8">
        <w:rPr>
          <w:rFonts w:ascii="Arial" w:eastAsia="Times" w:hAnsi="Arial"/>
        </w:rPr>
        <w:t>childrenyouthfamilies@dhhs.vic.gov.a</w:t>
      </w:r>
      <w:r w:rsidR="000C6FE8" w:rsidRPr="00900872">
        <w:rPr>
          <w:rStyle w:val="DHHSbodyChar"/>
        </w:rPr>
        <w:t>u&gt;</w:t>
      </w:r>
      <w:r w:rsidR="00791904" w:rsidRPr="00900872">
        <w:rPr>
          <w:rStyle w:val="DHHSbodyChar"/>
        </w:rPr>
        <w:t>.</w:t>
      </w:r>
      <w:r w:rsidR="00A43ACB">
        <w:rPr>
          <w:rFonts w:ascii="Arial" w:eastAsia="Times" w:hAnsi="Arial"/>
        </w:rPr>
        <w:t xml:space="preserve"> </w:t>
      </w:r>
    </w:p>
    <w:p w14:paraId="195F0F77" w14:textId="0EC28976" w:rsidR="00514F2E" w:rsidRPr="0061161E" w:rsidRDefault="00A43ACB" w:rsidP="0020673A">
      <w:pPr>
        <w:spacing w:after="120" w:line="270" w:lineRule="atLeast"/>
        <w:rPr>
          <w:rFonts w:ascii="Arial" w:eastAsia="Times" w:hAnsi="Arial" w:cs="Arial"/>
        </w:rPr>
      </w:pPr>
      <w:r w:rsidRPr="0061161E">
        <w:rPr>
          <w:rFonts w:ascii="Arial" w:eastAsia="Times" w:hAnsi="Arial" w:cs="Arial"/>
        </w:rPr>
        <w:t xml:space="preserve">Please note, </w:t>
      </w:r>
      <w:r w:rsidR="009C7F0C" w:rsidRPr="0061161E">
        <w:rPr>
          <w:rFonts w:ascii="Arial" w:eastAsia="Times" w:hAnsi="Arial" w:cs="Arial"/>
        </w:rPr>
        <w:t>the department is</w:t>
      </w:r>
      <w:r w:rsidR="0061161E">
        <w:rPr>
          <w:rFonts w:ascii="Arial" w:eastAsia="Times" w:hAnsi="Arial" w:cs="Arial"/>
        </w:rPr>
        <w:t xml:space="preserve"> currently</w:t>
      </w:r>
      <w:r w:rsidR="009C7F0C" w:rsidRPr="0061161E">
        <w:rPr>
          <w:rFonts w:ascii="Arial" w:eastAsia="Times" w:hAnsi="Arial" w:cs="Arial"/>
        </w:rPr>
        <w:t xml:space="preserve"> developing state-wide reporting templates</w:t>
      </w:r>
      <w:r w:rsidR="00787374" w:rsidRPr="0061161E">
        <w:rPr>
          <w:rFonts w:ascii="Arial" w:eastAsia="Times" w:hAnsi="Arial" w:cs="Arial"/>
        </w:rPr>
        <w:t xml:space="preserve"> </w:t>
      </w:r>
      <w:r w:rsidR="002E189C">
        <w:rPr>
          <w:rFonts w:ascii="Arial" w:hAnsi="Arial" w:cs="Arial"/>
        </w:rPr>
        <w:t>to reflect</w:t>
      </w:r>
      <w:r w:rsidR="0061161E">
        <w:rPr>
          <w:rFonts w:ascii="Arial" w:hAnsi="Arial" w:cs="Arial"/>
        </w:rPr>
        <w:t xml:space="preserve"> a greater focus on </w:t>
      </w:r>
      <w:r w:rsidR="004B1054" w:rsidRPr="0061161E">
        <w:rPr>
          <w:rFonts w:ascii="Arial" w:hAnsi="Arial" w:cs="Arial"/>
        </w:rPr>
        <w:t>outcomes.</w:t>
      </w:r>
      <w:r w:rsidR="00787374" w:rsidRPr="0061161E">
        <w:rPr>
          <w:rFonts w:ascii="Arial" w:eastAsia="Times" w:hAnsi="Arial" w:cs="Arial"/>
        </w:rPr>
        <w:t xml:space="preserve"> </w:t>
      </w:r>
      <w:r w:rsidR="002E189C">
        <w:rPr>
          <w:rFonts w:ascii="Arial" w:eastAsia="Times" w:hAnsi="Arial" w:cs="Arial"/>
        </w:rPr>
        <w:t>An interim</w:t>
      </w:r>
      <w:r w:rsidR="00AC722E">
        <w:rPr>
          <w:rFonts w:ascii="Arial" w:eastAsia="Times" w:hAnsi="Arial" w:cs="Arial"/>
        </w:rPr>
        <w:t xml:space="preserve"> template for the</w:t>
      </w:r>
      <w:r w:rsidR="002E189C">
        <w:rPr>
          <w:rFonts w:ascii="Arial" w:eastAsia="Times" w:hAnsi="Arial" w:cs="Arial"/>
        </w:rPr>
        <w:t xml:space="preserve"> </w:t>
      </w:r>
      <w:r w:rsidR="00325FFE">
        <w:rPr>
          <w:rFonts w:ascii="Arial" w:eastAsia="Times" w:hAnsi="Arial" w:cs="Arial"/>
        </w:rPr>
        <w:t xml:space="preserve">annual </w:t>
      </w:r>
      <w:r w:rsidR="002E189C">
        <w:rPr>
          <w:rFonts w:ascii="Arial" w:eastAsia="Times" w:hAnsi="Arial" w:cs="Arial"/>
        </w:rPr>
        <w:t>directions plan is availabl</w:t>
      </w:r>
      <w:r w:rsidR="00325FFE">
        <w:rPr>
          <w:rFonts w:ascii="Arial" w:eastAsia="Times" w:hAnsi="Arial" w:cs="Arial"/>
        </w:rPr>
        <w:t>e</w:t>
      </w:r>
      <w:r w:rsidR="00AC722E">
        <w:rPr>
          <w:rFonts w:ascii="Arial" w:eastAsia="Times" w:hAnsi="Arial" w:cs="Arial"/>
        </w:rPr>
        <w:t xml:space="preserve"> </w:t>
      </w:r>
      <w:r w:rsidR="00123BB3">
        <w:rPr>
          <w:rFonts w:ascii="Arial" w:eastAsia="Times" w:hAnsi="Arial" w:cs="Arial"/>
        </w:rPr>
        <w:t>for</w:t>
      </w:r>
      <w:r w:rsidR="00AC722E">
        <w:rPr>
          <w:rFonts w:ascii="Arial" w:eastAsia="Times" w:hAnsi="Arial" w:cs="Arial"/>
        </w:rPr>
        <w:t xml:space="preserve"> </w:t>
      </w:r>
      <w:r w:rsidR="00123BB3">
        <w:rPr>
          <w:rFonts w:ascii="Arial" w:eastAsia="Times" w:hAnsi="Arial" w:cs="Arial"/>
        </w:rPr>
        <w:t>providers and</w:t>
      </w:r>
      <w:r w:rsidR="00AC722E">
        <w:rPr>
          <w:rFonts w:ascii="Arial" w:eastAsia="Times" w:hAnsi="Arial" w:cs="Arial"/>
        </w:rPr>
        <w:t xml:space="preserve"> can be accessed via their local APSS advisor</w:t>
      </w:r>
      <w:r w:rsidR="00566D25">
        <w:rPr>
          <w:rFonts w:ascii="Arial" w:eastAsia="Times" w:hAnsi="Arial" w:cs="Arial"/>
        </w:rPr>
        <w:t xml:space="preserve">. </w:t>
      </w:r>
      <w:r w:rsidR="009C7F0C" w:rsidRPr="0061161E">
        <w:rPr>
          <w:rFonts w:ascii="Arial" w:eastAsia="Times" w:hAnsi="Arial" w:cs="Arial"/>
        </w:rPr>
        <w:t xml:space="preserve">In the </w:t>
      </w:r>
      <w:r w:rsidR="002E189C">
        <w:rPr>
          <w:rFonts w:ascii="Arial" w:eastAsia="Times" w:hAnsi="Arial" w:cs="Arial"/>
        </w:rPr>
        <w:t>absence of a</w:t>
      </w:r>
      <w:r w:rsidR="00325FFE">
        <w:rPr>
          <w:rFonts w:ascii="Arial" w:eastAsia="Times" w:hAnsi="Arial" w:cs="Arial"/>
        </w:rPr>
        <w:t xml:space="preserve"> state-wide </w:t>
      </w:r>
      <w:r w:rsidR="002E189C">
        <w:rPr>
          <w:rFonts w:ascii="Arial" w:eastAsia="Times" w:hAnsi="Arial" w:cs="Arial"/>
        </w:rPr>
        <w:t>outcomes reporting template</w:t>
      </w:r>
      <w:r w:rsidR="009C7F0C" w:rsidRPr="0061161E">
        <w:rPr>
          <w:rFonts w:ascii="Arial" w:eastAsia="Times" w:hAnsi="Arial" w:cs="Arial"/>
        </w:rPr>
        <w:t xml:space="preserve">, providers </w:t>
      </w:r>
      <w:r w:rsidR="00787374" w:rsidRPr="0061161E">
        <w:rPr>
          <w:rFonts w:ascii="Arial" w:eastAsia="Times" w:hAnsi="Arial" w:cs="Arial"/>
        </w:rPr>
        <w:t>are requested</w:t>
      </w:r>
      <w:r w:rsidR="00514F2E" w:rsidRPr="0061161E">
        <w:rPr>
          <w:rFonts w:ascii="Arial" w:eastAsia="Times" w:hAnsi="Arial" w:cs="Arial"/>
        </w:rPr>
        <w:t xml:space="preserve"> to submit their </w:t>
      </w:r>
      <w:r w:rsidR="00AC722E">
        <w:rPr>
          <w:rFonts w:ascii="Arial" w:eastAsia="Times" w:hAnsi="Arial" w:cs="Arial"/>
        </w:rPr>
        <w:t>outcomes</w:t>
      </w:r>
      <w:r w:rsidR="00514F2E" w:rsidRPr="0061161E">
        <w:rPr>
          <w:rFonts w:ascii="Arial" w:eastAsia="Times" w:hAnsi="Arial" w:cs="Arial"/>
        </w:rPr>
        <w:t xml:space="preserve"> report using a</w:t>
      </w:r>
      <w:r w:rsidR="002E189C">
        <w:rPr>
          <w:rFonts w:ascii="Arial" w:eastAsia="Times" w:hAnsi="Arial" w:cs="Arial"/>
        </w:rPr>
        <w:t>n</w:t>
      </w:r>
      <w:r w:rsidR="00325FFE">
        <w:rPr>
          <w:rFonts w:ascii="Arial" w:eastAsia="Times" w:hAnsi="Arial" w:cs="Arial"/>
        </w:rPr>
        <w:t xml:space="preserve"> interim </w:t>
      </w:r>
      <w:r w:rsidR="00514F2E" w:rsidRPr="0061161E">
        <w:rPr>
          <w:rFonts w:ascii="Arial" w:eastAsia="Times" w:hAnsi="Arial" w:cs="Arial"/>
        </w:rPr>
        <w:t xml:space="preserve">template of their choice. </w:t>
      </w:r>
      <w:r w:rsidR="00AC722E">
        <w:rPr>
          <w:rFonts w:ascii="Arial" w:eastAsia="Times" w:hAnsi="Arial" w:cs="Arial"/>
        </w:rPr>
        <w:t>In all instances, p</w:t>
      </w:r>
      <w:r w:rsidR="00325FFE">
        <w:rPr>
          <w:rFonts w:ascii="Arial" w:eastAsia="Times" w:hAnsi="Arial" w:cs="Arial"/>
        </w:rPr>
        <w:t xml:space="preserve">roviders should contact their APSS advisor to discuss reporting requirements and local area arrangements. </w:t>
      </w:r>
    </w:p>
    <w:p w14:paraId="4900E759" w14:textId="591518A3" w:rsidR="00E47CA7" w:rsidRDefault="00645BAA" w:rsidP="0020673A">
      <w:pPr>
        <w:spacing w:after="120" w:line="270" w:lineRule="atLeast"/>
        <w:rPr>
          <w:rFonts w:ascii="Arial" w:eastAsia="Times" w:hAnsi="Arial"/>
        </w:rPr>
      </w:pPr>
      <w:r>
        <w:rPr>
          <w:rFonts w:ascii="Arial" w:eastAsia="Times" w:hAnsi="Arial"/>
        </w:rPr>
        <w:t>I</w:t>
      </w:r>
      <w:r w:rsidR="00720889" w:rsidRPr="00B50F0F">
        <w:rPr>
          <w:rFonts w:ascii="Arial" w:eastAsia="Times" w:hAnsi="Arial"/>
        </w:rPr>
        <w:t>t is recommended that</w:t>
      </w:r>
      <w:r w:rsidR="00297A9A">
        <w:rPr>
          <w:rFonts w:ascii="Arial" w:eastAsia="Times" w:hAnsi="Arial"/>
        </w:rPr>
        <w:t>:</w:t>
      </w:r>
    </w:p>
    <w:p w14:paraId="0CB85732" w14:textId="444792AF" w:rsidR="00BE77B4" w:rsidRDefault="00E47CA7" w:rsidP="00BB021E">
      <w:pPr>
        <w:pStyle w:val="DHHSbullet1"/>
      </w:pPr>
      <w:r w:rsidRPr="00E47CA7">
        <w:t>t</w:t>
      </w:r>
      <w:r w:rsidR="00720889" w:rsidRPr="00E47CA7">
        <w:t>he directions plan</w:t>
      </w:r>
      <w:r w:rsidR="00297A9A" w:rsidRPr="00E47CA7">
        <w:t xml:space="preserve"> </w:t>
      </w:r>
      <w:r w:rsidR="00720889" w:rsidRPr="00E47CA7">
        <w:t>be developed in consultation w</w:t>
      </w:r>
      <w:r w:rsidR="005A6CC4" w:rsidRPr="00E47CA7">
        <w:t>ith</w:t>
      </w:r>
      <w:r w:rsidR="00297A9A" w:rsidRPr="00E47CA7">
        <w:t xml:space="preserve"> </w:t>
      </w:r>
      <w:r w:rsidR="00720889" w:rsidRPr="00E47CA7">
        <w:t>Better Futures provider</w:t>
      </w:r>
      <w:r w:rsidR="005A6CC4" w:rsidRPr="00E47CA7">
        <w:t>s and</w:t>
      </w:r>
      <w:r w:rsidR="00297A9A" w:rsidRPr="00E47CA7">
        <w:t xml:space="preserve"> where</w:t>
      </w:r>
      <w:r w:rsidR="00652FCD">
        <w:t xml:space="preserve"> practicable</w:t>
      </w:r>
      <w:r w:rsidR="001D69EE" w:rsidRPr="00E47CA7">
        <w:t xml:space="preserve">, other </w:t>
      </w:r>
      <w:r w:rsidR="00145C76">
        <w:t>key</w:t>
      </w:r>
      <w:r w:rsidR="00145C76" w:rsidRPr="00E47CA7">
        <w:t xml:space="preserve"> stakeholders</w:t>
      </w:r>
      <w:r w:rsidR="001E6A04">
        <w:t>,</w:t>
      </w:r>
      <w:r w:rsidR="00813102">
        <w:t xml:space="preserve"> including </w:t>
      </w:r>
      <w:r w:rsidR="009A0F6B" w:rsidRPr="00E47CA7">
        <w:t>local partnerships</w:t>
      </w:r>
      <w:r w:rsidR="0098006F" w:rsidRPr="00E47CA7">
        <w:t xml:space="preserve"> and governance group</w:t>
      </w:r>
    </w:p>
    <w:p w14:paraId="2B3B3FB3" w14:textId="410EBE95" w:rsidR="00C762E0" w:rsidRPr="006262A7" w:rsidRDefault="00BF6221" w:rsidP="00BB021E">
      <w:pPr>
        <w:pStyle w:val="DHHSbullet1"/>
      </w:pPr>
      <w:r>
        <w:t>quarterly meetings</w:t>
      </w:r>
      <w:r w:rsidR="00145C76">
        <w:t xml:space="preserve"> occur</w:t>
      </w:r>
      <w:r w:rsidR="001E6A04">
        <w:t xml:space="preserve"> between </w:t>
      </w:r>
      <w:r w:rsidR="00C762E0" w:rsidRPr="006262A7">
        <w:t>Community Connection providers and their</w:t>
      </w:r>
      <w:r w:rsidR="005F6D3D">
        <w:t xml:space="preserve"> APSS advisor </w:t>
      </w:r>
      <w:r w:rsidR="00C762E0" w:rsidRPr="006262A7">
        <w:t>to discuss</w:t>
      </w:r>
      <w:r w:rsidR="00E47CA7">
        <w:t xml:space="preserve"> local arrangements, </w:t>
      </w:r>
      <w:r w:rsidR="00DC5597" w:rsidRPr="006262A7">
        <w:t xml:space="preserve">reporting, </w:t>
      </w:r>
      <w:r w:rsidR="00C762E0" w:rsidRPr="006262A7">
        <w:t>progress</w:t>
      </w:r>
      <w:r w:rsidR="0098006F" w:rsidRPr="006262A7">
        <w:t xml:space="preserve"> against planned objectives</w:t>
      </w:r>
      <w:r w:rsidR="00E47CA7">
        <w:t xml:space="preserve"> and activities</w:t>
      </w:r>
      <w:r w:rsidR="00C762E0" w:rsidRPr="006262A7">
        <w:t>,</w:t>
      </w:r>
      <w:r w:rsidR="0098006F" w:rsidRPr="006262A7">
        <w:t xml:space="preserve"> key themes,</w:t>
      </w:r>
      <w:r w:rsidR="00C762E0" w:rsidRPr="006262A7">
        <w:t xml:space="preserve"> challenges and opportunities.</w:t>
      </w:r>
      <w:r>
        <w:t xml:space="preserve"> </w:t>
      </w:r>
    </w:p>
    <w:bookmarkEnd w:id="42"/>
    <w:p w14:paraId="0EA89F49" w14:textId="2026FF1F" w:rsidR="008B18C1" w:rsidRDefault="008F50DB" w:rsidP="008A20F3">
      <w:pPr>
        <w:spacing w:after="120" w:line="270" w:lineRule="atLeast"/>
        <w:rPr>
          <w:rFonts w:ascii="Arial" w:eastAsia="Times" w:hAnsi="Arial"/>
        </w:rPr>
      </w:pPr>
      <w:r>
        <w:rPr>
          <w:rFonts w:ascii="Arial" w:eastAsia="Times" w:hAnsi="Arial"/>
        </w:rPr>
        <w:t xml:space="preserve">Please note, that there </w:t>
      </w:r>
      <w:r w:rsidR="0054033B">
        <w:rPr>
          <w:rFonts w:ascii="Arial" w:eastAsia="Times" w:hAnsi="Arial"/>
        </w:rPr>
        <w:t>are</w:t>
      </w:r>
      <w:r>
        <w:rPr>
          <w:rFonts w:ascii="Arial" w:eastAsia="Times" w:hAnsi="Arial"/>
        </w:rPr>
        <w:t xml:space="preserve"> no Service Delivery Tracking (SDT) requirements </w:t>
      </w:r>
      <w:r w:rsidR="00645BAA">
        <w:rPr>
          <w:rFonts w:ascii="Arial" w:eastAsia="Times" w:hAnsi="Arial"/>
        </w:rPr>
        <w:t xml:space="preserve">associated with </w:t>
      </w:r>
      <w:r>
        <w:rPr>
          <w:rFonts w:ascii="Arial" w:eastAsia="Times" w:hAnsi="Arial"/>
        </w:rPr>
        <w:t>Community Connections</w:t>
      </w:r>
      <w:r w:rsidR="007C5E58">
        <w:rPr>
          <w:rFonts w:ascii="Arial" w:eastAsia="Times" w:hAnsi="Arial"/>
        </w:rPr>
        <w:t xml:space="preserve">. </w:t>
      </w:r>
    </w:p>
    <w:p w14:paraId="13161E22" w14:textId="77777777" w:rsidR="008B18C1" w:rsidRDefault="008B18C1" w:rsidP="008A20F3">
      <w:pPr>
        <w:spacing w:after="120" w:line="270" w:lineRule="atLeast"/>
        <w:rPr>
          <w:rFonts w:ascii="Arial" w:eastAsia="Times" w:hAnsi="Arial"/>
        </w:rPr>
      </w:pPr>
    </w:p>
    <w:p w14:paraId="19340D80" w14:textId="6420B110" w:rsidR="001E6A04" w:rsidRDefault="001E6A04" w:rsidP="00B87BA9">
      <w:pPr>
        <w:pStyle w:val="Heading1"/>
      </w:pPr>
      <w:bookmarkStart w:id="43" w:name="_Toc34141592"/>
      <w:bookmarkStart w:id="44" w:name="_Toc62486305"/>
      <w:bookmarkStart w:id="45" w:name="_Hlk34146436"/>
      <w:bookmarkEnd w:id="40"/>
      <w:r w:rsidRPr="00DD299B">
        <w:t>Outcomes</w:t>
      </w:r>
      <w:bookmarkEnd w:id="43"/>
      <w:bookmarkEnd w:id="44"/>
    </w:p>
    <w:p w14:paraId="18ADB5EE" w14:textId="642C9B2E" w:rsidR="00B54B73" w:rsidRDefault="00AB2CE7" w:rsidP="00B54B73">
      <w:pPr>
        <w:pStyle w:val="DHHSbody"/>
      </w:pPr>
      <w:r>
        <w:t>The below table details the short, medium and long</w:t>
      </w:r>
      <w:r w:rsidR="00BB021E">
        <w:t xml:space="preserve"> </w:t>
      </w:r>
      <w:r>
        <w:t>term outcomes for</w:t>
      </w:r>
      <w:bookmarkStart w:id="46" w:name="_Hlk23179108"/>
      <w:bookmarkEnd w:id="45"/>
      <w:r>
        <w:t xml:space="preserve"> Community Connections.</w:t>
      </w:r>
    </w:p>
    <w:p w14:paraId="2416A6FD" w14:textId="77777777" w:rsidR="00AB2CE7" w:rsidRDefault="00AB2CE7" w:rsidP="00B54B73">
      <w:pPr>
        <w:pStyle w:val="DHHSbody"/>
      </w:pPr>
    </w:p>
    <w:tbl>
      <w:tblPr>
        <w:tblStyle w:val="TableGrid"/>
        <w:tblW w:w="0" w:type="auto"/>
        <w:tblLook w:val="04A0" w:firstRow="1" w:lastRow="0" w:firstColumn="1" w:lastColumn="0" w:noHBand="0" w:noVBand="1"/>
      </w:tblPr>
      <w:tblGrid>
        <w:gridCol w:w="3363"/>
        <w:gridCol w:w="3362"/>
        <w:gridCol w:w="3361"/>
      </w:tblGrid>
      <w:tr w:rsidR="00B54B73" w14:paraId="1858D7EA" w14:textId="77777777" w:rsidTr="000A704F">
        <w:tc>
          <w:tcPr>
            <w:tcW w:w="3398" w:type="dxa"/>
            <w:shd w:val="clear" w:color="auto" w:fill="E5DFEC" w:themeFill="accent4" w:themeFillTint="33"/>
          </w:tcPr>
          <w:p w14:paraId="5B291F89" w14:textId="77777777" w:rsidR="00B54B73" w:rsidRPr="000A704F" w:rsidRDefault="00B54B73" w:rsidP="00253094">
            <w:pPr>
              <w:pStyle w:val="DHHSbody"/>
              <w:rPr>
                <w:b/>
                <w:bCs/>
              </w:rPr>
            </w:pPr>
            <w:r w:rsidRPr="000A704F">
              <w:rPr>
                <w:b/>
                <w:bCs/>
              </w:rPr>
              <w:t>Short term outcomes</w:t>
            </w:r>
          </w:p>
        </w:tc>
        <w:tc>
          <w:tcPr>
            <w:tcW w:w="3398" w:type="dxa"/>
            <w:shd w:val="clear" w:color="auto" w:fill="E5DFEC" w:themeFill="accent4" w:themeFillTint="33"/>
          </w:tcPr>
          <w:p w14:paraId="53ABADD3" w14:textId="77777777" w:rsidR="00B54B73" w:rsidRPr="000A704F" w:rsidRDefault="00B54B73" w:rsidP="00253094">
            <w:pPr>
              <w:pStyle w:val="DHHSbody"/>
              <w:rPr>
                <w:b/>
                <w:bCs/>
              </w:rPr>
            </w:pPr>
            <w:r w:rsidRPr="000A704F">
              <w:rPr>
                <w:b/>
                <w:bCs/>
              </w:rPr>
              <w:t>Medium term outcomes</w:t>
            </w:r>
          </w:p>
        </w:tc>
        <w:tc>
          <w:tcPr>
            <w:tcW w:w="3398" w:type="dxa"/>
            <w:shd w:val="clear" w:color="auto" w:fill="E5DFEC" w:themeFill="accent4" w:themeFillTint="33"/>
          </w:tcPr>
          <w:p w14:paraId="7C38566F" w14:textId="77777777" w:rsidR="00B54B73" w:rsidRPr="000A704F" w:rsidRDefault="00B54B73" w:rsidP="00253094">
            <w:pPr>
              <w:pStyle w:val="DHHSbody"/>
              <w:rPr>
                <w:b/>
                <w:bCs/>
              </w:rPr>
            </w:pPr>
            <w:r w:rsidRPr="000A704F">
              <w:rPr>
                <w:b/>
                <w:bCs/>
              </w:rPr>
              <w:t>Long term outcomes</w:t>
            </w:r>
          </w:p>
        </w:tc>
      </w:tr>
      <w:tr w:rsidR="00B54B73" w14:paraId="45592E7A" w14:textId="77777777" w:rsidTr="00253094">
        <w:tc>
          <w:tcPr>
            <w:tcW w:w="3398" w:type="dxa"/>
          </w:tcPr>
          <w:p w14:paraId="235FDB97" w14:textId="77777777" w:rsidR="00B54B73" w:rsidRPr="008B18C1" w:rsidRDefault="00B54B73" w:rsidP="008B18C1">
            <w:pPr>
              <w:pStyle w:val="DHHStabletext"/>
            </w:pPr>
            <w:r w:rsidRPr="008B18C1">
              <w:t>Community Connectors work in partnership with Better Futures practitioners</w:t>
            </w:r>
          </w:p>
        </w:tc>
        <w:tc>
          <w:tcPr>
            <w:tcW w:w="3398" w:type="dxa"/>
          </w:tcPr>
          <w:p w14:paraId="2F77F072" w14:textId="77777777" w:rsidR="00B54B73" w:rsidRPr="008B18C1" w:rsidRDefault="00B54B73" w:rsidP="008B18C1">
            <w:pPr>
              <w:pStyle w:val="DHHStabletext"/>
            </w:pPr>
            <w:r w:rsidRPr="008B18C1">
              <w:t>Community Connectors maintain relationships with community organisations</w:t>
            </w:r>
          </w:p>
        </w:tc>
        <w:tc>
          <w:tcPr>
            <w:tcW w:w="3398" w:type="dxa"/>
          </w:tcPr>
          <w:p w14:paraId="27500EEC" w14:textId="77777777" w:rsidR="00B54B73" w:rsidRPr="008B18C1" w:rsidRDefault="00B54B73" w:rsidP="008B18C1">
            <w:pPr>
              <w:pStyle w:val="DHHStabletext"/>
            </w:pPr>
            <w:r w:rsidRPr="008B18C1">
              <w:t>Young people have improved education and employment outcomes</w:t>
            </w:r>
          </w:p>
        </w:tc>
      </w:tr>
      <w:tr w:rsidR="00B54B73" w14:paraId="3195A694" w14:textId="77777777" w:rsidTr="00253094">
        <w:tc>
          <w:tcPr>
            <w:tcW w:w="3398" w:type="dxa"/>
          </w:tcPr>
          <w:p w14:paraId="0958E7C0" w14:textId="77777777" w:rsidR="00B54B73" w:rsidRPr="008B18C1" w:rsidRDefault="00B54B73" w:rsidP="008B18C1">
            <w:pPr>
              <w:pStyle w:val="DHHStabletext"/>
            </w:pPr>
            <w:r w:rsidRPr="008B18C1">
              <w:t>Community Connectors initiate and establish partnerships with community organisations</w:t>
            </w:r>
          </w:p>
        </w:tc>
        <w:tc>
          <w:tcPr>
            <w:tcW w:w="3398" w:type="dxa"/>
          </w:tcPr>
          <w:p w14:paraId="32BF53AB" w14:textId="77777777" w:rsidR="00B54B73" w:rsidRPr="008B18C1" w:rsidRDefault="00B54B73" w:rsidP="008B18C1">
            <w:pPr>
              <w:pStyle w:val="DHHStabletext"/>
            </w:pPr>
            <w:r w:rsidRPr="008B18C1">
              <w:t>Young people have increased community engagement</w:t>
            </w:r>
          </w:p>
        </w:tc>
        <w:tc>
          <w:tcPr>
            <w:tcW w:w="3398" w:type="dxa"/>
          </w:tcPr>
          <w:p w14:paraId="70F99352" w14:textId="77777777" w:rsidR="00B54B73" w:rsidRPr="008B18C1" w:rsidRDefault="00B54B73" w:rsidP="008B18C1">
            <w:pPr>
              <w:pStyle w:val="DHHStabletext"/>
            </w:pPr>
            <w:r w:rsidRPr="008B18C1">
              <w:t>Young people have improved physical and mental health</w:t>
            </w:r>
          </w:p>
        </w:tc>
      </w:tr>
      <w:tr w:rsidR="00B54B73" w14:paraId="2B2B0FDA" w14:textId="77777777" w:rsidTr="00253094">
        <w:tc>
          <w:tcPr>
            <w:tcW w:w="3398" w:type="dxa"/>
          </w:tcPr>
          <w:p w14:paraId="552443EC" w14:textId="77777777" w:rsidR="00B54B73" w:rsidRPr="008B18C1" w:rsidRDefault="00B54B73" w:rsidP="008B18C1">
            <w:pPr>
              <w:pStyle w:val="DHHStabletext"/>
            </w:pPr>
            <w:bookmarkStart w:id="47" w:name="_Hlk48040934"/>
            <w:r w:rsidRPr="008B18C1">
              <w:t>Young people have increased access to opportunities for community engagement and to resources and networks</w:t>
            </w:r>
            <w:bookmarkEnd w:id="47"/>
          </w:p>
        </w:tc>
        <w:tc>
          <w:tcPr>
            <w:tcW w:w="3398" w:type="dxa"/>
          </w:tcPr>
          <w:p w14:paraId="6B4E8B80" w14:textId="77777777" w:rsidR="00B54B73" w:rsidRPr="008B18C1" w:rsidRDefault="00B54B73" w:rsidP="008B18C1">
            <w:pPr>
              <w:pStyle w:val="DHHStabletext"/>
            </w:pPr>
            <w:r w:rsidRPr="008B18C1">
              <w:t>Young people have increased social capital and wellbeing</w:t>
            </w:r>
          </w:p>
        </w:tc>
        <w:tc>
          <w:tcPr>
            <w:tcW w:w="3398" w:type="dxa"/>
          </w:tcPr>
          <w:p w14:paraId="3F4A9460" w14:textId="77777777" w:rsidR="00B54B73" w:rsidRPr="008B18C1" w:rsidRDefault="00B54B73" w:rsidP="008B18C1">
            <w:pPr>
              <w:pStyle w:val="DHHStabletext"/>
            </w:pPr>
            <w:r w:rsidRPr="008B18C1">
              <w:t>Aboriginal young people are connected to kin, community and Culture.</w:t>
            </w:r>
          </w:p>
        </w:tc>
      </w:tr>
      <w:tr w:rsidR="00B54B73" w14:paraId="010375A4" w14:textId="77777777" w:rsidTr="00253094">
        <w:tc>
          <w:tcPr>
            <w:tcW w:w="3398" w:type="dxa"/>
          </w:tcPr>
          <w:p w14:paraId="2E0BE408" w14:textId="28AA8223" w:rsidR="00B54B73" w:rsidRPr="008B18C1" w:rsidRDefault="00B54B73" w:rsidP="008B18C1">
            <w:pPr>
              <w:pStyle w:val="DHHStabletext"/>
            </w:pPr>
            <w:r w:rsidRPr="008B18C1">
              <w:t>Communities are empowered to support young people transitioning from care</w:t>
            </w:r>
          </w:p>
        </w:tc>
        <w:tc>
          <w:tcPr>
            <w:tcW w:w="3398" w:type="dxa"/>
          </w:tcPr>
          <w:p w14:paraId="1937C579" w14:textId="77777777" w:rsidR="00B54B73" w:rsidRPr="008B18C1" w:rsidRDefault="00B54B73" w:rsidP="008B18C1">
            <w:pPr>
              <w:pStyle w:val="DHHStabletext"/>
            </w:pPr>
            <w:r w:rsidRPr="008B18C1">
              <w:t>Communities can identify and invest in opportunities for young people</w:t>
            </w:r>
          </w:p>
        </w:tc>
        <w:tc>
          <w:tcPr>
            <w:tcW w:w="3398" w:type="dxa"/>
          </w:tcPr>
          <w:p w14:paraId="0B9F8023" w14:textId="77777777" w:rsidR="00B54B73" w:rsidRPr="008B18C1" w:rsidRDefault="00B54B73" w:rsidP="008B18C1">
            <w:pPr>
              <w:pStyle w:val="DHHStabletext"/>
            </w:pPr>
            <w:r w:rsidRPr="008B18C1">
              <w:t>Young people are valued community members</w:t>
            </w:r>
          </w:p>
        </w:tc>
      </w:tr>
      <w:tr w:rsidR="00B54B73" w14:paraId="005A7EA2" w14:textId="77777777" w:rsidTr="00253094">
        <w:tc>
          <w:tcPr>
            <w:tcW w:w="3398" w:type="dxa"/>
          </w:tcPr>
          <w:p w14:paraId="7CC4CD85" w14:textId="77777777" w:rsidR="00B54B73" w:rsidRPr="008B18C1" w:rsidRDefault="00B54B73" w:rsidP="008B18C1">
            <w:pPr>
              <w:pStyle w:val="DHHStabletext"/>
            </w:pPr>
          </w:p>
        </w:tc>
        <w:tc>
          <w:tcPr>
            <w:tcW w:w="3398" w:type="dxa"/>
          </w:tcPr>
          <w:p w14:paraId="250D6952" w14:textId="77777777" w:rsidR="00B54B73" w:rsidRPr="008B18C1" w:rsidRDefault="00B54B73" w:rsidP="008B18C1">
            <w:pPr>
              <w:pStyle w:val="DHHStabletext"/>
            </w:pPr>
          </w:p>
        </w:tc>
        <w:tc>
          <w:tcPr>
            <w:tcW w:w="3398" w:type="dxa"/>
          </w:tcPr>
          <w:p w14:paraId="0E8E3380" w14:textId="77777777" w:rsidR="00B54B73" w:rsidRPr="008B18C1" w:rsidRDefault="00B54B73" w:rsidP="008B18C1">
            <w:pPr>
              <w:pStyle w:val="DHHStabletext"/>
            </w:pPr>
            <w:r w:rsidRPr="008B18C1">
              <w:t>Local communities have increased investment and ownership of responses to young people transitioning from care</w:t>
            </w:r>
          </w:p>
        </w:tc>
      </w:tr>
    </w:tbl>
    <w:p w14:paraId="24933C4F" w14:textId="77777777" w:rsidR="000A704F" w:rsidRDefault="000A704F" w:rsidP="00B54B73">
      <w:pPr>
        <w:pStyle w:val="DHHSbody"/>
      </w:pPr>
    </w:p>
    <w:p w14:paraId="5EDA7336" w14:textId="126D98B8" w:rsidR="00BD524F" w:rsidRDefault="00BD524F" w:rsidP="00524784">
      <w:pPr>
        <w:pStyle w:val="DHHSbody"/>
      </w:pPr>
      <w:bookmarkStart w:id="48" w:name="_Better_Futures"/>
      <w:bookmarkEnd w:id="48"/>
      <w:bookmarkEnd w:id="2"/>
      <w:bookmarkEnd w:id="8"/>
      <w:bookmarkEnd w:id="20"/>
      <w:bookmarkEnd w:id="46"/>
    </w:p>
    <w:tbl>
      <w:tblPr>
        <w:tblW w:w="4800" w:type="pct"/>
        <w:tblInd w:w="113" w:type="dxa"/>
        <w:tblCellMar>
          <w:top w:w="113" w:type="dxa"/>
          <w:bottom w:w="57" w:type="dxa"/>
        </w:tblCellMar>
        <w:tblLook w:val="00A0" w:firstRow="1" w:lastRow="0" w:firstColumn="1" w:lastColumn="0" w:noHBand="0" w:noVBand="0"/>
      </w:tblPr>
      <w:tblGrid>
        <w:gridCol w:w="9786"/>
      </w:tblGrid>
      <w:tr w:rsidR="009F70D8" w14:paraId="066B3473" w14:textId="77777777" w:rsidTr="0004455C">
        <w:trPr>
          <w:cantSplit/>
        </w:trPr>
        <w:tc>
          <w:tcPr>
            <w:tcW w:w="5000" w:type="pct"/>
            <w:tcBorders>
              <w:top w:val="single" w:sz="4" w:space="0" w:color="auto"/>
              <w:left w:val="single" w:sz="4" w:space="0" w:color="auto"/>
              <w:bottom w:val="single" w:sz="4" w:space="0" w:color="auto"/>
              <w:right w:val="single" w:sz="4" w:space="0" w:color="auto"/>
            </w:tcBorders>
            <w:vAlign w:val="bottom"/>
            <w:hideMark/>
          </w:tcPr>
          <w:p w14:paraId="3D415A6C" w14:textId="2DBE7304" w:rsidR="009F70D8" w:rsidRDefault="009F70D8" w:rsidP="0004455C">
            <w:pPr>
              <w:pStyle w:val="DHHSaccessibilitypara"/>
            </w:pPr>
            <w:r>
              <w:lastRenderedPageBreak/>
              <w:t xml:space="preserve">To receive this publication in an accessible format </w:t>
            </w:r>
            <w:hyperlink r:id="rId21" w:history="1">
              <w:r w:rsidR="003B2DFF" w:rsidRPr="00FB3A4D">
                <w:rPr>
                  <w:rStyle w:val="Hyperlink"/>
                </w:rPr>
                <w:t>email Children and Families Policy branch</w:t>
              </w:r>
            </w:hyperlink>
            <w:r w:rsidRPr="004E3928">
              <w:t xml:space="preserve"> </w:t>
            </w:r>
            <w:r w:rsidR="003B2DFF">
              <w:t>&lt;</w:t>
            </w:r>
            <w:r w:rsidR="003B2DFF" w:rsidRPr="003B2DFF">
              <w:t>childrenyouthfamilies@dhhs.vic.gov.au</w:t>
            </w:r>
            <w:r w:rsidR="003B2DFF" w:rsidRPr="003B2DFF">
              <w:rPr>
                <w:rStyle w:val="DHHSbodyChar"/>
              </w:rPr>
              <w:t>&gt;</w:t>
            </w:r>
          </w:p>
          <w:p w14:paraId="5997E3E2" w14:textId="0032ADB3" w:rsidR="007B6260" w:rsidRPr="007B6260" w:rsidRDefault="007B6260" w:rsidP="0004455C">
            <w:pPr>
              <w:pStyle w:val="DHHSaccessibilitypara"/>
            </w:pPr>
            <w:r w:rsidRPr="007B6260">
              <w:rPr>
                <w:rFonts w:cs="Arial"/>
                <w:color w:val="000000"/>
              </w:rPr>
              <w:t>ISBN 978-1-76096-314-9 (online</w:t>
            </w:r>
            <w:r w:rsidR="003B2DFF">
              <w:rPr>
                <w:rFonts w:cs="Arial"/>
                <w:color w:val="000000"/>
              </w:rPr>
              <w:t>/Word</w:t>
            </w:r>
            <w:r w:rsidRPr="007B6260">
              <w:rPr>
                <w:rFonts w:cs="Arial"/>
                <w:color w:val="000000"/>
              </w:rPr>
              <w:t>)</w:t>
            </w:r>
          </w:p>
          <w:p w14:paraId="0F36ACD7" w14:textId="77777777" w:rsidR="009F70D8" w:rsidRDefault="009F70D8" w:rsidP="0004455C">
            <w:pPr>
              <w:pStyle w:val="DHHSbody"/>
            </w:pPr>
            <w:r>
              <w:t>Authorised and published by the Victorian Government, 1 Treasury Place, Melbourne.</w:t>
            </w:r>
          </w:p>
          <w:p w14:paraId="3F917225" w14:textId="257D5435" w:rsidR="009F70D8" w:rsidRDefault="009F70D8" w:rsidP="0004455C">
            <w:pPr>
              <w:pStyle w:val="DHHSbody"/>
            </w:pPr>
            <w:r>
              <w:t xml:space="preserve">© State of Victoria, Department of Health and Human Services </w:t>
            </w:r>
            <w:r w:rsidR="003B2DFF">
              <w:t>January 2021</w:t>
            </w:r>
            <w:r>
              <w:t>.</w:t>
            </w:r>
          </w:p>
          <w:p w14:paraId="49D4DE91" w14:textId="77777777" w:rsidR="009F70D8" w:rsidRDefault="009F70D8" w:rsidP="0004455C">
            <w:pPr>
              <w:pStyle w:val="DHHSbody"/>
            </w:pPr>
            <w:r>
              <w:t xml:space="preserve">Available at </w:t>
            </w:r>
            <w:hyperlink r:id="rId22" w:history="1">
              <w:r w:rsidRPr="004E3928">
                <w:rPr>
                  <w:rStyle w:val="Hyperlink"/>
                </w:rPr>
                <w:t>DHHS providers – Leaving care</w:t>
              </w:r>
            </w:hyperlink>
            <w:r>
              <w:t xml:space="preserve"> &lt;</w:t>
            </w:r>
            <w:r w:rsidRPr="004E3928">
              <w:t>https://providers.dhhs.vic.gov.au/leaving-care</w:t>
            </w:r>
            <w:r>
              <w:t>&gt;</w:t>
            </w:r>
          </w:p>
        </w:tc>
      </w:tr>
    </w:tbl>
    <w:p w14:paraId="00048E94" w14:textId="77777777" w:rsidR="00B2752E" w:rsidRPr="00906490" w:rsidRDefault="00B2752E" w:rsidP="00FE7D47">
      <w:pPr>
        <w:pStyle w:val="DHHSbody"/>
      </w:pPr>
    </w:p>
    <w:sectPr w:rsidR="00B2752E" w:rsidRPr="00906490" w:rsidSect="00F01E5F">
      <w:headerReference w:type="default" r:id="rId23"/>
      <w:footerReference w:type="default" r:id="rId24"/>
      <w:type w:val="continuous"/>
      <w:pgSz w:w="11906" w:h="16838" w:code="9"/>
      <w:pgMar w:top="1418" w:right="851" w:bottom="1134" w:left="851" w:header="567" w:footer="510" w:gutter="0"/>
      <w:cols w:space="34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68637B" w14:textId="77777777" w:rsidR="00341E8F" w:rsidRDefault="00341E8F">
      <w:r>
        <w:separator/>
      </w:r>
    </w:p>
  </w:endnote>
  <w:endnote w:type="continuationSeparator" w:id="0">
    <w:p w14:paraId="60F31818" w14:textId="77777777" w:rsidR="00341E8F" w:rsidRDefault="00341E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1FD6D" w14:textId="77777777" w:rsidR="006F7765" w:rsidRDefault="006F77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6721A" w14:textId="1F09B66D" w:rsidR="00341E8F" w:rsidRPr="00F65AA9" w:rsidRDefault="00511BB7" w:rsidP="0051568D">
    <w:pPr>
      <w:pStyle w:val="DHHSfooter"/>
    </w:pPr>
    <w:r>
      <w:rPr>
        <w:noProof/>
        <w:lang w:eastAsia="en-AU"/>
      </w:rPr>
      <mc:AlternateContent>
        <mc:Choice Requires="wps">
          <w:drawing>
            <wp:anchor distT="0" distB="0" distL="114300" distR="114300" simplePos="0" relativeHeight="251659776" behindDoc="0" locked="0" layoutInCell="0" allowOverlap="1" wp14:anchorId="52A84771" wp14:editId="34DA2606">
              <wp:simplePos x="0" y="0"/>
              <wp:positionH relativeFrom="page">
                <wp:posOffset>0</wp:posOffset>
              </wp:positionH>
              <wp:positionV relativeFrom="page">
                <wp:posOffset>10189210</wp:posOffset>
              </wp:positionV>
              <wp:extent cx="7560310" cy="311785"/>
              <wp:effectExtent l="0" t="0" r="0" b="12065"/>
              <wp:wrapNone/>
              <wp:docPr id="4" name="MSIPCMe49647cca9062b07261a46e3"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DB3F28E" w14:textId="72AE97B3" w:rsidR="00511BB7" w:rsidRPr="00511BB7" w:rsidRDefault="00511BB7" w:rsidP="00511BB7">
                          <w:pPr>
                            <w:spacing w:after="0"/>
                            <w:jc w:val="center"/>
                            <w:rPr>
                              <w:rFonts w:ascii="Arial Black" w:hAnsi="Arial Black"/>
                              <w:color w:val="000000"/>
                            </w:rPr>
                          </w:pPr>
                          <w:r w:rsidRPr="00511BB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A84771" id="_x0000_t202" coordsize="21600,21600" o:spt="202" path="m,l,21600r21600,l21600,xe">
              <v:stroke joinstyle="miter"/>
              <v:path gradientshapeok="t" o:connecttype="rect"/>
            </v:shapetype>
            <v:shape id="MSIPCMe49647cca9062b07261a46e3" o:spid="_x0000_s1026" type="#_x0000_t202" alt="{&quot;HashCode&quot;:904758361,&quot;Height&quot;:841.0,&quot;Width&quot;:595.0,&quot;Placement&quot;:&quot;Footer&quot;,&quot;Index&quot;:&quot;Primary&quot;,&quot;Section&quot;:1,&quot;Top&quot;:0.0,&quot;Left&quot;:0.0}" style="position:absolute;margin-left:0;margin-top:802.3pt;width:595.3pt;height:24.55pt;z-index:25165977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DOu8OStAgAARQUAAA4AAAAA&#10;AAAAAAAAAAAALgIAAGRycy9lMm9Eb2MueG1sUEsBAi0AFAAGAAgAAAAhAEgNXprfAAAACwEAAA8A&#10;AAAAAAAAAAAAAAAABwUAAGRycy9kb3ducmV2LnhtbFBLBQYAAAAABAAEAPMAAAATBgAAAAA=&#10;" o:allowincell="f" filled="f" stroked="f" strokeweight=".5pt">
              <v:textbox inset=",0,,0">
                <w:txbxContent>
                  <w:p w14:paraId="7DB3F28E" w14:textId="72AE97B3" w:rsidR="00511BB7" w:rsidRPr="00511BB7" w:rsidRDefault="00511BB7" w:rsidP="00511BB7">
                    <w:pPr>
                      <w:spacing w:after="0"/>
                      <w:jc w:val="center"/>
                      <w:rPr>
                        <w:rFonts w:ascii="Arial Black" w:hAnsi="Arial Black"/>
                        <w:color w:val="000000"/>
                      </w:rPr>
                    </w:pPr>
                    <w:r w:rsidRPr="00511BB7">
                      <w:rPr>
                        <w:rFonts w:ascii="Arial Black" w:hAnsi="Arial Black"/>
                        <w:color w:val="000000"/>
                      </w:rPr>
                      <w:t>OFFICIAL</w:t>
                    </w:r>
                  </w:p>
                </w:txbxContent>
              </v:textbox>
              <w10:wrap anchorx="page" anchory="page"/>
            </v:shape>
          </w:pict>
        </mc:Fallback>
      </mc:AlternateContent>
    </w:r>
    <w:r w:rsidR="00341E8F">
      <w:rPr>
        <w:noProof/>
        <w:lang w:eastAsia="en-AU"/>
      </w:rPr>
      <w:drawing>
        <wp:anchor distT="0" distB="0" distL="114300" distR="114300" simplePos="0" relativeHeight="251655680" behindDoc="0" locked="1" layoutInCell="0" allowOverlap="1" wp14:anchorId="1940E81A" wp14:editId="6A14DD9F">
          <wp:simplePos x="0" y="0"/>
          <wp:positionH relativeFrom="page">
            <wp:posOffset>0</wp:posOffset>
          </wp:positionH>
          <wp:positionV relativeFrom="page">
            <wp:posOffset>9901555</wp:posOffset>
          </wp:positionV>
          <wp:extent cx="7561580" cy="791210"/>
          <wp:effectExtent l="0" t="0" r="1270" b="8890"/>
          <wp:wrapNone/>
          <wp:docPr id="9" name="Picture 9" descr="Victoria State Government Department of Health and Human Servi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1580" cy="79121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A948FD" w14:textId="5EA5DDAB" w:rsidR="00341E8F" w:rsidRDefault="00511BB7">
    <w:pPr>
      <w:pStyle w:val="Footer"/>
    </w:pPr>
    <w:r>
      <w:rPr>
        <w:noProof/>
      </w:rPr>
      <mc:AlternateContent>
        <mc:Choice Requires="wps">
          <w:drawing>
            <wp:anchor distT="0" distB="0" distL="114300" distR="114300" simplePos="1" relativeHeight="251660800" behindDoc="0" locked="0" layoutInCell="0" allowOverlap="1" wp14:anchorId="1C35DB04" wp14:editId="0D7F5817">
              <wp:simplePos x="0" y="10189687"/>
              <wp:positionH relativeFrom="page">
                <wp:posOffset>0</wp:posOffset>
              </wp:positionH>
              <wp:positionV relativeFrom="page">
                <wp:posOffset>10189210</wp:posOffset>
              </wp:positionV>
              <wp:extent cx="7560310" cy="311785"/>
              <wp:effectExtent l="0" t="0" r="0" b="12065"/>
              <wp:wrapNone/>
              <wp:docPr id="5" name="MSIPCM3cb24f278f3452436246b90e"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CF04ED" w14:textId="4105290E" w:rsidR="00511BB7" w:rsidRPr="00511BB7" w:rsidRDefault="00511BB7" w:rsidP="00511BB7">
                          <w:pPr>
                            <w:spacing w:after="0"/>
                            <w:jc w:val="center"/>
                            <w:rPr>
                              <w:rFonts w:ascii="Arial Black" w:hAnsi="Arial Black"/>
                              <w:color w:val="000000"/>
                            </w:rPr>
                          </w:pPr>
                          <w:r w:rsidRPr="00511BB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C35DB04" id="_x0000_t202" coordsize="21600,21600" o:spt="202" path="m,l,21600r21600,l21600,xe">
              <v:stroke joinstyle="miter"/>
              <v:path gradientshapeok="t" o:connecttype="rect"/>
            </v:shapetype>
            <v:shape id="MSIPCM3cb24f278f3452436246b90e" o:spid="_x0000_s1027" type="#_x0000_t202" alt="{&quot;HashCode&quot;:904758361,&quot;Height&quot;:841.0,&quot;Width&quot;:595.0,&quot;Placement&quot;:&quot;Footer&quot;,&quot;Index&quot;:&quot;FirstPage&quot;,&quot;Section&quot;:1,&quot;Top&quot;:0.0,&quot;Left&quot;:0.0}" style="position:absolute;margin-left:0;margin-top:802.3pt;width:595.3pt;height:24.55pt;z-index:25166080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eUSLKwAgAATgUAAA4A&#10;AAAAAAAAAAAAAAAALgIAAGRycy9lMm9Eb2MueG1sUEsBAi0AFAAGAAgAAAAhAEgNXprfAAAACwEA&#10;AA8AAAAAAAAAAAAAAAAACgUAAGRycy9kb3ducmV2LnhtbFBLBQYAAAAABAAEAPMAAAAWBgAAAAA=&#10;" o:allowincell="f" filled="f" stroked="f" strokeweight=".5pt">
              <v:textbox inset=",0,,0">
                <w:txbxContent>
                  <w:p w14:paraId="36CF04ED" w14:textId="4105290E" w:rsidR="00511BB7" w:rsidRPr="00511BB7" w:rsidRDefault="00511BB7" w:rsidP="00511BB7">
                    <w:pPr>
                      <w:spacing w:after="0"/>
                      <w:jc w:val="center"/>
                      <w:rPr>
                        <w:rFonts w:ascii="Arial Black" w:hAnsi="Arial Black"/>
                        <w:color w:val="000000"/>
                      </w:rPr>
                    </w:pPr>
                    <w:r w:rsidRPr="00511BB7">
                      <w:rPr>
                        <w:rFonts w:ascii="Arial Black" w:hAnsi="Arial Black"/>
                        <w:color w:val="00000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5BC2B" w14:textId="75081F4A" w:rsidR="00341E8F" w:rsidRPr="00A11421" w:rsidRDefault="00511BB7" w:rsidP="0051568D">
    <w:pPr>
      <w:pStyle w:val="DHHSfooter"/>
    </w:pPr>
    <w:r>
      <w:rPr>
        <w:noProof/>
      </w:rPr>
      <mc:AlternateContent>
        <mc:Choice Requires="wps">
          <w:drawing>
            <wp:anchor distT="0" distB="0" distL="114300" distR="114300" simplePos="0" relativeHeight="251661824" behindDoc="0" locked="0" layoutInCell="0" allowOverlap="1" wp14:anchorId="53A556CA" wp14:editId="1218A059">
              <wp:simplePos x="0" y="0"/>
              <wp:positionH relativeFrom="page">
                <wp:posOffset>0</wp:posOffset>
              </wp:positionH>
              <wp:positionV relativeFrom="page">
                <wp:posOffset>10189210</wp:posOffset>
              </wp:positionV>
              <wp:extent cx="7560310" cy="311785"/>
              <wp:effectExtent l="0" t="0" r="0" b="12065"/>
              <wp:wrapNone/>
              <wp:docPr id="6" name="MSIPCM248e4049a8eb73576c7f4297"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7D32D4" w14:textId="126FE3F3" w:rsidR="00511BB7" w:rsidRPr="00511BB7" w:rsidRDefault="00511BB7" w:rsidP="00511BB7">
                          <w:pPr>
                            <w:spacing w:after="0"/>
                            <w:jc w:val="center"/>
                            <w:rPr>
                              <w:rFonts w:ascii="Arial Black" w:hAnsi="Arial Black"/>
                              <w:color w:val="000000"/>
                            </w:rPr>
                          </w:pPr>
                          <w:r w:rsidRPr="00511BB7">
                            <w:rPr>
                              <w:rFonts w:ascii="Arial Black" w:hAnsi="Arial Black"/>
                              <w:color w:val="00000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3A556CA" id="_x0000_t202" coordsize="21600,21600" o:spt="202" path="m,l,21600r21600,l21600,xe">
              <v:stroke joinstyle="miter"/>
              <v:path gradientshapeok="t" o:connecttype="rect"/>
            </v:shapetype>
            <v:shape id="MSIPCM248e4049a8eb73576c7f4297" o:spid="_x0000_s1028" type="#_x0000_t202" alt="{&quot;HashCode&quot;:904758361,&quot;Height&quot;:841.0,&quot;Width&quot;:595.0,&quot;Placement&quot;:&quot;Footer&quot;,&quot;Index&quot;:&quot;Primary&quot;,&quot;Section&quot;:2,&quot;Top&quot;:0.0,&quot;Left&quot;:0.0}" style="position:absolute;margin-left:0;margin-top:802.3pt;width:595.3pt;height:24.55pt;z-index:25166182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BtJCgOwAgAATAUAAA4A&#10;AAAAAAAAAAAAAAAALgIAAGRycy9lMm9Eb2MueG1sUEsBAi0AFAAGAAgAAAAhAEgNXprfAAAACwEA&#10;AA8AAAAAAAAAAAAAAAAACgUAAGRycy9kb3ducmV2LnhtbFBLBQYAAAAABAAEAPMAAAAWBgAAAAA=&#10;" o:allowincell="f" filled="f" stroked="f" strokeweight=".5pt">
              <v:textbox inset=",0,,0">
                <w:txbxContent>
                  <w:p w14:paraId="467D32D4" w14:textId="126FE3F3" w:rsidR="00511BB7" w:rsidRPr="00511BB7" w:rsidRDefault="00511BB7" w:rsidP="00511BB7">
                    <w:pPr>
                      <w:spacing w:after="0"/>
                      <w:jc w:val="center"/>
                      <w:rPr>
                        <w:rFonts w:ascii="Arial Black" w:hAnsi="Arial Black"/>
                        <w:color w:val="000000"/>
                      </w:rPr>
                    </w:pPr>
                    <w:r w:rsidRPr="00511BB7">
                      <w:rPr>
                        <w:rFonts w:ascii="Arial Black" w:hAnsi="Arial Black"/>
                        <w:color w:val="000000"/>
                      </w:rPr>
                      <w:t>OFFICIAL</w:t>
                    </w:r>
                  </w:p>
                </w:txbxContent>
              </v:textbox>
              <w10:wrap anchorx="page" anchory="page"/>
            </v:shape>
          </w:pict>
        </mc:Fallback>
      </mc:AlternateContent>
    </w:r>
    <w:r w:rsidR="00341E8F">
      <w:t xml:space="preserve">Better Futures Community Connections Practice Advice </w:t>
    </w:r>
    <w:r w:rsidR="00341E8F" w:rsidRPr="00A11421">
      <w:tab/>
    </w:r>
    <w:r w:rsidR="00341E8F" w:rsidRPr="00A11421">
      <w:fldChar w:fldCharType="begin"/>
    </w:r>
    <w:r w:rsidR="00341E8F" w:rsidRPr="00A11421">
      <w:instrText xml:space="preserve"> PAGE </w:instrText>
    </w:r>
    <w:r w:rsidR="00341E8F" w:rsidRPr="00A11421">
      <w:fldChar w:fldCharType="separate"/>
    </w:r>
    <w:r w:rsidR="00341E8F">
      <w:rPr>
        <w:noProof/>
      </w:rPr>
      <w:t>4</w:t>
    </w:r>
    <w:r w:rsidR="00341E8F" w:rsidRPr="00A11421">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67380B" w14:textId="77777777" w:rsidR="00341E8F" w:rsidRDefault="00341E8F" w:rsidP="002862F1">
      <w:pPr>
        <w:spacing w:before="120"/>
      </w:pPr>
      <w:r>
        <w:separator/>
      </w:r>
    </w:p>
  </w:footnote>
  <w:footnote w:type="continuationSeparator" w:id="0">
    <w:p w14:paraId="2266FB33" w14:textId="77777777" w:rsidR="00341E8F" w:rsidRDefault="00341E8F">
      <w:r>
        <w:continuationSeparator/>
      </w:r>
    </w:p>
  </w:footnote>
  <w:footnote w:id="1">
    <w:p w14:paraId="4B886703" w14:textId="77777777" w:rsidR="003B2DFF" w:rsidRDefault="003B2DFF" w:rsidP="00EA185A">
      <w:pPr>
        <w:pStyle w:val="FootnoteText"/>
      </w:pPr>
      <w:r>
        <w:rPr>
          <w:rStyle w:val="FootnoteReference"/>
        </w:rPr>
        <w:footnoteRef/>
      </w:r>
      <w:r>
        <w:t xml:space="preserve"> </w:t>
      </w:r>
      <w:r w:rsidRPr="00621F21">
        <w:t>A departmental guide for place-based approaches, Department of Health and Human Services, December 2019</w:t>
      </w:r>
    </w:p>
  </w:footnote>
  <w:footnote w:id="2">
    <w:p w14:paraId="7988F973" w14:textId="4313B68D" w:rsidR="00341E8F" w:rsidRDefault="00341E8F" w:rsidP="00EA185A">
      <w:pPr>
        <w:pStyle w:val="FootnoteText"/>
      </w:pPr>
      <w:r>
        <w:rPr>
          <w:rStyle w:val="FootnoteReference"/>
        </w:rPr>
        <w:footnoteRef/>
      </w:r>
      <w:r>
        <w:t xml:space="preserve"> </w:t>
      </w:r>
      <w:r w:rsidR="00EA185A" w:rsidRPr="00EA185A">
        <w:t>‘</w:t>
      </w:r>
      <w:hyperlink r:id="rId1" w:history="1">
        <w:r w:rsidR="00EA185A" w:rsidRPr="00EA185A">
          <w:rPr>
            <w:rStyle w:val="Hyperlink"/>
          </w:rPr>
          <w:t>Inclusion Melbourne – Circles of Support’</w:t>
        </w:r>
      </w:hyperlink>
      <w:r w:rsidR="00EA185A" w:rsidRPr="00EA185A">
        <w:t xml:space="preserve"> &lt;https://inclusionmelbourne.org.au/projects/circles-of-support&gt;</w:t>
      </w:r>
    </w:p>
    <w:p w14:paraId="4D3F9724" w14:textId="77777777" w:rsidR="00341E8F" w:rsidRDefault="00341E8F" w:rsidP="00EA185A">
      <w:pPr>
        <w:pStyle w:val="FootnoteText"/>
      </w:pPr>
    </w:p>
  </w:footnote>
  <w:footnote w:id="3">
    <w:p w14:paraId="0C1FD9CB" w14:textId="2D0EA756" w:rsidR="00341E8F" w:rsidRDefault="00341E8F" w:rsidP="00EA185A">
      <w:pPr>
        <w:pStyle w:val="FootnoteText"/>
      </w:pPr>
      <w:r>
        <w:rPr>
          <w:rStyle w:val="FootnoteReference"/>
        </w:rPr>
        <w:footnoteRef/>
      </w:r>
      <w:r>
        <w:t xml:space="preserve"> where a Better Futures provider delivers both case work support and Community Connections, an internal CRISSP referral is still required for appropriate record keeping and data collection purposes.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20362D" w14:textId="77777777" w:rsidR="006F7765" w:rsidRDefault="006F77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572A1" w14:textId="77777777" w:rsidR="006F7765" w:rsidRDefault="006F77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574D22" w14:textId="77777777" w:rsidR="006F7765" w:rsidRDefault="006F776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C060B9" w14:textId="6B898145" w:rsidR="00341E8F" w:rsidRPr="0051568D" w:rsidRDefault="00341E8F" w:rsidP="0051568D">
    <w:pPr>
      <w:pStyle w:val="DHHS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F2675"/>
    <w:multiLevelType w:val="hybridMultilevel"/>
    <w:tmpl w:val="275C4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6320E5"/>
    <w:multiLevelType w:val="hybridMultilevel"/>
    <w:tmpl w:val="771A7D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A2F42BF"/>
    <w:multiLevelType w:val="hybridMultilevel"/>
    <w:tmpl w:val="251C27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2579A4"/>
    <w:multiLevelType w:val="hybridMultilevel"/>
    <w:tmpl w:val="CA1652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D2B0861"/>
    <w:multiLevelType w:val="hybridMultilevel"/>
    <w:tmpl w:val="65E8D40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5" w15:restartNumberingAfterBreak="0">
    <w:nsid w:val="3C4303A5"/>
    <w:multiLevelType w:val="multilevel"/>
    <w:tmpl w:val="4B4E7622"/>
    <w:styleLink w:val="ZZNumbers"/>
    <w:lvl w:ilvl="0">
      <w:start w:val="1"/>
      <w:numFmt w:val="decimal"/>
      <w:pStyle w:val="DHHSnumberdigit"/>
      <w:lvlText w:val="%1."/>
      <w:lvlJc w:val="left"/>
      <w:pPr>
        <w:tabs>
          <w:tab w:val="num" w:pos="397"/>
        </w:tabs>
        <w:ind w:left="397" w:hanging="397"/>
      </w:pPr>
      <w:rPr>
        <w:rFonts w:hint="default"/>
      </w:rPr>
    </w:lvl>
    <w:lvl w:ilvl="1">
      <w:start w:val="1"/>
      <w:numFmt w:val="decimal"/>
      <w:lvlRestart w:val="0"/>
      <w:pStyle w:val="DHHSnumberdigitindent"/>
      <w:lvlText w:val="%2."/>
      <w:lvlJc w:val="left"/>
      <w:pPr>
        <w:tabs>
          <w:tab w:val="num" w:pos="794"/>
        </w:tabs>
        <w:ind w:left="794" w:hanging="397"/>
      </w:pPr>
      <w:rPr>
        <w:rFonts w:hint="default"/>
      </w:rPr>
    </w:lvl>
    <w:lvl w:ilvl="2">
      <w:start w:val="1"/>
      <w:numFmt w:val="lowerLetter"/>
      <w:lvlRestart w:val="0"/>
      <w:pStyle w:val="DHHSnumberloweralpha"/>
      <w:lvlText w:val="(%3)"/>
      <w:lvlJc w:val="left"/>
      <w:pPr>
        <w:tabs>
          <w:tab w:val="num" w:pos="397"/>
        </w:tabs>
        <w:ind w:left="397" w:hanging="397"/>
      </w:pPr>
      <w:rPr>
        <w:rFonts w:hint="default"/>
      </w:rPr>
    </w:lvl>
    <w:lvl w:ilvl="3">
      <w:start w:val="1"/>
      <w:numFmt w:val="lowerLetter"/>
      <w:lvlRestart w:val="0"/>
      <w:pStyle w:val="DHHSnumberloweralphaindent"/>
      <w:lvlText w:val="(%4)"/>
      <w:lvlJc w:val="left"/>
      <w:pPr>
        <w:tabs>
          <w:tab w:val="num" w:pos="794"/>
        </w:tabs>
        <w:ind w:left="794" w:hanging="397"/>
      </w:pPr>
      <w:rPr>
        <w:rFonts w:hint="default"/>
      </w:rPr>
    </w:lvl>
    <w:lvl w:ilvl="4">
      <w:start w:val="1"/>
      <w:numFmt w:val="lowerRoman"/>
      <w:lvlRestart w:val="0"/>
      <w:pStyle w:val="DHHSnumberlowerroman"/>
      <w:lvlText w:val="(%5)"/>
      <w:lvlJc w:val="left"/>
      <w:pPr>
        <w:tabs>
          <w:tab w:val="num" w:pos="397"/>
        </w:tabs>
        <w:ind w:left="397" w:hanging="397"/>
      </w:pPr>
      <w:rPr>
        <w:rFonts w:hint="default"/>
      </w:rPr>
    </w:lvl>
    <w:lvl w:ilvl="5">
      <w:start w:val="1"/>
      <w:numFmt w:val="lowerRoman"/>
      <w:lvlRestart w:val="0"/>
      <w:pStyle w:val="DHHS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54BA1E5A"/>
    <w:multiLevelType w:val="multilevel"/>
    <w:tmpl w:val="83C238FA"/>
    <w:styleLink w:val="ZZBullets"/>
    <w:lvl w:ilvl="0">
      <w:start w:val="1"/>
      <w:numFmt w:val="bullet"/>
      <w:pStyle w:val="DHHSbullet1"/>
      <w:lvlText w:val="•"/>
      <w:lvlJc w:val="left"/>
      <w:pPr>
        <w:ind w:left="426" w:hanging="284"/>
      </w:pPr>
      <w:rPr>
        <w:rFonts w:ascii="Calibri" w:hAnsi="Calibri" w:hint="default"/>
      </w:rPr>
    </w:lvl>
    <w:lvl w:ilvl="1">
      <w:start w:val="1"/>
      <w:numFmt w:val="bullet"/>
      <w:lvlRestart w:val="0"/>
      <w:pStyle w:val="DHHSbullet1lastline"/>
      <w:lvlText w:val="•"/>
      <w:lvlJc w:val="left"/>
      <w:pPr>
        <w:ind w:left="426" w:hanging="284"/>
      </w:pPr>
      <w:rPr>
        <w:rFonts w:ascii="Calibri" w:hAnsi="Calibri" w:hint="default"/>
      </w:rPr>
    </w:lvl>
    <w:lvl w:ilvl="2">
      <w:start w:val="1"/>
      <w:numFmt w:val="bullet"/>
      <w:lvlRestart w:val="0"/>
      <w:pStyle w:val="DHHSbullet2"/>
      <w:lvlText w:val="–"/>
      <w:lvlJc w:val="left"/>
      <w:pPr>
        <w:ind w:left="709" w:hanging="283"/>
      </w:pPr>
      <w:rPr>
        <w:rFonts w:ascii="Arial" w:hAnsi="Arial" w:hint="default"/>
      </w:rPr>
    </w:lvl>
    <w:lvl w:ilvl="3">
      <w:start w:val="1"/>
      <w:numFmt w:val="bullet"/>
      <w:lvlRestart w:val="0"/>
      <w:pStyle w:val="DHHSbullet2lastline"/>
      <w:lvlText w:val="–"/>
      <w:lvlJc w:val="left"/>
      <w:pPr>
        <w:ind w:left="709" w:hanging="283"/>
      </w:pPr>
      <w:rPr>
        <w:rFonts w:ascii="Arial" w:hAnsi="Arial" w:hint="default"/>
      </w:rPr>
    </w:lvl>
    <w:lvl w:ilvl="4">
      <w:start w:val="1"/>
      <w:numFmt w:val="bullet"/>
      <w:lvlRestart w:val="0"/>
      <w:pStyle w:val="DHHSbulletindent"/>
      <w:lvlText w:val="•"/>
      <w:lvlJc w:val="left"/>
      <w:pPr>
        <w:ind w:left="822" w:hanging="283"/>
      </w:pPr>
      <w:rPr>
        <w:rFonts w:ascii="Calibri" w:hAnsi="Calibri" w:hint="default"/>
      </w:rPr>
    </w:lvl>
    <w:lvl w:ilvl="5">
      <w:start w:val="1"/>
      <w:numFmt w:val="bullet"/>
      <w:lvlRestart w:val="0"/>
      <w:pStyle w:val="DHHSbulletindentlastline"/>
      <w:lvlText w:val="•"/>
      <w:lvlJc w:val="left"/>
      <w:pPr>
        <w:ind w:left="822" w:hanging="283"/>
      </w:pPr>
      <w:rPr>
        <w:rFonts w:ascii="Calibri" w:hAnsi="Calibri" w:hint="default"/>
      </w:rPr>
    </w:lvl>
    <w:lvl w:ilvl="6">
      <w:start w:val="1"/>
      <w:numFmt w:val="bullet"/>
      <w:lvlRestart w:val="0"/>
      <w:pStyle w:val="DHHStablebullet"/>
      <w:lvlText w:val="•"/>
      <w:lvlJc w:val="left"/>
      <w:pPr>
        <w:ind w:left="369" w:hanging="227"/>
      </w:pPr>
      <w:rPr>
        <w:rFonts w:ascii="Calibri" w:hAnsi="Calibri" w:hint="default"/>
      </w:rPr>
    </w:lvl>
    <w:lvl w:ilvl="7">
      <w:start w:val="1"/>
      <w:numFmt w:val="none"/>
      <w:lvlRestart w:val="0"/>
      <w:lvlText w:val=""/>
      <w:lvlJc w:val="left"/>
      <w:pPr>
        <w:ind w:left="142" w:firstLine="0"/>
      </w:pPr>
      <w:rPr>
        <w:rFonts w:hint="default"/>
      </w:rPr>
    </w:lvl>
    <w:lvl w:ilvl="8">
      <w:start w:val="1"/>
      <w:numFmt w:val="none"/>
      <w:lvlRestart w:val="0"/>
      <w:lvlText w:val=""/>
      <w:lvlJc w:val="left"/>
      <w:pPr>
        <w:ind w:left="142" w:firstLine="0"/>
      </w:pPr>
      <w:rPr>
        <w:rFonts w:hint="default"/>
      </w:rPr>
    </w:lvl>
  </w:abstractNum>
  <w:abstractNum w:abstractNumId="7" w15:restartNumberingAfterBreak="0">
    <w:nsid w:val="55847E06"/>
    <w:multiLevelType w:val="hybridMultilevel"/>
    <w:tmpl w:val="4E42C1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90B46EF"/>
    <w:multiLevelType w:val="hybridMultilevel"/>
    <w:tmpl w:val="D94CE8DE"/>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5EA53ACB"/>
    <w:multiLevelType w:val="hybridMultilevel"/>
    <w:tmpl w:val="097295E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69430726"/>
    <w:multiLevelType w:val="hybridMultilevel"/>
    <w:tmpl w:val="167629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4B35477"/>
    <w:multiLevelType w:val="hybridMultilevel"/>
    <w:tmpl w:val="27E4B9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8371CDF"/>
    <w:multiLevelType w:val="hybridMultilevel"/>
    <w:tmpl w:val="9F7E2C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6"/>
  </w:num>
  <w:num w:numId="2">
    <w:abstractNumId w:val="5"/>
  </w:num>
  <w:num w:numId="3">
    <w:abstractNumId w:val="9"/>
  </w:num>
  <w:num w:numId="4">
    <w:abstractNumId w:val="4"/>
  </w:num>
  <w:num w:numId="5">
    <w:abstractNumId w:val="12"/>
  </w:num>
  <w:num w:numId="6">
    <w:abstractNumId w:val="0"/>
  </w:num>
  <w:num w:numId="7">
    <w:abstractNumId w:val="7"/>
  </w:num>
  <w:num w:numId="8">
    <w:abstractNumId w:val="8"/>
  </w:num>
  <w:num w:numId="9">
    <w:abstractNumId w:val="10"/>
  </w:num>
  <w:num w:numId="10">
    <w:abstractNumId w:val="1"/>
  </w:num>
  <w:num w:numId="11">
    <w:abstractNumId w:val="11"/>
  </w:num>
  <w:num w:numId="12">
    <w:abstractNumId w:val="3"/>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5"/>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2A3"/>
    <w:rsid w:val="000072B6"/>
    <w:rsid w:val="00007F20"/>
    <w:rsid w:val="0001021B"/>
    <w:rsid w:val="00010361"/>
    <w:rsid w:val="00010E41"/>
    <w:rsid w:val="00011078"/>
    <w:rsid w:val="000111DB"/>
    <w:rsid w:val="00011D89"/>
    <w:rsid w:val="00013103"/>
    <w:rsid w:val="00013760"/>
    <w:rsid w:val="00013987"/>
    <w:rsid w:val="00013BE6"/>
    <w:rsid w:val="0001446D"/>
    <w:rsid w:val="00014FEE"/>
    <w:rsid w:val="0001665B"/>
    <w:rsid w:val="0001666C"/>
    <w:rsid w:val="000167A3"/>
    <w:rsid w:val="00024C41"/>
    <w:rsid w:val="00024D89"/>
    <w:rsid w:val="000250B6"/>
    <w:rsid w:val="0003065C"/>
    <w:rsid w:val="00031646"/>
    <w:rsid w:val="00033D81"/>
    <w:rsid w:val="000342BC"/>
    <w:rsid w:val="0003459D"/>
    <w:rsid w:val="00034AB1"/>
    <w:rsid w:val="00034E64"/>
    <w:rsid w:val="00036D31"/>
    <w:rsid w:val="00041BF0"/>
    <w:rsid w:val="00042996"/>
    <w:rsid w:val="000438EF"/>
    <w:rsid w:val="00043D24"/>
    <w:rsid w:val="0004455C"/>
    <w:rsid w:val="00044FE8"/>
    <w:rsid w:val="0004536B"/>
    <w:rsid w:val="00045E3B"/>
    <w:rsid w:val="00045E69"/>
    <w:rsid w:val="00046B68"/>
    <w:rsid w:val="00047CB9"/>
    <w:rsid w:val="0005090C"/>
    <w:rsid w:val="000527DD"/>
    <w:rsid w:val="00055C39"/>
    <w:rsid w:val="0005603D"/>
    <w:rsid w:val="000578B2"/>
    <w:rsid w:val="00060959"/>
    <w:rsid w:val="00061532"/>
    <w:rsid w:val="000615F6"/>
    <w:rsid w:val="000648E4"/>
    <w:rsid w:val="000648E7"/>
    <w:rsid w:val="0006514E"/>
    <w:rsid w:val="00065827"/>
    <w:rsid w:val="000663CD"/>
    <w:rsid w:val="000733FE"/>
    <w:rsid w:val="00074219"/>
    <w:rsid w:val="0007447C"/>
    <w:rsid w:val="00074ED5"/>
    <w:rsid w:val="000833B6"/>
    <w:rsid w:val="00083D47"/>
    <w:rsid w:val="0009113B"/>
    <w:rsid w:val="00091A56"/>
    <w:rsid w:val="0009339F"/>
    <w:rsid w:val="00093712"/>
    <w:rsid w:val="00094DA3"/>
    <w:rsid w:val="00096717"/>
    <w:rsid w:val="00096CD1"/>
    <w:rsid w:val="000A012C"/>
    <w:rsid w:val="000A0EB9"/>
    <w:rsid w:val="000A186C"/>
    <w:rsid w:val="000A6C60"/>
    <w:rsid w:val="000A704F"/>
    <w:rsid w:val="000A7B9C"/>
    <w:rsid w:val="000A7FB3"/>
    <w:rsid w:val="000B2CCC"/>
    <w:rsid w:val="000B345B"/>
    <w:rsid w:val="000B3886"/>
    <w:rsid w:val="000B3DFF"/>
    <w:rsid w:val="000B4593"/>
    <w:rsid w:val="000B486F"/>
    <w:rsid w:val="000B49C3"/>
    <w:rsid w:val="000B543D"/>
    <w:rsid w:val="000B5BF7"/>
    <w:rsid w:val="000B6BC8"/>
    <w:rsid w:val="000B6CCC"/>
    <w:rsid w:val="000C197A"/>
    <w:rsid w:val="000C2563"/>
    <w:rsid w:val="000C42EA"/>
    <w:rsid w:val="000C4546"/>
    <w:rsid w:val="000C5227"/>
    <w:rsid w:val="000C6FE8"/>
    <w:rsid w:val="000D1242"/>
    <w:rsid w:val="000D1423"/>
    <w:rsid w:val="000D48DD"/>
    <w:rsid w:val="000D675F"/>
    <w:rsid w:val="000D6DCA"/>
    <w:rsid w:val="000E1764"/>
    <w:rsid w:val="000E1BD4"/>
    <w:rsid w:val="000E1ECA"/>
    <w:rsid w:val="000E3CC7"/>
    <w:rsid w:val="000E5F68"/>
    <w:rsid w:val="000E6BD4"/>
    <w:rsid w:val="000F18BC"/>
    <w:rsid w:val="000F1F1E"/>
    <w:rsid w:val="000F2259"/>
    <w:rsid w:val="000F3016"/>
    <w:rsid w:val="000F545F"/>
    <w:rsid w:val="000F5C1B"/>
    <w:rsid w:val="000F6B56"/>
    <w:rsid w:val="001037F8"/>
    <w:rsid w:val="0010392D"/>
    <w:rsid w:val="0010408F"/>
    <w:rsid w:val="0010447F"/>
    <w:rsid w:val="00104FE3"/>
    <w:rsid w:val="00105296"/>
    <w:rsid w:val="001060F5"/>
    <w:rsid w:val="0011159C"/>
    <w:rsid w:val="00112023"/>
    <w:rsid w:val="00112772"/>
    <w:rsid w:val="00112912"/>
    <w:rsid w:val="00112ACD"/>
    <w:rsid w:val="0011332A"/>
    <w:rsid w:val="00114096"/>
    <w:rsid w:val="00115F75"/>
    <w:rsid w:val="00115FE5"/>
    <w:rsid w:val="0011718A"/>
    <w:rsid w:val="0011765D"/>
    <w:rsid w:val="00120BD3"/>
    <w:rsid w:val="00122FEA"/>
    <w:rsid w:val="001232BD"/>
    <w:rsid w:val="0012347B"/>
    <w:rsid w:val="00123961"/>
    <w:rsid w:val="00123BB3"/>
    <w:rsid w:val="00124ED5"/>
    <w:rsid w:val="0013108A"/>
    <w:rsid w:val="00131D70"/>
    <w:rsid w:val="0013318F"/>
    <w:rsid w:val="0013636D"/>
    <w:rsid w:val="00137D3C"/>
    <w:rsid w:val="001429AF"/>
    <w:rsid w:val="00142D79"/>
    <w:rsid w:val="001447B3"/>
    <w:rsid w:val="00145C76"/>
    <w:rsid w:val="0014798E"/>
    <w:rsid w:val="00151234"/>
    <w:rsid w:val="00152073"/>
    <w:rsid w:val="00152CC6"/>
    <w:rsid w:val="00153137"/>
    <w:rsid w:val="00161939"/>
    <w:rsid w:val="00161AA0"/>
    <w:rsid w:val="00161ED1"/>
    <w:rsid w:val="00162093"/>
    <w:rsid w:val="001650EE"/>
    <w:rsid w:val="001654B8"/>
    <w:rsid w:val="00166F46"/>
    <w:rsid w:val="00167FFD"/>
    <w:rsid w:val="00171573"/>
    <w:rsid w:val="00172F6F"/>
    <w:rsid w:val="001744F4"/>
    <w:rsid w:val="00174D56"/>
    <w:rsid w:val="00175012"/>
    <w:rsid w:val="001752AD"/>
    <w:rsid w:val="001771DD"/>
    <w:rsid w:val="00177281"/>
    <w:rsid w:val="00177995"/>
    <w:rsid w:val="00177A8C"/>
    <w:rsid w:val="00186B33"/>
    <w:rsid w:val="00190F4D"/>
    <w:rsid w:val="0019142B"/>
    <w:rsid w:val="001916EF"/>
    <w:rsid w:val="001918CE"/>
    <w:rsid w:val="001926A8"/>
    <w:rsid w:val="00192F9D"/>
    <w:rsid w:val="00196A66"/>
    <w:rsid w:val="00196EB8"/>
    <w:rsid w:val="00196EFB"/>
    <w:rsid w:val="001979FF"/>
    <w:rsid w:val="00197B17"/>
    <w:rsid w:val="001A033E"/>
    <w:rsid w:val="001A120F"/>
    <w:rsid w:val="001A227B"/>
    <w:rsid w:val="001A3ACE"/>
    <w:rsid w:val="001A4DB1"/>
    <w:rsid w:val="001A677A"/>
    <w:rsid w:val="001B2F83"/>
    <w:rsid w:val="001B6C8C"/>
    <w:rsid w:val="001B7CA5"/>
    <w:rsid w:val="001B7CD7"/>
    <w:rsid w:val="001C277E"/>
    <w:rsid w:val="001C2A72"/>
    <w:rsid w:val="001D0B75"/>
    <w:rsid w:val="001D2A9D"/>
    <w:rsid w:val="001D2F32"/>
    <w:rsid w:val="001D3C09"/>
    <w:rsid w:val="001D44E8"/>
    <w:rsid w:val="001D60EC"/>
    <w:rsid w:val="001D69EE"/>
    <w:rsid w:val="001E2BC2"/>
    <w:rsid w:val="001E44DF"/>
    <w:rsid w:val="001E68A5"/>
    <w:rsid w:val="001E6A04"/>
    <w:rsid w:val="001E6BB0"/>
    <w:rsid w:val="001F1B5C"/>
    <w:rsid w:val="001F3826"/>
    <w:rsid w:val="001F6177"/>
    <w:rsid w:val="001F6E46"/>
    <w:rsid w:val="001F7C91"/>
    <w:rsid w:val="00201BE7"/>
    <w:rsid w:val="00206463"/>
    <w:rsid w:val="0020673A"/>
    <w:rsid w:val="00206F2F"/>
    <w:rsid w:val="0021053D"/>
    <w:rsid w:val="00210A92"/>
    <w:rsid w:val="00213D9B"/>
    <w:rsid w:val="00216C03"/>
    <w:rsid w:val="00217A15"/>
    <w:rsid w:val="00220C04"/>
    <w:rsid w:val="00221D1D"/>
    <w:rsid w:val="0022278D"/>
    <w:rsid w:val="002251FF"/>
    <w:rsid w:val="00225DBF"/>
    <w:rsid w:val="00226B80"/>
    <w:rsid w:val="0022701F"/>
    <w:rsid w:val="00227B73"/>
    <w:rsid w:val="00231D43"/>
    <w:rsid w:val="00232421"/>
    <w:rsid w:val="00232BDC"/>
    <w:rsid w:val="0023325E"/>
    <w:rsid w:val="002333F5"/>
    <w:rsid w:val="00233724"/>
    <w:rsid w:val="00236CE6"/>
    <w:rsid w:val="00241222"/>
    <w:rsid w:val="002432E1"/>
    <w:rsid w:val="00245BF1"/>
    <w:rsid w:val="00246207"/>
    <w:rsid w:val="00246C5E"/>
    <w:rsid w:val="00251343"/>
    <w:rsid w:val="002515BE"/>
    <w:rsid w:val="0025284E"/>
    <w:rsid w:val="00253094"/>
    <w:rsid w:val="00253BDE"/>
    <w:rsid w:val="002541AB"/>
    <w:rsid w:val="00254F58"/>
    <w:rsid w:val="00256FEF"/>
    <w:rsid w:val="00257478"/>
    <w:rsid w:val="002612EF"/>
    <w:rsid w:val="002620BC"/>
    <w:rsid w:val="00262802"/>
    <w:rsid w:val="00262B03"/>
    <w:rsid w:val="00263A90"/>
    <w:rsid w:val="00263D69"/>
    <w:rsid w:val="0026408B"/>
    <w:rsid w:val="00265DC9"/>
    <w:rsid w:val="00267C3E"/>
    <w:rsid w:val="002709BB"/>
    <w:rsid w:val="002714D5"/>
    <w:rsid w:val="00275A2F"/>
    <w:rsid w:val="002763B3"/>
    <w:rsid w:val="00276E43"/>
    <w:rsid w:val="00280286"/>
    <w:rsid w:val="002802E3"/>
    <w:rsid w:val="002805FD"/>
    <w:rsid w:val="00280734"/>
    <w:rsid w:val="0028213D"/>
    <w:rsid w:val="002837E3"/>
    <w:rsid w:val="002855DA"/>
    <w:rsid w:val="002862F1"/>
    <w:rsid w:val="002877F2"/>
    <w:rsid w:val="0028795B"/>
    <w:rsid w:val="00290F91"/>
    <w:rsid w:val="00291373"/>
    <w:rsid w:val="0029187D"/>
    <w:rsid w:val="0029597D"/>
    <w:rsid w:val="002962C3"/>
    <w:rsid w:val="0029752B"/>
    <w:rsid w:val="00297A9A"/>
    <w:rsid w:val="00297FA6"/>
    <w:rsid w:val="002A0853"/>
    <w:rsid w:val="002A1720"/>
    <w:rsid w:val="002A3D0C"/>
    <w:rsid w:val="002A45CF"/>
    <w:rsid w:val="002A483C"/>
    <w:rsid w:val="002A48FE"/>
    <w:rsid w:val="002B1729"/>
    <w:rsid w:val="002B2AFF"/>
    <w:rsid w:val="002B36C7"/>
    <w:rsid w:val="002B3F67"/>
    <w:rsid w:val="002B4DD4"/>
    <w:rsid w:val="002B5277"/>
    <w:rsid w:val="002B5375"/>
    <w:rsid w:val="002B67D9"/>
    <w:rsid w:val="002B6BEC"/>
    <w:rsid w:val="002B71AA"/>
    <w:rsid w:val="002B77C1"/>
    <w:rsid w:val="002C2728"/>
    <w:rsid w:val="002C5297"/>
    <w:rsid w:val="002C6AC6"/>
    <w:rsid w:val="002D3FDE"/>
    <w:rsid w:val="002D4269"/>
    <w:rsid w:val="002D5006"/>
    <w:rsid w:val="002E01D0"/>
    <w:rsid w:val="002E161D"/>
    <w:rsid w:val="002E189C"/>
    <w:rsid w:val="002E3100"/>
    <w:rsid w:val="002E6C95"/>
    <w:rsid w:val="002E7C36"/>
    <w:rsid w:val="002F2145"/>
    <w:rsid w:val="002F2E30"/>
    <w:rsid w:val="002F5F31"/>
    <w:rsid w:val="002F5F46"/>
    <w:rsid w:val="00300A98"/>
    <w:rsid w:val="00300AA5"/>
    <w:rsid w:val="00300DDD"/>
    <w:rsid w:val="00302216"/>
    <w:rsid w:val="0030248F"/>
    <w:rsid w:val="00303E53"/>
    <w:rsid w:val="00304D7A"/>
    <w:rsid w:val="00306E5F"/>
    <w:rsid w:val="00307E14"/>
    <w:rsid w:val="0031294C"/>
    <w:rsid w:val="00314054"/>
    <w:rsid w:val="00314521"/>
    <w:rsid w:val="00315C5F"/>
    <w:rsid w:val="00316F27"/>
    <w:rsid w:val="00321A65"/>
    <w:rsid w:val="00325FFE"/>
    <w:rsid w:val="00327870"/>
    <w:rsid w:val="003324BC"/>
    <w:rsid w:val="0033259D"/>
    <w:rsid w:val="00333BFB"/>
    <w:rsid w:val="0034033E"/>
    <w:rsid w:val="003406C6"/>
    <w:rsid w:val="003418CC"/>
    <w:rsid w:val="00341E8F"/>
    <w:rsid w:val="003428D2"/>
    <w:rsid w:val="003459BD"/>
    <w:rsid w:val="00350D38"/>
    <w:rsid w:val="00351B36"/>
    <w:rsid w:val="00351C3D"/>
    <w:rsid w:val="00355BDA"/>
    <w:rsid w:val="00357B4E"/>
    <w:rsid w:val="00363ACB"/>
    <w:rsid w:val="00365447"/>
    <w:rsid w:val="003670EF"/>
    <w:rsid w:val="00367A9B"/>
    <w:rsid w:val="003712FE"/>
    <w:rsid w:val="0037303E"/>
    <w:rsid w:val="00373E2A"/>
    <w:rsid w:val="003744CF"/>
    <w:rsid w:val="00374717"/>
    <w:rsid w:val="00374778"/>
    <w:rsid w:val="0037676C"/>
    <w:rsid w:val="00380561"/>
    <w:rsid w:val="003829E5"/>
    <w:rsid w:val="00383110"/>
    <w:rsid w:val="00384EDC"/>
    <w:rsid w:val="00387E70"/>
    <w:rsid w:val="003927E2"/>
    <w:rsid w:val="00393BEC"/>
    <w:rsid w:val="00393C31"/>
    <w:rsid w:val="003956CC"/>
    <w:rsid w:val="00395C9A"/>
    <w:rsid w:val="003A0F06"/>
    <w:rsid w:val="003A4342"/>
    <w:rsid w:val="003A5880"/>
    <w:rsid w:val="003A6295"/>
    <w:rsid w:val="003A66C8"/>
    <w:rsid w:val="003A6B67"/>
    <w:rsid w:val="003B144A"/>
    <w:rsid w:val="003B15E6"/>
    <w:rsid w:val="003B21BB"/>
    <w:rsid w:val="003B21DF"/>
    <w:rsid w:val="003B26BB"/>
    <w:rsid w:val="003B2D1C"/>
    <w:rsid w:val="003B2DFF"/>
    <w:rsid w:val="003B7A85"/>
    <w:rsid w:val="003C02A6"/>
    <w:rsid w:val="003C2045"/>
    <w:rsid w:val="003C2687"/>
    <w:rsid w:val="003C433F"/>
    <w:rsid w:val="003C43A1"/>
    <w:rsid w:val="003C4FC0"/>
    <w:rsid w:val="003C55F4"/>
    <w:rsid w:val="003C7A3F"/>
    <w:rsid w:val="003D0E1C"/>
    <w:rsid w:val="003D2766"/>
    <w:rsid w:val="003D2CE1"/>
    <w:rsid w:val="003D36F8"/>
    <w:rsid w:val="003D3E8F"/>
    <w:rsid w:val="003D6475"/>
    <w:rsid w:val="003E0540"/>
    <w:rsid w:val="003E4D7D"/>
    <w:rsid w:val="003E7AA5"/>
    <w:rsid w:val="003F0445"/>
    <w:rsid w:val="003F07AB"/>
    <w:rsid w:val="003F0CF0"/>
    <w:rsid w:val="003F14B1"/>
    <w:rsid w:val="003F3289"/>
    <w:rsid w:val="003F4940"/>
    <w:rsid w:val="003F50C7"/>
    <w:rsid w:val="00401FCF"/>
    <w:rsid w:val="0040543E"/>
    <w:rsid w:val="00406285"/>
    <w:rsid w:val="00407AC8"/>
    <w:rsid w:val="00407F2B"/>
    <w:rsid w:val="00410E7B"/>
    <w:rsid w:val="004148F9"/>
    <w:rsid w:val="004149B5"/>
    <w:rsid w:val="00414A73"/>
    <w:rsid w:val="00414C6B"/>
    <w:rsid w:val="00416B5E"/>
    <w:rsid w:val="0042084E"/>
    <w:rsid w:val="00421EEF"/>
    <w:rsid w:val="00421F5C"/>
    <w:rsid w:val="00422CE2"/>
    <w:rsid w:val="00424D65"/>
    <w:rsid w:val="0042594C"/>
    <w:rsid w:val="00425F90"/>
    <w:rsid w:val="00430864"/>
    <w:rsid w:val="00431926"/>
    <w:rsid w:val="00440BD9"/>
    <w:rsid w:val="00440E52"/>
    <w:rsid w:val="00441FBA"/>
    <w:rsid w:val="00442C6C"/>
    <w:rsid w:val="00443CBE"/>
    <w:rsid w:val="00443E8A"/>
    <w:rsid w:val="004441BC"/>
    <w:rsid w:val="00444825"/>
    <w:rsid w:val="00445490"/>
    <w:rsid w:val="004468B4"/>
    <w:rsid w:val="0044774A"/>
    <w:rsid w:val="00450804"/>
    <w:rsid w:val="0045230A"/>
    <w:rsid w:val="00455D76"/>
    <w:rsid w:val="00457337"/>
    <w:rsid w:val="00464847"/>
    <w:rsid w:val="00465737"/>
    <w:rsid w:val="00470878"/>
    <w:rsid w:val="00472CCD"/>
    <w:rsid w:val="0047372D"/>
    <w:rsid w:val="004743DD"/>
    <w:rsid w:val="00474CEA"/>
    <w:rsid w:val="00482276"/>
    <w:rsid w:val="00482697"/>
    <w:rsid w:val="004832F5"/>
    <w:rsid w:val="00483968"/>
    <w:rsid w:val="004842CD"/>
    <w:rsid w:val="00484F86"/>
    <w:rsid w:val="004902F6"/>
    <w:rsid w:val="00490746"/>
    <w:rsid w:val="00490852"/>
    <w:rsid w:val="004921B6"/>
    <w:rsid w:val="00492F30"/>
    <w:rsid w:val="004946F4"/>
    <w:rsid w:val="0049487E"/>
    <w:rsid w:val="00495A50"/>
    <w:rsid w:val="004A0825"/>
    <w:rsid w:val="004A160D"/>
    <w:rsid w:val="004A3E81"/>
    <w:rsid w:val="004A5C62"/>
    <w:rsid w:val="004A707D"/>
    <w:rsid w:val="004A7DF3"/>
    <w:rsid w:val="004B1054"/>
    <w:rsid w:val="004B7AB4"/>
    <w:rsid w:val="004C38FC"/>
    <w:rsid w:val="004C5B19"/>
    <w:rsid w:val="004C6E5F"/>
    <w:rsid w:val="004C6EEE"/>
    <w:rsid w:val="004C702B"/>
    <w:rsid w:val="004D016B"/>
    <w:rsid w:val="004D0D6A"/>
    <w:rsid w:val="004D1B22"/>
    <w:rsid w:val="004D27C9"/>
    <w:rsid w:val="004D28EA"/>
    <w:rsid w:val="004D36F2"/>
    <w:rsid w:val="004D3936"/>
    <w:rsid w:val="004D4835"/>
    <w:rsid w:val="004D62CB"/>
    <w:rsid w:val="004E0855"/>
    <w:rsid w:val="004E138F"/>
    <w:rsid w:val="004E423A"/>
    <w:rsid w:val="004E4649"/>
    <w:rsid w:val="004E5C2B"/>
    <w:rsid w:val="004F00DD"/>
    <w:rsid w:val="004F1B52"/>
    <w:rsid w:val="004F2133"/>
    <w:rsid w:val="004F2B50"/>
    <w:rsid w:val="004F55F1"/>
    <w:rsid w:val="004F6936"/>
    <w:rsid w:val="004F6DBA"/>
    <w:rsid w:val="004F72B2"/>
    <w:rsid w:val="00500A7D"/>
    <w:rsid w:val="005019A6"/>
    <w:rsid w:val="00501BBF"/>
    <w:rsid w:val="00503186"/>
    <w:rsid w:val="00503DC6"/>
    <w:rsid w:val="00503E71"/>
    <w:rsid w:val="00505037"/>
    <w:rsid w:val="00506F5D"/>
    <w:rsid w:val="00511BB7"/>
    <w:rsid w:val="00511F1D"/>
    <w:rsid w:val="00512088"/>
    <w:rsid w:val="005126D0"/>
    <w:rsid w:val="00514F2E"/>
    <w:rsid w:val="0051568D"/>
    <w:rsid w:val="005158A6"/>
    <w:rsid w:val="00517A72"/>
    <w:rsid w:val="0052271A"/>
    <w:rsid w:val="00523DBC"/>
    <w:rsid w:val="00524784"/>
    <w:rsid w:val="00525580"/>
    <w:rsid w:val="00526BE2"/>
    <w:rsid w:val="00526C15"/>
    <w:rsid w:val="0052744C"/>
    <w:rsid w:val="0053169A"/>
    <w:rsid w:val="005330A0"/>
    <w:rsid w:val="00533C94"/>
    <w:rsid w:val="00533E55"/>
    <w:rsid w:val="005343B8"/>
    <w:rsid w:val="00535440"/>
    <w:rsid w:val="00536499"/>
    <w:rsid w:val="00536574"/>
    <w:rsid w:val="0054031D"/>
    <w:rsid w:val="0054033B"/>
    <w:rsid w:val="00543903"/>
    <w:rsid w:val="00543F11"/>
    <w:rsid w:val="0054552C"/>
    <w:rsid w:val="00547A95"/>
    <w:rsid w:val="00555614"/>
    <w:rsid w:val="0055734D"/>
    <w:rsid w:val="00557AE2"/>
    <w:rsid w:val="00561A8B"/>
    <w:rsid w:val="005640A7"/>
    <w:rsid w:val="00564A1B"/>
    <w:rsid w:val="00566D25"/>
    <w:rsid w:val="005710CF"/>
    <w:rsid w:val="00572031"/>
    <w:rsid w:val="00572E03"/>
    <w:rsid w:val="00574B3B"/>
    <w:rsid w:val="00576E84"/>
    <w:rsid w:val="00580C25"/>
    <w:rsid w:val="00581297"/>
    <w:rsid w:val="00582B8C"/>
    <w:rsid w:val="0058630C"/>
    <w:rsid w:val="0058660D"/>
    <w:rsid w:val="00587247"/>
    <w:rsid w:val="0058757E"/>
    <w:rsid w:val="0059065E"/>
    <w:rsid w:val="00591DBE"/>
    <w:rsid w:val="00593EFA"/>
    <w:rsid w:val="00596A4B"/>
    <w:rsid w:val="00597507"/>
    <w:rsid w:val="005A0DD1"/>
    <w:rsid w:val="005A2C5B"/>
    <w:rsid w:val="005A6CC4"/>
    <w:rsid w:val="005B21B6"/>
    <w:rsid w:val="005B32A5"/>
    <w:rsid w:val="005B3A08"/>
    <w:rsid w:val="005B59D7"/>
    <w:rsid w:val="005B7A63"/>
    <w:rsid w:val="005B7AB5"/>
    <w:rsid w:val="005C001D"/>
    <w:rsid w:val="005C0955"/>
    <w:rsid w:val="005C0D62"/>
    <w:rsid w:val="005C3F10"/>
    <w:rsid w:val="005C49DA"/>
    <w:rsid w:val="005C50F3"/>
    <w:rsid w:val="005C5D91"/>
    <w:rsid w:val="005D077C"/>
    <w:rsid w:val="005D07B8"/>
    <w:rsid w:val="005D2102"/>
    <w:rsid w:val="005D4555"/>
    <w:rsid w:val="005D46F1"/>
    <w:rsid w:val="005D6597"/>
    <w:rsid w:val="005E12D5"/>
    <w:rsid w:val="005E14E7"/>
    <w:rsid w:val="005E26A3"/>
    <w:rsid w:val="005E447E"/>
    <w:rsid w:val="005F0775"/>
    <w:rsid w:val="005F0CF5"/>
    <w:rsid w:val="005F21EB"/>
    <w:rsid w:val="005F277B"/>
    <w:rsid w:val="005F6D3D"/>
    <w:rsid w:val="00602F72"/>
    <w:rsid w:val="00604D65"/>
    <w:rsid w:val="00605908"/>
    <w:rsid w:val="0060713A"/>
    <w:rsid w:val="00610280"/>
    <w:rsid w:val="00610C06"/>
    <w:rsid w:val="00610D7C"/>
    <w:rsid w:val="0061161E"/>
    <w:rsid w:val="00613414"/>
    <w:rsid w:val="00614E8F"/>
    <w:rsid w:val="0062058C"/>
    <w:rsid w:val="00621F21"/>
    <w:rsid w:val="00623366"/>
    <w:rsid w:val="006236A7"/>
    <w:rsid w:val="00623A95"/>
    <w:rsid w:val="0062408D"/>
    <w:rsid w:val="006240CC"/>
    <w:rsid w:val="006262A7"/>
    <w:rsid w:val="00627960"/>
    <w:rsid w:val="00627DA7"/>
    <w:rsid w:val="00632345"/>
    <w:rsid w:val="00634134"/>
    <w:rsid w:val="006352B7"/>
    <w:rsid w:val="006358B4"/>
    <w:rsid w:val="006419AA"/>
    <w:rsid w:val="0064376D"/>
    <w:rsid w:val="006437B8"/>
    <w:rsid w:val="00644222"/>
    <w:rsid w:val="00644B7E"/>
    <w:rsid w:val="006454E6"/>
    <w:rsid w:val="00645BAA"/>
    <w:rsid w:val="00646A68"/>
    <w:rsid w:val="006474A9"/>
    <w:rsid w:val="00650608"/>
    <w:rsid w:val="0065092E"/>
    <w:rsid w:val="00650ED8"/>
    <w:rsid w:val="00652E87"/>
    <w:rsid w:val="00652FCD"/>
    <w:rsid w:val="006557A7"/>
    <w:rsid w:val="00656290"/>
    <w:rsid w:val="00657FF7"/>
    <w:rsid w:val="006607B5"/>
    <w:rsid w:val="00661079"/>
    <w:rsid w:val="006615F3"/>
    <w:rsid w:val="006621D7"/>
    <w:rsid w:val="00662709"/>
    <w:rsid w:val="0066302A"/>
    <w:rsid w:val="006637DC"/>
    <w:rsid w:val="00670597"/>
    <w:rsid w:val="006706D0"/>
    <w:rsid w:val="00670ACB"/>
    <w:rsid w:val="006738DD"/>
    <w:rsid w:val="00677574"/>
    <w:rsid w:val="00682548"/>
    <w:rsid w:val="0068454C"/>
    <w:rsid w:val="00686F79"/>
    <w:rsid w:val="00691B62"/>
    <w:rsid w:val="0069297B"/>
    <w:rsid w:val="006933B5"/>
    <w:rsid w:val="00693B47"/>
    <w:rsid w:val="00693D14"/>
    <w:rsid w:val="00694322"/>
    <w:rsid w:val="00694E35"/>
    <w:rsid w:val="00695BF3"/>
    <w:rsid w:val="00696284"/>
    <w:rsid w:val="00697416"/>
    <w:rsid w:val="006A0B51"/>
    <w:rsid w:val="006A18C2"/>
    <w:rsid w:val="006A29BB"/>
    <w:rsid w:val="006A2BEB"/>
    <w:rsid w:val="006A385A"/>
    <w:rsid w:val="006A6443"/>
    <w:rsid w:val="006A6663"/>
    <w:rsid w:val="006B077C"/>
    <w:rsid w:val="006B084C"/>
    <w:rsid w:val="006B1258"/>
    <w:rsid w:val="006B3A1F"/>
    <w:rsid w:val="006B4949"/>
    <w:rsid w:val="006B6803"/>
    <w:rsid w:val="006B7803"/>
    <w:rsid w:val="006C612B"/>
    <w:rsid w:val="006C7224"/>
    <w:rsid w:val="006D2816"/>
    <w:rsid w:val="006D2A3F"/>
    <w:rsid w:val="006D2B8E"/>
    <w:rsid w:val="006D2FBC"/>
    <w:rsid w:val="006D3957"/>
    <w:rsid w:val="006D3F0A"/>
    <w:rsid w:val="006E138B"/>
    <w:rsid w:val="006E1C08"/>
    <w:rsid w:val="006E20B4"/>
    <w:rsid w:val="006E2963"/>
    <w:rsid w:val="006F0110"/>
    <w:rsid w:val="006F1B73"/>
    <w:rsid w:val="006F1FDC"/>
    <w:rsid w:val="006F5CC0"/>
    <w:rsid w:val="006F7765"/>
    <w:rsid w:val="00700657"/>
    <w:rsid w:val="00700BB2"/>
    <w:rsid w:val="00700E7F"/>
    <w:rsid w:val="007013EF"/>
    <w:rsid w:val="00704A92"/>
    <w:rsid w:val="007056DB"/>
    <w:rsid w:val="00705D06"/>
    <w:rsid w:val="0070684B"/>
    <w:rsid w:val="00710E44"/>
    <w:rsid w:val="007173CA"/>
    <w:rsid w:val="00720889"/>
    <w:rsid w:val="007216AA"/>
    <w:rsid w:val="007217A5"/>
    <w:rsid w:val="007217B4"/>
    <w:rsid w:val="00721AB5"/>
    <w:rsid w:val="00721DEF"/>
    <w:rsid w:val="00724A43"/>
    <w:rsid w:val="00726A19"/>
    <w:rsid w:val="0073178B"/>
    <w:rsid w:val="00732AAC"/>
    <w:rsid w:val="00732EE9"/>
    <w:rsid w:val="007346E4"/>
    <w:rsid w:val="00734A6B"/>
    <w:rsid w:val="00737565"/>
    <w:rsid w:val="00740F22"/>
    <w:rsid w:val="007413EC"/>
    <w:rsid w:val="00741F1A"/>
    <w:rsid w:val="007450F8"/>
    <w:rsid w:val="007453A5"/>
    <w:rsid w:val="007468B5"/>
    <w:rsid w:val="0074696E"/>
    <w:rsid w:val="00750135"/>
    <w:rsid w:val="00750A4E"/>
    <w:rsid w:val="00750EC2"/>
    <w:rsid w:val="00752B28"/>
    <w:rsid w:val="00752C86"/>
    <w:rsid w:val="00754E36"/>
    <w:rsid w:val="007627E5"/>
    <w:rsid w:val="00762FCE"/>
    <w:rsid w:val="00763139"/>
    <w:rsid w:val="00763E04"/>
    <w:rsid w:val="00763FFA"/>
    <w:rsid w:val="00770F1C"/>
    <w:rsid w:val="00770F37"/>
    <w:rsid w:val="007711A0"/>
    <w:rsid w:val="00772D5E"/>
    <w:rsid w:val="00776928"/>
    <w:rsid w:val="00777BFB"/>
    <w:rsid w:val="00783C88"/>
    <w:rsid w:val="00785677"/>
    <w:rsid w:val="00786F16"/>
    <w:rsid w:val="00787374"/>
    <w:rsid w:val="00791904"/>
    <w:rsid w:val="00795DC3"/>
    <w:rsid w:val="00796E20"/>
    <w:rsid w:val="00797172"/>
    <w:rsid w:val="00797565"/>
    <w:rsid w:val="00797C32"/>
    <w:rsid w:val="007A08A3"/>
    <w:rsid w:val="007B0914"/>
    <w:rsid w:val="007B1374"/>
    <w:rsid w:val="007B353C"/>
    <w:rsid w:val="007B589F"/>
    <w:rsid w:val="007B6186"/>
    <w:rsid w:val="007B6260"/>
    <w:rsid w:val="007B73BC"/>
    <w:rsid w:val="007C0D3F"/>
    <w:rsid w:val="007C20B9"/>
    <w:rsid w:val="007C2309"/>
    <w:rsid w:val="007C38BB"/>
    <w:rsid w:val="007C5573"/>
    <w:rsid w:val="007C5710"/>
    <w:rsid w:val="007C5DED"/>
    <w:rsid w:val="007C5E58"/>
    <w:rsid w:val="007C6806"/>
    <w:rsid w:val="007C7301"/>
    <w:rsid w:val="007C7859"/>
    <w:rsid w:val="007D19A1"/>
    <w:rsid w:val="007D2BDE"/>
    <w:rsid w:val="007D2FB6"/>
    <w:rsid w:val="007D3CE6"/>
    <w:rsid w:val="007D4222"/>
    <w:rsid w:val="007E0DE2"/>
    <w:rsid w:val="007E0E59"/>
    <w:rsid w:val="007E1373"/>
    <w:rsid w:val="007E19BE"/>
    <w:rsid w:val="007E3B98"/>
    <w:rsid w:val="007E4AE1"/>
    <w:rsid w:val="007F31B6"/>
    <w:rsid w:val="007F3978"/>
    <w:rsid w:val="007F546C"/>
    <w:rsid w:val="007F625F"/>
    <w:rsid w:val="007F665E"/>
    <w:rsid w:val="007F7C66"/>
    <w:rsid w:val="00800384"/>
    <w:rsid w:val="00800412"/>
    <w:rsid w:val="00802844"/>
    <w:rsid w:val="0080587B"/>
    <w:rsid w:val="00806468"/>
    <w:rsid w:val="008128A4"/>
    <w:rsid w:val="00813102"/>
    <w:rsid w:val="0081494F"/>
    <w:rsid w:val="008155F0"/>
    <w:rsid w:val="00815676"/>
    <w:rsid w:val="00815C1D"/>
    <w:rsid w:val="00816735"/>
    <w:rsid w:val="00820141"/>
    <w:rsid w:val="00820E0C"/>
    <w:rsid w:val="00823C6A"/>
    <w:rsid w:val="00825EBC"/>
    <w:rsid w:val="008265E8"/>
    <w:rsid w:val="008338A2"/>
    <w:rsid w:val="0083407D"/>
    <w:rsid w:val="00836B51"/>
    <w:rsid w:val="00841AA9"/>
    <w:rsid w:val="008424E1"/>
    <w:rsid w:val="008431CC"/>
    <w:rsid w:val="0084456B"/>
    <w:rsid w:val="0084519E"/>
    <w:rsid w:val="00846C2C"/>
    <w:rsid w:val="00853EE4"/>
    <w:rsid w:val="00855535"/>
    <w:rsid w:val="00857526"/>
    <w:rsid w:val="0086255E"/>
    <w:rsid w:val="008633F0"/>
    <w:rsid w:val="00863E01"/>
    <w:rsid w:val="0086670B"/>
    <w:rsid w:val="008675D8"/>
    <w:rsid w:val="00867D9D"/>
    <w:rsid w:val="00872E0A"/>
    <w:rsid w:val="00875285"/>
    <w:rsid w:val="008827FD"/>
    <w:rsid w:val="008841FA"/>
    <w:rsid w:val="00884B62"/>
    <w:rsid w:val="0088529C"/>
    <w:rsid w:val="00885A8C"/>
    <w:rsid w:val="00887903"/>
    <w:rsid w:val="0089270A"/>
    <w:rsid w:val="00892EB4"/>
    <w:rsid w:val="00893804"/>
    <w:rsid w:val="00893AF6"/>
    <w:rsid w:val="00894BC4"/>
    <w:rsid w:val="008960AB"/>
    <w:rsid w:val="008978C0"/>
    <w:rsid w:val="00897C8E"/>
    <w:rsid w:val="008A1551"/>
    <w:rsid w:val="008A1B66"/>
    <w:rsid w:val="008A20F3"/>
    <w:rsid w:val="008A2F69"/>
    <w:rsid w:val="008A2FE7"/>
    <w:rsid w:val="008A5216"/>
    <w:rsid w:val="008A54E4"/>
    <w:rsid w:val="008A5B32"/>
    <w:rsid w:val="008A7896"/>
    <w:rsid w:val="008A7980"/>
    <w:rsid w:val="008B1293"/>
    <w:rsid w:val="008B18C1"/>
    <w:rsid w:val="008B2EE4"/>
    <w:rsid w:val="008B30C4"/>
    <w:rsid w:val="008B451D"/>
    <w:rsid w:val="008B4D3D"/>
    <w:rsid w:val="008B57C7"/>
    <w:rsid w:val="008B5D6C"/>
    <w:rsid w:val="008C00B9"/>
    <w:rsid w:val="008C2F92"/>
    <w:rsid w:val="008C3529"/>
    <w:rsid w:val="008C5371"/>
    <w:rsid w:val="008D126D"/>
    <w:rsid w:val="008D1613"/>
    <w:rsid w:val="008D2846"/>
    <w:rsid w:val="008D4236"/>
    <w:rsid w:val="008D462F"/>
    <w:rsid w:val="008D6DCF"/>
    <w:rsid w:val="008D7113"/>
    <w:rsid w:val="008D7B81"/>
    <w:rsid w:val="008E2525"/>
    <w:rsid w:val="008E2B60"/>
    <w:rsid w:val="008E4376"/>
    <w:rsid w:val="008E7A0A"/>
    <w:rsid w:val="008F50DB"/>
    <w:rsid w:val="008F5E5C"/>
    <w:rsid w:val="00900719"/>
    <w:rsid w:val="00900872"/>
    <w:rsid w:val="00900C6A"/>
    <w:rsid w:val="009017AC"/>
    <w:rsid w:val="00904A1C"/>
    <w:rsid w:val="00905030"/>
    <w:rsid w:val="00906490"/>
    <w:rsid w:val="0090678A"/>
    <w:rsid w:val="00907D12"/>
    <w:rsid w:val="009110C8"/>
    <w:rsid w:val="009111B2"/>
    <w:rsid w:val="009111B6"/>
    <w:rsid w:val="0091162C"/>
    <w:rsid w:val="0091192D"/>
    <w:rsid w:val="0091289E"/>
    <w:rsid w:val="00917C66"/>
    <w:rsid w:val="009210CF"/>
    <w:rsid w:val="00921188"/>
    <w:rsid w:val="00924AE1"/>
    <w:rsid w:val="009269B1"/>
    <w:rsid w:val="00926BFB"/>
    <w:rsid w:val="00926C60"/>
    <w:rsid w:val="0092724D"/>
    <w:rsid w:val="00930504"/>
    <w:rsid w:val="009342A3"/>
    <w:rsid w:val="009349A0"/>
    <w:rsid w:val="0093782D"/>
    <w:rsid w:val="00937BD9"/>
    <w:rsid w:val="00940AF2"/>
    <w:rsid w:val="009456A5"/>
    <w:rsid w:val="00950388"/>
    <w:rsid w:val="00950E2C"/>
    <w:rsid w:val="00951D50"/>
    <w:rsid w:val="009525EB"/>
    <w:rsid w:val="009545EE"/>
    <w:rsid w:val="00954874"/>
    <w:rsid w:val="009604E6"/>
    <w:rsid w:val="00961400"/>
    <w:rsid w:val="00962A48"/>
    <w:rsid w:val="00962B0F"/>
    <w:rsid w:val="00963646"/>
    <w:rsid w:val="00965F2E"/>
    <w:rsid w:val="00966910"/>
    <w:rsid w:val="00971012"/>
    <w:rsid w:val="00975635"/>
    <w:rsid w:val="0098006F"/>
    <w:rsid w:val="00981384"/>
    <w:rsid w:val="00981ECA"/>
    <w:rsid w:val="00982444"/>
    <w:rsid w:val="009845FB"/>
    <w:rsid w:val="009853E1"/>
    <w:rsid w:val="0098606E"/>
    <w:rsid w:val="00986A6B"/>
    <w:rsid w:val="00986E6B"/>
    <w:rsid w:val="009874EC"/>
    <w:rsid w:val="00991769"/>
    <w:rsid w:val="009937AD"/>
    <w:rsid w:val="00994386"/>
    <w:rsid w:val="00995850"/>
    <w:rsid w:val="009960E9"/>
    <w:rsid w:val="00996513"/>
    <w:rsid w:val="009A0F6B"/>
    <w:rsid w:val="009A13D8"/>
    <w:rsid w:val="009A279E"/>
    <w:rsid w:val="009B0A6F"/>
    <w:rsid w:val="009B0A94"/>
    <w:rsid w:val="009B0B32"/>
    <w:rsid w:val="009B44E5"/>
    <w:rsid w:val="009B59E9"/>
    <w:rsid w:val="009B70AA"/>
    <w:rsid w:val="009B7D7D"/>
    <w:rsid w:val="009C36A7"/>
    <w:rsid w:val="009C5159"/>
    <w:rsid w:val="009C5C90"/>
    <w:rsid w:val="009C5E77"/>
    <w:rsid w:val="009C7A7E"/>
    <w:rsid w:val="009C7F0C"/>
    <w:rsid w:val="009D02E8"/>
    <w:rsid w:val="009D05AD"/>
    <w:rsid w:val="009D51D0"/>
    <w:rsid w:val="009D70A4"/>
    <w:rsid w:val="009E08D1"/>
    <w:rsid w:val="009E1B95"/>
    <w:rsid w:val="009E496F"/>
    <w:rsid w:val="009E4B0D"/>
    <w:rsid w:val="009E7F92"/>
    <w:rsid w:val="009F02A3"/>
    <w:rsid w:val="009F053E"/>
    <w:rsid w:val="009F1338"/>
    <w:rsid w:val="009F1F4B"/>
    <w:rsid w:val="009F23A5"/>
    <w:rsid w:val="009F2F27"/>
    <w:rsid w:val="009F34AA"/>
    <w:rsid w:val="009F438E"/>
    <w:rsid w:val="009F6BCB"/>
    <w:rsid w:val="009F70D8"/>
    <w:rsid w:val="009F78CB"/>
    <w:rsid w:val="009F7B78"/>
    <w:rsid w:val="00A0057A"/>
    <w:rsid w:val="00A01C83"/>
    <w:rsid w:val="00A040D7"/>
    <w:rsid w:val="00A04585"/>
    <w:rsid w:val="00A052B3"/>
    <w:rsid w:val="00A076CB"/>
    <w:rsid w:val="00A11421"/>
    <w:rsid w:val="00A11DB7"/>
    <w:rsid w:val="00A14550"/>
    <w:rsid w:val="00A157B1"/>
    <w:rsid w:val="00A165F5"/>
    <w:rsid w:val="00A16ACA"/>
    <w:rsid w:val="00A177B8"/>
    <w:rsid w:val="00A22229"/>
    <w:rsid w:val="00A23418"/>
    <w:rsid w:val="00A23CC8"/>
    <w:rsid w:val="00A24D24"/>
    <w:rsid w:val="00A2500F"/>
    <w:rsid w:val="00A257EE"/>
    <w:rsid w:val="00A302FE"/>
    <w:rsid w:val="00A32D35"/>
    <w:rsid w:val="00A364A6"/>
    <w:rsid w:val="00A36ADC"/>
    <w:rsid w:val="00A37791"/>
    <w:rsid w:val="00A40205"/>
    <w:rsid w:val="00A40488"/>
    <w:rsid w:val="00A42DF1"/>
    <w:rsid w:val="00A43ACB"/>
    <w:rsid w:val="00A44882"/>
    <w:rsid w:val="00A44DF9"/>
    <w:rsid w:val="00A54715"/>
    <w:rsid w:val="00A547E9"/>
    <w:rsid w:val="00A56F04"/>
    <w:rsid w:val="00A6061C"/>
    <w:rsid w:val="00A62D44"/>
    <w:rsid w:val="00A6347E"/>
    <w:rsid w:val="00A66637"/>
    <w:rsid w:val="00A67263"/>
    <w:rsid w:val="00A7072E"/>
    <w:rsid w:val="00A71260"/>
    <w:rsid w:val="00A7161C"/>
    <w:rsid w:val="00A7505E"/>
    <w:rsid w:val="00A75F14"/>
    <w:rsid w:val="00A76EAD"/>
    <w:rsid w:val="00A77AA3"/>
    <w:rsid w:val="00A854EB"/>
    <w:rsid w:val="00A85777"/>
    <w:rsid w:val="00A85954"/>
    <w:rsid w:val="00A85BAD"/>
    <w:rsid w:val="00A86E6C"/>
    <w:rsid w:val="00A872E5"/>
    <w:rsid w:val="00A91406"/>
    <w:rsid w:val="00A9179D"/>
    <w:rsid w:val="00A919FD"/>
    <w:rsid w:val="00A932D7"/>
    <w:rsid w:val="00A9491A"/>
    <w:rsid w:val="00A96E65"/>
    <w:rsid w:val="00A97C72"/>
    <w:rsid w:val="00AA1F74"/>
    <w:rsid w:val="00AA63D4"/>
    <w:rsid w:val="00AB06E8"/>
    <w:rsid w:val="00AB1CD3"/>
    <w:rsid w:val="00AB2CE7"/>
    <w:rsid w:val="00AB352F"/>
    <w:rsid w:val="00AB7E89"/>
    <w:rsid w:val="00AC274B"/>
    <w:rsid w:val="00AC2DCC"/>
    <w:rsid w:val="00AC3D3A"/>
    <w:rsid w:val="00AC4764"/>
    <w:rsid w:val="00AC552B"/>
    <w:rsid w:val="00AC6D36"/>
    <w:rsid w:val="00AC722E"/>
    <w:rsid w:val="00AD0A86"/>
    <w:rsid w:val="00AD0CBA"/>
    <w:rsid w:val="00AD24A3"/>
    <w:rsid w:val="00AD26E2"/>
    <w:rsid w:val="00AD784C"/>
    <w:rsid w:val="00AD7888"/>
    <w:rsid w:val="00AD7E48"/>
    <w:rsid w:val="00AE0898"/>
    <w:rsid w:val="00AE08BC"/>
    <w:rsid w:val="00AE0FF0"/>
    <w:rsid w:val="00AE126A"/>
    <w:rsid w:val="00AE3005"/>
    <w:rsid w:val="00AE3BD5"/>
    <w:rsid w:val="00AE59A0"/>
    <w:rsid w:val="00AF0C57"/>
    <w:rsid w:val="00AF26F3"/>
    <w:rsid w:val="00AF2ED5"/>
    <w:rsid w:val="00AF42B4"/>
    <w:rsid w:val="00AF5F04"/>
    <w:rsid w:val="00AF71AF"/>
    <w:rsid w:val="00B00672"/>
    <w:rsid w:val="00B01B4D"/>
    <w:rsid w:val="00B06571"/>
    <w:rsid w:val="00B068BA"/>
    <w:rsid w:val="00B12FBD"/>
    <w:rsid w:val="00B13851"/>
    <w:rsid w:val="00B13B1C"/>
    <w:rsid w:val="00B17BDC"/>
    <w:rsid w:val="00B17CA1"/>
    <w:rsid w:val="00B202F6"/>
    <w:rsid w:val="00B22291"/>
    <w:rsid w:val="00B23F9A"/>
    <w:rsid w:val="00B2417B"/>
    <w:rsid w:val="00B24670"/>
    <w:rsid w:val="00B24E6F"/>
    <w:rsid w:val="00B26CB5"/>
    <w:rsid w:val="00B2752E"/>
    <w:rsid w:val="00B307CC"/>
    <w:rsid w:val="00B3111E"/>
    <w:rsid w:val="00B31B75"/>
    <w:rsid w:val="00B31C41"/>
    <w:rsid w:val="00B326B7"/>
    <w:rsid w:val="00B335B1"/>
    <w:rsid w:val="00B356C9"/>
    <w:rsid w:val="00B4120C"/>
    <w:rsid w:val="00B4242B"/>
    <w:rsid w:val="00B431E8"/>
    <w:rsid w:val="00B44A76"/>
    <w:rsid w:val="00B45141"/>
    <w:rsid w:val="00B47782"/>
    <w:rsid w:val="00B50F0F"/>
    <w:rsid w:val="00B51396"/>
    <w:rsid w:val="00B5273A"/>
    <w:rsid w:val="00B54631"/>
    <w:rsid w:val="00B54B73"/>
    <w:rsid w:val="00B56FC1"/>
    <w:rsid w:val="00B57329"/>
    <w:rsid w:val="00B62B50"/>
    <w:rsid w:val="00B635B7"/>
    <w:rsid w:val="00B63AE8"/>
    <w:rsid w:val="00B64FB7"/>
    <w:rsid w:val="00B65950"/>
    <w:rsid w:val="00B66340"/>
    <w:rsid w:val="00B66D83"/>
    <w:rsid w:val="00B672C0"/>
    <w:rsid w:val="00B70B53"/>
    <w:rsid w:val="00B71DC1"/>
    <w:rsid w:val="00B74A70"/>
    <w:rsid w:val="00B75646"/>
    <w:rsid w:val="00B80F39"/>
    <w:rsid w:val="00B82627"/>
    <w:rsid w:val="00B82EC1"/>
    <w:rsid w:val="00B833E0"/>
    <w:rsid w:val="00B83915"/>
    <w:rsid w:val="00B84FC7"/>
    <w:rsid w:val="00B87BA9"/>
    <w:rsid w:val="00B9000F"/>
    <w:rsid w:val="00B90729"/>
    <w:rsid w:val="00B907DA"/>
    <w:rsid w:val="00B94A23"/>
    <w:rsid w:val="00B950BC"/>
    <w:rsid w:val="00B952AE"/>
    <w:rsid w:val="00B9628C"/>
    <w:rsid w:val="00B9714C"/>
    <w:rsid w:val="00BA0FDD"/>
    <w:rsid w:val="00BA2DCD"/>
    <w:rsid w:val="00BA3F8D"/>
    <w:rsid w:val="00BB021E"/>
    <w:rsid w:val="00BB237F"/>
    <w:rsid w:val="00BB637F"/>
    <w:rsid w:val="00BB7A10"/>
    <w:rsid w:val="00BB7B53"/>
    <w:rsid w:val="00BC1B12"/>
    <w:rsid w:val="00BC1F00"/>
    <w:rsid w:val="00BC26A2"/>
    <w:rsid w:val="00BC7468"/>
    <w:rsid w:val="00BC7D4F"/>
    <w:rsid w:val="00BC7ED7"/>
    <w:rsid w:val="00BD04F4"/>
    <w:rsid w:val="00BD057B"/>
    <w:rsid w:val="00BD1B95"/>
    <w:rsid w:val="00BD2251"/>
    <w:rsid w:val="00BD2850"/>
    <w:rsid w:val="00BD3189"/>
    <w:rsid w:val="00BD486A"/>
    <w:rsid w:val="00BD524F"/>
    <w:rsid w:val="00BD6398"/>
    <w:rsid w:val="00BE028D"/>
    <w:rsid w:val="00BE28D2"/>
    <w:rsid w:val="00BE2D8D"/>
    <w:rsid w:val="00BE3198"/>
    <w:rsid w:val="00BE4A64"/>
    <w:rsid w:val="00BE6129"/>
    <w:rsid w:val="00BE77B4"/>
    <w:rsid w:val="00BE7E14"/>
    <w:rsid w:val="00BF329E"/>
    <w:rsid w:val="00BF6221"/>
    <w:rsid w:val="00BF7810"/>
    <w:rsid w:val="00BF7AB8"/>
    <w:rsid w:val="00BF7F58"/>
    <w:rsid w:val="00C01381"/>
    <w:rsid w:val="00C01F82"/>
    <w:rsid w:val="00C02996"/>
    <w:rsid w:val="00C03BBA"/>
    <w:rsid w:val="00C0676F"/>
    <w:rsid w:val="00C079B8"/>
    <w:rsid w:val="00C10A53"/>
    <w:rsid w:val="00C123EA"/>
    <w:rsid w:val="00C124F8"/>
    <w:rsid w:val="00C12A49"/>
    <w:rsid w:val="00C133EE"/>
    <w:rsid w:val="00C152DD"/>
    <w:rsid w:val="00C16615"/>
    <w:rsid w:val="00C17E98"/>
    <w:rsid w:val="00C228A1"/>
    <w:rsid w:val="00C245E5"/>
    <w:rsid w:val="00C24A70"/>
    <w:rsid w:val="00C2500E"/>
    <w:rsid w:val="00C2570C"/>
    <w:rsid w:val="00C2710E"/>
    <w:rsid w:val="00C27DE9"/>
    <w:rsid w:val="00C306B1"/>
    <w:rsid w:val="00C30F01"/>
    <w:rsid w:val="00C33388"/>
    <w:rsid w:val="00C33A6C"/>
    <w:rsid w:val="00C34673"/>
    <w:rsid w:val="00C34D41"/>
    <w:rsid w:val="00C35484"/>
    <w:rsid w:val="00C36D1B"/>
    <w:rsid w:val="00C4173A"/>
    <w:rsid w:val="00C425A2"/>
    <w:rsid w:val="00C43D05"/>
    <w:rsid w:val="00C45BB6"/>
    <w:rsid w:val="00C5094F"/>
    <w:rsid w:val="00C53EC5"/>
    <w:rsid w:val="00C53F37"/>
    <w:rsid w:val="00C54845"/>
    <w:rsid w:val="00C602FF"/>
    <w:rsid w:val="00C61174"/>
    <w:rsid w:val="00C6148F"/>
    <w:rsid w:val="00C62B54"/>
    <w:rsid w:val="00C62F7A"/>
    <w:rsid w:val="00C63B9C"/>
    <w:rsid w:val="00C63D47"/>
    <w:rsid w:val="00C660D2"/>
    <w:rsid w:val="00C6682F"/>
    <w:rsid w:val="00C717DF"/>
    <w:rsid w:val="00C7275E"/>
    <w:rsid w:val="00C74C5D"/>
    <w:rsid w:val="00C7573B"/>
    <w:rsid w:val="00C762E0"/>
    <w:rsid w:val="00C80138"/>
    <w:rsid w:val="00C815B7"/>
    <w:rsid w:val="00C81F1E"/>
    <w:rsid w:val="00C82575"/>
    <w:rsid w:val="00C863C4"/>
    <w:rsid w:val="00C8647C"/>
    <w:rsid w:val="00C87F52"/>
    <w:rsid w:val="00C9068D"/>
    <w:rsid w:val="00C920A7"/>
    <w:rsid w:val="00C922D2"/>
    <w:rsid w:val="00C93C3E"/>
    <w:rsid w:val="00C93D55"/>
    <w:rsid w:val="00C95ADB"/>
    <w:rsid w:val="00C95D27"/>
    <w:rsid w:val="00C96A5C"/>
    <w:rsid w:val="00C96BEE"/>
    <w:rsid w:val="00CA0DCC"/>
    <w:rsid w:val="00CA0E61"/>
    <w:rsid w:val="00CA10E0"/>
    <w:rsid w:val="00CA12E3"/>
    <w:rsid w:val="00CA4CC3"/>
    <w:rsid w:val="00CA5E00"/>
    <w:rsid w:val="00CA6611"/>
    <w:rsid w:val="00CA6AE6"/>
    <w:rsid w:val="00CA6E73"/>
    <w:rsid w:val="00CA782F"/>
    <w:rsid w:val="00CB13BB"/>
    <w:rsid w:val="00CB3285"/>
    <w:rsid w:val="00CB63FC"/>
    <w:rsid w:val="00CC0405"/>
    <w:rsid w:val="00CC0C72"/>
    <w:rsid w:val="00CC2BFD"/>
    <w:rsid w:val="00CC6F4D"/>
    <w:rsid w:val="00CD15E0"/>
    <w:rsid w:val="00CD3476"/>
    <w:rsid w:val="00CD5514"/>
    <w:rsid w:val="00CD64DF"/>
    <w:rsid w:val="00CE0578"/>
    <w:rsid w:val="00CE4836"/>
    <w:rsid w:val="00CE607C"/>
    <w:rsid w:val="00CF2F50"/>
    <w:rsid w:val="00CF77F3"/>
    <w:rsid w:val="00D02919"/>
    <w:rsid w:val="00D04BCB"/>
    <w:rsid w:val="00D04C61"/>
    <w:rsid w:val="00D05B8D"/>
    <w:rsid w:val="00D065A2"/>
    <w:rsid w:val="00D06A7A"/>
    <w:rsid w:val="00D077CC"/>
    <w:rsid w:val="00D07F00"/>
    <w:rsid w:val="00D115EA"/>
    <w:rsid w:val="00D12D77"/>
    <w:rsid w:val="00D17B72"/>
    <w:rsid w:val="00D20BD9"/>
    <w:rsid w:val="00D2398A"/>
    <w:rsid w:val="00D26350"/>
    <w:rsid w:val="00D30DD8"/>
    <w:rsid w:val="00D3185C"/>
    <w:rsid w:val="00D32D58"/>
    <w:rsid w:val="00D33CD4"/>
    <w:rsid w:val="00D33E72"/>
    <w:rsid w:val="00D35BD6"/>
    <w:rsid w:val="00D361B5"/>
    <w:rsid w:val="00D411A2"/>
    <w:rsid w:val="00D41580"/>
    <w:rsid w:val="00D4395A"/>
    <w:rsid w:val="00D44BE4"/>
    <w:rsid w:val="00D4606D"/>
    <w:rsid w:val="00D47710"/>
    <w:rsid w:val="00D47E92"/>
    <w:rsid w:val="00D50B9C"/>
    <w:rsid w:val="00D516C7"/>
    <w:rsid w:val="00D52D73"/>
    <w:rsid w:val="00D52E58"/>
    <w:rsid w:val="00D57657"/>
    <w:rsid w:val="00D6051F"/>
    <w:rsid w:val="00D62212"/>
    <w:rsid w:val="00D62329"/>
    <w:rsid w:val="00D714CC"/>
    <w:rsid w:val="00D71EB2"/>
    <w:rsid w:val="00D74519"/>
    <w:rsid w:val="00D750BC"/>
    <w:rsid w:val="00D754D3"/>
    <w:rsid w:val="00D75914"/>
    <w:rsid w:val="00D75EA7"/>
    <w:rsid w:val="00D81F21"/>
    <w:rsid w:val="00D86D30"/>
    <w:rsid w:val="00D87136"/>
    <w:rsid w:val="00D917F2"/>
    <w:rsid w:val="00D91C2D"/>
    <w:rsid w:val="00D92D93"/>
    <w:rsid w:val="00D93D81"/>
    <w:rsid w:val="00D94F05"/>
    <w:rsid w:val="00D95470"/>
    <w:rsid w:val="00D97647"/>
    <w:rsid w:val="00DA2619"/>
    <w:rsid w:val="00DA29A9"/>
    <w:rsid w:val="00DA4239"/>
    <w:rsid w:val="00DA44C3"/>
    <w:rsid w:val="00DA775B"/>
    <w:rsid w:val="00DB0AD0"/>
    <w:rsid w:val="00DB0B61"/>
    <w:rsid w:val="00DB2C7C"/>
    <w:rsid w:val="00DB3249"/>
    <w:rsid w:val="00DB456F"/>
    <w:rsid w:val="00DB63AB"/>
    <w:rsid w:val="00DB7335"/>
    <w:rsid w:val="00DB7347"/>
    <w:rsid w:val="00DB7492"/>
    <w:rsid w:val="00DC090B"/>
    <w:rsid w:val="00DC1679"/>
    <w:rsid w:val="00DC1966"/>
    <w:rsid w:val="00DC21E9"/>
    <w:rsid w:val="00DC2CF1"/>
    <w:rsid w:val="00DC3A1D"/>
    <w:rsid w:val="00DC4CF1"/>
    <w:rsid w:val="00DC4FCF"/>
    <w:rsid w:val="00DC50E0"/>
    <w:rsid w:val="00DC5597"/>
    <w:rsid w:val="00DC6386"/>
    <w:rsid w:val="00DD1130"/>
    <w:rsid w:val="00DD1951"/>
    <w:rsid w:val="00DD299B"/>
    <w:rsid w:val="00DD39C2"/>
    <w:rsid w:val="00DD4DB9"/>
    <w:rsid w:val="00DD6628"/>
    <w:rsid w:val="00DE059D"/>
    <w:rsid w:val="00DE3250"/>
    <w:rsid w:val="00DE6028"/>
    <w:rsid w:val="00DE613F"/>
    <w:rsid w:val="00DE62D6"/>
    <w:rsid w:val="00DE78A3"/>
    <w:rsid w:val="00DF0E6D"/>
    <w:rsid w:val="00DF1A71"/>
    <w:rsid w:val="00DF1DD0"/>
    <w:rsid w:val="00DF2601"/>
    <w:rsid w:val="00DF68C7"/>
    <w:rsid w:val="00DF731A"/>
    <w:rsid w:val="00E00461"/>
    <w:rsid w:val="00E023E3"/>
    <w:rsid w:val="00E0398F"/>
    <w:rsid w:val="00E062E6"/>
    <w:rsid w:val="00E12C3A"/>
    <w:rsid w:val="00E14121"/>
    <w:rsid w:val="00E166D9"/>
    <w:rsid w:val="00E170DC"/>
    <w:rsid w:val="00E26818"/>
    <w:rsid w:val="00E27FFC"/>
    <w:rsid w:val="00E30B15"/>
    <w:rsid w:val="00E3142D"/>
    <w:rsid w:val="00E31844"/>
    <w:rsid w:val="00E34B12"/>
    <w:rsid w:val="00E35CAF"/>
    <w:rsid w:val="00E40181"/>
    <w:rsid w:val="00E42A11"/>
    <w:rsid w:val="00E44437"/>
    <w:rsid w:val="00E47CA7"/>
    <w:rsid w:val="00E53BA3"/>
    <w:rsid w:val="00E54B5B"/>
    <w:rsid w:val="00E556FE"/>
    <w:rsid w:val="00E5616D"/>
    <w:rsid w:val="00E56763"/>
    <w:rsid w:val="00E56A01"/>
    <w:rsid w:val="00E56BDC"/>
    <w:rsid w:val="00E629A1"/>
    <w:rsid w:val="00E6794C"/>
    <w:rsid w:val="00E71591"/>
    <w:rsid w:val="00E72776"/>
    <w:rsid w:val="00E73796"/>
    <w:rsid w:val="00E74C3B"/>
    <w:rsid w:val="00E817E4"/>
    <w:rsid w:val="00E82C55"/>
    <w:rsid w:val="00E843FA"/>
    <w:rsid w:val="00E863C8"/>
    <w:rsid w:val="00E92093"/>
    <w:rsid w:val="00E92AC3"/>
    <w:rsid w:val="00E93CBA"/>
    <w:rsid w:val="00E97BA5"/>
    <w:rsid w:val="00EA185A"/>
    <w:rsid w:val="00EA2BCB"/>
    <w:rsid w:val="00EA5528"/>
    <w:rsid w:val="00EA55A1"/>
    <w:rsid w:val="00EA6A85"/>
    <w:rsid w:val="00EB00E0"/>
    <w:rsid w:val="00EB0F30"/>
    <w:rsid w:val="00EC059F"/>
    <w:rsid w:val="00EC1F24"/>
    <w:rsid w:val="00EC22F6"/>
    <w:rsid w:val="00EC6896"/>
    <w:rsid w:val="00ED22C3"/>
    <w:rsid w:val="00ED5B9B"/>
    <w:rsid w:val="00ED6BAD"/>
    <w:rsid w:val="00ED7447"/>
    <w:rsid w:val="00EE1488"/>
    <w:rsid w:val="00EE1666"/>
    <w:rsid w:val="00EE4D5D"/>
    <w:rsid w:val="00EE5131"/>
    <w:rsid w:val="00EF088E"/>
    <w:rsid w:val="00EF108F"/>
    <w:rsid w:val="00EF109B"/>
    <w:rsid w:val="00EF36AF"/>
    <w:rsid w:val="00EF4036"/>
    <w:rsid w:val="00F00F9C"/>
    <w:rsid w:val="00F01E5F"/>
    <w:rsid w:val="00F02ABA"/>
    <w:rsid w:val="00F03ED9"/>
    <w:rsid w:val="00F03F1A"/>
    <w:rsid w:val="00F0437A"/>
    <w:rsid w:val="00F06606"/>
    <w:rsid w:val="00F06A74"/>
    <w:rsid w:val="00F11037"/>
    <w:rsid w:val="00F150BD"/>
    <w:rsid w:val="00F16A15"/>
    <w:rsid w:val="00F16F1B"/>
    <w:rsid w:val="00F2025F"/>
    <w:rsid w:val="00F250A9"/>
    <w:rsid w:val="00F26BD0"/>
    <w:rsid w:val="00F27B1E"/>
    <w:rsid w:val="00F30D56"/>
    <w:rsid w:val="00F30FF4"/>
    <w:rsid w:val="00F3122E"/>
    <w:rsid w:val="00F31A77"/>
    <w:rsid w:val="00F31B9A"/>
    <w:rsid w:val="00F331AD"/>
    <w:rsid w:val="00F34396"/>
    <w:rsid w:val="00F35287"/>
    <w:rsid w:val="00F412B7"/>
    <w:rsid w:val="00F41727"/>
    <w:rsid w:val="00F43A37"/>
    <w:rsid w:val="00F450AF"/>
    <w:rsid w:val="00F45B22"/>
    <w:rsid w:val="00F4641B"/>
    <w:rsid w:val="00F46EB8"/>
    <w:rsid w:val="00F511E4"/>
    <w:rsid w:val="00F52D09"/>
    <w:rsid w:val="00F52E08"/>
    <w:rsid w:val="00F55B21"/>
    <w:rsid w:val="00F56EF6"/>
    <w:rsid w:val="00F60DEE"/>
    <w:rsid w:val="00F61A9F"/>
    <w:rsid w:val="00F61D2D"/>
    <w:rsid w:val="00F62548"/>
    <w:rsid w:val="00F64696"/>
    <w:rsid w:val="00F65AA9"/>
    <w:rsid w:val="00F66A69"/>
    <w:rsid w:val="00F6768F"/>
    <w:rsid w:val="00F70702"/>
    <w:rsid w:val="00F72C2C"/>
    <w:rsid w:val="00F76CAB"/>
    <w:rsid w:val="00F772C6"/>
    <w:rsid w:val="00F80318"/>
    <w:rsid w:val="00F815B5"/>
    <w:rsid w:val="00F82CCF"/>
    <w:rsid w:val="00F83F76"/>
    <w:rsid w:val="00F85195"/>
    <w:rsid w:val="00F8572C"/>
    <w:rsid w:val="00F87668"/>
    <w:rsid w:val="00F9196B"/>
    <w:rsid w:val="00F91D40"/>
    <w:rsid w:val="00F92D3C"/>
    <w:rsid w:val="00F938BA"/>
    <w:rsid w:val="00F9550A"/>
    <w:rsid w:val="00F95B53"/>
    <w:rsid w:val="00FA15E7"/>
    <w:rsid w:val="00FA1EF4"/>
    <w:rsid w:val="00FA2615"/>
    <w:rsid w:val="00FA2C46"/>
    <w:rsid w:val="00FA3525"/>
    <w:rsid w:val="00FB2D62"/>
    <w:rsid w:val="00FB4516"/>
    <w:rsid w:val="00FB4769"/>
    <w:rsid w:val="00FB4CDA"/>
    <w:rsid w:val="00FC0F81"/>
    <w:rsid w:val="00FC37B8"/>
    <w:rsid w:val="00FC395C"/>
    <w:rsid w:val="00FC42A3"/>
    <w:rsid w:val="00FC7237"/>
    <w:rsid w:val="00FC7E89"/>
    <w:rsid w:val="00FD3766"/>
    <w:rsid w:val="00FD3EC4"/>
    <w:rsid w:val="00FD436E"/>
    <w:rsid w:val="00FD47C4"/>
    <w:rsid w:val="00FE119F"/>
    <w:rsid w:val="00FE2DCF"/>
    <w:rsid w:val="00FE4128"/>
    <w:rsid w:val="00FE7D47"/>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3729"/>
    <o:shapelayout v:ext="edit">
      <o:idmap v:ext="edit" data="1"/>
    </o:shapelayout>
  </w:shapeDefaults>
  <w:decimalSymbol w:val="."/>
  <w:listSeparator w:val=","/>
  <w14:docId w14:val="02412EFC"/>
  <w15:docId w15:val="{F74ADAB8-010B-4A0C-BCC1-769503CDB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pPr>
        <w:spacing w:after="80"/>
      </w:pPr>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610C06"/>
    <w:rPr>
      <w:rFonts w:ascii="Cambria" w:hAnsi="Cambria"/>
      <w:lang w:eastAsia="en-US"/>
    </w:rPr>
  </w:style>
  <w:style w:type="paragraph" w:styleId="Heading1">
    <w:name w:val="heading 1"/>
    <w:next w:val="DHHSbody"/>
    <w:link w:val="Heading1Char"/>
    <w:uiPriority w:val="1"/>
    <w:qFormat/>
    <w:rsid w:val="00B87BA9"/>
    <w:pPr>
      <w:keepNext/>
      <w:keepLines/>
      <w:spacing w:before="320" w:after="200" w:line="400" w:lineRule="atLeast"/>
      <w:outlineLvl w:val="0"/>
    </w:pPr>
    <w:rPr>
      <w:rFonts w:ascii="Arial" w:eastAsia="MS Gothic" w:hAnsi="Arial" w:cs="Arial"/>
      <w:bCs/>
      <w:color w:val="87189D"/>
      <w:kern w:val="32"/>
      <w:sz w:val="34"/>
      <w:szCs w:val="40"/>
      <w:lang w:eastAsia="en-US"/>
    </w:rPr>
  </w:style>
  <w:style w:type="paragraph" w:styleId="Heading2">
    <w:name w:val="heading 2"/>
    <w:next w:val="DHHSbody"/>
    <w:link w:val="Heading2Char"/>
    <w:uiPriority w:val="1"/>
    <w:qFormat/>
    <w:rsid w:val="00B57329"/>
    <w:pPr>
      <w:keepNext/>
      <w:keepLines/>
      <w:spacing w:before="240" w:after="90" w:line="320" w:lineRule="atLeast"/>
      <w:outlineLvl w:val="1"/>
    </w:pPr>
    <w:rPr>
      <w:rFonts w:ascii="Arial" w:hAnsi="Arial"/>
      <w:b/>
      <w:color w:val="87189D"/>
      <w:sz w:val="28"/>
      <w:szCs w:val="28"/>
      <w:lang w:eastAsia="en-US"/>
    </w:rPr>
  </w:style>
  <w:style w:type="paragraph" w:styleId="Heading3">
    <w:name w:val="heading 3"/>
    <w:next w:val="DHHS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DHHS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HHSbody">
    <w:name w:val="DHHS body"/>
    <w:link w:val="DHHSbodyChar"/>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B87BA9"/>
    <w:rPr>
      <w:rFonts w:ascii="Arial" w:eastAsia="MS Gothic" w:hAnsi="Arial" w:cs="Arial"/>
      <w:bCs/>
      <w:color w:val="87189D"/>
      <w:kern w:val="32"/>
      <w:sz w:val="34"/>
      <w:szCs w:val="40"/>
      <w:lang w:eastAsia="en-US"/>
    </w:rPr>
  </w:style>
  <w:style w:type="character" w:customStyle="1" w:styleId="Heading2Char">
    <w:name w:val="Heading 2 Char"/>
    <w:link w:val="Heading2"/>
    <w:uiPriority w:val="1"/>
    <w:rsid w:val="00B57329"/>
    <w:rPr>
      <w:rFonts w:ascii="Arial" w:hAnsi="Arial"/>
      <w:b/>
      <w:color w:val="87189D"/>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DHHSheader"/>
    <w:uiPriority w:val="10"/>
    <w:rsid w:val="00262802"/>
  </w:style>
  <w:style w:type="paragraph" w:styleId="Footer">
    <w:name w:val="footer"/>
    <w:basedOn w:val="DHHSfooter"/>
    <w:link w:val="FooterChar"/>
    <w:uiPriority w:val="99"/>
    <w:rsid w:val="00C27DE9"/>
  </w:style>
  <w:style w:type="character" w:styleId="FollowedHyperlink">
    <w:name w:val="FollowedHyperlink"/>
    <w:uiPriority w:val="99"/>
    <w:rsid w:val="00152073"/>
    <w:rPr>
      <w:color w:val="6633CC"/>
      <w:u w:val="dotted"/>
    </w:rPr>
  </w:style>
  <w:style w:type="paragraph" w:customStyle="1" w:styleId="DHHStabletext6pt">
    <w:name w:val="DHHS table text + 6pt"/>
    <w:basedOn w:val="DHHS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HHSbodynospace">
    <w:name w:val="DHHS body no space"/>
    <w:basedOn w:val="DHHSbody"/>
    <w:uiPriority w:val="1"/>
    <w:rsid w:val="00F772C6"/>
    <w:pPr>
      <w:spacing w:after="0"/>
    </w:pPr>
  </w:style>
  <w:style w:type="paragraph" w:customStyle="1" w:styleId="DHHSbullet1">
    <w:name w:val="DHHS bullet 1"/>
    <w:basedOn w:val="DHHSbody"/>
    <w:qFormat/>
    <w:rsid w:val="0051568D"/>
    <w:pPr>
      <w:numPr>
        <w:numId w:val="1"/>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qFormat/>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DHHSTOCheadingfactsheet">
    <w:name w:val="DHHS TOC heading fact sheet"/>
    <w:basedOn w:val="Heading2"/>
    <w:next w:val="DHHSbody"/>
    <w:link w:val="DHHSTOCheadingfactsheetChar"/>
    <w:uiPriority w:val="4"/>
    <w:rsid w:val="00B57329"/>
    <w:pPr>
      <w:spacing w:before="0" w:after="200"/>
      <w:outlineLvl w:val="9"/>
    </w:pPr>
  </w:style>
  <w:style w:type="character" w:customStyle="1" w:styleId="DHHSTOCheadingfactsheetChar">
    <w:name w:val="DHHS TOC heading fact sheet Char"/>
    <w:link w:val="DHHSTOCheadingfactsheet"/>
    <w:uiPriority w:val="4"/>
    <w:rsid w:val="00B57329"/>
    <w:rPr>
      <w:rFonts w:ascii="Arial" w:hAnsi="Arial"/>
      <w:b/>
      <w:color w:val="87189D"/>
      <w:sz w:val="28"/>
      <w:szCs w:val="28"/>
      <w:lang w:eastAsia="en-US"/>
    </w:rPr>
  </w:style>
  <w:style w:type="paragraph" w:styleId="TOC2">
    <w:name w:val="toc 2"/>
    <w:uiPriority w:val="39"/>
    <w:qFormat/>
    <w:rsid w:val="000F2259"/>
    <w:pPr>
      <w:keepLines/>
      <w:tabs>
        <w:tab w:val="right" w:leader="dot" w:pos="10206"/>
      </w:tabs>
      <w:spacing w:after="60"/>
      <w:ind w:right="680"/>
    </w:pPr>
    <w:rPr>
      <w:rFonts w:ascii="Arial" w:hAnsi="Arial"/>
      <w:noProof/>
      <w:lang w:eastAsia="en-US"/>
    </w:rPr>
  </w:style>
  <w:style w:type="paragraph" w:styleId="TOC3">
    <w:name w:val="toc 3"/>
    <w:basedOn w:val="TOC2"/>
    <w:next w:val="DHHSbody"/>
    <w:uiPriority w:val="39"/>
    <w:qFormat/>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DHHStabletext">
    <w:name w:val="DHHS table text"/>
    <w:uiPriority w:val="99"/>
    <w:qFormat/>
    <w:rsid w:val="00DA2619"/>
    <w:pPr>
      <w:spacing w:before="80" w:after="60"/>
    </w:pPr>
    <w:rPr>
      <w:rFonts w:ascii="Arial" w:hAnsi="Arial"/>
      <w:lang w:eastAsia="en-US"/>
    </w:rPr>
  </w:style>
  <w:style w:type="paragraph" w:customStyle="1" w:styleId="DHHStablecaption">
    <w:name w:val="DHHS table caption"/>
    <w:next w:val="DHHSbody"/>
    <w:uiPriority w:val="3"/>
    <w:qFormat/>
    <w:rsid w:val="00233724"/>
    <w:pPr>
      <w:keepNext/>
      <w:keepLines/>
      <w:spacing w:before="240" w:after="120" w:line="240" w:lineRule="atLeast"/>
    </w:pPr>
    <w:rPr>
      <w:rFonts w:ascii="Arial" w:hAnsi="Arial"/>
      <w:b/>
      <w:lang w:eastAsia="en-US"/>
    </w:rPr>
  </w:style>
  <w:style w:type="paragraph" w:customStyle="1" w:styleId="DHHSmainheading">
    <w:name w:val="DHHS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DHHSaccessibilitypara">
    <w:name w:val="DHHS accessibility para"/>
    <w:uiPriority w:val="8"/>
    <w:rsid w:val="00770F37"/>
    <w:pPr>
      <w:spacing w:after="200" w:line="300" w:lineRule="atLeast"/>
    </w:pPr>
    <w:rPr>
      <w:rFonts w:ascii="Arial" w:eastAsia="Times" w:hAnsi="Arial"/>
      <w:sz w:val="24"/>
      <w:szCs w:val="19"/>
      <w:lang w:eastAsia="en-US"/>
    </w:rPr>
  </w:style>
  <w:style w:type="paragraph" w:customStyle="1" w:styleId="DHHSfigurecaption">
    <w:name w:val="DHHS figure caption"/>
    <w:next w:val="DHHSbody"/>
    <w:rsid w:val="00770F37"/>
    <w:pPr>
      <w:keepNext/>
      <w:keepLines/>
      <w:spacing w:before="240" w:after="120"/>
    </w:pPr>
    <w:rPr>
      <w:rFonts w:ascii="Arial" w:hAnsi="Arial"/>
      <w:b/>
      <w:lang w:eastAsia="en-US"/>
    </w:rPr>
  </w:style>
  <w:style w:type="paragraph" w:customStyle="1" w:styleId="DHHSbullet2">
    <w:name w:val="DHHS bullet 2"/>
    <w:basedOn w:val="DHHSbody"/>
    <w:uiPriority w:val="2"/>
    <w:qFormat/>
    <w:rsid w:val="0051568D"/>
    <w:pPr>
      <w:numPr>
        <w:ilvl w:val="2"/>
        <w:numId w:val="1"/>
      </w:numPr>
      <w:spacing w:after="40"/>
    </w:pPr>
  </w:style>
  <w:style w:type="paragraph" w:styleId="ListParagraph">
    <w:name w:val="List Paragraph"/>
    <w:basedOn w:val="Normal"/>
    <w:uiPriority w:val="34"/>
    <w:qFormat/>
    <w:rsid w:val="00557AE2"/>
    <w:pPr>
      <w:ind w:left="720"/>
      <w:contextualSpacing/>
    </w:pPr>
  </w:style>
  <w:style w:type="paragraph" w:customStyle="1" w:styleId="Default">
    <w:name w:val="Default"/>
    <w:rsid w:val="00610C06"/>
    <w:pPr>
      <w:autoSpaceDE w:val="0"/>
      <w:autoSpaceDN w:val="0"/>
      <w:adjustRightInd w:val="0"/>
    </w:pPr>
    <w:rPr>
      <w:rFonts w:ascii="Arial" w:hAnsi="Arial" w:cs="Arial"/>
      <w:color w:val="000000"/>
      <w:sz w:val="24"/>
      <w:szCs w:val="24"/>
    </w:r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DHHStablebullet">
    <w:name w:val="DHHS table bullet"/>
    <w:basedOn w:val="DHHStabletext"/>
    <w:uiPriority w:val="3"/>
    <w:qFormat/>
    <w:rsid w:val="0051568D"/>
    <w:pPr>
      <w:numPr>
        <w:ilvl w:val="6"/>
        <w:numId w:val="1"/>
      </w:numPr>
    </w:pPr>
  </w:style>
  <w:style w:type="character" w:customStyle="1" w:styleId="DHHSbodyChar">
    <w:name w:val="DHHS body Char"/>
    <w:link w:val="DHHSbody"/>
    <w:locked/>
    <w:rsid w:val="00610C06"/>
    <w:rPr>
      <w:rFonts w:ascii="Arial" w:eastAsia="Times" w:hAnsi="Arial"/>
      <w:lang w:eastAsia="en-US"/>
    </w:rPr>
  </w:style>
  <w:style w:type="paragraph" w:styleId="TOCHeading">
    <w:name w:val="TOC Heading"/>
    <w:basedOn w:val="Heading1"/>
    <w:next w:val="Normal"/>
    <w:uiPriority w:val="39"/>
    <w:unhideWhenUsed/>
    <w:qFormat/>
    <w:rsid w:val="00BE6129"/>
    <w:pPr>
      <w:spacing w:before="480" w:after="0" w:line="276" w:lineRule="auto"/>
      <w:outlineLvl w:val="9"/>
    </w:pPr>
    <w:rPr>
      <w:rFonts w:asciiTheme="majorHAnsi" w:eastAsiaTheme="majorEastAsia" w:hAnsiTheme="majorHAnsi" w:cstheme="majorBidi"/>
      <w:b/>
      <w:color w:val="365F91" w:themeColor="accent1" w:themeShade="BF"/>
      <w:kern w:val="0"/>
      <w:sz w:val="28"/>
      <w:szCs w:val="28"/>
      <w:lang w:val="en-US" w:eastAsia="ja-JP"/>
    </w:rPr>
  </w:style>
  <w:style w:type="paragraph" w:customStyle="1" w:styleId="DHHStablecolhead">
    <w:name w:val="DHHS table col head"/>
    <w:uiPriority w:val="3"/>
    <w:qFormat/>
    <w:rsid w:val="00CB3285"/>
    <w:pPr>
      <w:spacing w:before="80" w:after="60"/>
    </w:pPr>
    <w:rPr>
      <w:rFonts w:ascii="Arial" w:hAnsi="Arial"/>
      <w:b/>
      <w:color w:val="87189D"/>
      <w:lang w:eastAsia="en-US"/>
    </w:rPr>
  </w:style>
  <w:style w:type="paragraph" w:customStyle="1" w:styleId="DHHSbulletindent">
    <w:name w:val="DHHS bullet indent"/>
    <w:basedOn w:val="DHHSbody"/>
    <w:uiPriority w:val="4"/>
    <w:rsid w:val="0051568D"/>
    <w:pPr>
      <w:numPr>
        <w:ilvl w:val="4"/>
        <w:numId w:val="1"/>
      </w:numPr>
      <w:spacing w:after="40"/>
    </w:pPr>
  </w:style>
  <w:style w:type="character" w:styleId="Hyperlink">
    <w:name w:val="Hyperlink"/>
    <w:uiPriority w:val="99"/>
    <w:rsid w:val="004743DD"/>
    <w:rPr>
      <w:color w:val="3366FF"/>
      <w:u w:val="dotted"/>
    </w:rPr>
  </w:style>
  <w:style w:type="paragraph" w:customStyle="1" w:styleId="DHHSbullet1lastline">
    <w:name w:val="DHHS bullet 1 last line"/>
    <w:basedOn w:val="DHHSbullet1"/>
    <w:qFormat/>
    <w:rsid w:val="0051568D"/>
    <w:pPr>
      <w:numPr>
        <w:ilvl w:val="1"/>
      </w:numPr>
      <w:spacing w:after="120"/>
    </w:pPr>
  </w:style>
  <w:style w:type="paragraph" w:customStyle="1" w:styleId="DHHSbullet2lastline">
    <w:name w:val="DHHS bullet 2 last line"/>
    <w:basedOn w:val="DHHSbullet2"/>
    <w:uiPriority w:val="2"/>
    <w:qFormat/>
    <w:rsid w:val="0051568D"/>
    <w:pPr>
      <w:numPr>
        <w:ilvl w:val="3"/>
      </w:numPr>
      <w:spacing w:after="120"/>
    </w:pPr>
  </w:style>
  <w:style w:type="paragraph" w:customStyle="1" w:styleId="DHHSmainsubheading">
    <w:name w:val="DHHS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styleId="BalloonText">
    <w:name w:val="Balloon Text"/>
    <w:basedOn w:val="Normal"/>
    <w:link w:val="BalloonTextChar"/>
    <w:uiPriority w:val="99"/>
    <w:semiHidden/>
    <w:unhideWhenUsed/>
    <w:rsid w:val="00BE6129"/>
    <w:rPr>
      <w:rFonts w:ascii="Tahoma" w:hAnsi="Tahoma" w:cs="Tahoma"/>
      <w:sz w:val="16"/>
      <w:szCs w:val="16"/>
    </w:rPr>
  </w:style>
  <w:style w:type="paragraph" w:customStyle="1" w:styleId="Spacerparatopoffirstpage">
    <w:name w:val="Spacer para top of first page"/>
    <w:basedOn w:val="DHHS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1"/>
      </w:numPr>
    </w:pPr>
  </w:style>
  <w:style w:type="numbering" w:customStyle="1" w:styleId="ZZNumbers">
    <w:name w:val="ZZ Numbers"/>
    <w:rsid w:val="00152073"/>
    <w:pPr>
      <w:numPr>
        <w:numId w:val="2"/>
      </w:numPr>
    </w:pPr>
  </w:style>
  <w:style w:type="paragraph" w:customStyle="1" w:styleId="DHHSbulletindentlastline">
    <w:name w:val="DHHS bullet indent last line"/>
    <w:basedOn w:val="DHHSbody"/>
    <w:uiPriority w:val="4"/>
    <w:rsid w:val="0051568D"/>
    <w:pPr>
      <w:numPr>
        <w:ilvl w:val="5"/>
        <w:numId w:val="1"/>
      </w:numPr>
    </w:pPr>
  </w:style>
  <w:style w:type="paragraph" w:customStyle="1" w:styleId="DHHSnumberdigit">
    <w:name w:val="DHHS number digit"/>
    <w:basedOn w:val="DHHSbody"/>
    <w:uiPriority w:val="2"/>
    <w:rsid w:val="00152073"/>
    <w:pPr>
      <w:numPr>
        <w:numId w:val="2"/>
      </w:numPr>
    </w:pPr>
  </w:style>
  <w:style w:type="paragraph" w:customStyle="1" w:styleId="DHHSnumberloweralphaindent">
    <w:name w:val="DHHS number lower alpha indent"/>
    <w:basedOn w:val="DHHSbody"/>
    <w:uiPriority w:val="3"/>
    <w:rsid w:val="00152073"/>
    <w:pPr>
      <w:numPr>
        <w:ilvl w:val="3"/>
        <w:numId w:val="2"/>
      </w:numPr>
    </w:pPr>
  </w:style>
  <w:style w:type="paragraph" w:customStyle="1" w:styleId="DHHSnumberdigitindent">
    <w:name w:val="DHHS number digit indent"/>
    <w:basedOn w:val="DHHSnumberloweralphaindent"/>
    <w:uiPriority w:val="3"/>
    <w:rsid w:val="00152073"/>
    <w:pPr>
      <w:numPr>
        <w:ilvl w:val="1"/>
      </w:numPr>
    </w:pPr>
  </w:style>
  <w:style w:type="paragraph" w:customStyle="1" w:styleId="DHHSnumberloweralpha">
    <w:name w:val="DHHS number lower alpha"/>
    <w:basedOn w:val="DHHSbody"/>
    <w:uiPriority w:val="3"/>
    <w:rsid w:val="00152073"/>
    <w:pPr>
      <w:numPr>
        <w:ilvl w:val="2"/>
        <w:numId w:val="2"/>
      </w:numPr>
    </w:pPr>
  </w:style>
  <w:style w:type="paragraph" w:customStyle="1" w:styleId="DHHSnumberlowerroman">
    <w:name w:val="DHHS number lower roman"/>
    <w:basedOn w:val="DHHSbody"/>
    <w:uiPriority w:val="3"/>
    <w:rsid w:val="00152073"/>
    <w:pPr>
      <w:numPr>
        <w:ilvl w:val="4"/>
        <w:numId w:val="2"/>
      </w:numPr>
    </w:pPr>
  </w:style>
  <w:style w:type="paragraph" w:customStyle="1" w:styleId="DHHSnumberlowerromanindent">
    <w:name w:val="DHHS number lower roman indent"/>
    <w:basedOn w:val="DHHSbody"/>
    <w:uiPriority w:val="3"/>
    <w:rsid w:val="00152073"/>
    <w:pPr>
      <w:numPr>
        <w:ilvl w:val="5"/>
        <w:numId w:val="2"/>
      </w:numPr>
    </w:pPr>
  </w:style>
  <w:style w:type="paragraph" w:customStyle="1" w:styleId="DHHSquote">
    <w:name w:val="DHHS quote"/>
    <w:basedOn w:val="DHHSbody"/>
    <w:uiPriority w:val="4"/>
    <w:rsid w:val="00152073"/>
    <w:pPr>
      <w:ind w:left="397"/>
    </w:pPr>
    <w:rPr>
      <w:szCs w:val="18"/>
    </w:rPr>
  </w:style>
  <w:style w:type="paragraph" w:customStyle="1" w:styleId="DHHStablefigurenote">
    <w:name w:val="DHHS table/figure note"/>
    <w:uiPriority w:val="4"/>
    <w:rsid w:val="00596A4B"/>
    <w:pPr>
      <w:spacing w:before="60" w:after="60" w:line="240" w:lineRule="exact"/>
    </w:pPr>
    <w:rPr>
      <w:rFonts w:ascii="Arial" w:hAnsi="Arial"/>
      <w:i/>
      <w:sz w:val="18"/>
      <w:lang w:eastAsia="en-US"/>
    </w:rPr>
  </w:style>
  <w:style w:type="paragraph" w:customStyle="1" w:styleId="DHHSbodyaftertablefigure">
    <w:name w:val="DHHS body after table/figure"/>
    <w:basedOn w:val="DHHSbody"/>
    <w:next w:val="DHHSbody"/>
    <w:uiPriority w:val="1"/>
    <w:rsid w:val="00951D50"/>
    <w:pPr>
      <w:spacing w:before="240"/>
    </w:pPr>
  </w:style>
  <w:style w:type="paragraph" w:customStyle="1" w:styleId="DHHSfooter">
    <w:name w:val="DHHS footer"/>
    <w:uiPriority w:val="11"/>
    <w:rsid w:val="0051568D"/>
    <w:pPr>
      <w:tabs>
        <w:tab w:val="right" w:pos="10206"/>
      </w:tabs>
    </w:pPr>
    <w:rPr>
      <w:rFonts w:ascii="Arial" w:hAnsi="Arial" w:cs="Arial"/>
      <w:sz w:val="18"/>
      <w:szCs w:val="18"/>
      <w:lang w:eastAsia="en-US"/>
    </w:rPr>
  </w:style>
  <w:style w:type="paragraph" w:customStyle="1" w:styleId="DHHSheader">
    <w:name w:val="DHHS header"/>
    <w:basedOn w:val="DHHSfooter"/>
    <w:uiPriority w:val="11"/>
    <w:rsid w:val="0051568D"/>
  </w:style>
  <w:style w:type="character" w:customStyle="1" w:styleId="BalloonTextChar">
    <w:name w:val="Balloon Text Char"/>
    <w:basedOn w:val="DefaultParagraphFont"/>
    <w:link w:val="BalloonText"/>
    <w:uiPriority w:val="99"/>
    <w:semiHidden/>
    <w:rsid w:val="00BE6129"/>
    <w:rPr>
      <w:rFonts w:ascii="Tahoma" w:hAnsi="Tahoma" w:cs="Tahoma"/>
      <w:sz w:val="16"/>
      <w:szCs w:val="16"/>
      <w:lang w:eastAsia="en-US"/>
    </w:rPr>
  </w:style>
  <w:style w:type="character" w:styleId="CommentReference">
    <w:name w:val="annotation reference"/>
    <w:basedOn w:val="DefaultParagraphFont"/>
    <w:uiPriority w:val="99"/>
    <w:semiHidden/>
    <w:unhideWhenUsed/>
    <w:rsid w:val="00A16ACA"/>
    <w:rPr>
      <w:sz w:val="16"/>
      <w:szCs w:val="16"/>
    </w:rPr>
  </w:style>
  <w:style w:type="paragraph" w:styleId="CommentText">
    <w:name w:val="annotation text"/>
    <w:basedOn w:val="Normal"/>
    <w:link w:val="CommentTextChar"/>
    <w:uiPriority w:val="99"/>
    <w:unhideWhenUsed/>
    <w:rsid w:val="00A16ACA"/>
  </w:style>
  <w:style w:type="character" w:customStyle="1" w:styleId="CommentTextChar">
    <w:name w:val="Comment Text Char"/>
    <w:basedOn w:val="DefaultParagraphFont"/>
    <w:link w:val="CommentText"/>
    <w:uiPriority w:val="99"/>
    <w:rsid w:val="00A16ACA"/>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A16ACA"/>
    <w:rPr>
      <w:b/>
      <w:bCs/>
    </w:rPr>
  </w:style>
  <w:style w:type="character" w:customStyle="1" w:styleId="CommentSubjectChar">
    <w:name w:val="Comment Subject Char"/>
    <w:basedOn w:val="CommentTextChar"/>
    <w:link w:val="CommentSubject"/>
    <w:uiPriority w:val="99"/>
    <w:semiHidden/>
    <w:rsid w:val="00A16ACA"/>
    <w:rPr>
      <w:rFonts w:ascii="Cambria" w:hAnsi="Cambria"/>
      <w:b/>
      <w:bCs/>
      <w:lang w:eastAsia="en-US"/>
    </w:rPr>
  </w:style>
  <w:style w:type="table" w:customStyle="1" w:styleId="TableGrid1">
    <w:name w:val="Table Grid1"/>
    <w:basedOn w:val="TableNormal"/>
    <w:next w:val="TableGrid"/>
    <w:uiPriority w:val="59"/>
    <w:rsid w:val="0090678A"/>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ED22C3"/>
    <w:rPr>
      <w:color w:val="605E5C"/>
      <w:shd w:val="clear" w:color="auto" w:fill="E1DFDD"/>
    </w:rPr>
  </w:style>
  <w:style w:type="character" w:customStyle="1" w:styleId="FooterChar">
    <w:name w:val="Footer Char"/>
    <w:basedOn w:val="DefaultParagraphFont"/>
    <w:link w:val="Footer"/>
    <w:uiPriority w:val="99"/>
    <w:rsid w:val="00A547E9"/>
    <w:rPr>
      <w:rFonts w:ascii="Arial" w:hAnsi="Arial" w:cs="Arial"/>
      <w:sz w:val="18"/>
      <w:szCs w:val="18"/>
      <w:lang w:eastAsia="en-US"/>
    </w:rPr>
  </w:style>
  <w:style w:type="numbering" w:customStyle="1" w:styleId="ZZBullets1">
    <w:name w:val="ZZ Bullets1"/>
    <w:rsid w:val="0003459D"/>
  </w:style>
  <w:style w:type="numbering" w:customStyle="1" w:styleId="ZZBullets2">
    <w:name w:val="ZZ Bullets2"/>
    <w:rsid w:val="00E14121"/>
  </w:style>
  <w:style w:type="paragraph" w:styleId="BodyText">
    <w:name w:val="Body Text"/>
    <w:basedOn w:val="Normal"/>
    <w:link w:val="BodyTextChar"/>
    <w:rsid w:val="00BD2251"/>
    <w:pPr>
      <w:spacing w:before="60" w:after="60" w:line="259" w:lineRule="auto"/>
    </w:pPr>
    <w:rPr>
      <w:rFonts w:asciiTheme="minorHAnsi" w:eastAsiaTheme="minorHAnsi" w:hAnsiTheme="minorHAnsi" w:cstheme="minorBidi"/>
      <w:sz w:val="22"/>
      <w:szCs w:val="22"/>
      <w:lang w:val="en-US"/>
    </w:rPr>
  </w:style>
  <w:style w:type="character" w:customStyle="1" w:styleId="BodyTextChar">
    <w:name w:val="Body Text Char"/>
    <w:basedOn w:val="DefaultParagraphFont"/>
    <w:link w:val="BodyText"/>
    <w:rsid w:val="00BD2251"/>
    <w:rPr>
      <w:rFonts w:asciiTheme="minorHAnsi" w:eastAsiaTheme="minorHAnsi" w:hAnsiTheme="minorHAnsi" w:cstheme="minorBid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9570360">
      <w:bodyDiv w:val="1"/>
      <w:marLeft w:val="0"/>
      <w:marRight w:val="0"/>
      <w:marTop w:val="0"/>
      <w:marBottom w:val="0"/>
      <w:divBdr>
        <w:top w:val="none" w:sz="0" w:space="0" w:color="auto"/>
        <w:left w:val="none" w:sz="0" w:space="0" w:color="auto"/>
        <w:bottom w:val="none" w:sz="0" w:space="0" w:color="auto"/>
        <w:right w:val="none" w:sz="0" w:space="0" w:color="auto"/>
      </w:divBdr>
    </w:div>
    <w:div w:id="809370420">
      <w:bodyDiv w:val="1"/>
      <w:marLeft w:val="0"/>
      <w:marRight w:val="0"/>
      <w:marTop w:val="0"/>
      <w:marBottom w:val="0"/>
      <w:divBdr>
        <w:top w:val="none" w:sz="0" w:space="0" w:color="auto"/>
        <w:left w:val="none" w:sz="0" w:space="0" w:color="auto"/>
        <w:bottom w:val="none" w:sz="0" w:space="0" w:color="auto"/>
        <w:right w:val="none" w:sz="0" w:space="0" w:color="auto"/>
      </w:divBdr>
    </w:div>
    <w:div w:id="816603610">
      <w:bodyDiv w:val="1"/>
      <w:marLeft w:val="0"/>
      <w:marRight w:val="0"/>
      <w:marTop w:val="0"/>
      <w:marBottom w:val="0"/>
      <w:divBdr>
        <w:top w:val="none" w:sz="0" w:space="0" w:color="auto"/>
        <w:left w:val="none" w:sz="0" w:space="0" w:color="auto"/>
        <w:bottom w:val="none" w:sz="0" w:space="0" w:color="auto"/>
        <w:right w:val="none" w:sz="0" w:space="0" w:color="auto"/>
      </w:divBdr>
      <w:divsChild>
        <w:div w:id="1051153318">
          <w:marLeft w:val="547"/>
          <w:marRight w:val="0"/>
          <w:marTop w:val="0"/>
          <w:marBottom w:val="0"/>
          <w:divBdr>
            <w:top w:val="none" w:sz="0" w:space="0" w:color="auto"/>
            <w:left w:val="none" w:sz="0" w:space="0" w:color="auto"/>
            <w:bottom w:val="none" w:sz="0" w:space="0" w:color="auto"/>
            <w:right w:val="none" w:sz="0" w:space="0" w:color="auto"/>
          </w:divBdr>
        </w:div>
      </w:divsChild>
    </w:div>
    <w:div w:id="849880496">
      <w:bodyDiv w:val="1"/>
      <w:marLeft w:val="0"/>
      <w:marRight w:val="0"/>
      <w:marTop w:val="0"/>
      <w:marBottom w:val="0"/>
      <w:divBdr>
        <w:top w:val="none" w:sz="0" w:space="0" w:color="auto"/>
        <w:left w:val="none" w:sz="0" w:space="0" w:color="auto"/>
        <w:bottom w:val="none" w:sz="0" w:space="0" w:color="auto"/>
        <w:right w:val="none" w:sz="0" w:space="0" w:color="auto"/>
      </w:divBdr>
      <w:divsChild>
        <w:div w:id="1932619128">
          <w:marLeft w:val="1339"/>
          <w:marRight w:val="0"/>
          <w:marTop w:val="0"/>
          <w:marBottom w:val="16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24187879">
      <w:bodyDiv w:val="1"/>
      <w:marLeft w:val="0"/>
      <w:marRight w:val="0"/>
      <w:marTop w:val="0"/>
      <w:marBottom w:val="0"/>
      <w:divBdr>
        <w:top w:val="none" w:sz="0" w:space="0" w:color="auto"/>
        <w:left w:val="none" w:sz="0" w:space="0" w:color="auto"/>
        <w:bottom w:val="none" w:sz="0" w:space="0" w:color="auto"/>
        <w:right w:val="none" w:sz="0" w:space="0" w:color="auto"/>
      </w:divBdr>
    </w:div>
    <w:div w:id="1936277810">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s://providers.dhhs.vic.gov.au/better-futures-allocation-and-prioritisation-practice-advice"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mailto:childrenyouthfamilies@dhhs.vic.gov.au"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providers.dhhs.vic.gov.au/better-futures-eligibility-and-referral-practice-advic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providers.dhhs.vic.gov.au/better-futures-eligibility-and-referral-practice-advice" TargetMode="External"/><Relationship Id="rId20" Type="http://schemas.openxmlformats.org/officeDocument/2006/relationships/hyperlink" Target="mailto:childrenyouthfamilies@dhhs.vic.gov.au" TargetMode="External"/><Relationship Id="rId29"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www.bsl.org.au/services/youth/better-futures/" TargetMode="External"/><Relationship Id="rId23" Type="http://schemas.openxmlformats.org/officeDocument/2006/relationships/header" Target="header4.xml"/><Relationship Id="rId28" Type="http://schemas.openxmlformats.org/officeDocument/2006/relationships/customXml" Target="../customXml/item3.xml"/><Relationship Id="rId10" Type="http://schemas.openxmlformats.org/officeDocument/2006/relationships/header" Target="header2.xml"/><Relationship Id="rId19" Type="http://schemas.openxmlformats.org/officeDocument/2006/relationships/hyperlink" Target="https://providers.dhhs.vic.gov.au/better-futures-allocation-and-prioritisation-practice-advice"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providers.dhhs.vic.gov.au/leaving-care" TargetMode="External"/><Relationship Id="rId27" Type="http://schemas.openxmlformats.org/officeDocument/2006/relationships/customXml" Target="../customXml/item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inclusionmelbourne.org.au/projects/circles-of-supp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20" ma:contentTypeDescription="Create a new document." ma:contentTypeScope="" ma:versionID="0c3b25750aaa4907d0800f2715a4d6a9">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e0e4daec42ccf527de72b2be702ca1f"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Props1.xml><?xml version="1.0" encoding="utf-8"?>
<ds:datastoreItem xmlns:ds="http://schemas.openxmlformats.org/officeDocument/2006/customXml" ds:itemID="{91A613E3-B970-4D91-8120-B585CD6F5B9C}">
  <ds:schemaRefs>
    <ds:schemaRef ds:uri="http://schemas.openxmlformats.org/officeDocument/2006/bibliography"/>
  </ds:schemaRefs>
</ds:datastoreItem>
</file>

<file path=customXml/itemProps2.xml><?xml version="1.0" encoding="utf-8"?>
<ds:datastoreItem xmlns:ds="http://schemas.openxmlformats.org/officeDocument/2006/customXml" ds:itemID="{AC5E0E82-B446-448F-91BE-D5B773E163EC}"/>
</file>

<file path=customXml/itemProps3.xml><?xml version="1.0" encoding="utf-8"?>
<ds:datastoreItem xmlns:ds="http://schemas.openxmlformats.org/officeDocument/2006/customXml" ds:itemID="{94F75EB7-47F2-4D75-B875-54771CAD66B9}"/>
</file>

<file path=customXml/itemProps4.xml><?xml version="1.0" encoding="utf-8"?>
<ds:datastoreItem xmlns:ds="http://schemas.openxmlformats.org/officeDocument/2006/customXml" ds:itemID="{98A90009-6EBE-481B-BC06-89282F28F01C}"/>
</file>

<file path=docProps/app.xml><?xml version="1.0" encoding="utf-8"?>
<Properties xmlns="http://schemas.openxmlformats.org/officeDocument/2006/extended-properties" xmlns:vt="http://schemas.openxmlformats.org/officeDocument/2006/docPropsVTypes">
  <Template>Normal.dotm</Template>
  <TotalTime>62</TotalTime>
  <Pages>8</Pages>
  <Words>3235</Words>
  <Characters>18445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Community Connections Practice Advice</vt:lpstr>
    </vt:vector>
  </TitlesOfParts>
  <Company>Department of Health and Human Services</Company>
  <LinksUpToDate>false</LinksUpToDate>
  <CharactersWithSpaces>21637</CharactersWithSpaces>
  <SharedDoc>false</SharedDoc>
  <HyperlinkBase/>
  <HLinks>
    <vt:vector size="48" baseType="variant">
      <vt:variant>
        <vt:i4>2555941</vt:i4>
      </vt:variant>
      <vt:variant>
        <vt:i4>36</vt:i4>
      </vt:variant>
      <vt:variant>
        <vt:i4>0</vt:i4>
      </vt:variant>
      <vt:variant>
        <vt:i4>5</vt:i4>
      </vt:variant>
      <vt:variant>
        <vt:lpwstr>http://survey.tool.tempdomain.info/TakeSurveycss.asp?SurveyID=3K33p3LIm66MG</vt:lpwstr>
      </vt:variant>
      <vt:variant>
        <vt:lpwstr/>
      </vt:variant>
      <vt:variant>
        <vt:i4>3145752</vt:i4>
      </vt:variant>
      <vt:variant>
        <vt:i4>33</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30</vt:i4>
      </vt:variant>
      <vt:variant>
        <vt:i4>0</vt:i4>
      </vt:variant>
      <vt:variant>
        <vt:i4>5</vt:i4>
      </vt:variant>
      <vt:variant>
        <vt:lpwstr>http://intranet.health.vic.gov.au/resources-and-tools/forms-and-templates/microsoft-word-templates</vt:lpwstr>
      </vt:variant>
      <vt:variant>
        <vt:lpwstr/>
      </vt:variant>
      <vt:variant>
        <vt:i4>7536758</vt:i4>
      </vt:variant>
      <vt:variant>
        <vt:i4>27</vt:i4>
      </vt:variant>
      <vt:variant>
        <vt:i4>0</vt:i4>
      </vt:variant>
      <vt:variant>
        <vt:i4>5</vt:i4>
      </vt:variant>
      <vt:variant>
        <vt:lpwstr>http://intranet.dhs.vic.gov.au/resources-and-tools/forms-and-templates/microsoft-word-templates</vt:lpwstr>
      </vt:variant>
      <vt:variant>
        <vt:lpwstr/>
      </vt:variant>
      <vt:variant>
        <vt:i4>1114167</vt:i4>
      </vt:variant>
      <vt:variant>
        <vt:i4>20</vt:i4>
      </vt:variant>
      <vt:variant>
        <vt:i4>0</vt:i4>
      </vt:variant>
      <vt:variant>
        <vt:i4>5</vt:i4>
      </vt:variant>
      <vt:variant>
        <vt:lpwstr/>
      </vt:variant>
      <vt:variant>
        <vt:lpwstr>_Toc440566511</vt:lpwstr>
      </vt:variant>
      <vt:variant>
        <vt:i4>1114167</vt:i4>
      </vt:variant>
      <vt:variant>
        <vt:i4>14</vt:i4>
      </vt:variant>
      <vt:variant>
        <vt:i4>0</vt:i4>
      </vt:variant>
      <vt:variant>
        <vt:i4>5</vt:i4>
      </vt:variant>
      <vt:variant>
        <vt:lpwstr/>
      </vt:variant>
      <vt:variant>
        <vt:lpwstr>_Toc440566510</vt:lpwstr>
      </vt:variant>
      <vt:variant>
        <vt:i4>1048631</vt:i4>
      </vt:variant>
      <vt:variant>
        <vt:i4>8</vt:i4>
      </vt:variant>
      <vt:variant>
        <vt:i4>0</vt:i4>
      </vt:variant>
      <vt:variant>
        <vt:i4>5</vt:i4>
      </vt:variant>
      <vt:variant>
        <vt:lpwstr/>
      </vt:variant>
      <vt:variant>
        <vt:lpwstr>_Toc440566509</vt:lpwstr>
      </vt:variant>
      <vt:variant>
        <vt:i4>1048631</vt:i4>
      </vt:variant>
      <vt:variant>
        <vt:i4>2</vt:i4>
      </vt:variant>
      <vt:variant>
        <vt:i4>0</vt:i4>
      </vt:variant>
      <vt:variant>
        <vt:i4>5</vt:i4>
      </vt:variant>
      <vt:variant>
        <vt:lpwstr/>
      </vt:variant>
      <vt:variant>
        <vt:lpwstr>_Toc440566508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Connections Practice Advice</dc:title>
  <dc:subject>Community Connections Practice Advice</dc:subject>
  <dc:creator>Children and Families </dc:creator>
  <cp:lastModifiedBy>Cassie Palinkas (DHHS)</cp:lastModifiedBy>
  <cp:revision>9</cp:revision>
  <cp:lastPrinted>2019-04-11T22:15:00Z</cp:lastPrinted>
  <dcterms:created xsi:type="dcterms:W3CDTF">2021-01-25T05:04:00Z</dcterms:created>
  <dcterms:modified xsi:type="dcterms:W3CDTF">2021-01-25T06:15:00Z</dcterms:modified>
  <cp:category>Better Futures, referral,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2021-01-25T06:15:51Z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2f7370f0-4dcc-407a-887e-b9a961a2afe3</vt:lpwstr>
  </property>
  <property fmtid="{D5CDD505-2E9C-101B-9397-08002B2CF9AE}" pid="9" name="MSIP_Label_43e64453-338c-4f93-8a4d-0039a0a41f2a_ContentBits">
    <vt:lpwstr>2</vt:lpwstr>
  </property>
  <property fmtid="{D5CDD505-2E9C-101B-9397-08002B2CF9AE}" pid="10" name="ContentTypeId">
    <vt:lpwstr>0x0101009F0C4347C5C6D34BA8C9FCC4F57D19B6</vt:lpwstr>
  </property>
</Properties>
</file>