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92D8" w14:textId="77777777" w:rsidR="0074696E" w:rsidRPr="009056B3" w:rsidRDefault="00457807" w:rsidP="00AD784C">
      <w:pPr>
        <w:pStyle w:val="Spacerparatopoffirstpage"/>
        <w:rPr>
          <w:rFonts w:cs="Arial"/>
          <w:sz w:val="20"/>
        </w:rPr>
      </w:pPr>
      <w:r w:rsidRPr="009056B3">
        <w:rPr>
          <w:rFonts w:cs="Arial"/>
          <w:sz w:val="20"/>
          <w:lang w:eastAsia="en-AU"/>
        </w:rPr>
        <w:drawing>
          <wp:anchor distT="0" distB="0" distL="114300" distR="114300" simplePos="0" relativeHeight="251657728" behindDoc="1" locked="1" layoutInCell="0" allowOverlap="1" wp14:anchorId="4568A32D" wp14:editId="5A48CA8A">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194C4B14" w14:textId="77777777" w:rsidR="00A62D44" w:rsidRPr="009056B3" w:rsidRDefault="00A62D44" w:rsidP="00D1443D">
      <w:pPr>
        <w:pStyle w:val="Sectionbreakfirstpage"/>
        <w:rPr>
          <w:rFonts w:eastAsia="Times" w:cs="Arial"/>
          <w:noProof/>
        </w:rPr>
        <w:sectPr w:rsidR="00A62D44" w:rsidRPr="009056B3"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61"/>
      </w:tblGrid>
      <w:tr w:rsidR="00AD784C" w:rsidRPr="009056B3" w14:paraId="69C8551B" w14:textId="77777777" w:rsidTr="006F4A73">
        <w:trPr>
          <w:trHeight w:val="932"/>
        </w:trPr>
        <w:tc>
          <w:tcPr>
            <w:tcW w:w="8161" w:type="dxa"/>
            <w:shd w:val="clear" w:color="auto" w:fill="auto"/>
            <w:vAlign w:val="bottom"/>
          </w:tcPr>
          <w:p w14:paraId="1EE8F33E" w14:textId="77777777" w:rsidR="00AD784C" w:rsidRPr="006F4A73" w:rsidRDefault="00B76A9D" w:rsidP="00D86AEE">
            <w:pPr>
              <w:pStyle w:val="DHHSmainheading"/>
              <w:spacing w:line="270" w:lineRule="atLeast"/>
              <w:rPr>
                <w:rFonts w:cs="Arial"/>
                <w:sz w:val="44"/>
                <w:szCs w:val="44"/>
              </w:rPr>
            </w:pPr>
            <w:r w:rsidRPr="006F4A73">
              <w:rPr>
                <w:rFonts w:cs="Arial"/>
                <w:sz w:val="44"/>
                <w:szCs w:val="44"/>
              </w:rPr>
              <w:t xml:space="preserve">Client support family violence </w:t>
            </w:r>
            <w:r w:rsidR="00B01D67" w:rsidRPr="006F4A73">
              <w:rPr>
                <w:rFonts w:cs="Arial"/>
                <w:sz w:val="44"/>
                <w:szCs w:val="44"/>
              </w:rPr>
              <w:t>– HA</w:t>
            </w:r>
            <w:r w:rsidR="00F922BE" w:rsidRPr="006F4A73">
              <w:rPr>
                <w:rFonts w:cs="Arial"/>
                <w:sz w:val="44"/>
                <w:szCs w:val="44"/>
              </w:rPr>
              <w:br/>
            </w:r>
            <w:r w:rsidR="00882EB2" w:rsidRPr="006F4A73">
              <w:rPr>
                <w:rFonts w:cs="Arial"/>
                <w:sz w:val="44"/>
                <w:szCs w:val="44"/>
              </w:rPr>
              <w:t>9487</w:t>
            </w:r>
            <w:r w:rsidRPr="006F4A73">
              <w:rPr>
                <w:rFonts w:cs="Arial"/>
                <w:sz w:val="44"/>
                <w:szCs w:val="44"/>
              </w:rPr>
              <w:t>5</w:t>
            </w:r>
          </w:p>
        </w:tc>
      </w:tr>
      <w:tr w:rsidR="00AD784C" w:rsidRPr="009056B3" w14:paraId="41AC8408" w14:textId="77777777" w:rsidTr="006F4A73">
        <w:trPr>
          <w:trHeight w:hRule="exact" w:val="1291"/>
        </w:trPr>
        <w:tc>
          <w:tcPr>
            <w:tcW w:w="8161" w:type="dxa"/>
            <w:shd w:val="clear" w:color="auto" w:fill="auto"/>
            <w:tcMar>
              <w:top w:w="170" w:type="dxa"/>
              <w:bottom w:w="510" w:type="dxa"/>
            </w:tcMar>
          </w:tcPr>
          <w:p w14:paraId="4575E6DE" w14:textId="77777777" w:rsidR="008B158F" w:rsidRPr="006F4A73" w:rsidRDefault="00F922BE" w:rsidP="005E76EA">
            <w:pPr>
              <w:pStyle w:val="DHHSmainsubheading"/>
              <w:rPr>
                <w:rFonts w:cs="Arial"/>
                <w:szCs w:val="28"/>
              </w:rPr>
            </w:pPr>
            <w:r w:rsidRPr="006F4A73">
              <w:rPr>
                <w:rFonts w:cs="Arial"/>
                <w:szCs w:val="28"/>
              </w:rPr>
              <w:t>Outcome objective</w:t>
            </w:r>
            <w:r w:rsidR="00DE4E5C" w:rsidRPr="006F4A73">
              <w:rPr>
                <w:rFonts w:cs="Arial"/>
                <w:szCs w:val="28"/>
              </w:rPr>
              <w:t>:</w:t>
            </w:r>
            <w:r w:rsidRPr="006F4A73">
              <w:rPr>
                <w:rFonts w:cs="Arial"/>
                <w:szCs w:val="28"/>
              </w:rPr>
              <w:t xml:space="preserve"> </w:t>
            </w:r>
            <w:r w:rsidR="008B158F" w:rsidRPr="006F4A73">
              <w:rPr>
                <w:rFonts w:cs="Arial"/>
                <w:szCs w:val="28"/>
              </w:rPr>
              <w:t>Victorians are safe and secure</w:t>
            </w:r>
          </w:p>
          <w:p w14:paraId="5726A85E" w14:textId="77777777" w:rsidR="008B158F" w:rsidRPr="006F4A73" w:rsidRDefault="00F922BE" w:rsidP="00D1443D">
            <w:pPr>
              <w:pStyle w:val="DHHSmainsubheading"/>
              <w:rPr>
                <w:rFonts w:cs="Arial"/>
                <w:szCs w:val="28"/>
              </w:rPr>
            </w:pPr>
            <w:r w:rsidRPr="006F4A73">
              <w:rPr>
                <w:rFonts w:cs="Arial"/>
                <w:szCs w:val="28"/>
              </w:rPr>
              <w:t xml:space="preserve">Output group: </w:t>
            </w:r>
            <w:r w:rsidR="000C5F9C" w:rsidRPr="006F4A73">
              <w:rPr>
                <w:rFonts w:cs="Arial"/>
                <w:szCs w:val="28"/>
              </w:rPr>
              <w:t>Housing assistance</w:t>
            </w:r>
          </w:p>
          <w:p w14:paraId="0115F033" w14:textId="77777777" w:rsidR="00F922BE" w:rsidRPr="009056B3" w:rsidRDefault="00F922BE" w:rsidP="00D1443D">
            <w:pPr>
              <w:pStyle w:val="DHHSmainsubheading"/>
              <w:rPr>
                <w:rFonts w:cs="Arial"/>
                <w:sz w:val="20"/>
                <w:szCs w:val="20"/>
              </w:rPr>
            </w:pPr>
            <w:r w:rsidRPr="006F4A73">
              <w:rPr>
                <w:rFonts w:cs="Arial"/>
                <w:szCs w:val="28"/>
              </w:rPr>
              <w:t xml:space="preserve">Output: </w:t>
            </w:r>
            <w:r w:rsidR="000C5F9C" w:rsidRPr="006F4A73">
              <w:rPr>
                <w:rFonts w:cs="Arial"/>
                <w:szCs w:val="28"/>
              </w:rPr>
              <w:t>Housing support and homelessness assistance</w:t>
            </w:r>
          </w:p>
        </w:tc>
      </w:tr>
    </w:tbl>
    <w:p w14:paraId="125206E5" w14:textId="77777777" w:rsidR="007173CA" w:rsidRPr="009056B3" w:rsidRDefault="007173CA" w:rsidP="006C7A1F">
      <w:pPr>
        <w:pStyle w:val="DHHSbody"/>
        <w:spacing w:beforeLines="40" w:before="96"/>
        <w:rPr>
          <w:rFonts w:cs="Arial"/>
        </w:rPr>
        <w:sectPr w:rsidR="007173CA" w:rsidRPr="009056B3"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1" w:name="_Toc440566508"/>
    </w:p>
    <w:bookmarkEnd w:id="1"/>
    <w:p w14:paraId="6FDF31EA" w14:textId="77777777" w:rsidR="00A62D44" w:rsidRPr="009056B3" w:rsidRDefault="00B70F76" w:rsidP="006F4A73">
      <w:pPr>
        <w:pStyle w:val="Heading1"/>
      </w:pPr>
      <w:r w:rsidRPr="009056B3">
        <w:t xml:space="preserve">1. </w:t>
      </w:r>
      <w:r w:rsidR="00DF6BAF" w:rsidRPr="009056B3">
        <w:t xml:space="preserve">Service Objective </w:t>
      </w:r>
    </w:p>
    <w:p w14:paraId="0F12EC05" w14:textId="015772B2" w:rsidR="00AA760D" w:rsidRPr="000265D2" w:rsidRDefault="007B3DB2" w:rsidP="006F4A73">
      <w:pPr>
        <w:pStyle w:val="DHHSbody"/>
        <w:rPr>
          <w:rFonts w:cs="Arial"/>
        </w:rPr>
      </w:pPr>
      <w:bookmarkStart w:id="2" w:name="_Toc256778633"/>
      <w:r w:rsidRPr="009056B3">
        <w:rPr>
          <w:rStyle w:val="DHHSbodyChar"/>
          <w:rFonts w:cs="Arial"/>
        </w:rPr>
        <w:t xml:space="preserve">Client support family violence </w:t>
      </w:r>
      <w:r w:rsidR="00E1269A" w:rsidRPr="009056B3">
        <w:rPr>
          <w:rStyle w:val="DHHSbodyChar"/>
          <w:rFonts w:cs="Arial"/>
        </w:rPr>
        <w:t xml:space="preserve">funding </w:t>
      </w:r>
      <w:bookmarkStart w:id="3" w:name="_Hlk5345373"/>
      <w:r w:rsidR="00FE3F1C" w:rsidRPr="00FE3F1C">
        <w:t>promote</w:t>
      </w:r>
      <w:r w:rsidR="008A6F20">
        <w:t>s the</w:t>
      </w:r>
      <w:r w:rsidR="00FE3F1C" w:rsidRPr="00FE3F1C">
        <w:t xml:space="preserve"> safety and wellbeing of victim survivors of family violence</w:t>
      </w:r>
      <w:r w:rsidR="008A6F20">
        <w:t xml:space="preserve"> </w:t>
      </w:r>
      <w:bookmarkEnd w:id="3"/>
      <w:r w:rsidR="00A317A3">
        <w:t>including crisis and</w:t>
      </w:r>
      <w:r w:rsidR="008A6F20">
        <w:t xml:space="preserve"> ‘after-hours’ support and </w:t>
      </w:r>
      <w:bookmarkStart w:id="4" w:name="_Hlk5345406"/>
      <w:r w:rsidR="001D0160" w:rsidRPr="001D0160">
        <w:t>the coordination of responses needed to promote safety and wellbeing</w:t>
      </w:r>
      <w:bookmarkEnd w:id="4"/>
      <w:r w:rsidR="008A6F20">
        <w:rPr>
          <w:rFonts w:cs="Arial"/>
        </w:rPr>
        <w:t>.</w:t>
      </w:r>
      <w:r w:rsidR="008A6F20" w:rsidRPr="008A6F20">
        <w:rPr>
          <w:rFonts w:cs="Arial"/>
        </w:rPr>
        <w:t xml:space="preserve"> </w:t>
      </w:r>
    </w:p>
    <w:p w14:paraId="39D16967" w14:textId="2DC4D0FE" w:rsidR="00DF6BAF" w:rsidRPr="009056B3" w:rsidRDefault="00DE4E5C" w:rsidP="006F4A73">
      <w:pPr>
        <w:pStyle w:val="Heading1"/>
      </w:pPr>
      <w:r w:rsidRPr="009056B3">
        <w:t>2</w:t>
      </w:r>
      <w:r w:rsidR="00B70F76" w:rsidRPr="009056B3">
        <w:t xml:space="preserve">. </w:t>
      </w:r>
      <w:r w:rsidR="00DF6BAF" w:rsidRPr="009056B3">
        <w:t>Description of the service</w:t>
      </w:r>
    </w:p>
    <w:p w14:paraId="31C55934" w14:textId="068238A9" w:rsidR="00E1269A" w:rsidRPr="009056B3" w:rsidRDefault="00A73ED7" w:rsidP="00873DA1">
      <w:pPr>
        <w:pStyle w:val="Heading3"/>
        <w:spacing w:beforeLines="40" w:before="96" w:line="270" w:lineRule="atLeast"/>
        <w:rPr>
          <w:rStyle w:val="DHHSbodyChar"/>
          <w:rFonts w:cs="Arial"/>
          <w:b w:val="0"/>
          <w:bCs w:val="0"/>
          <w:sz w:val="20"/>
          <w:szCs w:val="20"/>
        </w:rPr>
      </w:pPr>
      <w:bookmarkStart w:id="5" w:name="_Hlk2603469"/>
      <w:r w:rsidRPr="009056B3">
        <w:rPr>
          <w:rStyle w:val="DHHSbodyChar"/>
          <w:rFonts w:cs="Arial"/>
          <w:b w:val="0"/>
          <w:bCs w:val="0"/>
          <w:sz w:val="20"/>
          <w:szCs w:val="20"/>
        </w:rPr>
        <w:t>This activity</w:t>
      </w:r>
      <w:r w:rsidR="00E1269A" w:rsidRPr="009056B3">
        <w:rPr>
          <w:rStyle w:val="DHHSbodyChar"/>
          <w:rFonts w:cs="Arial"/>
          <w:b w:val="0"/>
          <w:bCs w:val="0"/>
          <w:sz w:val="20"/>
          <w:szCs w:val="20"/>
        </w:rPr>
        <w:t xml:space="preserve"> ensure</w:t>
      </w:r>
      <w:r w:rsidR="006A6227" w:rsidRPr="009056B3">
        <w:rPr>
          <w:rStyle w:val="DHHSbodyChar"/>
          <w:rFonts w:cs="Arial"/>
          <w:b w:val="0"/>
          <w:bCs w:val="0"/>
          <w:sz w:val="20"/>
          <w:szCs w:val="20"/>
        </w:rPr>
        <w:t>s</w:t>
      </w:r>
      <w:r w:rsidR="00E1269A" w:rsidRPr="009056B3">
        <w:rPr>
          <w:rStyle w:val="DHHSbodyChar"/>
          <w:rFonts w:cs="Arial"/>
          <w:b w:val="0"/>
          <w:bCs w:val="0"/>
          <w:sz w:val="20"/>
          <w:szCs w:val="20"/>
        </w:rPr>
        <w:t xml:space="preserve"> people who experience </w:t>
      </w:r>
      <w:r w:rsidR="00363710">
        <w:rPr>
          <w:rStyle w:val="DHHSbodyChar"/>
          <w:rFonts w:cs="Arial"/>
          <w:b w:val="0"/>
          <w:bCs w:val="0"/>
          <w:sz w:val="20"/>
          <w:szCs w:val="20"/>
        </w:rPr>
        <w:t xml:space="preserve">family </w:t>
      </w:r>
      <w:r w:rsidR="00E1269A" w:rsidRPr="009056B3">
        <w:rPr>
          <w:rStyle w:val="DHHSbodyChar"/>
          <w:rFonts w:cs="Arial"/>
          <w:b w:val="0"/>
          <w:bCs w:val="0"/>
          <w:sz w:val="20"/>
          <w:szCs w:val="20"/>
        </w:rPr>
        <w:t>violence can access:</w:t>
      </w:r>
    </w:p>
    <w:bookmarkEnd w:id="5"/>
    <w:p w14:paraId="6367305D" w14:textId="77777777" w:rsidR="00A317A3" w:rsidRPr="00676940" w:rsidRDefault="00A317A3" w:rsidP="00A317A3">
      <w:pPr>
        <w:pStyle w:val="DHHSbullet1"/>
        <w:spacing w:after="120"/>
        <w:rPr>
          <w:rStyle w:val="DHHSbodyChar"/>
          <w:rFonts w:cs="Arial"/>
        </w:rPr>
      </w:pPr>
      <w:r w:rsidRPr="00676940">
        <w:rPr>
          <w:rStyle w:val="DHHSbodyChar"/>
          <w:rFonts w:cs="Arial"/>
        </w:rPr>
        <w:t xml:space="preserve">case management, </w:t>
      </w:r>
      <w:bookmarkStart w:id="6" w:name="_Hlk5283229"/>
      <w:r w:rsidRPr="00676940">
        <w:rPr>
          <w:rStyle w:val="DHHSbodyChar"/>
          <w:rFonts w:cs="Arial"/>
        </w:rPr>
        <w:t xml:space="preserve">including the </w:t>
      </w:r>
      <w:r w:rsidRPr="00676940">
        <w:rPr>
          <w:rFonts w:cs="Arial"/>
        </w:rPr>
        <w:t>coordination of responses needed to promote safety and wellbeing of victim survivors, and the task-focused case work in support of case management goals.</w:t>
      </w:r>
      <w:bookmarkEnd w:id="6"/>
    </w:p>
    <w:p w14:paraId="0E930B33" w14:textId="5AA985C7" w:rsidR="00363710" w:rsidRDefault="00363710" w:rsidP="00873DA1">
      <w:pPr>
        <w:pStyle w:val="DHHSbullet1"/>
        <w:spacing w:after="120"/>
        <w:rPr>
          <w:rStyle w:val="DHHSbodyChar"/>
          <w:rFonts w:cs="Arial"/>
        </w:rPr>
      </w:pPr>
      <w:r w:rsidRPr="00363710">
        <w:rPr>
          <w:rFonts w:cs="Arial"/>
        </w:rPr>
        <w:t>‘after hours’ support to address their immediate needs and risks</w:t>
      </w:r>
      <w:r>
        <w:rPr>
          <w:rFonts w:cs="Arial"/>
        </w:rPr>
        <w:t>, and</w:t>
      </w:r>
    </w:p>
    <w:p w14:paraId="50FBB838" w14:textId="12D7D263" w:rsidR="00AA760D" w:rsidRPr="009056B3" w:rsidRDefault="00BA178C" w:rsidP="00873DA1">
      <w:pPr>
        <w:pStyle w:val="Default"/>
        <w:spacing w:after="120" w:line="270" w:lineRule="atLeast"/>
        <w:rPr>
          <w:sz w:val="20"/>
          <w:szCs w:val="20"/>
        </w:rPr>
      </w:pPr>
      <w:r w:rsidRPr="009056B3">
        <w:rPr>
          <w:sz w:val="20"/>
          <w:szCs w:val="20"/>
        </w:rPr>
        <w:t>Specialist Family Violence Practitioners work with victim</w:t>
      </w:r>
      <w:r w:rsidR="00A95E6C" w:rsidRPr="009056B3">
        <w:rPr>
          <w:sz w:val="20"/>
          <w:szCs w:val="20"/>
        </w:rPr>
        <w:t xml:space="preserve"> </w:t>
      </w:r>
      <w:r w:rsidRPr="009056B3">
        <w:rPr>
          <w:sz w:val="20"/>
          <w:szCs w:val="20"/>
        </w:rPr>
        <w:t xml:space="preserve">survivors and their children to identify both immediate and </w:t>
      </w:r>
      <w:r w:rsidR="00DE1262" w:rsidRPr="009056B3">
        <w:rPr>
          <w:sz w:val="20"/>
          <w:szCs w:val="20"/>
        </w:rPr>
        <w:t>medium-term</w:t>
      </w:r>
      <w:r w:rsidRPr="009056B3">
        <w:rPr>
          <w:sz w:val="20"/>
          <w:szCs w:val="20"/>
        </w:rPr>
        <w:t xml:space="preserve"> goals with the focus on reducing risk, regaining control and set</w:t>
      </w:r>
      <w:r w:rsidR="00A0602E" w:rsidRPr="009056B3">
        <w:rPr>
          <w:sz w:val="20"/>
          <w:szCs w:val="20"/>
        </w:rPr>
        <w:t>ting</w:t>
      </w:r>
      <w:r w:rsidRPr="009056B3">
        <w:rPr>
          <w:sz w:val="20"/>
          <w:szCs w:val="20"/>
        </w:rPr>
        <w:t xml:space="preserve"> a co</w:t>
      </w:r>
      <w:r w:rsidR="00A95E6C" w:rsidRPr="009056B3">
        <w:rPr>
          <w:sz w:val="20"/>
          <w:szCs w:val="20"/>
        </w:rPr>
        <w:t>urs</w:t>
      </w:r>
      <w:r w:rsidRPr="009056B3">
        <w:rPr>
          <w:sz w:val="20"/>
          <w:szCs w:val="20"/>
        </w:rPr>
        <w:t xml:space="preserve">e for healing and recovery. Case plans are developed with victim survivors </w:t>
      </w:r>
      <w:r w:rsidR="006A6227" w:rsidRPr="009056B3">
        <w:rPr>
          <w:sz w:val="20"/>
          <w:szCs w:val="20"/>
        </w:rPr>
        <w:t>to</w:t>
      </w:r>
      <w:r w:rsidRPr="009056B3">
        <w:rPr>
          <w:sz w:val="20"/>
          <w:szCs w:val="20"/>
        </w:rPr>
        <w:t xml:space="preserve"> document the plan and goals for the support period. </w:t>
      </w:r>
      <w:bookmarkStart w:id="7" w:name="_Hlk5345569"/>
      <w:r w:rsidR="00363710" w:rsidRPr="00363710">
        <w:rPr>
          <w:sz w:val="20"/>
          <w:szCs w:val="20"/>
        </w:rPr>
        <w:t>Supports are provided within a therapeutic and recovery-oriented framework with referrals made out for tailored therapeutic services which address the longer-term impacts on the psychological and emotional well-being of victim survivors.</w:t>
      </w:r>
      <w:bookmarkEnd w:id="7"/>
    </w:p>
    <w:p w14:paraId="65368EBE" w14:textId="0A75A962" w:rsidR="00B70F76" w:rsidRPr="009056B3" w:rsidRDefault="00DF6BAF" w:rsidP="006F4A73">
      <w:pPr>
        <w:pStyle w:val="Heading1"/>
      </w:pPr>
      <w:r w:rsidRPr="009056B3">
        <w:t xml:space="preserve">3. </w:t>
      </w:r>
      <w:r w:rsidR="00B70F76" w:rsidRPr="009056B3">
        <w:t>Client group</w:t>
      </w:r>
    </w:p>
    <w:p w14:paraId="0A3CE228" w14:textId="7CAECA86" w:rsidR="00AA760D" w:rsidRPr="009056B3" w:rsidRDefault="00F36207">
      <w:pPr>
        <w:pStyle w:val="DHHSbody"/>
        <w:rPr>
          <w:rFonts w:cs="Arial"/>
        </w:rPr>
      </w:pPr>
      <w:r w:rsidRPr="009056B3">
        <w:rPr>
          <w:rFonts w:cs="Arial"/>
        </w:rPr>
        <w:t>This funding is</w:t>
      </w:r>
      <w:r w:rsidR="009750C1" w:rsidRPr="009056B3">
        <w:rPr>
          <w:rFonts w:cs="Arial"/>
        </w:rPr>
        <w:t xml:space="preserve"> specifically</w:t>
      </w:r>
      <w:r w:rsidRPr="009056B3">
        <w:rPr>
          <w:rFonts w:cs="Arial"/>
        </w:rPr>
        <w:t xml:space="preserve"> targeted towards </w:t>
      </w:r>
      <w:r w:rsidR="00145EAF" w:rsidRPr="009056B3">
        <w:rPr>
          <w:rFonts w:cs="Arial"/>
        </w:rPr>
        <w:t xml:space="preserve">victim survivors </w:t>
      </w:r>
      <w:r w:rsidR="00363710">
        <w:rPr>
          <w:rFonts w:cs="Arial"/>
        </w:rPr>
        <w:t>of family violence</w:t>
      </w:r>
      <w:r w:rsidR="001D0160" w:rsidRPr="001D0160">
        <w:rPr>
          <w:rFonts w:eastAsia="Times New Roman"/>
          <w:lang w:eastAsia="en-AU"/>
        </w:rPr>
        <w:t xml:space="preserve"> </w:t>
      </w:r>
      <w:r w:rsidR="001D0160" w:rsidRPr="001D0160">
        <w:rPr>
          <w:rFonts w:cs="Arial"/>
        </w:rPr>
        <w:t>who require support to build a life free from violence</w:t>
      </w:r>
      <w:r w:rsidR="00363710">
        <w:rPr>
          <w:rFonts w:cs="Arial"/>
        </w:rPr>
        <w:t>.</w:t>
      </w:r>
    </w:p>
    <w:p w14:paraId="07FE06BE" w14:textId="4BA8FE01" w:rsidR="002D1AA5" w:rsidRPr="009056B3" w:rsidRDefault="00DF6BAF" w:rsidP="006F4A73">
      <w:pPr>
        <w:pStyle w:val="Heading1"/>
      </w:pPr>
      <w:r w:rsidRPr="009056B3">
        <w:t>4</w:t>
      </w:r>
      <w:r w:rsidR="00B70F76" w:rsidRPr="009056B3">
        <w:t xml:space="preserve">. Obligations specific to this </w:t>
      </w:r>
      <w:r w:rsidR="00EC4117" w:rsidRPr="009056B3">
        <w:t>activity</w:t>
      </w:r>
    </w:p>
    <w:p w14:paraId="37555122" w14:textId="39C180B9" w:rsidR="00B70F76" w:rsidRPr="009056B3" w:rsidRDefault="00DF6BAF" w:rsidP="00873DA1">
      <w:pPr>
        <w:pStyle w:val="DHHSbody"/>
        <w:spacing w:beforeLines="40" w:before="96"/>
        <w:rPr>
          <w:rFonts w:cs="Arial"/>
        </w:rPr>
      </w:pPr>
      <w:r w:rsidRPr="009056B3">
        <w:rPr>
          <w:rFonts w:cs="Arial"/>
        </w:rPr>
        <w:t xml:space="preserve">In addition to the obligations listed in the Service Agreement, </w:t>
      </w:r>
      <w:r w:rsidR="00E1269A" w:rsidRPr="009056B3">
        <w:rPr>
          <w:rFonts w:cs="Arial"/>
        </w:rPr>
        <w:t>you</w:t>
      </w:r>
      <w:r w:rsidR="00DE1262" w:rsidRPr="009056B3">
        <w:rPr>
          <w:rFonts w:cs="Arial"/>
        </w:rPr>
        <w:t>r organisation</w:t>
      </w:r>
      <w:r w:rsidR="00E1269A" w:rsidRPr="009056B3">
        <w:rPr>
          <w:rFonts w:cs="Arial"/>
        </w:rPr>
        <w:t xml:space="preserve"> </w:t>
      </w:r>
      <w:r w:rsidR="002B3651" w:rsidRPr="009056B3">
        <w:rPr>
          <w:rFonts w:cs="Arial"/>
        </w:rPr>
        <w:t>must comply with the following:</w:t>
      </w:r>
    </w:p>
    <w:p w14:paraId="5F166256" w14:textId="77777777" w:rsidR="001F3DE2" w:rsidRPr="009056B3" w:rsidRDefault="00020209" w:rsidP="006F4A73">
      <w:pPr>
        <w:pStyle w:val="Heading2"/>
      </w:pPr>
      <w:r w:rsidRPr="009056B3">
        <w:t xml:space="preserve">4a.  Registration and Accreditation </w:t>
      </w:r>
    </w:p>
    <w:p w14:paraId="43F0C88B" w14:textId="77777777" w:rsidR="000073FB" w:rsidRPr="0093521F" w:rsidRDefault="000073FB" w:rsidP="006F4A73">
      <w:pPr>
        <w:pStyle w:val="DHHSbullet1"/>
        <w:rPr>
          <w:lang w:val="en-US"/>
        </w:rPr>
      </w:pPr>
      <w:r w:rsidRPr="0093521F">
        <w:rPr>
          <w:lang w:val="en-US"/>
        </w:rPr>
        <w:t xml:space="preserve">Independent Review and Accreditation against the Department’s Human Services Standards, Unless Exempted </w:t>
      </w:r>
    </w:p>
    <w:p w14:paraId="14C8D6C2" w14:textId="1A8F63B7" w:rsidR="001F3DE2" w:rsidRDefault="00020209" w:rsidP="006F4A73">
      <w:pPr>
        <w:pStyle w:val="Heading2"/>
      </w:pPr>
      <w:r w:rsidRPr="009056B3">
        <w:t xml:space="preserve">4b. </w:t>
      </w:r>
      <w:r w:rsidR="001F3DE2" w:rsidRPr="009056B3">
        <w:t xml:space="preserve">Program requirements and other policy guidelines </w:t>
      </w:r>
    </w:p>
    <w:bookmarkStart w:id="8" w:name="_Hlk2324778"/>
    <w:p w14:paraId="4F884453" w14:textId="77777777" w:rsidR="008839B7" w:rsidRPr="009943BA" w:rsidRDefault="008839B7" w:rsidP="008839B7">
      <w:pPr>
        <w:pStyle w:val="DHHSbullet1"/>
        <w:rPr>
          <w:rStyle w:val="Hyperlink"/>
          <w:color w:val="auto"/>
          <w:u w:val="none"/>
        </w:rPr>
      </w:pPr>
      <w:r>
        <w:rPr>
          <w:rStyle w:val="Hyperlink"/>
        </w:rPr>
        <w:fldChar w:fldCharType="begin"/>
      </w:r>
      <w:r>
        <w:rPr>
          <w:rStyle w:val="Hyperlink"/>
        </w:rPr>
        <w:instrText xml:space="preserve"> HYPERLINK "https://www.vic.gov.au/family-violence-information-sharing-scheme" </w:instrText>
      </w:r>
      <w:r>
        <w:rPr>
          <w:rStyle w:val="Hyperlink"/>
        </w:rPr>
        <w:fldChar w:fldCharType="separate"/>
      </w:r>
      <w:r w:rsidRPr="007E503F">
        <w:rPr>
          <w:rStyle w:val="Hyperlink"/>
        </w:rPr>
        <w:t>Family Violence Information Sharing Scheme</w:t>
      </w:r>
      <w:r>
        <w:rPr>
          <w:rStyle w:val="Hyperlink"/>
        </w:rPr>
        <w:fldChar w:fldCharType="end"/>
      </w:r>
      <w:r>
        <w:rPr>
          <w:rStyle w:val="Hyperlink"/>
        </w:rPr>
        <w:t xml:space="preserve"> </w:t>
      </w:r>
    </w:p>
    <w:p w14:paraId="39B1F6A6" w14:textId="77777777" w:rsidR="008839B7" w:rsidRPr="007E503F" w:rsidRDefault="008839B7" w:rsidP="008839B7">
      <w:pPr>
        <w:pStyle w:val="DHHSbullet1"/>
        <w:numPr>
          <w:ilvl w:val="0"/>
          <w:numId w:val="0"/>
        </w:numPr>
        <w:ind w:left="284"/>
        <w:rPr>
          <w:rStyle w:val="DHHSbodyChar"/>
        </w:rPr>
      </w:pPr>
      <w:r w:rsidRPr="007E503F">
        <w:rPr>
          <w:rStyle w:val="DHHSbodyChar"/>
        </w:rPr>
        <w:t>&lt;</w:t>
      </w:r>
      <w:hyperlink r:id="rId12" w:history="1">
        <w:r w:rsidRPr="007E503F">
          <w:rPr>
            <w:rStyle w:val="DHHSbodyChar"/>
          </w:rPr>
          <w:t>https://www.vic.gov.au/family-violence-information-sharing-scheme</w:t>
        </w:r>
      </w:hyperlink>
      <w:r w:rsidRPr="007E503F">
        <w:rPr>
          <w:rStyle w:val="DHHSbodyChar"/>
        </w:rPr>
        <w:t>&gt;</w:t>
      </w:r>
    </w:p>
    <w:p w14:paraId="7B50179E" w14:textId="77777777" w:rsidR="008839B7" w:rsidRPr="00113AE6" w:rsidRDefault="008839B7" w:rsidP="008839B7">
      <w:pPr>
        <w:pStyle w:val="DHHSbullet1"/>
      </w:pPr>
      <w:r w:rsidRPr="00113AE6">
        <w:rPr>
          <w:rStyle w:val="Hyperlink"/>
        </w:rPr>
        <w:t>Multi Agency Risk Assessment and Management Framework (MARAM)</w:t>
      </w:r>
      <w:r w:rsidRPr="00113AE6">
        <w:t xml:space="preserve"> </w:t>
      </w:r>
    </w:p>
    <w:p w14:paraId="4AA6F605" w14:textId="77777777" w:rsidR="008839B7" w:rsidRPr="009943BA" w:rsidRDefault="008839B7" w:rsidP="008839B7">
      <w:pPr>
        <w:pStyle w:val="DHHSbullet1"/>
        <w:numPr>
          <w:ilvl w:val="0"/>
          <w:numId w:val="0"/>
        </w:numPr>
        <w:ind w:left="284"/>
      </w:pPr>
      <w:r w:rsidRPr="009943BA">
        <w:t xml:space="preserve">&lt;https://www.vic.gov.au/family-violence-multi-agency-risk-assessment-and-management&gt; </w:t>
      </w:r>
    </w:p>
    <w:p w14:paraId="60D863DA" w14:textId="77777777" w:rsidR="008839B7" w:rsidRPr="00F41446" w:rsidRDefault="00453C91" w:rsidP="008839B7">
      <w:pPr>
        <w:pStyle w:val="DHHSbullet1"/>
        <w:rPr>
          <w:rStyle w:val="Hyperlink"/>
        </w:rPr>
      </w:pPr>
      <w:hyperlink r:id="rId13" w:history="1">
        <w:r w:rsidR="008839B7" w:rsidRPr="00F41446">
          <w:rPr>
            <w:rStyle w:val="Hyperlink"/>
          </w:rPr>
          <w:t>Code of Practice for Specialist Family Violence Services for Women and Children</w:t>
        </w:r>
      </w:hyperlink>
      <w:r w:rsidR="008839B7" w:rsidRPr="006B2AD3">
        <w:rPr>
          <w:vertAlign w:val="superscript"/>
          <w:lang w:val="en-US"/>
        </w:rPr>
        <w:footnoteReference w:id="1"/>
      </w:r>
    </w:p>
    <w:p w14:paraId="687B797C" w14:textId="77777777" w:rsidR="008839B7" w:rsidRPr="009943BA" w:rsidRDefault="008839B7" w:rsidP="008839B7">
      <w:pPr>
        <w:pStyle w:val="DHHSbullet1"/>
        <w:numPr>
          <w:ilvl w:val="0"/>
          <w:numId w:val="0"/>
        </w:numPr>
        <w:ind w:left="284"/>
      </w:pPr>
      <w:r w:rsidRPr="009943BA">
        <w:t>&lt;https://dhhs.vic.gov.au/sites/default/files/documents/201705/code-of-practice-domestic-violence-vic-2006.pdf&gt;</w:t>
      </w:r>
    </w:p>
    <w:p w14:paraId="63F07B56" w14:textId="77777777" w:rsidR="008839B7" w:rsidRPr="009943BA" w:rsidRDefault="00453C91" w:rsidP="008839B7">
      <w:pPr>
        <w:pStyle w:val="DHHSbullet1"/>
      </w:pPr>
      <w:hyperlink r:id="rId14" w:history="1">
        <w:r w:rsidR="008839B7" w:rsidRPr="00F41446">
          <w:rPr>
            <w:rStyle w:val="Hyperlink"/>
          </w:rPr>
          <w:t>Family violence referral protocol between DHHS, Family Safety Victoria and Department of Justice and Regulation and Victoria Police 2018</w:t>
        </w:r>
      </w:hyperlink>
    </w:p>
    <w:p w14:paraId="1BB884A9" w14:textId="77777777" w:rsidR="008839B7" w:rsidRDefault="008839B7" w:rsidP="008839B7">
      <w:pPr>
        <w:pStyle w:val="DHHSbullet1"/>
        <w:numPr>
          <w:ilvl w:val="0"/>
          <w:numId w:val="0"/>
        </w:numPr>
        <w:ind w:left="284"/>
      </w:pPr>
      <w:r>
        <w:t>&lt;</w:t>
      </w:r>
      <w:r w:rsidRPr="009943BA">
        <w:t>https://providers.dhhs.vic.gov.au/family-violence-referral-protocol-between-dhhs-family-safety-victoria-and-department-justice-and</w:t>
      </w:r>
      <w:r>
        <w:t xml:space="preserve">&gt; </w:t>
      </w:r>
    </w:p>
    <w:p w14:paraId="7894EFDF" w14:textId="77777777" w:rsidR="008839B7" w:rsidRPr="00F41446" w:rsidRDefault="00453C91" w:rsidP="008839B7">
      <w:pPr>
        <w:pStyle w:val="DHHSbullet1"/>
        <w:rPr>
          <w:rStyle w:val="Hyperlink"/>
        </w:rPr>
      </w:pPr>
      <w:hyperlink r:id="rId15" w:history="1">
        <w:r w:rsidR="008839B7" w:rsidRPr="00F41446">
          <w:rPr>
            <w:rStyle w:val="Hyperlink"/>
          </w:rPr>
          <w:t>Guideline: Family Violence Services and Accommodation – Complying with the Equal Opportunity Act 2010</w:t>
        </w:r>
      </w:hyperlink>
    </w:p>
    <w:p w14:paraId="04C329C3" w14:textId="77777777" w:rsidR="008839B7" w:rsidRPr="00E56F29" w:rsidRDefault="008839B7" w:rsidP="008839B7">
      <w:pPr>
        <w:pStyle w:val="DHHSbullet1"/>
        <w:numPr>
          <w:ilvl w:val="0"/>
          <w:numId w:val="0"/>
        </w:numPr>
        <w:ind w:left="284"/>
      </w:pPr>
      <w:r>
        <w:t>&lt;</w:t>
      </w:r>
      <w:r w:rsidRPr="00E56F29">
        <w:t>https://www.humanrightscommission.vic.gov.au/home/our-resources-and-publications/eoa-practice-guidelines/item/1577-guideline-family-violence-services-and-accommodation-complying-with-the-equal-opportunity-act-2010</w:t>
      </w:r>
      <w:r>
        <w:t>&gt;</w:t>
      </w:r>
    </w:p>
    <w:p w14:paraId="53195938" w14:textId="77777777" w:rsidR="008839B7" w:rsidRDefault="00453C91" w:rsidP="006F4A73">
      <w:pPr>
        <w:pStyle w:val="DHHSbullet1"/>
      </w:pPr>
      <w:hyperlink r:id="rId16" w:history="1">
        <w:r w:rsidR="000073FB" w:rsidRPr="006F4A73">
          <w:rPr>
            <w:rStyle w:val="Hyperlink"/>
          </w:rPr>
          <w:t>Family Violence After-hours Crisis Responses Operational Guidelines</w:t>
        </w:r>
      </w:hyperlink>
      <w:r w:rsidR="006F4A73">
        <w:t xml:space="preserve"> </w:t>
      </w:r>
    </w:p>
    <w:p w14:paraId="011EAA9E" w14:textId="3BAF6743" w:rsidR="000073FB" w:rsidRPr="006F4A73" w:rsidRDefault="000073FB" w:rsidP="008839B7">
      <w:pPr>
        <w:pStyle w:val="DHHSbullet1"/>
        <w:numPr>
          <w:ilvl w:val="0"/>
          <w:numId w:val="0"/>
        </w:numPr>
        <w:ind w:left="284"/>
        <w:rPr>
          <w:rStyle w:val="DHHSbodyChar"/>
        </w:rPr>
      </w:pPr>
      <w:r w:rsidRPr="006F4A73">
        <w:rPr>
          <w:rStyle w:val="DHHSbodyChar"/>
        </w:rPr>
        <w:t>&lt;</w:t>
      </w:r>
      <w:hyperlink r:id="rId17" w:history="1">
        <w:r w:rsidRPr="006F4A73">
          <w:rPr>
            <w:rStyle w:val="DHHSbodyChar"/>
          </w:rPr>
          <w:t>https://providers.dhhs.vic.gov.au/family-violence-after-hours-crisis-responses-operational-guidelines-word</w:t>
        </w:r>
      </w:hyperlink>
      <w:r w:rsidRPr="006F4A73">
        <w:rPr>
          <w:rStyle w:val="DHHSbodyChar"/>
        </w:rPr>
        <w:t>&gt;</w:t>
      </w:r>
    </w:p>
    <w:bookmarkStart w:id="9" w:name="_Toc421023841"/>
    <w:bookmarkStart w:id="10" w:name="_Toc475953722"/>
    <w:bookmarkStart w:id="11" w:name="_Toc477437702"/>
    <w:bookmarkStart w:id="12" w:name="_Toc529373787"/>
    <w:bookmarkEnd w:id="8"/>
    <w:p w14:paraId="11352F46" w14:textId="40634734" w:rsidR="008839B7" w:rsidRPr="006B2AD3" w:rsidRDefault="008839B7" w:rsidP="008839B7">
      <w:pPr>
        <w:pStyle w:val="DHHSbullet1"/>
        <w:rPr>
          <w:lang w:val="en-US"/>
        </w:rPr>
      </w:pPr>
      <w:r w:rsidRPr="00113AE6">
        <w:rPr>
          <w:rStyle w:val="Hyperlink"/>
          <w:lang w:val="en-US"/>
        </w:rPr>
        <w:fldChar w:fldCharType="begin"/>
      </w:r>
      <w:r w:rsidRPr="00113AE6">
        <w:rPr>
          <w:rStyle w:val="Hyperlink"/>
          <w:lang w:val="en-US"/>
        </w:rPr>
        <w:instrText xml:space="preserve"> HYPERLINK "https://dhhs.vic.gov.au/sites/default/files/documents/201705/Homelessness-Services-Guidelines-and-Conditions-of-Funding-May-2014.pdf" </w:instrText>
      </w:r>
      <w:r w:rsidRPr="00113AE6">
        <w:rPr>
          <w:rStyle w:val="Hyperlink"/>
          <w:lang w:val="en-US"/>
        </w:rPr>
        <w:fldChar w:fldCharType="separate"/>
      </w:r>
      <w:r w:rsidRPr="00113AE6">
        <w:rPr>
          <w:rStyle w:val="Hyperlink"/>
          <w:lang w:val="en-US"/>
        </w:rPr>
        <w:t>Homelessness Services Guidelines and Conditions of Funding</w:t>
      </w:r>
      <w:r w:rsidRPr="00113AE6">
        <w:rPr>
          <w:rStyle w:val="Hyperlink"/>
          <w:lang w:val="en-US"/>
        </w:rPr>
        <w:fldChar w:fldCharType="end"/>
      </w:r>
      <w:r>
        <w:rPr>
          <w:lang w:val="en-US"/>
        </w:rPr>
        <w:t xml:space="preserve"> </w:t>
      </w:r>
      <w:r w:rsidRPr="00E56F29">
        <w:t xml:space="preserve"> </w:t>
      </w:r>
      <w:r>
        <w:t>&lt;</w:t>
      </w:r>
      <w:r w:rsidRPr="00E56F29">
        <w:rPr>
          <w:rStyle w:val="DHHSbodyChar"/>
          <w:lang w:val="en-US"/>
        </w:rPr>
        <w:t>https://dhhs.vic.gov.au/sites/default/files/documents/201705/Homelessness-Services-Guidelines-and-Conditions-of-Funding-May-2014.pdf</w:t>
      </w:r>
      <w:r w:rsidRPr="00E56F29">
        <w:rPr>
          <w:rStyle w:val="DHHSbodyChar"/>
        </w:rPr>
        <w:t>&gt;</w:t>
      </w:r>
    </w:p>
    <w:p w14:paraId="2E537797" w14:textId="59DFF147" w:rsidR="00575BC9" w:rsidRPr="00AA760D" w:rsidRDefault="00DF6BAF" w:rsidP="006F4A73">
      <w:pPr>
        <w:pStyle w:val="Heading1"/>
      </w:pPr>
      <w:r w:rsidRPr="00AA760D">
        <w:t>5</w:t>
      </w:r>
      <w:r w:rsidR="00575BC9" w:rsidRPr="00AA760D">
        <w:t xml:space="preserve">. </w:t>
      </w:r>
      <w:bookmarkEnd w:id="9"/>
      <w:bookmarkEnd w:id="10"/>
      <w:bookmarkEnd w:id="11"/>
      <w:bookmarkEnd w:id="12"/>
      <w:r w:rsidR="0017293C" w:rsidRPr="00AA760D">
        <w:t>Performance</w:t>
      </w:r>
    </w:p>
    <w:p w14:paraId="58CFABDB" w14:textId="77777777" w:rsidR="00747BAA" w:rsidRDefault="00E05E8D" w:rsidP="00747BAA">
      <w:pPr>
        <w:rPr>
          <w:rFonts w:ascii="Calibri" w:hAnsi="Calibri"/>
          <w:lang w:eastAsia="en-US"/>
        </w:rPr>
      </w:pPr>
      <w:r w:rsidRPr="009056B3">
        <w:rPr>
          <w:rFonts w:cs="Arial"/>
        </w:rPr>
        <w:t>Funding is subject to</w:t>
      </w:r>
      <w:r w:rsidR="0017293C" w:rsidRPr="009056B3">
        <w:rPr>
          <w:rFonts w:cs="Arial"/>
        </w:rPr>
        <w:t xml:space="preserve"> achieving</w:t>
      </w:r>
      <w:r w:rsidRPr="009056B3">
        <w:rPr>
          <w:rFonts w:cs="Arial"/>
        </w:rPr>
        <w:t xml:space="preserve"> the</w:t>
      </w:r>
      <w:r w:rsidR="00575BC9" w:rsidRPr="009056B3">
        <w:rPr>
          <w:rFonts w:cs="Arial"/>
        </w:rPr>
        <w:t xml:space="preserve"> </w:t>
      </w:r>
      <w:r w:rsidR="00895643" w:rsidRPr="009056B3">
        <w:rPr>
          <w:rFonts w:cs="Arial"/>
        </w:rPr>
        <w:t xml:space="preserve">performance </w:t>
      </w:r>
      <w:r w:rsidRPr="009056B3">
        <w:rPr>
          <w:rFonts w:cs="Arial"/>
        </w:rPr>
        <w:t xml:space="preserve">targets </w:t>
      </w:r>
      <w:r w:rsidR="00895643" w:rsidRPr="009056B3">
        <w:rPr>
          <w:rFonts w:cs="Arial"/>
        </w:rPr>
        <w:t xml:space="preserve">specified in </w:t>
      </w:r>
      <w:r w:rsidR="00575BC9" w:rsidRPr="009056B3">
        <w:rPr>
          <w:rFonts w:cs="Arial"/>
        </w:rPr>
        <w:t>Schedule 2 of the Service Agreement</w:t>
      </w:r>
      <w:r w:rsidR="00895643" w:rsidRPr="009056B3">
        <w:rPr>
          <w:rFonts w:cs="Arial"/>
        </w:rPr>
        <w:t>.</w:t>
      </w:r>
      <w:r w:rsidR="006C7A1F" w:rsidRPr="009056B3">
        <w:rPr>
          <w:rFonts w:cs="Arial"/>
        </w:rPr>
        <w:t xml:space="preserve"> </w:t>
      </w:r>
    </w:p>
    <w:p w14:paraId="382DD4B2" w14:textId="028000DF" w:rsidR="008F0C66" w:rsidRDefault="00747BAA" w:rsidP="000265D2">
      <w:pPr>
        <w:pStyle w:val="DHHSbody"/>
      </w:pPr>
      <w:r>
        <w:t xml:space="preserve">Please note that Family Safety Victoria intends to amend the performance measures in this activity and will consult with funded agencies and relevant stakeholders over the course of the 2019-20 financial year </w:t>
      </w:r>
    </w:p>
    <w:p w14:paraId="531FB685" w14:textId="546B6C7D" w:rsidR="00575BC9" w:rsidRDefault="00E05E8D" w:rsidP="006F4A73">
      <w:pPr>
        <w:pStyle w:val="DHHSbody"/>
      </w:pPr>
      <w:r w:rsidRPr="009056B3">
        <w:t xml:space="preserve">Performance is measured as follows:  </w:t>
      </w:r>
    </w:p>
    <w:p w14:paraId="02A9DDEB" w14:textId="113D0076" w:rsidR="00575BC9" w:rsidRPr="009056B3" w:rsidRDefault="00E05E8D" w:rsidP="006F4A73">
      <w:pPr>
        <w:pStyle w:val="Heading2"/>
        <w:rPr>
          <w:color w:val="FF0000"/>
        </w:rPr>
      </w:pPr>
      <w:r w:rsidRPr="009056B3">
        <w:t>Key performance measure</w:t>
      </w:r>
      <w:r w:rsidR="006F4A73">
        <w:t xml:space="preserve"> 1</w:t>
      </w:r>
      <w:r w:rsidR="00575BC9" w:rsidRPr="009056B3">
        <w:t xml:space="preserve">: </w:t>
      </w:r>
      <w:r w:rsidR="0010656B" w:rsidRPr="009056B3">
        <w:rPr>
          <w:rStyle w:val="DHHSbodyChar"/>
          <w:rFonts w:cs="Arial"/>
        </w:rPr>
        <w:t>Number of new support periods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0656B" w:rsidRPr="009056B3" w14:paraId="477B9B14" w14:textId="77777777" w:rsidTr="006F4A73">
        <w:trPr>
          <w:cantSplit/>
          <w:trHeight w:hRule="exact" w:val="719"/>
        </w:trPr>
        <w:tc>
          <w:tcPr>
            <w:tcW w:w="2835" w:type="dxa"/>
          </w:tcPr>
          <w:p w14:paraId="49B32C6E" w14:textId="77777777" w:rsidR="0010656B" w:rsidRPr="009056B3" w:rsidRDefault="0010656B" w:rsidP="0017293C">
            <w:pPr>
              <w:pStyle w:val="DHHStablecolhead"/>
              <w:rPr>
                <w:rFonts w:cs="Arial"/>
              </w:rPr>
            </w:pPr>
            <w:r w:rsidRPr="009056B3">
              <w:rPr>
                <w:rFonts w:cs="Arial"/>
              </w:rPr>
              <w:t>Aim/objective</w:t>
            </w:r>
          </w:p>
        </w:tc>
        <w:tc>
          <w:tcPr>
            <w:tcW w:w="7379" w:type="dxa"/>
          </w:tcPr>
          <w:p w14:paraId="79BC4A4E" w14:textId="77777777" w:rsidR="0010656B" w:rsidRPr="009056B3" w:rsidRDefault="0010656B" w:rsidP="00286096">
            <w:pPr>
              <w:pStyle w:val="DHHStabletext"/>
              <w:rPr>
                <w:rFonts w:cs="Arial"/>
              </w:rPr>
            </w:pPr>
            <w:r w:rsidRPr="009056B3">
              <w:rPr>
                <w:rFonts w:cs="Arial"/>
              </w:rPr>
              <w:t>The aim of this performance measure is to monitor the number of new support periods.</w:t>
            </w:r>
          </w:p>
        </w:tc>
      </w:tr>
      <w:tr w:rsidR="00035D3B" w:rsidRPr="009056B3" w14:paraId="6C13094D" w14:textId="77777777" w:rsidTr="006F4A73">
        <w:trPr>
          <w:cantSplit/>
          <w:trHeight w:hRule="exact" w:val="340"/>
        </w:trPr>
        <w:tc>
          <w:tcPr>
            <w:tcW w:w="2835" w:type="dxa"/>
          </w:tcPr>
          <w:p w14:paraId="6BF93B22" w14:textId="77777777" w:rsidR="00035D3B" w:rsidRPr="009056B3" w:rsidRDefault="00035D3B" w:rsidP="0017293C">
            <w:pPr>
              <w:pStyle w:val="DHHStablecolhead"/>
              <w:rPr>
                <w:rFonts w:cs="Arial"/>
              </w:rPr>
            </w:pPr>
            <w:r w:rsidRPr="009056B3">
              <w:rPr>
                <w:rFonts w:cs="Arial"/>
              </w:rPr>
              <w:t>Target</w:t>
            </w:r>
          </w:p>
        </w:tc>
        <w:tc>
          <w:tcPr>
            <w:tcW w:w="7379" w:type="dxa"/>
          </w:tcPr>
          <w:p w14:paraId="535E84A1" w14:textId="77777777" w:rsidR="00035D3B" w:rsidRPr="009056B3" w:rsidRDefault="00FC4028" w:rsidP="002E5C66">
            <w:pPr>
              <w:pStyle w:val="DHHStabletext"/>
              <w:rPr>
                <w:rFonts w:cs="Arial"/>
              </w:rPr>
            </w:pPr>
            <w:r w:rsidRPr="009056B3">
              <w:rPr>
                <w:rFonts w:cs="Arial"/>
              </w:rPr>
              <w:t>The performance measure is provided in the Service Agreement</w:t>
            </w:r>
          </w:p>
        </w:tc>
      </w:tr>
      <w:tr w:rsidR="00B8690F" w:rsidRPr="009056B3" w14:paraId="3F500BFA" w14:textId="77777777" w:rsidTr="006F4A73">
        <w:trPr>
          <w:cantSplit/>
          <w:trHeight w:hRule="exact" w:val="340"/>
        </w:trPr>
        <w:tc>
          <w:tcPr>
            <w:tcW w:w="2835" w:type="dxa"/>
          </w:tcPr>
          <w:p w14:paraId="3158AFA2" w14:textId="77777777" w:rsidR="00B8690F" w:rsidRPr="009056B3" w:rsidRDefault="00B8690F" w:rsidP="0017293C">
            <w:pPr>
              <w:pStyle w:val="DHHStablecolhead"/>
              <w:rPr>
                <w:rFonts w:cs="Arial"/>
              </w:rPr>
            </w:pPr>
            <w:r w:rsidRPr="009056B3">
              <w:rPr>
                <w:rFonts w:cs="Arial"/>
              </w:rPr>
              <w:t>Type of count</w:t>
            </w:r>
          </w:p>
        </w:tc>
        <w:tc>
          <w:tcPr>
            <w:tcW w:w="7379" w:type="dxa"/>
          </w:tcPr>
          <w:p w14:paraId="3256999E" w14:textId="77777777" w:rsidR="00B8690F" w:rsidRPr="009056B3" w:rsidRDefault="008B158F" w:rsidP="0017293C">
            <w:pPr>
              <w:pStyle w:val="DHHStabletext"/>
              <w:spacing w:before="0" w:after="0"/>
              <w:rPr>
                <w:rFonts w:cs="Arial"/>
              </w:rPr>
            </w:pPr>
            <w:r w:rsidRPr="009056B3">
              <w:rPr>
                <w:rFonts w:cs="Arial"/>
                <w:color w:val="7030A0"/>
              </w:rPr>
              <w:fldChar w:fldCharType="begin">
                <w:ffData>
                  <w:name w:val="Check2"/>
                  <w:enabled/>
                  <w:calcOnExit w:val="0"/>
                  <w:checkBox>
                    <w:sizeAuto/>
                    <w:default w:val="1"/>
                  </w:checkBox>
                </w:ffData>
              </w:fldChar>
            </w:r>
            <w:bookmarkStart w:id="13" w:name="Check2"/>
            <w:r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Pr="009056B3">
              <w:rPr>
                <w:rFonts w:cs="Arial"/>
                <w:color w:val="7030A0"/>
              </w:rPr>
              <w:fldChar w:fldCharType="end"/>
            </w:r>
            <w:bookmarkEnd w:id="13"/>
            <w:r w:rsidR="00B8690F" w:rsidRPr="009056B3">
              <w:rPr>
                <w:rFonts w:cs="Arial"/>
                <w:color w:val="7030A0"/>
              </w:rPr>
              <w:t xml:space="preserve"> </w:t>
            </w:r>
            <w:r w:rsidR="00B8690F" w:rsidRPr="009056B3">
              <w:rPr>
                <w:rFonts w:cs="Arial"/>
              </w:rPr>
              <w:t xml:space="preserve">Cumulative          </w:t>
            </w:r>
            <w:r w:rsidR="00B8690F" w:rsidRPr="009056B3">
              <w:rPr>
                <w:rFonts w:cs="Arial"/>
                <w:color w:val="7030A0"/>
              </w:rPr>
              <w:fldChar w:fldCharType="begin">
                <w:ffData>
                  <w:name w:val="Check2"/>
                  <w:enabled/>
                  <w:calcOnExit w:val="0"/>
                  <w:checkBox>
                    <w:sizeAuto/>
                    <w:default w:val="0"/>
                  </w:checkBox>
                </w:ffData>
              </w:fldChar>
            </w:r>
            <w:r w:rsidR="00B8690F"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00B8690F" w:rsidRPr="009056B3">
              <w:rPr>
                <w:rFonts w:cs="Arial"/>
                <w:color w:val="7030A0"/>
              </w:rPr>
              <w:fldChar w:fldCharType="end"/>
            </w:r>
            <w:r w:rsidR="00B8690F" w:rsidRPr="009056B3">
              <w:rPr>
                <w:rFonts w:cs="Arial"/>
                <w:color w:val="7030A0"/>
              </w:rPr>
              <w:t xml:space="preserve"> </w:t>
            </w:r>
            <w:r w:rsidR="00B8690F" w:rsidRPr="009056B3">
              <w:rPr>
                <w:rFonts w:cs="Arial"/>
              </w:rPr>
              <w:t>Non-cumulative</w:t>
            </w:r>
          </w:p>
        </w:tc>
      </w:tr>
      <w:tr w:rsidR="0010656B" w:rsidRPr="009056B3" w14:paraId="5DB90C86" w14:textId="77777777" w:rsidTr="006F4A73">
        <w:trPr>
          <w:cantSplit/>
          <w:trHeight w:hRule="exact" w:val="6242"/>
        </w:trPr>
        <w:tc>
          <w:tcPr>
            <w:tcW w:w="2835" w:type="dxa"/>
          </w:tcPr>
          <w:p w14:paraId="7CE85DE4" w14:textId="77777777" w:rsidR="0010656B" w:rsidRPr="009056B3" w:rsidRDefault="0010656B" w:rsidP="0017293C">
            <w:pPr>
              <w:pStyle w:val="DHHStablecolhead"/>
              <w:rPr>
                <w:rFonts w:cs="Arial"/>
              </w:rPr>
            </w:pPr>
            <w:r w:rsidRPr="009056B3">
              <w:rPr>
                <w:rFonts w:cs="Arial"/>
              </w:rPr>
              <w:lastRenderedPageBreak/>
              <w:t>Counting rule</w:t>
            </w:r>
          </w:p>
        </w:tc>
        <w:tc>
          <w:tcPr>
            <w:tcW w:w="7379" w:type="dxa"/>
          </w:tcPr>
          <w:p w14:paraId="7966FF7E" w14:textId="77777777" w:rsidR="0010656B" w:rsidRPr="009056B3" w:rsidRDefault="0010656B" w:rsidP="00286096">
            <w:pPr>
              <w:pStyle w:val="DHHStabletext"/>
              <w:rPr>
                <w:rFonts w:cs="Arial"/>
              </w:rPr>
            </w:pPr>
            <w:r w:rsidRPr="009056B3">
              <w:rPr>
                <w:rFonts w:cs="Arial"/>
              </w:rPr>
              <w:t>A support period is an episode of support provided to a client from your agency.</w:t>
            </w:r>
          </w:p>
          <w:p w14:paraId="7F6474CA" w14:textId="77777777" w:rsidR="0010656B" w:rsidRPr="009056B3" w:rsidRDefault="0010656B" w:rsidP="00286096">
            <w:pPr>
              <w:pStyle w:val="DHHStabletext"/>
              <w:rPr>
                <w:rFonts w:cs="Arial"/>
              </w:rPr>
            </w:pPr>
            <w:r w:rsidRPr="009056B3">
              <w:rPr>
                <w:rFonts w:cs="Arial"/>
              </w:rPr>
              <w:t>Count the number of new support periods during the monthly reporting period.</w:t>
            </w:r>
          </w:p>
          <w:p w14:paraId="4BE15880" w14:textId="77777777" w:rsidR="0010656B" w:rsidRPr="009056B3" w:rsidRDefault="0010656B" w:rsidP="00286096">
            <w:pPr>
              <w:pStyle w:val="DHHStabletext"/>
              <w:rPr>
                <w:rFonts w:cs="Arial"/>
              </w:rPr>
            </w:pPr>
            <w:r w:rsidRPr="009056B3">
              <w:rPr>
                <w:rFonts w:cs="Arial"/>
              </w:rPr>
              <w:t xml:space="preserve">One support period is counted for </w:t>
            </w:r>
            <w:proofErr w:type="gramStart"/>
            <w:r w:rsidRPr="009056B3">
              <w:rPr>
                <w:rFonts w:cs="Arial"/>
              </w:rPr>
              <w:t>each individual</w:t>
            </w:r>
            <w:proofErr w:type="gramEnd"/>
            <w:r w:rsidRPr="009056B3">
              <w:rPr>
                <w:rFonts w:cs="Arial"/>
              </w:rPr>
              <w:t>, including children, who is receiving case management support. For advice on when to count children please see below under Definition of terms.</w:t>
            </w:r>
          </w:p>
          <w:p w14:paraId="1F0D0EBA" w14:textId="77777777" w:rsidR="0010656B" w:rsidRPr="009056B3" w:rsidRDefault="0010656B" w:rsidP="00286096">
            <w:pPr>
              <w:pStyle w:val="DHHStabletext"/>
              <w:rPr>
                <w:rFonts w:cs="Arial"/>
              </w:rPr>
            </w:pPr>
            <w:r w:rsidRPr="009056B3">
              <w:rPr>
                <w:rFonts w:cs="Arial"/>
              </w:rPr>
              <w:t>A support period starts on the day the client first receives case management support from your agency.</w:t>
            </w:r>
          </w:p>
          <w:p w14:paraId="52FAC272" w14:textId="77777777" w:rsidR="0010656B" w:rsidRPr="009056B3" w:rsidRDefault="0010656B" w:rsidP="00286096">
            <w:pPr>
              <w:pStyle w:val="DHHStabletext"/>
              <w:rPr>
                <w:rFonts w:cs="Arial"/>
              </w:rPr>
            </w:pPr>
            <w:r w:rsidRPr="009056B3">
              <w:rPr>
                <w:rFonts w:cs="Arial"/>
              </w:rPr>
              <w:t xml:space="preserve">A support period ends when: </w:t>
            </w:r>
          </w:p>
          <w:p w14:paraId="79027730" w14:textId="77777777" w:rsidR="0010656B" w:rsidRPr="009056B3" w:rsidRDefault="0010656B" w:rsidP="00286096">
            <w:pPr>
              <w:pStyle w:val="DHHStablebullet"/>
              <w:rPr>
                <w:rFonts w:cs="Arial"/>
              </w:rPr>
            </w:pPr>
            <w:r w:rsidRPr="009056B3">
              <w:rPr>
                <w:rFonts w:cs="Arial"/>
              </w:rPr>
              <w:t>the relationship with the client and agency ends</w:t>
            </w:r>
          </w:p>
          <w:p w14:paraId="6EA35C3A" w14:textId="77777777" w:rsidR="0010656B" w:rsidRPr="009056B3" w:rsidRDefault="0010656B" w:rsidP="00286096">
            <w:pPr>
              <w:pStyle w:val="DHHStablebullet"/>
              <w:rPr>
                <w:rFonts w:cs="Arial"/>
              </w:rPr>
            </w:pPr>
            <w:r w:rsidRPr="009056B3">
              <w:rPr>
                <w:rFonts w:cs="Arial"/>
              </w:rPr>
              <w:t>the client has received the maximum support your agency can offer</w:t>
            </w:r>
          </w:p>
          <w:p w14:paraId="0C161D93" w14:textId="77777777" w:rsidR="0010656B" w:rsidRPr="009056B3" w:rsidRDefault="0010656B" w:rsidP="00286096">
            <w:pPr>
              <w:pStyle w:val="DHHStablebullet"/>
              <w:rPr>
                <w:rFonts w:cs="Arial"/>
              </w:rPr>
            </w:pPr>
            <w:r w:rsidRPr="009056B3">
              <w:rPr>
                <w:rFonts w:cs="Arial"/>
              </w:rPr>
              <w:t>a client has not received any service from your agency for a whole calendar month and there is no ongoing relationship.</w:t>
            </w:r>
          </w:p>
          <w:p w14:paraId="477957A9" w14:textId="591524C1" w:rsidR="0010656B" w:rsidRPr="009056B3" w:rsidRDefault="0010656B" w:rsidP="00286096">
            <w:pPr>
              <w:pStyle w:val="DHHStabletext"/>
              <w:rPr>
                <w:rFonts w:cs="Arial"/>
              </w:rPr>
            </w:pPr>
            <w:r w:rsidRPr="009056B3">
              <w:rPr>
                <w:rFonts w:cs="Arial"/>
              </w:rPr>
              <w:t>If a client’s support period has been closed and the client presents again in a new reporting month and is provided with support, this will be counted as a new support period.</w:t>
            </w:r>
          </w:p>
          <w:p w14:paraId="1524BE45" w14:textId="47CBC855" w:rsidR="0010656B" w:rsidRDefault="0010656B" w:rsidP="00286096">
            <w:pPr>
              <w:pStyle w:val="DHHStabletext"/>
              <w:rPr>
                <w:rFonts w:cs="Arial"/>
              </w:rPr>
            </w:pPr>
            <w:r w:rsidRPr="009056B3">
              <w:rPr>
                <w:rFonts w:cs="Arial"/>
              </w:rPr>
              <w:t>Clients are counted once in a support period (noting that a support period may span across several months).</w:t>
            </w:r>
          </w:p>
          <w:p w14:paraId="62A27348" w14:textId="0D2D6A8D" w:rsidR="00633817" w:rsidRPr="009056B3" w:rsidRDefault="00633817" w:rsidP="00286096">
            <w:pPr>
              <w:pStyle w:val="DHHStabletext"/>
              <w:rPr>
                <w:rFonts w:cs="Arial"/>
              </w:rPr>
            </w:pPr>
            <w:r>
              <w:t>To count a support period a client must receive a minimum of one hour of services over the duration of the support period.</w:t>
            </w:r>
          </w:p>
          <w:p w14:paraId="3DA428AB" w14:textId="77777777" w:rsidR="0010656B" w:rsidRPr="009056B3" w:rsidRDefault="0010656B" w:rsidP="00286096">
            <w:pPr>
              <w:pStyle w:val="DHHStabletext"/>
              <w:rPr>
                <w:rFonts w:cs="Arial"/>
              </w:rPr>
            </w:pPr>
            <w:r w:rsidRPr="009056B3">
              <w:rPr>
                <w:rFonts w:cs="Arial"/>
              </w:rPr>
              <w:t>Annual targets provided to service providers are divided by 12 to translate to monthly targets.</w:t>
            </w:r>
          </w:p>
        </w:tc>
      </w:tr>
      <w:tr w:rsidR="0010656B" w:rsidRPr="009056B3" w14:paraId="047F8191" w14:textId="77777777" w:rsidTr="006F4A73">
        <w:trPr>
          <w:cantSplit/>
          <w:trHeight w:hRule="exact" w:val="1277"/>
        </w:trPr>
        <w:tc>
          <w:tcPr>
            <w:tcW w:w="2835" w:type="dxa"/>
          </w:tcPr>
          <w:p w14:paraId="1F2259CE" w14:textId="77777777" w:rsidR="0010656B" w:rsidRPr="009056B3" w:rsidRDefault="0010656B" w:rsidP="0017293C">
            <w:pPr>
              <w:pStyle w:val="DHHStablecolhead"/>
              <w:rPr>
                <w:rFonts w:cs="Arial"/>
              </w:rPr>
            </w:pPr>
            <w:r w:rsidRPr="009056B3">
              <w:rPr>
                <w:rFonts w:cs="Arial"/>
              </w:rPr>
              <w:t>Data source(s) collection</w:t>
            </w:r>
          </w:p>
        </w:tc>
        <w:tc>
          <w:tcPr>
            <w:tcW w:w="7379" w:type="dxa"/>
          </w:tcPr>
          <w:p w14:paraId="03DC079C" w14:textId="77777777" w:rsidR="0010656B" w:rsidRPr="009056B3" w:rsidRDefault="0010656B" w:rsidP="00286096">
            <w:pPr>
              <w:pStyle w:val="DHHStablebullet"/>
              <w:rPr>
                <w:rFonts w:cs="Arial"/>
              </w:rPr>
            </w:pPr>
            <w:r w:rsidRPr="009056B3">
              <w:rPr>
                <w:rFonts w:cs="Arial"/>
              </w:rPr>
              <w:t>Service delivery tracking system</w:t>
            </w:r>
          </w:p>
          <w:p w14:paraId="2B1CA1FF" w14:textId="77777777" w:rsidR="0010656B" w:rsidRPr="009056B3" w:rsidRDefault="0010656B" w:rsidP="00286096">
            <w:pPr>
              <w:pStyle w:val="DHHStablebullet"/>
              <w:rPr>
                <w:rFonts w:cs="Arial"/>
              </w:rPr>
            </w:pPr>
            <w:r w:rsidRPr="009056B3">
              <w:rPr>
                <w:rFonts w:cs="Arial"/>
              </w:rPr>
              <w:t>Specialist homelessness services collection provided to the Department of Health and Human Services and the Australian Institute of Health and Welfare.</w:t>
            </w:r>
          </w:p>
        </w:tc>
      </w:tr>
      <w:tr w:rsidR="0010656B" w:rsidRPr="009056B3" w14:paraId="7DDD5A3D" w14:textId="77777777" w:rsidTr="006F4A73">
        <w:trPr>
          <w:cantSplit/>
          <w:trHeight w:hRule="exact" w:val="5263"/>
        </w:trPr>
        <w:tc>
          <w:tcPr>
            <w:tcW w:w="2835" w:type="dxa"/>
          </w:tcPr>
          <w:p w14:paraId="2A9A478E" w14:textId="77777777" w:rsidR="0010656B" w:rsidRPr="009056B3" w:rsidRDefault="0010656B" w:rsidP="0017293C">
            <w:pPr>
              <w:pStyle w:val="DHHStablecolhead"/>
              <w:rPr>
                <w:rFonts w:cs="Arial"/>
              </w:rPr>
            </w:pPr>
            <w:r w:rsidRPr="009056B3">
              <w:rPr>
                <w:rFonts w:cs="Arial"/>
              </w:rPr>
              <w:t>Definition of terms</w:t>
            </w:r>
          </w:p>
        </w:tc>
        <w:tc>
          <w:tcPr>
            <w:tcW w:w="7379" w:type="dxa"/>
          </w:tcPr>
          <w:p w14:paraId="7BB7EF0B" w14:textId="77777777" w:rsidR="0010656B" w:rsidRPr="009056B3" w:rsidRDefault="0010656B" w:rsidP="00286096">
            <w:pPr>
              <w:pStyle w:val="DHHStabletext"/>
              <w:rPr>
                <w:rFonts w:cs="Arial"/>
              </w:rPr>
            </w:pPr>
            <w:r w:rsidRPr="009056B3">
              <w:rPr>
                <w:rFonts w:cs="Arial"/>
              </w:rPr>
              <w:t>A support period is the episode of support a client receives from your agency.</w:t>
            </w:r>
          </w:p>
          <w:p w14:paraId="5A5A7EBE" w14:textId="77777777" w:rsidR="0010656B" w:rsidRPr="009056B3" w:rsidRDefault="0010656B" w:rsidP="00286096">
            <w:pPr>
              <w:pStyle w:val="DHHStabletext"/>
              <w:rPr>
                <w:rFonts w:cs="Arial"/>
              </w:rPr>
            </w:pPr>
            <w:r w:rsidRPr="009056B3">
              <w:rPr>
                <w:rFonts w:cs="Arial"/>
              </w:rPr>
              <w:t>A client is a person who receives a direct service from your agency. To be a client the person must directly receive a service and not just be a beneficiary of a service.</w:t>
            </w:r>
          </w:p>
          <w:p w14:paraId="5CBD21B4" w14:textId="77777777" w:rsidR="0010656B" w:rsidRPr="009056B3" w:rsidRDefault="0010656B" w:rsidP="00286096">
            <w:pPr>
              <w:pStyle w:val="DHHStabletext"/>
              <w:rPr>
                <w:rFonts w:cs="Arial"/>
              </w:rPr>
            </w:pPr>
            <w:r w:rsidRPr="009056B3">
              <w:rPr>
                <w:rFonts w:cs="Arial"/>
              </w:rPr>
              <w:t>For example, a child who presents with a parent and is provided with support is a client. A child who presents with a parent and a parent receives assistance to prevent tenancy failure/food vouchers is a beneficiary not a client.</w:t>
            </w:r>
          </w:p>
          <w:p w14:paraId="5EC2D8B2" w14:textId="77777777" w:rsidR="0010656B" w:rsidRPr="009056B3" w:rsidRDefault="0010656B" w:rsidP="00286096">
            <w:pPr>
              <w:pStyle w:val="DHHStabletext"/>
              <w:rPr>
                <w:rFonts w:cs="Arial"/>
              </w:rPr>
            </w:pPr>
            <w:r w:rsidRPr="009056B3">
              <w:rPr>
                <w:rFonts w:cs="Arial"/>
              </w:rPr>
              <w:t>A client can be of any age and accompanying children who receive direct services are clients.</w:t>
            </w:r>
          </w:p>
          <w:p w14:paraId="74000A7D" w14:textId="77777777" w:rsidR="0010656B" w:rsidRPr="009056B3" w:rsidRDefault="0010656B" w:rsidP="00286096">
            <w:pPr>
              <w:pStyle w:val="DHHStabletext"/>
              <w:rPr>
                <w:rFonts w:cs="Arial"/>
              </w:rPr>
            </w:pPr>
            <w:r w:rsidRPr="009056B3">
              <w:rPr>
                <w:rFonts w:cs="Arial"/>
              </w:rPr>
              <w:t>A support period starts on the day the client first receives support from your agency.</w:t>
            </w:r>
          </w:p>
          <w:p w14:paraId="409F57D8" w14:textId="77777777" w:rsidR="0010656B" w:rsidRPr="009056B3" w:rsidRDefault="0010656B" w:rsidP="00286096">
            <w:pPr>
              <w:pStyle w:val="DHHStabletext"/>
              <w:rPr>
                <w:rFonts w:cs="Arial"/>
              </w:rPr>
            </w:pPr>
            <w:r w:rsidRPr="009056B3">
              <w:rPr>
                <w:rFonts w:cs="Arial"/>
              </w:rPr>
              <w:t>A support period ends when:</w:t>
            </w:r>
          </w:p>
          <w:p w14:paraId="3BF9CBD1" w14:textId="77777777" w:rsidR="0010656B" w:rsidRPr="009056B3" w:rsidRDefault="0010656B" w:rsidP="00286096">
            <w:pPr>
              <w:pStyle w:val="DHHStablebullet"/>
              <w:rPr>
                <w:rFonts w:cs="Arial"/>
              </w:rPr>
            </w:pPr>
            <w:r w:rsidRPr="009056B3">
              <w:rPr>
                <w:rFonts w:cs="Arial"/>
              </w:rPr>
              <w:t>the relationship with the client and agency ends</w:t>
            </w:r>
          </w:p>
          <w:p w14:paraId="790CDC4D" w14:textId="77777777" w:rsidR="0010656B" w:rsidRPr="009056B3" w:rsidRDefault="0010656B" w:rsidP="00286096">
            <w:pPr>
              <w:pStyle w:val="DHHStablebullet"/>
              <w:rPr>
                <w:rFonts w:cs="Arial"/>
              </w:rPr>
            </w:pPr>
            <w:r w:rsidRPr="009056B3">
              <w:rPr>
                <w:rFonts w:cs="Arial"/>
              </w:rPr>
              <w:t>the client has received the maximum support your agency can offer</w:t>
            </w:r>
          </w:p>
          <w:p w14:paraId="7D6C6BD5" w14:textId="77777777" w:rsidR="0010656B" w:rsidRPr="009056B3" w:rsidRDefault="0010656B" w:rsidP="00286096">
            <w:pPr>
              <w:pStyle w:val="DHHStablebullet"/>
              <w:rPr>
                <w:rFonts w:cs="Arial"/>
              </w:rPr>
            </w:pPr>
            <w:r w:rsidRPr="009056B3">
              <w:rPr>
                <w:rFonts w:cs="Arial"/>
              </w:rPr>
              <w:t>a client has not received any service from your agency for a whole calendar month and there is no ongoing relationship.</w:t>
            </w:r>
          </w:p>
          <w:p w14:paraId="4371BFF1" w14:textId="77777777" w:rsidR="0010656B" w:rsidRPr="009056B3" w:rsidRDefault="0010656B" w:rsidP="00286096">
            <w:pPr>
              <w:pStyle w:val="DHHStabletext"/>
              <w:rPr>
                <w:rFonts w:cs="Arial"/>
              </w:rPr>
            </w:pPr>
            <w:r w:rsidRPr="009056B3">
              <w:rPr>
                <w:rFonts w:cs="Arial"/>
              </w:rPr>
              <w:t xml:space="preserve">Services are defined as any work an agency undertakes to support or advocate for a client and administrative tasks directly related to the support of a client. </w:t>
            </w:r>
          </w:p>
        </w:tc>
      </w:tr>
    </w:tbl>
    <w:p w14:paraId="2FDBC043" w14:textId="77777777" w:rsidR="0010656B" w:rsidRPr="009056B3" w:rsidRDefault="0010656B" w:rsidP="0010656B">
      <w:pPr>
        <w:pStyle w:val="DHHStablecaption"/>
        <w:spacing w:before="40"/>
        <w:rPr>
          <w:rFonts w:cs="Arial"/>
        </w:rPr>
      </w:pPr>
    </w:p>
    <w:p w14:paraId="1C6B859C" w14:textId="2F7DCBC8" w:rsidR="0010656B" w:rsidRPr="009056B3" w:rsidRDefault="0093521F" w:rsidP="006F4A73">
      <w:pPr>
        <w:pStyle w:val="Heading2"/>
        <w:rPr>
          <w:color w:val="FF0000"/>
        </w:rPr>
      </w:pPr>
      <w:r>
        <w:t>P</w:t>
      </w:r>
      <w:r w:rsidR="0010656B" w:rsidRPr="009056B3">
        <w:t>erformance measure</w:t>
      </w:r>
      <w:r w:rsidR="006F4A73">
        <w:t xml:space="preserve"> 2</w:t>
      </w:r>
      <w:r w:rsidR="0010656B" w:rsidRPr="009056B3">
        <w:t xml:space="preserve">: </w:t>
      </w:r>
      <w:r w:rsidR="0010656B" w:rsidRPr="009056B3">
        <w:rPr>
          <w:rStyle w:val="DHHSbodyChar"/>
          <w:rFonts w:cs="Arial"/>
        </w:rPr>
        <w:t>Percentage of clients with an agreed case plan</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0656B" w:rsidRPr="009056B3" w14:paraId="34D58DC5" w14:textId="77777777" w:rsidTr="006F4A73">
        <w:trPr>
          <w:cantSplit/>
          <w:trHeight w:hRule="exact" w:val="719"/>
        </w:trPr>
        <w:tc>
          <w:tcPr>
            <w:tcW w:w="2835" w:type="dxa"/>
          </w:tcPr>
          <w:p w14:paraId="63F17F25" w14:textId="77777777" w:rsidR="0010656B" w:rsidRPr="009056B3" w:rsidRDefault="0010656B" w:rsidP="00286096">
            <w:pPr>
              <w:pStyle w:val="DHHStablecolhead"/>
              <w:rPr>
                <w:rFonts w:cs="Arial"/>
              </w:rPr>
            </w:pPr>
            <w:r w:rsidRPr="009056B3">
              <w:rPr>
                <w:rFonts w:cs="Arial"/>
              </w:rPr>
              <w:t>Aim/objective</w:t>
            </w:r>
          </w:p>
        </w:tc>
        <w:tc>
          <w:tcPr>
            <w:tcW w:w="7379" w:type="dxa"/>
          </w:tcPr>
          <w:p w14:paraId="42A7A79A" w14:textId="77777777" w:rsidR="0010656B" w:rsidRPr="009056B3" w:rsidRDefault="0010656B" w:rsidP="00286096">
            <w:pPr>
              <w:pStyle w:val="DHHStabletext"/>
              <w:rPr>
                <w:rFonts w:cs="Arial"/>
              </w:rPr>
            </w:pPr>
            <w:r w:rsidRPr="009056B3">
              <w:rPr>
                <w:rFonts w:cs="Arial"/>
              </w:rPr>
              <w:t xml:space="preserve">The aim of this performance measure is to monitor the percentage of agreed case plans to ensure a case plan is developed for each client. </w:t>
            </w:r>
          </w:p>
        </w:tc>
      </w:tr>
      <w:tr w:rsidR="0010656B" w:rsidRPr="009056B3" w14:paraId="328F31DF" w14:textId="77777777" w:rsidTr="006F4A73">
        <w:trPr>
          <w:cantSplit/>
          <w:trHeight w:hRule="exact" w:val="340"/>
        </w:trPr>
        <w:tc>
          <w:tcPr>
            <w:tcW w:w="2835" w:type="dxa"/>
          </w:tcPr>
          <w:p w14:paraId="7FAC9BB3" w14:textId="77777777" w:rsidR="0010656B" w:rsidRPr="009056B3" w:rsidRDefault="0010656B" w:rsidP="00286096">
            <w:pPr>
              <w:pStyle w:val="DHHStablecolhead"/>
              <w:rPr>
                <w:rFonts w:cs="Arial"/>
              </w:rPr>
            </w:pPr>
            <w:r w:rsidRPr="009056B3">
              <w:rPr>
                <w:rFonts w:cs="Arial"/>
              </w:rPr>
              <w:t>Target</w:t>
            </w:r>
          </w:p>
        </w:tc>
        <w:tc>
          <w:tcPr>
            <w:tcW w:w="7379" w:type="dxa"/>
          </w:tcPr>
          <w:p w14:paraId="1BDE19C4" w14:textId="75A99806" w:rsidR="0010656B" w:rsidRPr="009056B3" w:rsidRDefault="0093521F" w:rsidP="00286096">
            <w:pPr>
              <w:pStyle w:val="DHHStabletext"/>
              <w:rPr>
                <w:rFonts w:cs="Arial"/>
              </w:rPr>
            </w:pPr>
            <w:r>
              <w:rPr>
                <w:rFonts w:cs="Arial"/>
              </w:rPr>
              <w:t>90 per cent</w:t>
            </w:r>
          </w:p>
        </w:tc>
      </w:tr>
      <w:tr w:rsidR="0010656B" w:rsidRPr="009056B3" w14:paraId="46ED8D93" w14:textId="77777777" w:rsidTr="006F4A73">
        <w:trPr>
          <w:cantSplit/>
          <w:trHeight w:hRule="exact" w:val="340"/>
        </w:trPr>
        <w:tc>
          <w:tcPr>
            <w:tcW w:w="2835" w:type="dxa"/>
          </w:tcPr>
          <w:p w14:paraId="3A78FE4C" w14:textId="77777777" w:rsidR="0010656B" w:rsidRPr="009056B3" w:rsidRDefault="0010656B" w:rsidP="00286096">
            <w:pPr>
              <w:pStyle w:val="DHHStablecolhead"/>
              <w:rPr>
                <w:rFonts w:cs="Arial"/>
              </w:rPr>
            </w:pPr>
            <w:r w:rsidRPr="009056B3">
              <w:rPr>
                <w:rFonts w:cs="Arial"/>
              </w:rPr>
              <w:t>Type of count</w:t>
            </w:r>
          </w:p>
        </w:tc>
        <w:tc>
          <w:tcPr>
            <w:tcW w:w="7379" w:type="dxa"/>
          </w:tcPr>
          <w:p w14:paraId="4EC06B9F" w14:textId="77777777" w:rsidR="0010656B" w:rsidRPr="009056B3" w:rsidRDefault="0010656B" w:rsidP="0010656B">
            <w:pPr>
              <w:pStyle w:val="DHHStabletext"/>
              <w:spacing w:before="0" w:after="0"/>
              <w:rPr>
                <w:rFonts w:cs="Arial"/>
              </w:rPr>
            </w:pPr>
            <w:r w:rsidRPr="009056B3">
              <w:rPr>
                <w:rFonts w:cs="Arial"/>
                <w:color w:val="7030A0"/>
              </w:rPr>
              <w:fldChar w:fldCharType="begin">
                <w:ffData>
                  <w:name w:val=""/>
                  <w:enabled/>
                  <w:calcOnExit w:val="0"/>
                  <w:checkBox>
                    <w:sizeAuto/>
                    <w:default w:val="0"/>
                  </w:checkBox>
                </w:ffData>
              </w:fldChar>
            </w:r>
            <w:r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Pr="009056B3">
              <w:rPr>
                <w:rFonts w:cs="Arial"/>
                <w:color w:val="7030A0"/>
              </w:rPr>
              <w:fldChar w:fldCharType="end"/>
            </w:r>
            <w:r w:rsidRPr="009056B3">
              <w:rPr>
                <w:rFonts w:cs="Arial"/>
                <w:color w:val="7030A0"/>
              </w:rPr>
              <w:t xml:space="preserve"> </w:t>
            </w:r>
            <w:r w:rsidRPr="009056B3">
              <w:rPr>
                <w:rFonts w:cs="Arial"/>
              </w:rPr>
              <w:t xml:space="preserve">Cumulative          </w:t>
            </w:r>
            <w:r w:rsidRPr="009056B3">
              <w:rPr>
                <w:rFonts w:cs="Arial"/>
                <w:color w:val="7030A0"/>
              </w:rPr>
              <w:fldChar w:fldCharType="begin">
                <w:ffData>
                  <w:name w:val=""/>
                  <w:enabled/>
                  <w:calcOnExit w:val="0"/>
                  <w:checkBox>
                    <w:sizeAuto/>
                    <w:default w:val="1"/>
                  </w:checkBox>
                </w:ffData>
              </w:fldChar>
            </w:r>
            <w:r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Pr="009056B3">
              <w:rPr>
                <w:rFonts w:cs="Arial"/>
                <w:color w:val="7030A0"/>
              </w:rPr>
              <w:fldChar w:fldCharType="end"/>
            </w:r>
            <w:r w:rsidRPr="009056B3">
              <w:rPr>
                <w:rFonts w:cs="Arial"/>
                <w:color w:val="7030A0"/>
              </w:rPr>
              <w:t xml:space="preserve"> </w:t>
            </w:r>
            <w:r w:rsidRPr="009056B3">
              <w:rPr>
                <w:rFonts w:cs="Arial"/>
              </w:rPr>
              <w:t>Non-cumulative</w:t>
            </w:r>
          </w:p>
        </w:tc>
      </w:tr>
      <w:tr w:rsidR="0010656B" w:rsidRPr="009056B3" w14:paraId="52659D5C" w14:textId="77777777" w:rsidTr="006F4A73">
        <w:trPr>
          <w:cantSplit/>
          <w:trHeight w:hRule="exact" w:val="2080"/>
        </w:trPr>
        <w:tc>
          <w:tcPr>
            <w:tcW w:w="2835" w:type="dxa"/>
          </w:tcPr>
          <w:p w14:paraId="225D1FF0" w14:textId="77777777" w:rsidR="0010656B" w:rsidRPr="009056B3" w:rsidRDefault="0010656B" w:rsidP="00286096">
            <w:pPr>
              <w:pStyle w:val="DHHStablecolhead"/>
              <w:rPr>
                <w:rFonts w:cs="Arial"/>
              </w:rPr>
            </w:pPr>
            <w:r w:rsidRPr="009056B3">
              <w:rPr>
                <w:rFonts w:cs="Arial"/>
              </w:rPr>
              <w:t>Counting rule</w:t>
            </w:r>
          </w:p>
        </w:tc>
        <w:tc>
          <w:tcPr>
            <w:tcW w:w="7379" w:type="dxa"/>
          </w:tcPr>
          <w:p w14:paraId="699F045D" w14:textId="77777777" w:rsidR="0010656B" w:rsidRPr="009056B3" w:rsidRDefault="0010656B" w:rsidP="00286096">
            <w:pPr>
              <w:pStyle w:val="DHHStabletext"/>
              <w:rPr>
                <w:rFonts w:cs="Arial"/>
              </w:rPr>
            </w:pPr>
            <w:r w:rsidRPr="009056B3">
              <w:rPr>
                <w:rFonts w:cs="Arial"/>
              </w:rPr>
              <w:t>At the end of the reporting period, calculate the percentage of clients who have a case plan.</w:t>
            </w:r>
          </w:p>
          <w:p w14:paraId="14775D3F" w14:textId="77777777" w:rsidR="0010656B" w:rsidRPr="009056B3" w:rsidRDefault="0010656B" w:rsidP="00286096">
            <w:pPr>
              <w:pStyle w:val="DHHStabletext"/>
              <w:rPr>
                <w:rFonts w:cs="Arial"/>
              </w:rPr>
            </w:pPr>
            <w:r w:rsidRPr="009056B3">
              <w:rPr>
                <w:rFonts w:cs="Arial"/>
              </w:rPr>
              <w:t>The percentage is calculated as the number of clients who are assisted to identify goals and to develop a case plan, divided by the total number of clients.</w:t>
            </w:r>
          </w:p>
          <w:p w14:paraId="4240FE39" w14:textId="77777777" w:rsidR="0010656B" w:rsidRPr="009056B3" w:rsidRDefault="0010656B" w:rsidP="00286096">
            <w:pPr>
              <w:pStyle w:val="DHHStabletext"/>
              <w:rPr>
                <w:rFonts w:cs="Arial"/>
              </w:rPr>
            </w:pPr>
            <w:r w:rsidRPr="009056B3">
              <w:rPr>
                <w:rFonts w:cs="Arial"/>
              </w:rPr>
              <w:t>The number of clients who are assisted to identify goals and to develop a case plan is required to be reported as a data collection item, in addition to the percentage calculated above.</w:t>
            </w:r>
          </w:p>
        </w:tc>
      </w:tr>
      <w:tr w:rsidR="0010656B" w:rsidRPr="009056B3" w14:paraId="3C53CCA6" w14:textId="77777777" w:rsidTr="006F4A73">
        <w:trPr>
          <w:cantSplit/>
          <w:trHeight w:hRule="exact" w:val="746"/>
        </w:trPr>
        <w:tc>
          <w:tcPr>
            <w:tcW w:w="2835" w:type="dxa"/>
          </w:tcPr>
          <w:p w14:paraId="1F52A54B" w14:textId="77777777" w:rsidR="0010656B" w:rsidRPr="009056B3" w:rsidRDefault="0010656B" w:rsidP="00286096">
            <w:pPr>
              <w:pStyle w:val="DHHStablecolhead"/>
              <w:rPr>
                <w:rFonts w:cs="Arial"/>
              </w:rPr>
            </w:pPr>
            <w:r w:rsidRPr="009056B3">
              <w:rPr>
                <w:rFonts w:cs="Arial"/>
              </w:rPr>
              <w:t>Data source(s) collection</w:t>
            </w:r>
          </w:p>
        </w:tc>
        <w:tc>
          <w:tcPr>
            <w:tcW w:w="7379" w:type="dxa"/>
          </w:tcPr>
          <w:p w14:paraId="409C040A" w14:textId="77777777" w:rsidR="0010656B" w:rsidRPr="009056B3" w:rsidRDefault="0010656B" w:rsidP="00286096">
            <w:pPr>
              <w:pStyle w:val="DHHStabletext"/>
              <w:rPr>
                <w:rFonts w:cs="Arial"/>
              </w:rPr>
            </w:pPr>
            <w:r w:rsidRPr="009056B3">
              <w:rPr>
                <w:rFonts w:cs="Arial"/>
              </w:rPr>
              <w:t>Specialist homelessness services collection provided to the Department of Health and Human Services and the Australian Institute of Health and Welfare.</w:t>
            </w:r>
          </w:p>
        </w:tc>
      </w:tr>
      <w:tr w:rsidR="0010656B" w:rsidRPr="009056B3" w14:paraId="13273C3E" w14:textId="77777777" w:rsidTr="006F4A73">
        <w:trPr>
          <w:cantSplit/>
          <w:trHeight w:hRule="exact" w:val="1557"/>
        </w:trPr>
        <w:tc>
          <w:tcPr>
            <w:tcW w:w="2835" w:type="dxa"/>
          </w:tcPr>
          <w:p w14:paraId="75DECE0C" w14:textId="77777777" w:rsidR="0010656B" w:rsidRPr="009056B3" w:rsidRDefault="0010656B" w:rsidP="00286096">
            <w:pPr>
              <w:pStyle w:val="DHHStablecolhead"/>
              <w:rPr>
                <w:rFonts w:cs="Arial"/>
              </w:rPr>
            </w:pPr>
            <w:r w:rsidRPr="009056B3">
              <w:rPr>
                <w:rFonts w:cs="Arial"/>
              </w:rPr>
              <w:t>Definition of terms</w:t>
            </w:r>
          </w:p>
        </w:tc>
        <w:tc>
          <w:tcPr>
            <w:tcW w:w="7379" w:type="dxa"/>
          </w:tcPr>
          <w:p w14:paraId="7F93A914" w14:textId="77777777" w:rsidR="0010656B" w:rsidRPr="009056B3" w:rsidRDefault="0010656B" w:rsidP="00286096">
            <w:pPr>
              <w:pStyle w:val="DHHStabletext"/>
              <w:rPr>
                <w:rFonts w:cs="Arial"/>
              </w:rPr>
            </w:pPr>
            <w:r w:rsidRPr="009056B3">
              <w:rPr>
                <w:rFonts w:cs="Arial"/>
              </w:rPr>
              <w:t>A client is a person who receives a direct service from your agency. To be a client the person must directly receive a service and not just be a beneficiary of a service.</w:t>
            </w:r>
          </w:p>
          <w:p w14:paraId="5ECA54E2" w14:textId="77777777" w:rsidR="0010656B" w:rsidRPr="009056B3" w:rsidRDefault="0010656B" w:rsidP="00286096">
            <w:pPr>
              <w:pStyle w:val="DHHStabletext"/>
              <w:rPr>
                <w:rFonts w:cs="Arial"/>
              </w:rPr>
            </w:pPr>
            <w:r w:rsidRPr="009056B3">
              <w:rPr>
                <w:rFonts w:cs="Arial"/>
              </w:rPr>
              <w:t xml:space="preserve">A case plan is a personal plan or a support agreement that usually has a statement of the client’s problems or needs, some goals for the client and strategies to achieve those goals. </w:t>
            </w:r>
          </w:p>
        </w:tc>
      </w:tr>
    </w:tbl>
    <w:p w14:paraId="633EDDB4" w14:textId="77777777" w:rsidR="0010656B" w:rsidRPr="009056B3" w:rsidRDefault="0010656B" w:rsidP="0010656B">
      <w:pPr>
        <w:pStyle w:val="DHHStablecaption"/>
        <w:spacing w:before="40"/>
        <w:rPr>
          <w:rFonts w:cs="Arial"/>
        </w:rPr>
      </w:pPr>
    </w:p>
    <w:p w14:paraId="7DCC31A8" w14:textId="05D494A4" w:rsidR="0010656B" w:rsidRPr="009056B3" w:rsidRDefault="006F4A73" w:rsidP="006F4A73">
      <w:pPr>
        <w:pStyle w:val="Heading2"/>
        <w:rPr>
          <w:color w:val="FF0000"/>
        </w:rPr>
      </w:pPr>
      <w:r>
        <w:t>P</w:t>
      </w:r>
      <w:r w:rsidR="0010656B" w:rsidRPr="009056B3">
        <w:t>erformance measure</w:t>
      </w:r>
      <w:r>
        <w:t xml:space="preserve">3 </w:t>
      </w:r>
      <w:r w:rsidR="0010656B" w:rsidRPr="009056B3">
        <w:t xml:space="preserve">: </w:t>
      </w:r>
      <w:r w:rsidR="0010656B" w:rsidRPr="009056B3">
        <w:rPr>
          <w:rStyle w:val="DHHSbodyChar"/>
          <w:rFonts w:cs="Arial"/>
        </w:rPr>
        <w:t>Number of responses (after-hours crisis response)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10656B" w:rsidRPr="009056B3" w14:paraId="791A7ABE" w14:textId="77777777" w:rsidTr="006F4A73">
        <w:trPr>
          <w:cantSplit/>
          <w:trHeight w:hRule="exact" w:val="764"/>
        </w:trPr>
        <w:tc>
          <w:tcPr>
            <w:tcW w:w="2835" w:type="dxa"/>
          </w:tcPr>
          <w:p w14:paraId="1D99F01F" w14:textId="77777777" w:rsidR="0010656B" w:rsidRPr="009056B3" w:rsidRDefault="0010656B" w:rsidP="00286096">
            <w:pPr>
              <w:pStyle w:val="DHHStablecolhead"/>
              <w:rPr>
                <w:rFonts w:cs="Arial"/>
              </w:rPr>
            </w:pPr>
            <w:r w:rsidRPr="009056B3">
              <w:rPr>
                <w:rFonts w:cs="Arial"/>
              </w:rPr>
              <w:t>Aim/objective</w:t>
            </w:r>
          </w:p>
        </w:tc>
        <w:tc>
          <w:tcPr>
            <w:tcW w:w="7379" w:type="dxa"/>
          </w:tcPr>
          <w:p w14:paraId="359D92EE" w14:textId="62AD29D7" w:rsidR="0010656B" w:rsidRPr="009056B3" w:rsidRDefault="0010656B" w:rsidP="00286096">
            <w:pPr>
              <w:pStyle w:val="DHHStabletext"/>
              <w:rPr>
                <w:rFonts w:cs="Arial"/>
              </w:rPr>
            </w:pPr>
            <w:r w:rsidRPr="009056B3">
              <w:rPr>
                <w:rFonts w:cs="Arial"/>
              </w:rPr>
              <w:t xml:space="preserve">To monitor the </w:t>
            </w:r>
            <w:r w:rsidR="00E64032">
              <w:rPr>
                <w:rFonts w:cs="Arial"/>
              </w:rPr>
              <w:t>number of</w:t>
            </w:r>
            <w:r w:rsidR="00B87562">
              <w:rPr>
                <w:rFonts w:cs="Arial"/>
              </w:rPr>
              <w:t xml:space="preserve"> new</w:t>
            </w:r>
            <w:r w:rsidR="00E64032">
              <w:rPr>
                <w:rFonts w:cs="Arial"/>
              </w:rPr>
              <w:t xml:space="preserve"> local </w:t>
            </w:r>
            <w:r w:rsidRPr="009056B3">
              <w:rPr>
                <w:rFonts w:cs="Arial"/>
              </w:rPr>
              <w:t xml:space="preserve">responses provided to people who require </w:t>
            </w:r>
            <w:r w:rsidR="00E64032" w:rsidRPr="009056B3">
              <w:rPr>
                <w:rFonts w:cs="Arial"/>
              </w:rPr>
              <w:t>after-hours</w:t>
            </w:r>
            <w:r w:rsidR="00E64032">
              <w:rPr>
                <w:rFonts w:cs="Arial"/>
              </w:rPr>
              <w:t xml:space="preserve"> </w:t>
            </w:r>
            <w:r w:rsidR="00E64032" w:rsidRPr="009056B3">
              <w:rPr>
                <w:rFonts w:cs="Arial"/>
              </w:rPr>
              <w:t xml:space="preserve">crisis </w:t>
            </w:r>
            <w:r w:rsidRPr="009056B3">
              <w:rPr>
                <w:rFonts w:cs="Arial"/>
              </w:rPr>
              <w:t xml:space="preserve">support </w:t>
            </w:r>
            <w:proofErr w:type="gramStart"/>
            <w:r w:rsidRPr="009056B3">
              <w:rPr>
                <w:rFonts w:cs="Arial"/>
              </w:rPr>
              <w:t>as a result of</w:t>
            </w:r>
            <w:proofErr w:type="gramEnd"/>
            <w:r w:rsidRPr="009056B3">
              <w:rPr>
                <w:rFonts w:cs="Arial"/>
              </w:rPr>
              <w:t xml:space="preserve"> family violence.</w:t>
            </w:r>
          </w:p>
        </w:tc>
      </w:tr>
      <w:tr w:rsidR="0010656B" w:rsidRPr="009056B3" w14:paraId="7B8A460D" w14:textId="77777777" w:rsidTr="006F4A73">
        <w:trPr>
          <w:cantSplit/>
          <w:trHeight w:hRule="exact" w:val="340"/>
        </w:trPr>
        <w:tc>
          <w:tcPr>
            <w:tcW w:w="2835" w:type="dxa"/>
          </w:tcPr>
          <w:p w14:paraId="07E3B367" w14:textId="77777777" w:rsidR="0010656B" w:rsidRPr="009056B3" w:rsidRDefault="0010656B" w:rsidP="00286096">
            <w:pPr>
              <w:pStyle w:val="DHHStablecolhead"/>
              <w:rPr>
                <w:rFonts w:cs="Arial"/>
              </w:rPr>
            </w:pPr>
            <w:r w:rsidRPr="009056B3">
              <w:rPr>
                <w:rFonts w:cs="Arial"/>
              </w:rPr>
              <w:t>Target</w:t>
            </w:r>
          </w:p>
        </w:tc>
        <w:tc>
          <w:tcPr>
            <w:tcW w:w="7379" w:type="dxa"/>
          </w:tcPr>
          <w:p w14:paraId="45662AF1" w14:textId="77777777" w:rsidR="0010656B" w:rsidRPr="009056B3" w:rsidRDefault="0010656B" w:rsidP="00286096">
            <w:pPr>
              <w:pStyle w:val="DHHStabletext"/>
              <w:rPr>
                <w:rFonts w:cs="Arial"/>
              </w:rPr>
            </w:pPr>
            <w:r w:rsidRPr="009056B3">
              <w:rPr>
                <w:rFonts w:cs="Arial"/>
              </w:rPr>
              <w:t>The performance measure is provided in the Service Agreement</w:t>
            </w:r>
          </w:p>
        </w:tc>
      </w:tr>
      <w:tr w:rsidR="0010656B" w:rsidRPr="009056B3" w14:paraId="67864CB1" w14:textId="77777777" w:rsidTr="006F4A73">
        <w:trPr>
          <w:cantSplit/>
          <w:trHeight w:hRule="exact" w:val="340"/>
        </w:trPr>
        <w:tc>
          <w:tcPr>
            <w:tcW w:w="2835" w:type="dxa"/>
          </w:tcPr>
          <w:p w14:paraId="02AE4D26" w14:textId="77777777" w:rsidR="0010656B" w:rsidRPr="009056B3" w:rsidRDefault="0010656B" w:rsidP="00286096">
            <w:pPr>
              <w:pStyle w:val="DHHStablecolhead"/>
              <w:rPr>
                <w:rFonts w:cs="Arial"/>
              </w:rPr>
            </w:pPr>
            <w:r w:rsidRPr="009056B3">
              <w:rPr>
                <w:rFonts w:cs="Arial"/>
              </w:rPr>
              <w:t>Type of count</w:t>
            </w:r>
          </w:p>
        </w:tc>
        <w:tc>
          <w:tcPr>
            <w:tcW w:w="7379" w:type="dxa"/>
          </w:tcPr>
          <w:p w14:paraId="73D257FC" w14:textId="77777777" w:rsidR="0010656B" w:rsidRPr="009056B3" w:rsidRDefault="0010656B" w:rsidP="00286096">
            <w:pPr>
              <w:pStyle w:val="DHHStabletext"/>
              <w:spacing w:before="0" w:after="0"/>
              <w:rPr>
                <w:rFonts w:cs="Arial"/>
              </w:rPr>
            </w:pPr>
            <w:r w:rsidRPr="009056B3">
              <w:rPr>
                <w:rFonts w:cs="Arial"/>
                <w:color w:val="7030A0"/>
              </w:rPr>
              <w:fldChar w:fldCharType="begin">
                <w:ffData>
                  <w:name w:val="Check2"/>
                  <w:enabled/>
                  <w:calcOnExit w:val="0"/>
                  <w:checkBox>
                    <w:sizeAuto/>
                    <w:default w:val="1"/>
                  </w:checkBox>
                </w:ffData>
              </w:fldChar>
            </w:r>
            <w:r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Pr="009056B3">
              <w:rPr>
                <w:rFonts w:cs="Arial"/>
                <w:color w:val="7030A0"/>
              </w:rPr>
              <w:fldChar w:fldCharType="end"/>
            </w:r>
            <w:r w:rsidRPr="009056B3">
              <w:rPr>
                <w:rFonts w:cs="Arial"/>
                <w:color w:val="7030A0"/>
              </w:rPr>
              <w:t xml:space="preserve"> </w:t>
            </w:r>
            <w:r w:rsidRPr="009056B3">
              <w:rPr>
                <w:rFonts w:cs="Arial"/>
              </w:rPr>
              <w:t xml:space="preserve">Cumulative          </w:t>
            </w:r>
            <w:r w:rsidRPr="009056B3">
              <w:rPr>
                <w:rFonts w:cs="Arial"/>
                <w:color w:val="7030A0"/>
              </w:rPr>
              <w:fldChar w:fldCharType="begin">
                <w:ffData>
                  <w:name w:val="Check2"/>
                  <w:enabled/>
                  <w:calcOnExit w:val="0"/>
                  <w:checkBox>
                    <w:sizeAuto/>
                    <w:default w:val="0"/>
                  </w:checkBox>
                </w:ffData>
              </w:fldChar>
            </w:r>
            <w:r w:rsidRPr="009056B3">
              <w:rPr>
                <w:rFonts w:cs="Arial"/>
                <w:color w:val="7030A0"/>
              </w:rPr>
              <w:instrText xml:space="preserve"> FORMCHECKBOX </w:instrText>
            </w:r>
            <w:r w:rsidR="00453C91">
              <w:rPr>
                <w:rFonts w:cs="Arial"/>
                <w:color w:val="7030A0"/>
              </w:rPr>
            </w:r>
            <w:r w:rsidR="00453C91">
              <w:rPr>
                <w:rFonts w:cs="Arial"/>
                <w:color w:val="7030A0"/>
              </w:rPr>
              <w:fldChar w:fldCharType="separate"/>
            </w:r>
            <w:r w:rsidRPr="009056B3">
              <w:rPr>
                <w:rFonts w:cs="Arial"/>
                <w:color w:val="7030A0"/>
              </w:rPr>
              <w:fldChar w:fldCharType="end"/>
            </w:r>
            <w:r w:rsidRPr="009056B3">
              <w:rPr>
                <w:rFonts w:cs="Arial"/>
                <w:color w:val="7030A0"/>
              </w:rPr>
              <w:t xml:space="preserve"> </w:t>
            </w:r>
            <w:r w:rsidRPr="009056B3">
              <w:rPr>
                <w:rFonts w:cs="Arial"/>
              </w:rPr>
              <w:t>Non-cumulative</w:t>
            </w:r>
          </w:p>
        </w:tc>
      </w:tr>
      <w:tr w:rsidR="0010656B" w:rsidRPr="009056B3" w14:paraId="5A17ADE6" w14:textId="77777777" w:rsidTr="006F4A73">
        <w:trPr>
          <w:cantSplit/>
          <w:trHeight w:hRule="exact" w:val="1451"/>
        </w:trPr>
        <w:tc>
          <w:tcPr>
            <w:tcW w:w="2835" w:type="dxa"/>
          </w:tcPr>
          <w:p w14:paraId="263913AB" w14:textId="77777777" w:rsidR="0010656B" w:rsidRPr="009056B3" w:rsidRDefault="0010656B" w:rsidP="00286096">
            <w:pPr>
              <w:pStyle w:val="DHHStablecolhead"/>
              <w:rPr>
                <w:rFonts w:cs="Arial"/>
              </w:rPr>
            </w:pPr>
            <w:r w:rsidRPr="009056B3">
              <w:rPr>
                <w:rFonts w:cs="Arial"/>
              </w:rPr>
              <w:t>Counting rule</w:t>
            </w:r>
          </w:p>
        </w:tc>
        <w:tc>
          <w:tcPr>
            <w:tcW w:w="7379" w:type="dxa"/>
          </w:tcPr>
          <w:p w14:paraId="4183A4D8" w14:textId="16754F61" w:rsidR="00363710" w:rsidRDefault="0010656B" w:rsidP="00286096">
            <w:pPr>
              <w:pStyle w:val="DHHStabletext"/>
              <w:rPr>
                <w:rFonts w:cs="Arial"/>
              </w:rPr>
            </w:pPr>
            <w:r w:rsidRPr="009056B3">
              <w:rPr>
                <w:rFonts w:cs="Arial"/>
              </w:rPr>
              <w:t xml:space="preserve">Count </w:t>
            </w:r>
            <w:r w:rsidR="00E64032" w:rsidRPr="009056B3">
              <w:rPr>
                <w:rFonts w:cs="Arial"/>
              </w:rPr>
              <w:t xml:space="preserve">the </w:t>
            </w:r>
            <w:r w:rsidR="00E64032">
              <w:rPr>
                <w:rFonts w:cs="Arial"/>
              </w:rPr>
              <w:t xml:space="preserve">number of local </w:t>
            </w:r>
            <w:r w:rsidR="00E64032" w:rsidRPr="009056B3">
              <w:rPr>
                <w:rFonts w:cs="Arial"/>
              </w:rPr>
              <w:t>responses provided to people who require after-hours</w:t>
            </w:r>
            <w:r w:rsidR="00E64032">
              <w:rPr>
                <w:rFonts w:cs="Arial"/>
              </w:rPr>
              <w:t xml:space="preserve"> </w:t>
            </w:r>
            <w:r w:rsidR="00E64032" w:rsidRPr="009056B3">
              <w:rPr>
                <w:rFonts w:cs="Arial"/>
              </w:rPr>
              <w:t xml:space="preserve">crisis support </w:t>
            </w:r>
            <w:proofErr w:type="gramStart"/>
            <w:r w:rsidR="00E64032" w:rsidRPr="009056B3">
              <w:rPr>
                <w:rFonts w:cs="Arial"/>
              </w:rPr>
              <w:t>as a result of</w:t>
            </w:r>
            <w:proofErr w:type="gramEnd"/>
            <w:r w:rsidR="00E64032" w:rsidRPr="009056B3">
              <w:rPr>
                <w:rFonts w:cs="Arial"/>
              </w:rPr>
              <w:t xml:space="preserve"> family violence.</w:t>
            </w:r>
          </w:p>
          <w:p w14:paraId="4FBE66E0" w14:textId="14D178DA" w:rsidR="00B87562" w:rsidRDefault="0010656B" w:rsidP="00286096">
            <w:pPr>
              <w:pStyle w:val="DHHStabletext"/>
              <w:rPr>
                <w:rFonts w:cs="Arial"/>
              </w:rPr>
            </w:pPr>
            <w:r w:rsidRPr="009056B3">
              <w:rPr>
                <w:rFonts w:cs="Arial"/>
              </w:rPr>
              <w:t>Where a response is provided to a family, this should be counted once.</w:t>
            </w:r>
            <w:r w:rsidR="00B87562">
              <w:rPr>
                <w:rFonts w:cs="Arial"/>
              </w:rPr>
              <w:t xml:space="preserve"> </w:t>
            </w:r>
          </w:p>
          <w:p w14:paraId="672A350F" w14:textId="710041D1" w:rsidR="00B87562" w:rsidRPr="009056B3" w:rsidRDefault="00B87562" w:rsidP="00286096">
            <w:pPr>
              <w:pStyle w:val="DHHStabletext"/>
              <w:rPr>
                <w:rFonts w:cs="Arial"/>
              </w:rPr>
            </w:pPr>
            <w:r>
              <w:rPr>
                <w:rFonts w:cs="Arial"/>
              </w:rPr>
              <w:t>A person or household can receive multiple responses in a reporting period.</w:t>
            </w:r>
          </w:p>
          <w:p w14:paraId="278CA80C" w14:textId="4315F147" w:rsidR="0010656B" w:rsidRPr="009056B3" w:rsidRDefault="0010656B" w:rsidP="00286096">
            <w:pPr>
              <w:pStyle w:val="DHHStabletext"/>
              <w:rPr>
                <w:rFonts w:cs="Arial"/>
              </w:rPr>
            </w:pPr>
          </w:p>
        </w:tc>
      </w:tr>
      <w:tr w:rsidR="0010656B" w:rsidRPr="009056B3" w14:paraId="421CADDC" w14:textId="77777777" w:rsidTr="006F4A73">
        <w:trPr>
          <w:cantSplit/>
          <w:trHeight w:hRule="exact" w:val="846"/>
        </w:trPr>
        <w:tc>
          <w:tcPr>
            <w:tcW w:w="2835" w:type="dxa"/>
          </w:tcPr>
          <w:p w14:paraId="59772CB7" w14:textId="77777777" w:rsidR="0010656B" w:rsidRPr="009056B3" w:rsidRDefault="0010656B" w:rsidP="00286096">
            <w:pPr>
              <w:pStyle w:val="DHHStablecolhead"/>
              <w:rPr>
                <w:rFonts w:cs="Arial"/>
              </w:rPr>
            </w:pPr>
            <w:r w:rsidRPr="009056B3">
              <w:rPr>
                <w:rFonts w:cs="Arial"/>
              </w:rPr>
              <w:t>Data source(s) collection</w:t>
            </w:r>
          </w:p>
        </w:tc>
        <w:tc>
          <w:tcPr>
            <w:tcW w:w="7379" w:type="dxa"/>
          </w:tcPr>
          <w:p w14:paraId="4BFB525B" w14:textId="77777777" w:rsidR="0010656B" w:rsidRPr="009056B3" w:rsidRDefault="0010656B" w:rsidP="00286096">
            <w:pPr>
              <w:pStyle w:val="DHHStabletext"/>
              <w:rPr>
                <w:rFonts w:cs="Arial"/>
              </w:rPr>
            </w:pPr>
            <w:r w:rsidRPr="009056B3">
              <w:rPr>
                <w:rFonts w:cs="Arial"/>
              </w:rPr>
              <w:t>Service delivery tracking system</w:t>
            </w:r>
          </w:p>
          <w:p w14:paraId="039339CA" w14:textId="77777777" w:rsidR="0010656B" w:rsidRPr="009056B3" w:rsidRDefault="0010656B" w:rsidP="00286096">
            <w:pPr>
              <w:pStyle w:val="DHHStabletext"/>
              <w:rPr>
                <w:rFonts w:cs="Arial"/>
              </w:rPr>
            </w:pPr>
            <w:r w:rsidRPr="009056B3">
              <w:rPr>
                <w:rFonts w:cs="Arial"/>
              </w:rPr>
              <w:t>After-hours acquittal report</w:t>
            </w:r>
          </w:p>
        </w:tc>
      </w:tr>
      <w:tr w:rsidR="0010656B" w:rsidRPr="009056B3" w14:paraId="6D31C34E" w14:textId="77777777" w:rsidTr="006F4A73">
        <w:trPr>
          <w:cantSplit/>
          <w:trHeight w:hRule="exact" w:val="2413"/>
        </w:trPr>
        <w:tc>
          <w:tcPr>
            <w:tcW w:w="2835" w:type="dxa"/>
          </w:tcPr>
          <w:p w14:paraId="6146A298" w14:textId="77777777" w:rsidR="0010656B" w:rsidRPr="009056B3" w:rsidRDefault="0010656B" w:rsidP="00286096">
            <w:pPr>
              <w:pStyle w:val="DHHStablecolhead"/>
              <w:rPr>
                <w:rFonts w:cs="Arial"/>
              </w:rPr>
            </w:pPr>
            <w:r w:rsidRPr="009056B3">
              <w:rPr>
                <w:rFonts w:cs="Arial"/>
              </w:rPr>
              <w:t>Definition of terms</w:t>
            </w:r>
          </w:p>
        </w:tc>
        <w:tc>
          <w:tcPr>
            <w:tcW w:w="7379" w:type="dxa"/>
          </w:tcPr>
          <w:p w14:paraId="6DD87A9B" w14:textId="77777777" w:rsidR="0010656B" w:rsidRPr="009056B3" w:rsidRDefault="0010656B" w:rsidP="00286096">
            <w:pPr>
              <w:pStyle w:val="DHHStabletext"/>
              <w:rPr>
                <w:rFonts w:cs="Arial"/>
              </w:rPr>
            </w:pPr>
            <w:r w:rsidRPr="009056B3">
              <w:rPr>
                <w:rFonts w:cs="Arial"/>
              </w:rPr>
              <w:t>After-hours is defined as the period outside the traditional business hours of 9am-5pm Monday to Friday. After-hours includes the period between the hours of 5pm and 9am on weekdays, all hours on weekends (between 5pm Friday and 9am Monday) and Victorian public holidays.</w:t>
            </w:r>
          </w:p>
          <w:p w14:paraId="24E480E6" w14:textId="2AE9D3EC" w:rsidR="0010656B" w:rsidRPr="009056B3" w:rsidRDefault="0010656B" w:rsidP="00286096">
            <w:pPr>
              <w:pStyle w:val="DHHStabletext"/>
              <w:rPr>
                <w:rFonts w:cs="Arial"/>
                <w:color w:val="000000"/>
                <w:lang w:eastAsia="en-AU"/>
              </w:rPr>
            </w:pPr>
            <w:r w:rsidRPr="009056B3">
              <w:rPr>
                <w:rFonts w:cs="Arial"/>
              </w:rPr>
              <w:t xml:space="preserve">A </w:t>
            </w:r>
            <w:r w:rsidR="00633817">
              <w:rPr>
                <w:rFonts w:cs="Arial"/>
              </w:rPr>
              <w:t xml:space="preserve">local </w:t>
            </w:r>
            <w:r w:rsidR="00633817" w:rsidRPr="009056B3">
              <w:rPr>
                <w:rFonts w:cs="Arial"/>
              </w:rPr>
              <w:t xml:space="preserve">response </w:t>
            </w:r>
            <w:r w:rsidRPr="009056B3">
              <w:rPr>
                <w:rFonts w:cs="Arial"/>
              </w:rPr>
              <w:t>is defined as</w:t>
            </w:r>
            <w:r w:rsidR="00633817">
              <w:rPr>
                <w:rFonts w:cs="Arial"/>
              </w:rPr>
              <w:t xml:space="preserve"> </w:t>
            </w:r>
            <w:r w:rsidRPr="009056B3">
              <w:rPr>
                <w:rFonts w:cs="Arial"/>
              </w:rPr>
              <w:t xml:space="preserve">face-to-face </w:t>
            </w:r>
            <w:r w:rsidR="00633817">
              <w:rPr>
                <w:rFonts w:cs="Arial"/>
              </w:rPr>
              <w:t xml:space="preserve">or </w:t>
            </w:r>
            <w:r w:rsidR="00676940">
              <w:rPr>
                <w:rFonts w:cs="Arial"/>
              </w:rPr>
              <w:t>phone-based</w:t>
            </w:r>
            <w:r w:rsidR="00633817">
              <w:rPr>
                <w:rFonts w:cs="Arial"/>
              </w:rPr>
              <w:t xml:space="preserve"> </w:t>
            </w:r>
            <w:r w:rsidRPr="009056B3">
              <w:rPr>
                <w:rFonts w:cs="Arial"/>
              </w:rPr>
              <w:t xml:space="preserve">contact </w:t>
            </w:r>
            <w:r w:rsidRPr="009056B3">
              <w:rPr>
                <w:rFonts w:cs="Arial"/>
                <w:color w:val="000000"/>
                <w:lang w:eastAsia="en-AU"/>
              </w:rPr>
              <w:t xml:space="preserve">with an individual or family where support is provided. This may include, but is not limited to, emotional support, risk and needs assessment and management, information and referral, provision of material aid, safety planning, and access to emergency accommodation. </w:t>
            </w:r>
          </w:p>
        </w:tc>
      </w:tr>
    </w:tbl>
    <w:p w14:paraId="4319E9D6" w14:textId="77777777" w:rsidR="00AA760D" w:rsidRDefault="00AA760D" w:rsidP="00E05E8D">
      <w:pPr>
        <w:pStyle w:val="Heading3"/>
        <w:rPr>
          <w:rFonts w:cs="Arial"/>
          <w:szCs w:val="24"/>
        </w:rPr>
      </w:pPr>
    </w:p>
    <w:p w14:paraId="291E79AE" w14:textId="33FE6FF5" w:rsidR="00575BC9" w:rsidRPr="009056B3" w:rsidRDefault="00DF6BAF" w:rsidP="006F4A73">
      <w:pPr>
        <w:pStyle w:val="Heading1"/>
      </w:pPr>
      <w:r w:rsidRPr="009056B3">
        <w:t>6</w:t>
      </w:r>
      <w:r w:rsidR="00575BC9" w:rsidRPr="009056B3">
        <w:t>. Data collection</w:t>
      </w:r>
    </w:p>
    <w:p w14:paraId="4BAB818C" w14:textId="27A20FC1" w:rsidR="009715AD" w:rsidRPr="009056B3" w:rsidRDefault="00A11FC5" w:rsidP="006F4A73">
      <w:pPr>
        <w:pStyle w:val="DHHSbody"/>
        <w:rPr>
          <w:rFonts w:cs="Arial"/>
        </w:rPr>
      </w:pPr>
      <w:r w:rsidRPr="009056B3">
        <w:t>The r</w:t>
      </w:r>
      <w:r w:rsidR="0087683C" w:rsidRPr="009056B3">
        <w:t>eporting requirements for this service</w:t>
      </w:r>
      <w:r w:rsidRPr="009056B3">
        <w:t xml:space="preserve"> are: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353"/>
      </w:tblGrid>
      <w:tr w:rsidR="00575BC9" w:rsidRPr="009056B3" w14:paraId="7F6E0DF5" w14:textId="77777777" w:rsidTr="006F4A73">
        <w:trPr>
          <w:trHeight w:hRule="exact" w:val="340"/>
          <w:tblHeader/>
        </w:trPr>
        <w:tc>
          <w:tcPr>
            <w:tcW w:w="2580" w:type="dxa"/>
            <w:vAlign w:val="center"/>
          </w:tcPr>
          <w:p w14:paraId="49F71432" w14:textId="77777777" w:rsidR="00575BC9" w:rsidRPr="009056B3" w:rsidRDefault="00575BC9" w:rsidP="0017293C">
            <w:pPr>
              <w:pStyle w:val="DHHStablecolhead"/>
              <w:spacing w:before="0" w:after="0"/>
              <w:rPr>
                <w:rFonts w:cs="Arial"/>
              </w:rPr>
            </w:pPr>
            <w:r w:rsidRPr="009056B3">
              <w:rPr>
                <w:rFonts w:cs="Arial"/>
              </w:rPr>
              <w:t>Data collection name</w:t>
            </w:r>
          </w:p>
        </w:tc>
        <w:tc>
          <w:tcPr>
            <w:tcW w:w="2580" w:type="dxa"/>
            <w:vAlign w:val="center"/>
          </w:tcPr>
          <w:p w14:paraId="26CE8F91" w14:textId="77777777" w:rsidR="00575BC9" w:rsidRPr="009056B3" w:rsidRDefault="00575BC9" w:rsidP="0017293C">
            <w:pPr>
              <w:pStyle w:val="DHHStablecolhead"/>
              <w:spacing w:before="0" w:after="0"/>
              <w:rPr>
                <w:rFonts w:cs="Arial"/>
              </w:rPr>
            </w:pPr>
            <w:r w:rsidRPr="009056B3">
              <w:rPr>
                <w:rFonts w:cs="Arial"/>
              </w:rPr>
              <w:t xml:space="preserve">Data system </w:t>
            </w:r>
          </w:p>
        </w:tc>
        <w:tc>
          <w:tcPr>
            <w:tcW w:w="2580" w:type="dxa"/>
            <w:vAlign w:val="center"/>
          </w:tcPr>
          <w:p w14:paraId="5D667980" w14:textId="77777777" w:rsidR="00575BC9" w:rsidRPr="009056B3" w:rsidRDefault="00575BC9" w:rsidP="0017293C">
            <w:pPr>
              <w:pStyle w:val="DHHStablecolhead"/>
              <w:spacing w:before="0" w:after="0"/>
              <w:rPr>
                <w:rFonts w:cs="Arial"/>
              </w:rPr>
            </w:pPr>
            <w:r w:rsidRPr="009056B3">
              <w:rPr>
                <w:rFonts w:cs="Arial"/>
              </w:rPr>
              <w:t xml:space="preserve">Data set </w:t>
            </w:r>
          </w:p>
        </w:tc>
        <w:tc>
          <w:tcPr>
            <w:tcW w:w="2353" w:type="dxa"/>
            <w:vAlign w:val="center"/>
          </w:tcPr>
          <w:p w14:paraId="3F501CCF" w14:textId="77777777" w:rsidR="00575BC9" w:rsidRPr="009056B3" w:rsidRDefault="00575BC9" w:rsidP="0017293C">
            <w:pPr>
              <w:pStyle w:val="DHHStablecolhead"/>
              <w:spacing w:before="0" w:after="0"/>
              <w:rPr>
                <w:rFonts w:cs="Arial"/>
              </w:rPr>
            </w:pPr>
            <w:r w:rsidRPr="009056B3">
              <w:rPr>
                <w:rFonts w:cs="Arial"/>
              </w:rPr>
              <w:t>Reporting cycle</w:t>
            </w:r>
          </w:p>
        </w:tc>
      </w:tr>
      <w:tr w:rsidR="0010656B" w:rsidRPr="009056B3" w14:paraId="3C0406D1" w14:textId="77777777" w:rsidTr="006F4A73">
        <w:trPr>
          <w:trHeight w:val="776"/>
        </w:trPr>
        <w:tc>
          <w:tcPr>
            <w:tcW w:w="2580" w:type="dxa"/>
          </w:tcPr>
          <w:p w14:paraId="3C1A6B43" w14:textId="77777777" w:rsidR="0010656B" w:rsidRPr="009056B3" w:rsidRDefault="0010656B" w:rsidP="00286096">
            <w:pPr>
              <w:pStyle w:val="DHHStabletext"/>
              <w:rPr>
                <w:rFonts w:cs="Arial"/>
              </w:rPr>
            </w:pPr>
            <w:r w:rsidRPr="009056B3">
              <w:rPr>
                <w:rFonts w:cs="Arial"/>
              </w:rPr>
              <w:t>Service delivery tracking (SDT)</w:t>
            </w:r>
          </w:p>
        </w:tc>
        <w:tc>
          <w:tcPr>
            <w:tcW w:w="2580" w:type="dxa"/>
          </w:tcPr>
          <w:p w14:paraId="5C91BB89" w14:textId="77777777" w:rsidR="0010656B" w:rsidRPr="009056B3" w:rsidRDefault="0010656B" w:rsidP="00286096">
            <w:pPr>
              <w:pStyle w:val="DHHStabletext"/>
              <w:rPr>
                <w:rFonts w:cs="Arial"/>
              </w:rPr>
            </w:pPr>
            <w:r w:rsidRPr="009056B3">
              <w:rPr>
                <w:rFonts w:cs="Arial"/>
              </w:rPr>
              <w:t>FAC/SAMS2</w:t>
            </w:r>
          </w:p>
        </w:tc>
        <w:tc>
          <w:tcPr>
            <w:tcW w:w="2580" w:type="dxa"/>
          </w:tcPr>
          <w:p w14:paraId="5DD45A93" w14:textId="77777777" w:rsidR="0010656B" w:rsidRPr="009056B3" w:rsidRDefault="0010656B" w:rsidP="00286096">
            <w:pPr>
              <w:pStyle w:val="DHHStabletext"/>
              <w:rPr>
                <w:rFonts w:cs="Arial"/>
              </w:rPr>
            </w:pPr>
            <w:r w:rsidRPr="009056B3">
              <w:rPr>
                <w:rFonts w:cs="Arial"/>
              </w:rPr>
              <w:t>Service delivery tracking data set</w:t>
            </w:r>
          </w:p>
        </w:tc>
        <w:tc>
          <w:tcPr>
            <w:tcW w:w="2353" w:type="dxa"/>
          </w:tcPr>
          <w:p w14:paraId="36A39125" w14:textId="77777777" w:rsidR="0010656B" w:rsidRPr="009056B3" w:rsidRDefault="0010656B" w:rsidP="00286096">
            <w:pPr>
              <w:pStyle w:val="DHHStabletext"/>
              <w:rPr>
                <w:rFonts w:cs="Arial"/>
              </w:rPr>
            </w:pPr>
            <w:r w:rsidRPr="009056B3">
              <w:rPr>
                <w:rFonts w:cs="Arial"/>
              </w:rPr>
              <w:t>Monthly</w:t>
            </w:r>
          </w:p>
        </w:tc>
      </w:tr>
      <w:tr w:rsidR="0010656B" w:rsidRPr="009056B3" w14:paraId="5C19011F" w14:textId="77777777" w:rsidTr="006F4A73">
        <w:tblPrEx>
          <w:tblLook w:val="01E0" w:firstRow="1" w:lastRow="1" w:firstColumn="1" w:lastColumn="1" w:noHBand="0" w:noVBand="0"/>
        </w:tblPrEx>
        <w:trPr>
          <w:cantSplit/>
          <w:trHeight w:val="773"/>
        </w:trPr>
        <w:tc>
          <w:tcPr>
            <w:tcW w:w="2580" w:type="dxa"/>
          </w:tcPr>
          <w:p w14:paraId="0186599E" w14:textId="77777777" w:rsidR="0010656B" w:rsidRPr="009056B3" w:rsidRDefault="0010656B" w:rsidP="00286096">
            <w:pPr>
              <w:pStyle w:val="DHHStabletext"/>
              <w:rPr>
                <w:rFonts w:cs="Arial"/>
              </w:rPr>
            </w:pPr>
            <w:r w:rsidRPr="009056B3">
              <w:rPr>
                <w:rFonts w:cs="Arial"/>
              </w:rPr>
              <w:t>Specialist homelessness services collection</w:t>
            </w:r>
          </w:p>
        </w:tc>
        <w:tc>
          <w:tcPr>
            <w:tcW w:w="2580" w:type="dxa"/>
          </w:tcPr>
          <w:p w14:paraId="1A28C623" w14:textId="77777777" w:rsidR="0010656B" w:rsidRPr="009056B3" w:rsidRDefault="0010656B" w:rsidP="00286096">
            <w:pPr>
              <w:pStyle w:val="DHHStabletext"/>
              <w:rPr>
                <w:rFonts w:cs="Arial"/>
              </w:rPr>
            </w:pPr>
            <w:r w:rsidRPr="009056B3">
              <w:rPr>
                <w:rFonts w:cs="Arial"/>
              </w:rPr>
              <w:t>Specialist Homelessness Information Platform (SHIP)</w:t>
            </w:r>
          </w:p>
        </w:tc>
        <w:tc>
          <w:tcPr>
            <w:tcW w:w="2580" w:type="dxa"/>
          </w:tcPr>
          <w:p w14:paraId="2945E7FC" w14:textId="77777777" w:rsidR="0010656B" w:rsidRPr="009056B3" w:rsidRDefault="0010656B" w:rsidP="00286096">
            <w:pPr>
              <w:pStyle w:val="DHHStabletext"/>
              <w:rPr>
                <w:rFonts w:cs="Arial"/>
              </w:rPr>
            </w:pPr>
            <w:r w:rsidRPr="009056B3">
              <w:rPr>
                <w:rFonts w:cs="Arial"/>
              </w:rPr>
              <w:t>Specialist homelessness services collection provided to the Department of Health and Human Services and the Australian Institute of Health and Welfare.</w:t>
            </w:r>
          </w:p>
        </w:tc>
        <w:tc>
          <w:tcPr>
            <w:tcW w:w="2353" w:type="dxa"/>
          </w:tcPr>
          <w:p w14:paraId="79E18785" w14:textId="77777777" w:rsidR="0010656B" w:rsidRPr="009056B3" w:rsidRDefault="0010656B" w:rsidP="00286096">
            <w:pPr>
              <w:pStyle w:val="DHHStabletext"/>
              <w:rPr>
                <w:rFonts w:cs="Arial"/>
              </w:rPr>
            </w:pPr>
            <w:r w:rsidRPr="009056B3">
              <w:rPr>
                <w:rFonts w:cs="Arial"/>
              </w:rPr>
              <w:t>Monthly</w:t>
            </w:r>
          </w:p>
        </w:tc>
      </w:tr>
      <w:tr w:rsidR="0010656B" w:rsidRPr="009056B3" w14:paraId="139B6B32" w14:textId="77777777" w:rsidTr="006F4A73">
        <w:tblPrEx>
          <w:tblLook w:val="01E0" w:firstRow="1" w:lastRow="1" w:firstColumn="1" w:lastColumn="1" w:noHBand="0" w:noVBand="0"/>
        </w:tblPrEx>
        <w:trPr>
          <w:cantSplit/>
          <w:trHeight w:val="773"/>
        </w:trPr>
        <w:tc>
          <w:tcPr>
            <w:tcW w:w="2580" w:type="dxa"/>
          </w:tcPr>
          <w:p w14:paraId="464CF7F9" w14:textId="77777777" w:rsidR="0010656B" w:rsidRPr="009056B3" w:rsidRDefault="0010656B" w:rsidP="00286096">
            <w:pPr>
              <w:pStyle w:val="DHHStabletext"/>
              <w:rPr>
                <w:rFonts w:cs="Arial"/>
              </w:rPr>
            </w:pPr>
            <w:r w:rsidRPr="009056B3">
              <w:rPr>
                <w:rFonts w:cs="Arial"/>
              </w:rPr>
              <w:t>After-hours acquittal report</w:t>
            </w:r>
          </w:p>
        </w:tc>
        <w:tc>
          <w:tcPr>
            <w:tcW w:w="2580" w:type="dxa"/>
          </w:tcPr>
          <w:p w14:paraId="11D1F303" w14:textId="77777777" w:rsidR="0010656B" w:rsidRPr="009056B3" w:rsidRDefault="0010656B" w:rsidP="00286096">
            <w:pPr>
              <w:pStyle w:val="DHHStabletext"/>
              <w:rPr>
                <w:rFonts w:cs="Arial"/>
              </w:rPr>
            </w:pPr>
            <w:r w:rsidRPr="009056B3">
              <w:rPr>
                <w:rFonts w:cs="Arial"/>
              </w:rPr>
              <w:t>Manual</w:t>
            </w:r>
          </w:p>
        </w:tc>
        <w:tc>
          <w:tcPr>
            <w:tcW w:w="2580" w:type="dxa"/>
          </w:tcPr>
          <w:p w14:paraId="3E646E9D" w14:textId="77777777" w:rsidR="0010656B" w:rsidRPr="009056B3" w:rsidRDefault="0010656B" w:rsidP="00286096">
            <w:pPr>
              <w:pStyle w:val="DHHStabletext"/>
              <w:rPr>
                <w:rFonts w:cs="Arial"/>
              </w:rPr>
            </w:pPr>
            <w:r w:rsidRPr="009056B3">
              <w:rPr>
                <w:rFonts w:cs="Arial"/>
              </w:rPr>
              <w:t>Manual</w:t>
            </w:r>
          </w:p>
        </w:tc>
        <w:tc>
          <w:tcPr>
            <w:tcW w:w="2353" w:type="dxa"/>
          </w:tcPr>
          <w:p w14:paraId="2DF4638A" w14:textId="77777777" w:rsidR="0010656B" w:rsidRPr="009056B3" w:rsidRDefault="0010656B" w:rsidP="00286096">
            <w:pPr>
              <w:pStyle w:val="DHHStabletext"/>
              <w:rPr>
                <w:rFonts w:cs="Arial"/>
              </w:rPr>
            </w:pPr>
            <w:r w:rsidRPr="009056B3">
              <w:rPr>
                <w:rFonts w:cs="Arial"/>
              </w:rPr>
              <w:t>Quarterly</w:t>
            </w:r>
          </w:p>
        </w:tc>
      </w:tr>
      <w:bookmarkEnd w:id="2"/>
    </w:tbl>
    <w:p w14:paraId="4C6C0A45" w14:textId="77777777" w:rsidR="006C7A1F" w:rsidRPr="009056B3" w:rsidRDefault="006C7A1F" w:rsidP="00AA3CA8">
      <w:pPr>
        <w:rPr>
          <w:rFonts w:cs="Arial"/>
        </w:rPr>
      </w:pPr>
    </w:p>
    <w:p w14:paraId="67D2E03E" w14:textId="77777777" w:rsidR="006C7A1F" w:rsidRPr="009056B3" w:rsidRDefault="006C7A1F" w:rsidP="00AA3CA8">
      <w:pPr>
        <w:rPr>
          <w:rFonts w:cs="Arial"/>
        </w:rPr>
      </w:pPr>
    </w:p>
    <w:p w14:paraId="21BBBC66" w14:textId="77777777" w:rsidR="000667DA" w:rsidRPr="009056B3" w:rsidRDefault="000667DA" w:rsidP="00AA3CA8">
      <w:pPr>
        <w:rPr>
          <w:rFonts w:cs="Arial"/>
        </w:rPr>
      </w:pPr>
    </w:p>
    <w:p w14:paraId="3A374EC0" w14:textId="77777777" w:rsidR="000667DA" w:rsidRPr="009056B3" w:rsidRDefault="000667DA" w:rsidP="00AA3CA8">
      <w:pPr>
        <w:rPr>
          <w:rFonts w:cs="Arial"/>
        </w:rPr>
      </w:pPr>
    </w:p>
    <w:p w14:paraId="76D4F057" w14:textId="77777777" w:rsidR="006C7A1F" w:rsidRPr="009056B3" w:rsidRDefault="006C7A1F" w:rsidP="00AA3CA8">
      <w:pPr>
        <w:rPr>
          <w:rFonts w:cs="Arial"/>
        </w:rPr>
      </w:pPr>
    </w:p>
    <w:p w14:paraId="62153C94" w14:textId="77777777" w:rsidR="006C7A1F" w:rsidRPr="009056B3" w:rsidRDefault="006C7A1F" w:rsidP="00AA3CA8">
      <w:pPr>
        <w:rPr>
          <w:rFonts w:cs="Arial"/>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9056B3" w14:paraId="3C89EA59"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A800B95" w14:textId="77777777" w:rsidR="00453C91" w:rsidRDefault="00453C91" w:rsidP="00453C91">
            <w:pPr>
              <w:pStyle w:val="DHHSaccessibilitypara"/>
            </w:pPr>
            <w:r>
              <w:t xml:space="preserve">To receive this publication in an accessible format </w:t>
            </w:r>
            <w:hyperlink r:id="rId18" w:history="1">
              <w:r>
                <w:rPr>
                  <w:rStyle w:val="Hyperlink"/>
                </w:rPr>
                <w:t>email Service Agreement Policy</w:t>
              </w:r>
            </w:hyperlink>
            <w:r>
              <w:t xml:space="preserve"> &lt;</w:t>
            </w:r>
            <w:hyperlink r:id="rId19" w:history="1">
              <w:r>
                <w:rPr>
                  <w:rStyle w:val="Hyperlink"/>
                </w:rPr>
                <w:t>sapolicy@dhhs.vic.gov.au</w:t>
              </w:r>
            </w:hyperlink>
            <w:r>
              <w:t>&gt;</w:t>
            </w:r>
          </w:p>
          <w:p w14:paraId="6D48FA64" w14:textId="77777777" w:rsidR="00453C91" w:rsidRDefault="00453C91" w:rsidP="00453C91">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2965AC26" w14:textId="23BAAF10" w:rsidR="006A7939" w:rsidRPr="009056B3" w:rsidRDefault="00453C91" w:rsidP="00453C91">
            <w:pPr>
              <w:pStyle w:val="DHHSbody"/>
              <w:spacing w:line="240" w:lineRule="auto"/>
              <w:rPr>
                <w:rFonts w:cs="Arial"/>
              </w:rPr>
            </w:pPr>
            <w:r>
              <w:t xml:space="preserve">Available on the department’s </w:t>
            </w:r>
            <w:hyperlink r:id="rId20" w:history="1">
              <w:r>
                <w:rPr>
                  <w:rStyle w:val="Hyperlink"/>
                </w:rPr>
                <w:t>Health and human services activity search</w:t>
              </w:r>
            </w:hyperlink>
            <w:r>
              <w:t xml:space="preserve"> &lt;</w:t>
            </w:r>
            <w:hyperlink r:id="rId21" w:history="1">
              <w:r>
                <w:rPr>
                  <w:rStyle w:val="Hyperlink"/>
                  <w:lang w:eastAsia="en-AU"/>
                </w:rPr>
                <w:t>http://providers.dhhs.vic.gov.au/health-human-services-activity-search</w:t>
              </w:r>
            </w:hyperlink>
            <w:r>
              <w:rPr>
                <w:color w:val="000000"/>
                <w:lang w:eastAsia="en-AU"/>
              </w:rPr>
              <w:t>&gt;</w:t>
            </w:r>
            <w:bookmarkStart w:id="14" w:name="_GoBack"/>
            <w:bookmarkEnd w:id="14"/>
          </w:p>
        </w:tc>
      </w:tr>
    </w:tbl>
    <w:p w14:paraId="11F0292F" w14:textId="77777777" w:rsidR="000918C3" w:rsidRPr="009056B3" w:rsidRDefault="000918C3" w:rsidP="006C7A1F">
      <w:pPr>
        <w:rPr>
          <w:rFonts w:cs="Arial"/>
          <w:lang w:eastAsia="en-US"/>
        </w:rPr>
      </w:pPr>
    </w:p>
    <w:sectPr w:rsidR="000918C3" w:rsidRPr="009056B3"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6609" w14:textId="77777777" w:rsidR="000D3756" w:rsidRDefault="000D3756">
      <w:r>
        <w:separator/>
      </w:r>
    </w:p>
  </w:endnote>
  <w:endnote w:type="continuationSeparator" w:id="0">
    <w:p w14:paraId="65E3AA36"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34A1"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0428EDA5" wp14:editId="3131957B">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3208" w14:textId="00608476" w:rsidR="009D70A4" w:rsidRPr="00A11421" w:rsidRDefault="00602450" w:rsidP="0051568D">
    <w:pPr>
      <w:pStyle w:val="DHHSfooter"/>
    </w:pPr>
    <w:bookmarkStart w:id="0" w:name="_Hlk10631353"/>
    <w:r w:rsidRPr="00602450">
      <w:t>Activity description</w:t>
    </w:r>
    <w:r>
      <w:t xml:space="preserve"> (</w:t>
    </w:r>
    <w:r w:rsidRPr="00602450">
      <w:t>human services</w:t>
    </w:r>
    <w:r>
      <w:t xml:space="preserve">): </w:t>
    </w:r>
    <w:r w:rsidRPr="00602450">
      <w:t>Client support family violence-HA</w:t>
    </w:r>
    <w:r>
      <w:t xml:space="preserve"> </w:t>
    </w:r>
    <w:r w:rsidRPr="00602450">
      <w:t>94875</w:t>
    </w:r>
    <w:bookmarkEnd w:id="0"/>
    <w:r w:rsidR="009D70A4" w:rsidRPr="00A11421">
      <w:tab/>
    </w:r>
    <w:r w:rsidR="009D70A4" w:rsidRPr="00A11421">
      <w:fldChar w:fldCharType="begin"/>
    </w:r>
    <w:r w:rsidR="009D70A4" w:rsidRPr="00A11421">
      <w:instrText xml:space="preserve"> PAGE </w:instrText>
    </w:r>
    <w:r w:rsidR="009D70A4" w:rsidRPr="00A11421">
      <w:fldChar w:fldCharType="separate"/>
    </w:r>
    <w:r w:rsidR="0010656B">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028D" w14:textId="77777777" w:rsidR="000D3756" w:rsidRDefault="000D3756" w:rsidP="002862F1">
      <w:pPr>
        <w:spacing w:before="120"/>
      </w:pPr>
      <w:r>
        <w:separator/>
      </w:r>
    </w:p>
  </w:footnote>
  <w:footnote w:type="continuationSeparator" w:id="0">
    <w:p w14:paraId="477CCACB" w14:textId="77777777" w:rsidR="000D3756" w:rsidRDefault="000D3756">
      <w:r>
        <w:continuationSeparator/>
      </w:r>
    </w:p>
  </w:footnote>
  <w:footnote w:id="1">
    <w:p w14:paraId="10C608E3" w14:textId="77777777" w:rsidR="008839B7" w:rsidRPr="000404D7" w:rsidRDefault="008839B7" w:rsidP="008839B7">
      <w:pPr>
        <w:pStyle w:val="FootnoteText"/>
      </w:pPr>
      <w:r>
        <w:rPr>
          <w:rStyle w:val="FootnoteReference"/>
        </w:rPr>
        <w:footnoteRef/>
      </w:r>
      <w:r>
        <w:t xml:space="preserve"> </w:t>
      </w:r>
      <w:r>
        <w:rPr>
          <w:lang w:val="en-US"/>
        </w:rPr>
        <w:t>This link goes straight to the document, not a landing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88B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320E1"/>
    <w:multiLevelType w:val="hybridMultilevel"/>
    <w:tmpl w:val="230629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5679F"/>
    <w:multiLevelType w:val="hybridMultilevel"/>
    <w:tmpl w:val="711233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rPr>
    </w:lvl>
    <w:lvl w:ilvl="8">
      <w:start w:val="1"/>
      <w:numFmt w:val="none"/>
      <w:lvlRestart w:val="0"/>
      <w:lvlText w:val=""/>
      <w:lvlJc w:val="left"/>
      <w:rPr>
        <w:rFonts w:cs="Times New Roman"/>
      </w:rPr>
    </w:lvl>
  </w:abstractNum>
  <w:abstractNum w:abstractNumId="12"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AD467E4"/>
    <w:multiLevelType w:val="hybridMultilevel"/>
    <w:tmpl w:val="711233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16"/>
  </w:num>
  <w:num w:numId="11">
    <w:abstractNumId w:val="8"/>
  </w:num>
  <w:num w:numId="12">
    <w:abstractNumId w:val="9"/>
  </w:num>
  <w:num w:numId="13">
    <w:abstractNumId w:val="4"/>
  </w:num>
  <w:num w:numId="14">
    <w:abstractNumId w:val="15"/>
  </w:num>
  <w:num w:numId="15">
    <w:abstractNumId w:val="2"/>
  </w:num>
  <w:num w:numId="16">
    <w:abstractNumId w:val="12"/>
  </w:num>
  <w:num w:numId="17">
    <w:abstractNumId w:val="6"/>
  </w:num>
  <w:num w:numId="18">
    <w:abstractNumId w:val="11"/>
  </w:num>
  <w:num w:numId="19">
    <w:abstractNumId w:val="5"/>
  </w:num>
  <w:num w:numId="20">
    <w:abstractNumId w:val="10"/>
  </w:num>
  <w:num w:numId="21">
    <w:abstractNumId w:val="17"/>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073FB"/>
    <w:rsid w:val="0001021B"/>
    <w:rsid w:val="00011D89"/>
    <w:rsid w:val="00016708"/>
    <w:rsid w:val="00020209"/>
    <w:rsid w:val="000214DC"/>
    <w:rsid w:val="00024D89"/>
    <w:rsid w:val="000250B6"/>
    <w:rsid w:val="000265D2"/>
    <w:rsid w:val="00033D81"/>
    <w:rsid w:val="00035D3B"/>
    <w:rsid w:val="00041BF0"/>
    <w:rsid w:val="0004536B"/>
    <w:rsid w:val="00046B68"/>
    <w:rsid w:val="000527DD"/>
    <w:rsid w:val="00053825"/>
    <w:rsid w:val="000578B2"/>
    <w:rsid w:val="00060959"/>
    <w:rsid w:val="000663CD"/>
    <w:rsid w:val="000667DA"/>
    <w:rsid w:val="000733FE"/>
    <w:rsid w:val="00074219"/>
    <w:rsid w:val="00074ED5"/>
    <w:rsid w:val="0008670D"/>
    <w:rsid w:val="0009038C"/>
    <w:rsid w:val="0009050F"/>
    <w:rsid w:val="0009113B"/>
    <w:rsid w:val="000918C3"/>
    <w:rsid w:val="00094DA3"/>
    <w:rsid w:val="00095E54"/>
    <w:rsid w:val="00096CD1"/>
    <w:rsid w:val="000A012C"/>
    <w:rsid w:val="000A0EB9"/>
    <w:rsid w:val="000A186C"/>
    <w:rsid w:val="000B23FD"/>
    <w:rsid w:val="000B543D"/>
    <w:rsid w:val="000B5BF7"/>
    <w:rsid w:val="000B6BC8"/>
    <w:rsid w:val="000C42EA"/>
    <w:rsid w:val="000C4546"/>
    <w:rsid w:val="000C5F9C"/>
    <w:rsid w:val="000D1242"/>
    <w:rsid w:val="000D3756"/>
    <w:rsid w:val="000E3CC7"/>
    <w:rsid w:val="000E6BD4"/>
    <w:rsid w:val="000F1F1E"/>
    <w:rsid w:val="000F2259"/>
    <w:rsid w:val="000F2B4A"/>
    <w:rsid w:val="0010392D"/>
    <w:rsid w:val="0010447F"/>
    <w:rsid w:val="00104FE3"/>
    <w:rsid w:val="0010656B"/>
    <w:rsid w:val="00120AF7"/>
    <w:rsid w:val="00120BD3"/>
    <w:rsid w:val="00121D8F"/>
    <w:rsid w:val="00122B26"/>
    <w:rsid w:val="00122FEA"/>
    <w:rsid w:val="001232BD"/>
    <w:rsid w:val="00124ED5"/>
    <w:rsid w:val="001447B3"/>
    <w:rsid w:val="00145EAF"/>
    <w:rsid w:val="00152073"/>
    <w:rsid w:val="00161939"/>
    <w:rsid w:val="00161AA0"/>
    <w:rsid w:val="00161C84"/>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D0160"/>
    <w:rsid w:val="001D0B75"/>
    <w:rsid w:val="001D3C09"/>
    <w:rsid w:val="001D44E8"/>
    <w:rsid w:val="001D60EC"/>
    <w:rsid w:val="001E44DF"/>
    <w:rsid w:val="001E68A5"/>
    <w:rsid w:val="001E6BB0"/>
    <w:rsid w:val="001F3826"/>
    <w:rsid w:val="001F3DE2"/>
    <w:rsid w:val="001F6E46"/>
    <w:rsid w:val="001F7C91"/>
    <w:rsid w:val="00203740"/>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190B"/>
    <w:rsid w:val="002763B3"/>
    <w:rsid w:val="002802E3"/>
    <w:rsid w:val="0028213D"/>
    <w:rsid w:val="002862F1"/>
    <w:rsid w:val="00287546"/>
    <w:rsid w:val="00291373"/>
    <w:rsid w:val="00293D28"/>
    <w:rsid w:val="0029597D"/>
    <w:rsid w:val="002962C3"/>
    <w:rsid w:val="0029752B"/>
    <w:rsid w:val="002A483C"/>
    <w:rsid w:val="002B057D"/>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3EDD"/>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611E1"/>
    <w:rsid w:val="003629C3"/>
    <w:rsid w:val="00363710"/>
    <w:rsid w:val="003744CF"/>
    <w:rsid w:val="00374717"/>
    <w:rsid w:val="0037676C"/>
    <w:rsid w:val="003829E5"/>
    <w:rsid w:val="00382AFC"/>
    <w:rsid w:val="003956CC"/>
    <w:rsid w:val="00395C9A"/>
    <w:rsid w:val="003A6B67"/>
    <w:rsid w:val="003B15E6"/>
    <w:rsid w:val="003C2045"/>
    <w:rsid w:val="003C43A1"/>
    <w:rsid w:val="003C4FC0"/>
    <w:rsid w:val="003C55F4"/>
    <w:rsid w:val="003C5CDB"/>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1C20"/>
    <w:rsid w:val="00442C6C"/>
    <w:rsid w:val="00443CBE"/>
    <w:rsid w:val="00443E8A"/>
    <w:rsid w:val="004441BC"/>
    <w:rsid w:val="004468B4"/>
    <w:rsid w:val="0045230A"/>
    <w:rsid w:val="00453C91"/>
    <w:rsid w:val="00457337"/>
    <w:rsid w:val="00457807"/>
    <w:rsid w:val="0047372D"/>
    <w:rsid w:val="004743DD"/>
    <w:rsid w:val="00474CEA"/>
    <w:rsid w:val="00474DF0"/>
    <w:rsid w:val="0048237B"/>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D542B"/>
    <w:rsid w:val="004E138F"/>
    <w:rsid w:val="004E4649"/>
    <w:rsid w:val="004E5C2B"/>
    <w:rsid w:val="004E6F1D"/>
    <w:rsid w:val="004F00DD"/>
    <w:rsid w:val="004F2133"/>
    <w:rsid w:val="004F4473"/>
    <w:rsid w:val="004F55F1"/>
    <w:rsid w:val="004F5F95"/>
    <w:rsid w:val="004F6936"/>
    <w:rsid w:val="00503DC6"/>
    <w:rsid w:val="00506260"/>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2450"/>
    <w:rsid w:val="00605908"/>
    <w:rsid w:val="00606809"/>
    <w:rsid w:val="00610D7C"/>
    <w:rsid w:val="00611ADC"/>
    <w:rsid w:val="00613414"/>
    <w:rsid w:val="0062408D"/>
    <w:rsid w:val="006240CC"/>
    <w:rsid w:val="00627DA7"/>
    <w:rsid w:val="00633817"/>
    <w:rsid w:val="00633A5F"/>
    <w:rsid w:val="006358B4"/>
    <w:rsid w:val="006419AA"/>
    <w:rsid w:val="00644B7E"/>
    <w:rsid w:val="006454E6"/>
    <w:rsid w:val="00646A68"/>
    <w:rsid w:val="0065092E"/>
    <w:rsid w:val="006557A7"/>
    <w:rsid w:val="00656290"/>
    <w:rsid w:val="006621D7"/>
    <w:rsid w:val="0066302A"/>
    <w:rsid w:val="00670597"/>
    <w:rsid w:val="006706D0"/>
    <w:rsid w:val="00672CC3"/>
    <w:rsid w:val="00673455"/>
    <w:rsid w:val="00676940"/>
    <w:rsid w:val="00677574"/>
    <w:rsid w:val="0068454C"/>
    <w:rsid w:val="00691B62"/>
    <w:rsid w:val="00693D14"/>
    <w:rsid w:val="00695981"/>
    <w:rsid w:val="00697090"/>
    <w:rsid w:val="006A18C2"/>
    <w:rsid w:val="006A6227"/>
    <w:rsid w:val="006A7939"/>
    <w:rsid w:val="006B077C"/>
    <w:rsid w:val="006B6803"/>
    <w:rsid w:val="006C2FF0"/>
    <w:rsid w:val="006C34A6"/>
    <w:rsid w:val="006C5390"/>
    <w:rsid w:val="006C7A1F"/>
    <w:rsid w:val="006D2A3F"/>
    <w:rsid w:val="006D2FBC"/>
    <w:rsid w:val="006D72EA"/>
    <w:rsid w:val="006E138B"/>
    <w:rsid w:val="006E6093"/>
    <w:rsid w:val="006F0FB0"/>
    <w:rsid w:val="006F1FDC"/>
    <w:rsid w:val="006F4A73"/>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47BAA"/>
    <w:rsid w:val="00750135"/>
    <w:rsid w:val="00750EC2"/>
    <w:rsid w:val="00752B28"/>
    <w:rsid w:val="00754E36"/>
    <w:rsid w:val="007554F6"/>
    <w:rsid w:val="00763139"/>
    <w:rsid w:val="00770EBE"/>
    <w:rsid w:val="00770F37"/>
    <w:rsid w:val="007711A0"/>
    <w:rsid w:val="00772D5E"/>
    <w:rsid w:val="00776928"/>
    <w:rsid w:val="007843C1"/>
    <w:rsid w:val="00785677"/>
    <w:rsid w:val="00786F16"/>
    <w:rsid w:val="007916DA"/>
    <w:rsid w:val="00796E20"/>
    <w:rsid w:val="00797C32"/>
    <w:rsid w:val="007B0914"/>
    <w:rsid w:val="007B1374"/>
    <w:rsid w:val="007B292B"/>
    <w:rsid w:val="007B3DB2"/>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4DF0"/>
    <w:rsid w:val="0080587B"/>
    <w:rsid w:val="00806468"/>
    <w:rsid w:val="00812453"/>
    <w:rsid w:val="008155F0"/>
    <w:rsid w:val="00816735"/>
    <w:rsid w:val="00820141"/>
    <w:rsid w:val="00820E0C"/>
    <w:rsid w:val="008237E6"/>
    <w:rsid w:val="008326BA"/>
    <w:rsid w:val="008338A2"/>
    <w:rsid w:val="00835982"/>
    <w:rsid w:val="008370FF"/>
    <w:rsid w:val="00841AA9"/>
    <w:rsid w:val="00845904"/>
    <w:rsid w:val="00845ADF"/>
    <w:rsid w:val="00853EE4"/>
    <w:rsid w:val="00855535"/>
    <w:rsid w:val="00856DD3"/>
    <w:rsid w:val="0086255E"/>
    <w:rsid w:val="008633F0"/>
    <w:rsid w:val="00867D9D"/>
    <w:rsid w:val="00871222"/>
    <w:rsid w:val="00872E0A"/>
    <w:rsid w:val="00872ED2"/>
    <w:rsid w:val="00873DA1"/>
    <w:rsid w:val="00875285"/>
    <w:rsid w:val="0087683C"/>
    <w:rsid w:val="00881993"/>
    <w:rsid w:val="00882EB2"/>
    <w:rsid w:val="008839B7"/>
    <w:rsid w:val="00884B62"/>
    <w:rsid w:val="0088529C"/>
    <w:rsid w:val="00885EFF"/>
    <w:rsid w:val="00887502"/>
    <w:rsid w:val="00887903"/>
    <w:rsid w:val="0089270A"/>
    <w:rsid w:val="00893AF6"/>
    <w:rsid w:val="00894BC4"/>
    <w:rsid w:val="00895643"/>
    <w:rsid w:val="008A5B32"/>
    <w:rsid w:val="008A6D8D"/>
    <w:rsid w:val="008A6F20"/>
    <w:rsid w:val="008B158F"/>
    <w:rsid w:val="008B2EE4"/>
    <w:rsid w:val="008B4D3D"/>
    <w:rsid w:val="008B57C7"/>
    <w:rsid w:val="008C2F92"/>
    <w:rsid w:val="008D062E"/>
    <w:rsid w:val="008D2846"/>
    <w:rsid w:val="008D4236"/>
    <w:rsid w:val="008D462F"/>
    <w:rsid w:val="008D6DCF"/>
    <w:rsid w:val="008E27D4"/>
    <w:rsid w:val="008E32A7"/>
    <w:rsid w:val="008E4376"/>
    <w:rsid w:val="008E7A0A"/>
    <w:rsid w:val="008F0C66"/>
    <w:rsid w:val="00900719"/>
    <w:rsid w:val="009017AC"/>
    <w:rsid w:val="00902F40"/>
    <w:rsid w:val="00904A1C"/>
    <w:rsid w:val="00905030"/>
    <w:rsid w:val="009056B3"/>
    <w:rsid w:val="00906490"/>
    <w:rsid w:val="009111B2"/>
    <w:rsid w:val="00924AE1"/>
    <w:rsid w:val="009269B1"/>
    <w:rsid w:val="0092724D"/>
    <w:rsid w:val="0093521F"/>
    <w:rsid w:val="00937BD9"/>
    <w:rsid w:val="00950E2C"/>
    <w:rsid w:val="00951D50"/>
    <w:rsid w:val="009525EB"/>
    <w:rsid w:val="00954874"/>
    <w:rsid w:val="00961400"/>
    <w:rsid w:val="00963646"/>
    <w:rsid w:val="009715AD"/>
    <w:rsid w:val="009750C1"/>
    <w:rsid w:val="009853E1"/>
    <w:rsid w:val="00986E6B"/>
    <w:rsid w:val="00991769"/>
    <w:rsid w:val="00994386"/>
    <w:rsid w:val="009A13D8"/>
    <w:rsid w:val="009A279E"/>
    <w:rsid w:val="009B0A6F"/>
    <w:rsid w:val="009B0A94"/>
    <w:rsid w:val="009B59E9"/>
    <w:rsid w:val="009B70AA"/>
    <w:rsid w:val="009C7A7E"/>
    <w:rsid w:val="009D02E8"/>
    <w:rsid w:val="009D251B"/>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602E"/>
    <w:rsid w:val="00A11421"/>
    <w:rsid w:val="00A11FC5"/>
    <w:rsid w:val="00A157B1"/>
    <w:rsid w:val="00A20D71"/>
    <w:rsid w:val="00A22229"/>
    <w:rsid w:val="00A317A3"/>
    <w:rsid w:val="00A338F6"/>
    <w:rsid w:val="00A44882"/>
    <w:rsid w:val="00A54715"/>
    <w:rsid w:val="00A6061C"/>
    <w:rsid w:val="00A62D44"/>
    <w:rsid w:val="00A67263"/>
    <w:rsid w:val="00A7161C"/>
    <w:rsid w:val="00A73ED7"/>
    <w:rsid w:val="00A77AA3"/>
    <w:rsid w:val="00A842F2"/>
    <w:rsid w:val="00A854EB"/>
    <w:rsid w:val="00A872E5"/>
    <w:rsid w:val="00A91406"/>
    <w:rsid w:val="00A95E6C"/>
    <w:rsid w:val="00A96E65"/>
    <w:rsid w:val="00A97C72"/>
    <w:rsid w:val="00AA0F86"/>
    <w:rsid w:val="00AA3CA8"/>
    <w:rsid w:val="00AA63D4"/>
    <w:rsid w:val="00AA760D"/>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1D67"/>
    <w:rsid w:val="00B06571"/>
    <w:rsid w:val="00B068BA"/>
    <w:rsid w:val="00B13851"/>
    <w:rsid w:val="00B13B1C"/>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76A9D"/>
    <w:rsid w:val="00B8690F"/>
    <w:rsid w:val="00B87562"/>
    <w:rsid w:val="00B90729"/>
    <w:rsid w:val="00B907DA"/>
    <w:rsid w:val="00B950BC"/>
    <w:rsid w:val="00B9714C"/>
    <w:rsid w:val="00BA178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5056"/>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201E8"/>
    <w:rsid w:val="00D3185C"/>
    <w:rsid w:val="00D33E72"/>
    <w:rsid w:val="00D35BD6"/>
    <w:rsid w:val="00D361B5"/>
    <w:rsid w:val="00D411A2"/>
    <w:rsid w:val="00D41529"/>
    <w:rsid w:val="00D4606D"/>
    <w:rsid w:val="00D50B9C"/>
    <w:rsid w:val="00D52D73"/>
    <w:rsid w:val="00D52E58"/>
    <w:rsid w:val="00D579C8"/>
    <w:rsid w:val="00D66498"/>
    <w:rsid w:val="00D714CC"/>
    <w:rsid w:val="00D75EA7"/>
    <w:rsid w:val="00D81F21"/>
    <w:rsid w:val="00D85AC1"/>
    <w:rsid w:val="00D86AEE"/>
    <w:rsid w:val="00D95470"/>
    <w:rsid w:val="00DA2619"/>
    <w:rsid w:val="00DA4239"/>
    <w:rsid w:val="00DB0B61"/>
    <w:rsid w:val="00DC090B"/>
    <w:rsid w:val="00DC1679"/>
    <w:rsid w:val="00DC2CF1"/>
    <w:rsid w:val="00DC4FCF"/>
    <w:rsid w:val="00DC50E0"/>
    <w:rsid w:val="00DC6386"/>
    <w:rsid w:val="00DC6A37"/>
    <w:rsid w:val="00DD10AD"/>
    <w:rsid w:val="00DD1130"/>
    <w:rsid w:val="00DD1951"/>
    <w:rsid w:val="00DD6628"/>
    <w:rsid w:val="00DE1262"/>
    <w:rsid w:val="00DE3250"/>
    <w:rsid w:val="00DE4E5C"/>
    <w:rsid w:val="00DE6028"/>
    <w:rsid w:val="00DE78A3"/>
    <w:rsid w:val="00DF1A71"/>
    <w:rsid w:val="00DF68C7"/>
    <w:rsid w:val="00DF6BAF"/>
    <w:rsid w:val="00DF731A"/>
    <w:rsid w:val="00E05E8D"/>
    <w:rsid w:val="00E1269A"/>
    <w:rsid w:val="00E170DC"/>
    <w:rsid w:val="00E26818"/>
    <w:rsid w:val="00E27FFC"/>
    <w:rsid w:val="00E30B15"/>
    <w:rsid w:val="00E327EB"/>
    <w:rsid w:val="00E40181"/>
    <w:rsid w:val="00E53D0C"/>
    <w:rsid w:val="00E56A01"/>
    <w:rsid w:val="00E629A1"/>
    <w:rsid w:val="00E64032"/>
    <w:rsid w:val="00E70C82"/>
    <w:rsid w:val="00E71591"/>
    <w:rsid w:val="00E74D0B"/>
    <w:rsid w:val="00E82C55"/>
    <w:rsid w:val="00E92AC3"/>
    <w:rsid w:val="00EB00E0"/>
    <w:rsid w:val="00EB442C"/>
    <w:rsid w:val="00EB692A"/>
    <w:rsid w:val="00EC059F"/>
    <w:rsid w:val="00EC1F24"/>
    <w:rsid w:val="00EC22F6"/>
    <w:rsid w:val="00EC27BC"/>
    <w:rsid w:val="00EC4117"/>
    <w:rsid w:val="00ED5B9B"/>
    <w:rsid w:val="00ED6BAD"/>
    <w:rsid w:val="00ED7447"/>
    <w:rsid w:val="00EE1488"/>
    <w:rsid w:val="00EE4D5D"/>
    <w:rsid w:val="00EE5131"/>
    <w:rsid w:val="00EE63F7"/>
    <w:rsid w:val="00EF109B"/>
    <w:rsid w:val="00EF36AF"/>
    <w:rsid w:val="00F00F9C"/>
    <w:rsid w:val="00F01E5F"/>
    <w:rsid w:val="00F02ABA"/>
    <w:rsid w:val="00F0437A"/>
    <w:rsid w:val="00F0783C"/>
    <w:rsid w:val="00F11037"/>
    <w:rsid w:val="00F16F1B"/>
    <w:rsid w:val="00F23136"/>
    <w:rsid w:val="00F250A9"/>
    <w:rsid w:val="00F30FF4"/>
    <w:rsid w:val="00F3122E"/>
    <w:rsid w:val="00F331AD"/>
    <w:rsid w:val="00F35287"/>
    <w:rsid w:val="00F3620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2A2E"/>
    <w:rsid w:val="00F938BA"/>
    <w:rsid w:val="00FA2C46"/>
    <w:rsid w:val="00FA3525"/>
    <w:rsid w:val="00FB4CDA"/>
    <w:rsid w:val="00FC0F81"/>
    <w:rsid w:val="00FC395C"/>
    <w:rsid w:val="00FC4028"/>
    <w:rsid w:val="00FD3766"/>
    <w:rsid w:val="00FD47C4"/>
    <w:rsid w:val="00FE2DCF"/>
    <w:rsid w:val="00FE3F1C"/>
    <w:rsid w:val="00FF2FCE"/>
    <w:rsid w:val="00FF4F7D"/>
    <w:rsid w:val="00FF69F5"/>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C1239E8"/>
  <w15:docId w15:val="{4A023CF6-1041-4460-9192-7705FA1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F4A73"/>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F4A73"/>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F4A73"/>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F4A73"/>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styleId="PlaceholderText">
    <w:name w:val="Placeholder Text"/>
    <w:uiPriority w:val="99"/>
    <w:semiHidden/>
    <w:rsid w:val="006C2FF0"/>
    <w:rPr>
      <w:rFonts w:cs="Times New Roman"/>
      <w:color w:val="808080"/>
    </w:rPr>
  </w:style>
  <w:style w:type="numbering" w:customStyle="1" w:styleId="Bullets">
    <w:name w:val="Bullets"/>
    <w:rsid w:val="00441C20"/>
    <w:pPr>
      <w:numPr>
        <w:numId w:val="18"/>
      </w:numPr>
    </w:pPr>
  </w:style>
  <w:style w:type="character" w:styleId="CommentReference">
    <w:name w:val="annotation reference"/>
    <w:basedOn w:val="DefaultParagraphFont"/>
    <w:uiPriority w:val="99"/>
    <w:semiHidden/>
    <w:unhideWhenUsed/>
    <w:rsid w:val="00EB692A"/>
    <w:rPr>
      <w:sz w:val="16"/>
      <w:szCs w:val="16"/>
    </w:rPr>
  </w:style>
  <w:style w:type="paragraph" w:styleId="CommentText">
    <w:name w:val="annotation text"/>
    <w:basedOn w:val="Normal"/>
    <w:link w:val="CommentTextChar"/>
    <w:uiPriority w:val="99"/>
    <w:semiHidden/>
    <w:unhideWhenUsed/>
    <w:rsid w:val="00EB692A"/>
    <w:pPr>
      <w:spacing w:line="240" w:lineRule="auto"/>
    </w:pPr>
  </w:style>
  <w:style w:type="character" w:customStyle="1" w:styleId="CommentTextChar">
    <w:name w:val="Comment Text Char"/>
    <w:basedOn w:val="DefaultParagraphFont"/>
    <w:link w:val="CommentText"/>
    <w:uiPriority w:val="99"/>
    <w:semiHidden/>
    <w:rsid w:val="00EB692A"/>
    <w:rPr>
      <w:rFonts w:ascii="Arial" w:hAnsi="Arial"/>
    </w:rPr>
  </w:style>
  <w:style w:type="paragraph" w:styleId="CommentSubject">
    <w:name w:val="annotation subject"/>
    <w:basedOn w:val="CommentText"/>
    <w:next w:val="CommentText"/>
    <w:link w:val="CommentSubjectChar"/>
    <w:uiPriority w:val="99"/>
    <w:semiHidden/>
    <w:unhideWhenUsed/>
    <w:rsid w:val="00EB692A"/>
    <w:rPr>
      <w:b/>
      <w:bCs/>
    </w:rPr>
  </w:style>
  <w:style w:type="character" w:customStyle="1" w:styleId="CommentSubjectChar">
    <w:name w:val="Comment Subject Char"/>
    <w:basedOn w:val="CommentTextChar"/>
    <w:link w:val="CommentSubject"/>
    <w:uiPriority w:val="99"/>
    <w:semiHidden/>
    <w:rsid w:val="00EB692A"/>
    <w:rPr>
      <w:rFonts w:ascii="Arial" w:hAnsi="Arial"/>
      <w:b/>
      <w:bCs/>
    </w:rPr>
  </w:style>
  <w:style w:type="paragraph" w:customStyle="1" w:styleId="Default">
    <w:name w:val="Default"/>
    <w:rsid w:val="007B3DB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F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96193">
      <w:bodyDiv w:val="1"/>
      <w:marLeft w:val="0"/>
      <w:marRight w:val="0"/>
      <w:marTop w:val="0"/>
      <w:marBottom w:val="0"/>
      <w:divBdr>
        <w:top w:val="none" w:sz="0" w:space="0" w:color="auto"/>
        <w:left w:val="none" w:sz="0" w:space="0" w:color="auto"/>
        <w:bottom w:val="none" w:sz="0" w:space="0" w:color="auto"/>
        <w:right w:val="none" w:sz="0" w:space="0" w:color="auto"/>
      </w:divBdr>
    </w:div>
    <w:div w:id="7774082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1273889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hhs.vic.gov.au/sites/default/files/documents/201705/code-of-practice-domestic-violence-vic-2006.pdf" TargetMode="External"/><Relationship Id="rId18" Type="http://schemas.openxmlformats.org/officeDocument/2006/relationships/hyperlink" Target="mailto:sapolicy@dhhs.vic.gov.au" TargetMode="External"/><Relationship Id="rId3" Type="http://schemas.openxmlformats.org/officeDocument/2006/relationships/styles" Target="styles.xml"/><Relationship Id="rId21" Type="http://schemas.openxmlformats.org/officeDocument/2006/relationships/hyperlink" Target="http://providers.dhhs.vic.gov.au/health-human-services-activity-search" TargetMode="External"/><Relationship Id="rId7" Type="http://schemas.openxmlformats.org/officeDocument/2006/relationships/endnotes" Target="endnotes.xml"/><Relationship Id="rId12" Type="http://schemas.openxmlformats.org/officeDocument/2006/relationships/hyperlink" Target="https://www.vic.gov.au/family-violence-information-sharing-scheme" TargetMode="External"/><Relationship Id="rId17" Type="http://schemas.openxmlformats.org/officeDocument/2006/relationships/hyperlink" Target="https://providers.dhhs.vic.gov.au/family-violence-after-hours-crisis-responses-operational-guidelines-word" TargetMode="External"/><Relationship Id="rId2" Type="http://schemas.openxmlformats.org/officeDocument/2006/relationships/numbering" Target="numbering.xml"/><Relationship Id="rId16" Type="http://schemas.openxmlformats.org/officeDocument/2006/relationships/hyperlink" Target="https://providers.dhhs.vic.gov.au/family-violence-after-hours-crisis-responses-operational-guidelines-word" TargetMode="External"/><Relationship Id="rId20"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umanrightscommission.vic.gov.au/home/our-resources-and-publications/eoa-practice-guidelines/item/1577-guideline-family-violence-services-and-accommodation-complying-with-the-equal-opportunity-act-201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family-violence-referral-protocol-between-dhhs-family-safety-victoria-and-department-justice-an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2AAD-8F87-494B-BCC6-55ADDBC5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9</TotalTime>
  <Pages>5</Pages>
  <Words>1439</Words>
  <Characters>10311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Activity description human services Client support family violence-HA 94875</vt:lpstr>
    </vt:vector>
  </TitlesOfParts>
  <Company>Department of Health and Human Services</Company>
  <LinksUpToDate>false</LinksUpToDate>
  <CharactersWithSpaces>11727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Client support family violence-HA 94875</dc:title>
  <dc:subject>service agreement activity descriptions</dc:subject>
  <dc:creator>Service Agreement Policy unit</dc:creator>
  <cp:keywords>service agreement;Activity description ;human services; Housing assistance; Client support family violence-HA; 94875</cp:keywords>
  <cp:lastModifiedBy>Louise Crowther (DHHS)</cp:lastModifiedBy>
  <cp:revision>5</cp:revision>
  <cp:lastPrinted>2019-01-24T02:30:00Z</cp:lastPrinted>
  <dcterms:created xsi:type="dcterms:W3CDTF">2019-06-05T02:48:00Z</dcterms:created>
  <dcterms:modified xsi:type="dcterms:W3CDTF">2019-06-18T02:41:00Z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