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B5651D" w14:textId="77777777" w:rsidR="00002990" w:rsidRPr="003072C6" w:rsidRDefault="00606C23" w:rsidP="00A55989">
      <w:pPr>
        <w:pStyle w:val="DHHSbodynospace"/>
      </w:pPr>
      <w:r>
        <w:rPr>
          <w:noProof/>
        </w:rPr>
        <w:drawing>
          <wp:anchor distT="0" distB="0" distL="114300" distR="114300" simplePos="0" relativeHeight="251657728" behindDoc="1" locked="1" layoutInCell="0" allowOverlap="1" wp14:anchorId="2626C3B3" wp14:editId="4C2ACFA3">
            <wp:simplePos x="0" y="0"/>
            <wp:positionH relativeFrom="page">
              <wp:posOffset>0</wp:posOffset>
            </wp:positionH>
            <wp:positionV relativeFrom="page">
              <wp:posOffset>0</wp:posOffset>
            </wp:positionV>
            <wp:extent cx="7563600" cy="10699200"/>
            <wp:effectExtent l="0" t="0" r="0" b="6985"/>
            <wp:wrapNone/>
            <wp:docPr id="2" name="Picture 99" descr="Victoria State Government Department of Health and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Victoria State Government Department of Health and Human Services"/>
                    <pic:cNvPicPr>
                      <a:picLocks noChangeAspect="1" noChangeArrowheads="1"/>
                    </pic:cNvPicPr>
                  </pic:nvPicPr>
                  <pic:blipFill>
                    <a:blip r:embed="rId8"/>
                    <a:stretch>
                      <a:fillRect/>
                    </a:stretch>
                  </pic:blipFill>
                  <pic:spPr bwMode="auto">
                    <a:xfrm>
                      <a:off x="0" y="0"/>
                      <a:ext cx="7563600" cy="106992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7938" w:type="dxa"/>
        <w:tblInd w:w="113" w:type="dxa"/>
        <w:tblCellMar>
          <w:left w:w="0" w:type="dxa"/>
          <w:right w:w="0" w:type="dxa"/>
        </w:tblCellMar>
        <w:tblLook w:val="0600" w:firstRow="0" w:lastRow="0" w:firstColumn="0" w:lastColumn="0" w:noHBand="1" w:noVBand="1"/>
      </w:tblPr>
      <w:tblGrid>
        <w:gridCol w:w="7938"/>
      </w:tblGrid>
      <w:tr w:rsidR="001817CD" w:rsidRPr="003072C6" w14:paraId="3204911E" w14:textId="77777777" w:rsidTr="005C4A1C">
        <w:trPr>
          <w:trHeight w:val="3988"/>
        </w:trPr>
        <w:tc>
          <w:tcPr>
            <w:tcW w:w="7938" w:type="dxa"/>
            <w:shd w:val="clear" w:color="auto" w:fill="auto"/>
          </w:tcPr>
          <w:p w14:paraId="38A40E41" w14:textId="77777777" w:rsidR="00C416E1" w:rsidRDefault="000023EC" w:rsidP="00E91933">
            <w:pPr>
              <w:pStyle w:val="DHHSreportmaintitlewhite"/>
            </w:pPr>
            <w:r>
              <w:t>Client incident management system</w:t>
            </w:r>
          </w:p>
          <w:p w14:paraId="3B1ECD3E" w14:textId="77777777" w:rsidR="000023EC" w:rsidRPr="003072C6" w:rsidRDefault="000023EC" w:rsidP="00E91933">
            <w:pPr>
              <w:pStyle w:val="DHHSreportmaintitlewhite"/>
            </w:pPr>
            <w:r>
              <w:t>Policy update 1-2020</w:t>
            </w:r>
          </w:p>
          <w:p w14:paraId="1E8289F6" w14:textId="77777777" w:rsidR="00444D82" w:rsidRPr="003072C6" w:rsidRDefault="000023EC" w:rsidP="00E91933">
            <w:pPr>
              <w:pStyle w:val="DHHSreportsubtitlewhite"/>
            </w:pPr>
            <w:r w:rsidRPr="000023EC">
              <w:t xml:space="preserve">Incident reporting timelines, automatic determination of follow-up actions, submitting case review reports, </w:t>
            </w:r>
            <w:r w:rsidR="0013572F">
              <w:t xml:space="preserve">and </w:t>
            </w:r>
            <w:r w:rsidRPr="000023EC">
              <w:t>terminology</w:t>
            </w:r>
            <w:r w:rsidR="00BB437F">
              <w:t xml:space="preserve"> </w:t>
            </w:r>
            <w:r w:rsidR="0013572F">
              <w:t>changes</w:t>
            </w:r>
          </w:p>
        </w:tc>
      </w:tr>
      <w:tr w:rsidR="001817CD" w:rsidRPr="003072C6" w14:paraId="358FA133" w14:textId="77777777" w:rsidTr="005C4A1C">
        <w:trPr>
          <w:trHeight w:val="4664"/>
        </w:trPr>
        <w:tc>
          <w:tcPr>
            <w:tcW w:w="10252" w:type="dxa"/>
            <w:shd w:val="clear" w:color="auto" w:fill="auto"/>
          </w:tcPr>
          <w:p w14:paraId="70CB2FD9" w14:textId="458AEF8C" w:rsidR="009D4EF3" w:rsidRDefault="00C82DBD" w:rsidP="00BC01C1">
            <w:pPr>
              <w:pStyle w:val="Coverinstructions"/>
              <w:spacing w:before="800"/>
            </w:pPr>
            <w:r>
              <w:t>20</w:t>
            </w:r>
            <w:r w:rsidR="009D4EF3">
              <w:t xml:space="preserve"> </w:t>
            </w:r>
            <w:r w:rsidR="00D946B9">
              <w:t>December</w:t>
            </w:r>
            <w:r w:rsidR="009D4EF3">
              <w:t xml:space="preserve"> 20</w:t>
            </w:r>
            <w:r w:rsidR="001D7E55">
              <w:t>19</w:t>
            </w:r>
          </w:p>
          <w:p w14:paraId="672A6659" w14:textId="77777777" w:rsidR="00502B8F" w:rsidRPr="003072C6" w:rsidRDefault="00502B8F" w:rsidP="00502B8F">
            <w:pPr>
              <w:pStyle w:val="Coverinstructions"/>
            </w:pPr>
          </w:p>
        </w:tc>
      </w:tr>
    </w:tbl>
    <w:p w14:paraId="0A37501D" w14:textId="77777777" w:rsidR="0069374A" w:rsidRPr="00256E7C" w:rsidRDefault="0069374A" w:rsidP="00256E7C">
      <w:pPr>
        <w:pStyle w:val="DHHSbody"/>
      </w:pPr>
    </w:p>
    <w:p w14:paraId="5DAB6C7B" w14:textId="77777777" w:rsidR="00C51B1C" w:rsidRPr="00256E7C" w:rsidRDefault="00C51B1C" w:rsidP="00256E7C">
      <w:pPr>
        <w:pStyle w:val="DHHSbody"/>
        <w:sectPr w:rsidR="00C51B1C" w:rsidRPr="00256E7C" w:rsidSect="00A55989">
          <w:headerReference w:type="even" r:id="rId9"/>
          <w:headerReference w:type="default" r:id="rId10"/>
          <w:footerReference w:type="even" r:id="rId11"/>
          <w:footerReference w:type="default" r:id="rId12"/>
          <w:headerReference w:type="first" r:id="rId13"/>
          <w:footerReference w:type="first" r:id="rId14"/>
          <w:type w:val="oddPage"/>
          <w:pgSz w:w="11906" w:h="16838"/>
          <w:pgMar w:top="3969" w:right="1304" w:bottom="1134" w:left="1304" w:header="454" w:footer="567" w:gutter="0"/>
          <w:cols w:space="720"/>
          <w:docGrid w:linePitch="360"/>
        </w:sectPr>
      </w:pPr>
    </w:p>
    <w:p w14:paraId="02EB378F" w14:textId="77777777" w:rsidR="00AC0C3B" w:rsidRPr="003072C6" w:rsidRDefault="00AC0C3B" w:rsidP="00CA6D4E">
      <w:pPr>
        <w:pStyle w:val="DHHSbodynospace"/>
      </w:pPr>
    </w:p>
    <w:tbl>
      <w:tblPr>
        <w:tblW w:w="0" w:type="auto"/>
        <w:tblCellMar>
          <w:top w:w="113" w:type="dxa"/>
          <w:left w:w="0" w:type="dxa"/>
          <w:bottom w:w="57" w:type="dxa"/>
          <w:right w:w="0" w:type="dxa"/>
        </w:tblCellMar>
        <w:tblLook w:val="0600" w:firstRow="0" w:lastRow="0" w:firstColumn="0" w:lastColumn="0" w:noHBand="1" w:noVBand="1"/>
      </w:tblPr>
      <w:tblGrid>
        <w:gridCol w:w="9298"/>
      </w:tblGrid>
      <w:tr w:rsidR="00564E8F" w:rsidRPr="003072C6" w14:paraId="08DCA84F" w14:textId="77777777" w:rsidTr="00DE7B07">
        <w:trPr>
          <w:trHeight w:val="4313"/>
        </w:trPr>
        <w:tc>
          <w:tcPr>
            <w:tcW w:w="9401" w:type="dxa"/>
          </w:tcPr>
          <w:p w14:paraId="4CD49968" w14:textId="77777777" w:rsidR="00564E8F" w:rsidRDefault="00564E8F" w:rsidP="00031263">
            <w:pPr>
              <w:pStyle w:val="DHHSbody"/>
              <w:rPr>
                <w:color w:val="D50032"/>
                <w:sz w:val="26"/>
                <w:szCs w:val="26"/>
              </w:rPr>
            </w:pPr>
            <w:bookmarkStart w:id="0" w:name="_GoBack"/>
          </w:p>
          <w:p w14:paraId="1B725DD5" w14:textId="77777777" w:rsidR="00654F70" w:rsidRDefault="00654F70" w:rsidP="00031263">
            <w:pPr>
              <w:pStyle w:val="DHHSbody"/>
              <w:rPr>
                <w:color w:val="D50032"/>
                <w:sz w:val="26"/>
                <w:szCs w:val="26"/>
              </w:rPr>
            </w:pPr>
          </w:p>
          <w:p w14:paraId="7BF9E3CF" w14:textId="77777777" w:rsidR="00654F70" w:rsidRDefault="00654F70" w:rsidP="00031263">
            <w:pPr>
              <w:pStyle w:val="DHHSbody"/>
              <w:rPr>
                <w:color w:val="D50032"/>
                <w:sz w:val="26"/>
                <w:szCs w:val="26"/>
              </w:rPr>
            </w:pPr>
          </w:p>
          <w:p w14:paraId="32381D76" w14:textId="77777777" w:rsidR="00654F70" w:rsidRDefault="00654F70" w:rsidP="00031263">
            <w:pPr>
              <w:pStyle w:val="DHHSbody"/>
              <w:rPr>
                <w:color w:val="D50032"/>
                <w:sz w:val="26"/>
                <w:szCs w:val="26"/>
              </w:rPr>
            </w:pPr>
          </w:p>
          <w:p w14:paraId="65B548F4" w14:textId="3CA572F6" w:rsidR="00654F70" w:rsidRPr="00551789" w:rsidRDefault="00654F70" w:rsidP="00031263">
            <w:pPr>
              <w:pStyle w:val="DHHSbody"/>
              <w:rPr>
                <w:color w:val="D50032"/>
                <w:sz w:val="26"/>
                <w:szCs w:val="26"/>
              </w:rPr>
            </w:pPr>
          </w:p>
        </w:tc>
      </w:tr>
      <w:bookmarkEnd w:id="0"/>
      <w:tr w:rsidR="00564E8F" w:rsidRPr="003072C6" w14:paraId="72341024" w14:textId="77777777" w:rsidTr="00DE7B07">
        <w:trPr>
          <w:trHeight w:val="5387"/>
        </w:trPr>
        <w:tc>
          <w:tcPr>
            <w:tcW w:w="9401" w:type="dxa"/>
            <w:vAlign w:val="bottom"/>
          </w:tcPr>
          <w:p w14:paraId="0C16430D" w14:textId="2D1C1313" w:rsidR="00E16D21" w:rsidRDefault="00E16D21" w:rsidP="008D64F1">
            <w:pPr>
              <w:pStyle w:val="DHHSaccessibilitypara"/>
            </w:pPr>
          </w:p>
          <w:p w14:paraId="29148789" w14:textId="13A05F20" w:rsidR="00475A78" w:rsidRDefault="00475A78" w:rsidP="008D64F1">
            <w:pPr>
              <w:pStyle w:val="DHHSaccessibilitypara"/>
            </w:pPr>
          </w:p>
          <w:p w14:paraId="0A6E05A0" w14:textId="39DA8B0A" w:rsidR="00475A78" w:rsidRDefault="00475A78" w:rsidP="008D64F1">
            <w:pPr>
              <w:pStyle w:val="DHHSaccessibilitypara"/>
            </w:pPr>
          </w:p>
          <w:p w14:paraId="1014D627" w14:textId="0A684FA4" w:rsidR="00475A78" w:rsidRDefault="00475A78" w:rsidP="008D64F1">
            <w:pPr>
              <w:pStyle w:val="DHHSaccessibilitypara"/>
            </w:pPr>
          </w:p>
          <w:p w14:paraId="5EC40644" w14:textId="213147AE" w:rsidR="00475A78" w:rsidRDefault="00475A78" w:rsidP="008D64F1">
            <w:pPr>
              <w:pStyle w:val="DHHSaccessibilitypara"/>
            </w:pPr>
          </w:p>
          <w:p w14:paraId="7A97A40A" w14:textId="267D1EED" w:rsidR="00475A78" w:rsidRDefault="00475A78" w:rsidP="008D64F1">
            <w:pPr>
              <w:pStyle w:val="DHHSaccessibilitypara"/>
            </w:pPr>
          </w:p>
          <w:p w14:paraId="2918375A" w14:textId="77777777" w:rsidR="00475A78" w:rsidRDefault="00475A78" w:rsidP="008D64F1">
            <w:pPr>
              <w:pStyle w:val="DHHSaccessibilitypara"/>
            </w:pPr>
          </w:p>
          <w:p w14:paraId="03C618AE" w14:textId="77777777" w:rsidR="00E16D21" w:rsidRDefault="00E16D21" w:rsidP="008D64F1">
            <w:pPr>
              <w:pStyle w:val="DHHSaccessibilitypara"/>
            </w:pPr>
          </w:p>
          <w:p w14:paraId="42B17681" w14:textId="77777777" w:rsidR="00475A78" w:rsidRDefault="00475A78" w:rsidP="008D64F1">
            <w:pPr>
              <w:pStyle w:val="DHHSaccessibilitypara"/>
            </w:pPr>
          </w:p>
          <w:p w14:paraId="73545000" w14:textId="00FB45CD" w:rsidR="009D4AA8" w:rsidRDefault="009D4AA8" w:rsidP="008D64F1">
            <w:pPr>
              <w:pStyle w:val="DHHSaccessibilitypara"/>
            </w:pPr>
            <w:r>
              <w:t xml:space="preserve">To receive this publication in an accessible format </w:t>
            </w:r>
            <w:hyperlink r:id="rId15" w:history="1">
              <w:r w:rsidR="008D64F1">
                <w:rPr>
                  <w:rStyle w:val="Hyperlink"/>
                </w:rPr>
                <w:t>email the client incident management system team</w:t>
              </w:r>
            </w:hyperlink>
            <w:r w:rsidR="008D64F1">
              <w:t xml:space="preserve"> &lt;CIMS@dhhs.vic.gov.au&gt;.</w:t>
            </w:r>
          </w:p>
          <w:p w14:paraId="08336AE8" w14:textId="77777777" w:rsidR="00551789" w:rsidRPr="00C31117" w:rsidRDefault="00551789" w:rsidP="00551789">
            <w:pPr>
              <w:pStyle w:val="DHHSbody"/>
            </w:pPr>
            <w:r w:rsidRPr="00C31117">
              <w:t>Authorised and published by the Victorian Government, 1 Treasury Place, Melbourne.</w:t>
            </w:r>
          </w:p>
          <w:p w14:paraId="193158E6" w14:textId="7C8254D8" w:rsidR="00551789" w:rsidRDefault="00551789" w:rsidP="00551789">
            <w:pPr>
              <w:pStyle w:val="DHHSbody"/>
            </w:pPr>
            <w:r w:rsidRPr="00C31117">
              <w:t xml:space="preserve">© State of Victoria, Australia, Department of Health and Human </w:t>
            </w:r>
            <w:r w:rsidRPr="00302C89">
              <w:t xml:space="preserve">Services </w:t>
            </w:r>
            <w:r w:rsidR="000C3D12" w:rsidRPr="00302C89">
              <w:t>December</w:t>
            </w:r>
            <w:r w:rsidR="00115A95" w:rsidRPr="00302C89">
              <w:t xml:space="preserve"> 20</w:t>
            </w:r>
            <w:r w:rsidR="008D64F1" w:rsidRPr="00302C89">
              <w:t>19</w:t>
            </w:r>
            <w:r w:rsidRPr="00302C89">
              <w:t>.</w:t>
            </w:r>
          </w:p>
          <w:p w14:paraId="2EFDE9F1" w14:textId="169A3C4E" w:rsidR="00C53F20" w:rsidRDefault="00C53F20" w:rsidP="00551789">
            <w:pPr>
              <w:pStyle w:val="DHHSbody"/>
            </w:pPr>
            <w:r w:rsidRPr="00C53F20">
              <w:t>Except where otherwise indicated, the images in this publication show models and illustrative settings only, and do not necessarily depict actual services, facilities or recipients of services.</w:t>
            </w:r>
          </w:p>
          <w:p w14:paraId="02D6D379" w14:textId="067B7518" w:rsidR="008D64F1" w:rsidRDefault="008D64F1" w:rsidP="00551789">
            <w:pPr>
              <w:pStyle w:val="DHHSbody"/>
              <w:rPr>
                <w:szCs w:val="19"/>
              </w:rPr>
            </w:pPr>
            <w:r w:rsidRPr="00254F58">
              <w:rPr>
                <w:szCs w:val="19"/>
              </w:rPr>
              <w:t xml:space="preserve">Available at </w:t>
            </w:r>
            <w:hyperlink r:id="rId16" w:history="1">
              <w:r w:rsidRPr="00DD5F5D">
                <w:rPr>
                  <w:rStyle w:val="Hyperlink"/>
                </w:rPr>
                <w:t>client incident management system</w:t>
              </w:r>
            </w:hyperlink>
            <w:r w:rsidRPr="00DD5F5D">
              <w:rPr>
                <w:color w:val="000000" w:themeColor="text1"/>
              </w:rPr>
              <w:t xml:space="preserve"> &lt;https://providers.dhhs.vic.gov.au/cims&gt;</w:t>
            </w:r>
          </w:p>
          <w:p w14:paraId="6A05A809" w14:textId="77777777" w:rsidR="00564E8F" w:rsidRPr="003072C6" w:rsidRDefault="00564E8F" w:rsidP="00846EA9">
            <w:pPr>
              <w:pStyle w:val="DHHSbody"/>
            </w:pPr>
          </w:p>
        </w:tc>
      </w:tr>
      <w:tr w:rsidR="009906C7" w:rsidRPr="003072C6" w14:paraId="5A39BBE3" w14:textId="77777777" w:rsidTr="00DE7B07">
        <w:tc>
          <w:tcPr>
            <w:tcW w:w="9401" w:type="dxa"/>
            <w:vAlign w:val="bottom"/>
          </w:tcPr>
          <w:p w14:paraId="41C8F396" w14:textId="77777777" w:rsidR="009906C7" w:rsidRPr="003072C6" w:rsidRDefault="009906C7" w:rsidP="003741AD">
            <w:pPr>
              <w:pStyle w:val="DHHSbodynospace"/>
            </w:pPr>
          </w:p>
        </w:tc>
      </w:tr>
    </w:tbl>
    <w:p w14:paraId="72A3D3EC" w14:textId="77777777" w:rsidR="00ED4D17" w:rsidRPr="003072C6" w:rsidRDefault="00ED4D17" w:rsidP="003072C6">
      <w:pPr>
        <w:pStyle w:val="DHHSbody"/>
      </w:pPr>
    </w:p>
    <w:p w14:paraId="406425CA" w14:textId="77777777" w:rsidR="00AC0C3B" w:rsidRPr="00711B0C" w:rsidRDefault="00AC0C3B" w:rsidP="00711B0C">
      <w:pPr>
        <w:pStyle w:val="DHHSTOCheadingreport"/>
      </w:pPr>
      <w:r w:rsidRPr="00711B0C">
        <w:t>Contents</w:t>
      </w:r>
    </w:p>
    <w:p w14:paraId="447691A9" w14:textId="7A6C97BD" w:rsidR="008A17BD" w:rsidRDefault="00E15DA9">
      <w:pPr>
        <w:pStyle w:val="TOC1"/>
        <w:rPr>
          <w:rFonts w:asciiTheme="minorHAnsi" w:eastAsiaTheme="minorEastAsia" w:hAnsiTheme="minorHAnsi" w:cstheme="minorBidi"/>
          <w:b w:val="0"/>
          <w:sz w:val="22"/>
          <w:szCs w:val="22"/>
          <w:lang w:eastAsia="en-AU"/>
        </w:rPr>
      </w:pPr>
      <w:r w:rsidRPr="003072C6">
        <w:rPr>
          <w:noProof w:val="0"/>
        </w:rPr>
        <w:fldChar w:fldCharType="begin"/>
      </w:r>
      <w:r w:rsidRPr="003072C6">
        <w:rPr>
          <w:noProof w:val="0"/>
        </w:rPr>
        <w:instrText xml:space="preserve"> TOC \h \z \t "Heading 1,1,Heading 2,2" </w:instrText>
      </w:r>
      <w:r w:rsidRPr="003072C6">
        <w:rPr>
          <w:noProof w:val="0"/>
        </w:rPr>
        <w:fldChar w:fldCharType="separate"/>
      </w:r>
      <w:hyperlink w:anchor="_Toc27560413" w:history="1">
        <w:r w:rsidR="008A17BD" w:rsidRPr="007903F4">
          <w:rPr>
            <w:rStyle w:val="Hyperlink"/>
          </w:rPr>
          <w:t>Client incident management system: policy update 1-2020</w:t>
        </w:r>
        <w:r w:rsidR="008A17BD">
          <w:rPr>
            <w:webHidden/>
          </w:rPr>
          <w:tab/>
        </w:r>
        <w:r w:rsidR="008A17BD">
          <w:rPr>
            <w:webHidden/>
          </w:rPr>
          <w:fldChar w:fldCharType="begin"/>
        </w:r>
        <w:r w:rsidR="008A17BD">
          <w:rPr>
            <w:webHidden/>
          </w:rPr>
          <w:instrText xml:space="preserve"> PAGEREF _Toc27560413 \h </w:instrText>
        </w:r>
        <w:r w:rsidR="008A17BD">
          <w:rPr>
            <w:webHidden/>
          </w:rPr>
        </w:r>
        <w:r w:rsidR="008A17BD">
          <w:rPr>
            <w:webHidden/>
          </w:rPr>
          <w:fldChar w:fldCharType="separate"/>
        </w:r>
        <w:r w:rsidR="008A17BD">
          <w:rPr>
            <w:webHidden/>
          </w:rPr>
          <w:t>4</w:t>
        </w:r>
        <w:r w:rsidR="008A17BD">
          <w:rPr>
            <w:webHidden/>
          </w:rPr>
          <w:fldChar w:fldCharType="end"/>
        </w:r>
      </w:hyperlink>
    </w:p>
    <w:p w14:paraId="13BEEB2C" w14:textId="737612C4" w:rsidR="008A17BD" w:rsidRDefault="00DB566B">
      <w:pPr>
        <w:pStyle w:val="TOC2"/>
        <w:rPr>
          <w:rFonts w:asciiTheme="minorHAnsi" w:eastAsiaTheme="minorEastAsia" w:hAnsiTheme="minorHAnsi" w:cstheme="minorBidi"/>
          <w:sz w:val="22"/>
          <w:szCs w:val="22"/>
          <w:lang w:eastAsia="en-AU"/>
        </w:rPr>
      </w:pPr>
      <w:hyperlink w:anchor="_Toc27560414" w:history="1">
        <w:r w:rsidR="008A17BD" w:rsidRPr="007903F4">
          <w:rPr>
            <w:rStyle w:val="Hyperlink"/>
          </w:rPr>
          <w:t>Using and applying this update</w:t>
        </w:r>
        <w:r w:rsidR="008A17BD">
          <w:rPr>
            <w:webHidden/>
          </w:rPr>
          <w:tab/>
        </w:r>
        <w:r w:rsidR="008A17BD">
          <w:rPr>
            <w:webHidden/>
          </w:rPr>
          <w:fldChar w:fldCharType="begin"/>
        </w:r>
        <w:r w:rsidR="008A17BD">
          <w:rPr>
            <w:webHidden/>
          </w:rPr>
          <w:instrText xml:space="preserve"> PAGEREF _Toc27560414 \h </w:instrText>
        </w:r>
        <w:r w:rsidR="008A17BD">
          <w:rPr>
            <w:webHidden/>
          </w:rPr>
        </w:r>
        <w:r w:rsidR="008A17BD">
          <w:rPr>
            <w:webHidden/>
          </w:rPr>
          <w:fldChar w:fldCharType="separate"/>
        </w:r>
        <w:r w:rsidR="008A17BD">
          <w:rPr>
            <w:webHidden/>
          </w:rPr>
          <w:t>4</w:t>
        </w:r>
        <w:r w:rsidR="008A17BD">
          <w:rPr>
            <w:webHidden/>
          </w:rPr>
          <w:fldChar w:fldCharType="end"/>
        </w:r>
      </w:hyperlink>
    </w:p>
    <w:p w14:paraId="1E50A43E" w14:textId="543680F3" w:rsidR="008A17BD" w:rsidRDefault="00DB566B">
      <w:pPr>
        <w:pStyle w:val="TOC2"/>
        <w:rPr>
          <w:rFonts w:asciiTheme="minorHAnsi" w:eastAsiaTheme="minorEastAsia" w:hAnsiTheme="minorHAnsi" w:cstheme="minorBidi"/>
          <w:sz w:val="22"/>
          <w:szCs w:val="22"/>
          <w:lang w:eastAsia="en-AU"/>
        </w:rPr>
      </w:pPr>
      <w:hyperlink w:anchor="_Toc27560415" w:history="1">
        <w:r w:rsidR="008A17BD" w:rsidRPr="007903F4">
          <w:rPr>
            <w:rStyle w:val="Hyperlink"/>
          </w:rPr>
          <w:t>Process and timeframes for submitting incident reports</w:t>
        </w:r>
        <w:r w:rsidR="008A17BD">
          <w:rPr>
            <w:webHidden/>
          </w:rPr>
          <w:tab/>
        </w:r>
        <w:r w:rsidR="008A17BD">
          <w:rPr>
            <w:webHidden/>
          </w:rPr>
          <w:fldChar w:fldCharType="begin"/>
        </w:r>
        <w:r w:rsidR="008A17BD">
          <w:rPr>
            <w:webHidden/>
          </w:rPr>
          <w:instrText xml:space="preserve"> PAGEREF _Toc27560415 \h </w:instrText>
        </w:r>
        <w:r w:rsidR="008A17BD">
          <w:rPr>
            <w:webHidden/>
          </w:rPr>
        </w:r>
        <w:r w:rsidR="008A17BD">
          <w:rPr>
            <w:webHidden/>
          </w:rPr>
          <w:fldChar w:fldCharType="separate"/>
        </w:r>
        <w:r w:rsidR="008A17BD">
          <w:rPr>
            <w:webHidden/>
          </w:rPr>
          <w:t>4</w:t>
        </w:r>
        <w:r w:rsidR="008A17BD">
          <w:rPr>
            <w:webHidden/>
          </w:rPr>
          <w:fldChar w:fldCharType="end"/>
        </w:r>
      </w:hyperlink>
    </w:p>
    <w:p w14:paraId="16B9AD47" w14:textId="2D8349D4" w:rsidR="008A17BD" w:rsidRDefault="00DB566B">
      <w:pPr>
        <w:pStyle w:val="TOC2"/>
        <w:rPr>
          <w:rFonts w:asciiTheme="minorHAnsi" w:eastAsiaTheme="minorEastAsia" w:hAnsiTheme="minorHAnsi" w:cstheme="minorBidi"/>
          <w:sz w:val="22"/>
          <w:szCs w:val="22"/>
          <w:lang w:eastAsia="en-AU"/>
        </w:rPr>
      </w:pPr>
      <w:hyperlink w:anchor="_Toc27560416" w:history="1">
        <w:r w:rsidR="008A17BD" w:rsidRPr="007903F4">
          <w:rPr>
            <w:rStyle w:val="Hyperlink"/>
          </w:rPr>
          <w:t>Determining follow-up actions after a major impact incident</w:t>
        </w:r>
        <w:r w:rsidR="008A17BD">
          <w:rPr>
            <w:webHidden/>
          </w:rPr>
          <w:tab/>
        </w:r>
        <w:r w:rsidR="008A17BD">
          <w:rPr>
            <w:webHidden/>
          </w:rPr>
          <w:fldChar w:fldCharType="begin"/>
        </w:r>
        <w:r w:rsidR="008A17BD">
          <w:rPr>
            <w:webHidden/>
          </w:rPr>
          <w:instrText xml:space="preserve"> PAGEREF _Toc27560416 \h </w:instrText>
        </w:r>
        <w:r w:rsidR="008A17BD">
          <w:rPr>
            <w:webHidden/>
          </w:rPr>
        </w:r>
        <w:r w:rsidR="008A17BD">
          <w:rPr>
            <w:webHidden/>
          </w:rPr>
          <w:fldChar w:fldCharType="separate"/>
        </w:r>
        <w:r w:rsidR="008A17BD">
          <w:rPr>
            <w:webHidden/>
          </w:rPr>
          <w:t>5</w:t>
        </w:r>
        <w:r w:rsidR="008A17BD">
          <w:rPr>
            <w:webHidden/>
          </w:rPr>
          <w:fldChar w:fldCharType="end"/>
        </w:r>
      </w:hyperlink>
    </w:p>
    <w:p w14:paraId="6C392C98" w14:textId="6C83D4A6" w:rsidR="008A17BD" w:rsidRDefault="00DB566B">
      <w:pPr>
        <w:pStyle w:val="TOC2"/>
        <w:rPr>
          <w:rFonts w:asciiTheme="minorHAnsi" w:eastAsiaTheme="minorEastAsia" w:hAnsiTheme="minorHAnsi" w:cstheme="minorBidi"/>
          <w:sz w:val="22"/>
          <w:szCs w:val="22"/>
          <w:lang w:eastAsia="en-AU"/>
        </w:rPr>
      </w:pPr>
      <w:hyperlink w:anchor="_Toc27560417" w:history="1">
        <w:r w:rsidR="008A17BD" w:rsidRPr="007903F4">
          <w:rPr>
            <w:rStyle w:val="Hyperlink"/>
          </w:rPr>
          <w:t>Providing case review reports to the department</w:t>
        </w:r>
        <w:r w:rsidR="008A17BD">
          <w:rPr>
            <w:webHidden/>
          </w:rPr>
          <w:tab/>
        </w:r>
        <w:r w:rsidR="008A17BD">
          <w:rPr>
            <w:webHidden/>
          </w:rPr>
          <w:fldChar w:fldCharType="begin"/>
        </w:r>
        <w:r w:rsidR="008A17BD">
          <w:rPr>
            <w:webHidden/>
          </w:rPr>
          <w:instrText xml:space="preserve"> PAGEREF _Toc27560417 \h </w:instrText>
        </w:r>
        <w:r w:rsidR="008A17BD">
          <w:rPr>
            <w:webHidden/>
          </w:rPr>
        </w:r>
        <w:r w:rsidR="008A17BD">
          <w:rPr>
            <w:webHidden/>
          </w:rPr>
          <w:fldChar w:fldCharType="separate"/>
        </w:r>
        <w:r w:rsidR="008A17BD">
          <w:rPr>
            <w:webHidden/>
          </w:rPr>
          <w:t>7</w:t>
        </w:r>
        <w:r w:rsidR="008A17BD">
          <w:rPr>
            <w:webHidden/>
          </w:rPr>
          <w:fldChar w:fldCharType="end"/>
        </w:r>
      </w:hyperlink>
    </w:p>
    <w:p w14:paraId="6870BF13" w14:textId="6687F3DD" w:rsidR="008A17BD" w:rsidRDefault="00DB566B">
      <w:pPr>
        <w:pStyle w:val="TOC2"/>
        <w:rPr>
          <w:rFonts w:asciiTheme="minorHAnsi" w:eastAsiaTheme="minorEastAsia" w:hAnsiTheme="minorHAnsi" w:cstheme="minorBidi"/>
          <w:sz w:val="22"/>
          <w:szCs w:val="22"/>
          <w:lang w:eastAsia="en-AU"/>
        </w:rPr>
      </w:pPr>
      <w:hyperlink w:anchor="_Toc27560418" w:history="1">
        <w:r w:rsidR="008A17BD" w:rsidRPr="007903F4">
          <w:rPr>
            <w:rStyle w:val="Hyperlink"/>
          </w:rPr>
          <w:t>Replacing ‘alleged perpetrator’ with ‘subject of allegation’</w:t>
        </w:r>
        <w:r w:rsidR="008A17BD">
          <w:rPr>
            <w:webHidden/>
          </w:rPr>
          <w:tab/>
        </w:r>
        <w:r w:rsidR="008A17BD">
          <w:rPr>
            <w:webHidden/>
          </w:rPr>
          <w:fldChar w:fldCharType="begin"/>
        </w:r>
        <w:r w:rsidR="008A17BD">
          <w:rPr>
            <w:webHidden/>
          </w:rPr>
          <w:instrText xml:space="preserve"> PAGEREF _Toc27560418 \h </w:instrText>
        </w:r>
        <w:r w:rsidR="008A17BD">
          <w:rPr>
            <w:webHidden/>
          </w:rPr>
        </w:r>
        <w:r w:rsidR="008A17BD">
          <w:rPr>
            <w:webHidden/>
          </w:rPr>
          <w:fldChar w:fldCharType="separate"/>
        </w:r>
        <w:r w:rsidR="008A17BD">
          <w:rPr>
            <w:webHidden/>
          </w:rPr>
          <w:t>8</w:t>
        </w:r>
        <w:r w:rsidR="008A17BD">
          <w:rPr>
            <w:webHidden/>
          </w:rPr>
          <w:fldChar w:fldCharType="end"/>
        </w:r>
      </w:hyperlink>
    </w:p>
    <w:p w14:paraId="485F1F7B" w14:textId="772EF724" w:rsidR="008A17BD" w:rsidRDefault="00DB566B">
      <w:pPr>
        <w:pStyle w:val="TOC2"/>
        <w:rPr>
          <w:rFonts w:asciiTheme="minorHAnsi" w:eastAsiaTheme="minorEastAsia" w:hAnsiTheme="minorHAnsi" w:cstheme="minorBidi"/>
          <w:sz w:val="22"/>
          <w:szCs w:val="22"/>
          <w:lang w:eastAsia="en-AU"/>
        </w:rPr>
      </w:pPr>
      <w:hyperlink w:anchor="_Toc27560419" w:history="1">
        <w:r w:rsidR="008A17BD" w:rsidRPr="007903F4">
          <w:rPr>
            <w:rStyle w:val="Hyperlink"/>
          </w:rPr>
          <w:t>Summary of reporting requirements</w:t>
        </w:r>
        <w:r w:rsidR="008A17BD">
          <w:rPr>
            <w:webHidden/>
          </w:rPr>
          <w:tab/>
        </w:r>
        <w:r w:rsidR="008A17BD">
          <w:rPr>
            <w:webHidden/>
          </w:rPr>
          <w:fldChar w:fldCharType="begin"/>
        </w:r>
        <w:r w:rsidR="008A17BD">
          <w:rPr>
            <w:webHidden/>
          </w:rPr>
          <w:instrText xml:space="preserve"> PAGEREF _Toc27560419 \h </w:instrText>
        </w:r>
        <w:r w:rsidR="008A17BD">
          <w:rPr>
            <w:webHidden/>
          </w:rPr>
        </w:r>
        <w:r w:rsidR="008A17BD">
          <w:rPr>
            <w:webHidden/>
          </w:rPr>
          <w:fldChar w:fldCharType="separate"/>
        </w:r>
        <w:r w:rsidR="008A17BD">
          <w:rPr>
            <w:webHidden/>
          </w:rPr>
          <w:t>8</w:t>
        </w:r>
        <w:r w:rsidR="008A17BD">
          <w:rPr>
            <w:webHidden/>
          </w:rPr>
          <w:fldChar w:fldCharType="end"/>
        </w:r>
      </w:hyperlink>
    </w:p>
    <w:p w14:paraId="0D0B940D" w14:textId="0F517EB5" w:rsidR="003E2E12" w:rsidRPr="003072C6" w:rsidRDefault="00E15DA9" w:rsidP="00213772">
      <w:pPr>
        <w:pStyle w:val="TOC2"/>
        <w:rPr>
          <w:noProof w:val="0"/>
        </w:rPr>
      </w:pPr>
      <w:r w:rsidRPr="003072C6">
        <w:rPr>
          <w:noProof w:val="0"/>
        </w:rPr>
        <w:fldChar w:fldCharType="end"/>
      </w:r>
    </w:p>
    <w:p w14:paraId="0E27B00A" w14:textId="77777777" w:rsidR="00AC0C3B" w:rsidRPr="00256E7C" w:rsidRDefault="003E2E12" w:rsidP="00256E7C">
      <w:pPr>
        <w:pStyle w:val="DHHSbody"/>
      </w:pPr>
      <w:r w:rsidRPr="00256E7C">
        <w:br w:type="page"/>
      </w:r>
    </w:p>
    <w:p w14:paraId="21F45798" w14:textId="77777777" w:rsidR="00173849" w:rsidRPr="00AB50C1" w:rsidRDefault="00262F9F" w:rsidP="00173849">
      <w:pPr>
        <w:pStyle w:val="Heading1"/>
        <w:spacing w:before="0"/>
      </w:pPr>
      <w:bookmarkStart w:id="1" w:name="_Toc27560413"/>
      <w:r>
        <w:lastRenderedPageBreak/>
        <w:t xml:space="preserve">Client incident </w:t>
      </w:r>
      <w:r w:rsidR="00990CA5">
        <w:t>management system</w:t>
      </w:r>
      <w:r w:rsidR="00105D91">
        <w:t>: p</w:t>
      </w:r>
      <w:r>
        <w:t>olicy update</w:t>
      </w:r>
      <w:r w:rsidR="004C48B4">
        <w:t xml:space="preserve"> 1-2020</w:t>
      </w:r>
      <w:bookmarkEnd w:id="1"/>
    </w:p>
    <w:p w14:paraId="7A170E72" w14:textId="77777777" w:rsidR="00061F3F" w:rsidRDefault="00061F3F" w:rsidP="00061F3F">
      <w:pPr>
        <w:pStyle w:val="DHHSbody"/>
      </w:pPr>
      <w:r w:rsidRPr="00061F3F">
        <w:t xml:space="preserve">Client incidents that occur during service delivery and result in harm to a client are required to be reported </w:t>
      </w:r>
      <w:r>
        <w:t xml:space="preserve">to the Department of Health and Human Services (the department) </w:t>
      </w:r>
      <w:r w:rsidRPr="00061F3F">
        <w:t>by all in-scope services in the client incident management system (CIMS).</w:t>
      </w:r>
    </w:p>
    <w:p w14:paraId="201EF317" w14:textId="0A63E261" w:rsidR="00173849" w:rsidRPr="00711B0C" w:rsidRDefault="00BB437F" w:rsidP="00173849">
      <w:pPr>
        <w:pStyle w:val="Heading2"/>
      </w:pPr>
      <w:bookmarkStart w:id="2" w:name="_Toc27560414"/>
      <w:r>
        <w:t xml:space="preserve">Using </w:t>
      </w:r>
      <w:r w:rsidR="002D7219">
        <w:t xml:space="preserve">and applying </w:t>
      </w:r>
      <w:r>
        <w:t>this update</w:t>
      </w:r>
      <w:bookmarkEnd w:id="2"/>
    </w:p>
    <w:p w14:paraId="756F4868" w14:textId="02BE72DE" w:rsidR="00D01FF9" w:rsidRDefault="00BB437F" w:rsidP="00173849">
      <w:pPr>
        <w:pStyle w:val="DHHSbody"/>
      </w:pPr>
      <w:r>
        <w:t>This policy update supports the operation of the CIMS</w:t>
      </w:r>
      <w:r w:rsidR="00E16D21">
        <w:t xml:space="preserve"> and is applicable from 3 February 2020</w:t>
      </w:r>
      <w:r>
        <w:t xml:space="preserve">. </w:t>
      </w:r>
      <w:r w:rsidR="00D01FF9">
        <w:t xml:space="preserve">It should be read in conjunction with the Client incident management guide (the guide) and </w:t>
      </w:r>
      <w:r w:rsidR="00511AFB">
        <w:t>related</w:t>
      </w:r>
      <w:r w:rsidR="00D01FF9">
        <w:t xml:space="preserve"> summary documents</w:t>
      </w:r>
      <w:r w:rsidR="00B01BDA">
        <w:t>, operational updates</w:t>
      </w:r>
      <w:r w:rsidR="00B25ACB">
        <w:t>,</w:t>
      </w:r>
      <w:r w:rsidR="00D01FF9">
        <w:t xml:space="preserve"> and addenda </w:t>
      </w:r>
      <w:r w:rsidR="00511AFB">
        <w:t xml:space="preserve">that </w:t>
      </w:r>
      <w:r w:rsidR="00D01FF9">
        <w:t>provid</w:t>
      </w:r>
      <w:r w:rsidR="00511AFB">
        <w:t>e s</w:t>
      </w:r>
      <w:r w:rsidR="00D01FF9">
        <w:t>pecific guidance for nominated program areas and service types.</w:t>
      </w:r>
    </w:p>
    <w:p w14:paraId="64BBF095" w14:textId="77777777" w:rsidR="0052255C" w:rsidRDefault="00BB437F" w:rsidP="00173849">
      <w:pPr>
        <w:pStyle w:val="DHHSbody"/>
      </w:pPr>
      <w:r>
        <w:t xml:space="preserve">The </w:t>
      </w:r>
      <w:r w:rsidR="00511AFB">
        <w:t>guidance</w:t>
      </w:r>
      <w:r>
        <w:t xml:space="preserve"> </w:t>
      </w:r>
      <w:r w:rsidR="00511AFB">
        <w:t>provided</w:t>
      </w:r>
      <w:r w:rsidR="004E67FE">
        <w:t xml:space="preserve"> </w:t>
      </w:r>
      <w:r w:rsidR="00511AFB">
        <w:t xml:space="preserve">in this update </w:t>
      </w:r>
      <w:r>
        <w:t>supersedes</w:t>
      </w:r>
      <w:r w:rsidR="002F6FC6">
        <w:t xml:space="preserve"> </w:t>
      </w:r>
      <w:r>
        <w:t xml:space="preserve">requirements </w:t>
      </w:r>
      <w:r w:rsidR="00B55C34">
        <w:t xml:space="preserve">and terminology </w:t>
      </w:r>
      <w:r>
        <w:t xml:space="preserve">in </w:t>
      </w:r>
      <w:r w:rsidR="00F85717">
        <w:t xml:space="preserve">the </w:t>
      </w:r>
      <w:r w:rsidR="004E67FE">
        <w:t>guide</w:t>
      </w:r>
      <w:r w:rsidR="00D01FF9">
        <w:t xml:space="preserve"> and </w:t>
      </w:r>
      <w:r w:rsidR="009D1CC1">
        <w:t>related</w:t>
      </w:r>
      <w:r w:rsidR="00511AFB">
        <w:t xml:space="preserve"> </w:t>
      </w:r>
      <w:r w:rsidR="00D01FF9">
        <w:t>document</w:t>
      </w:r>
      <w:r w:rsidR="00262F9F">
        <w:t>s</w:t>
      </w:r>
      <w:r w:rsidR="002F6FC6">
        <w:t xml:space="preserve"> </w:t>
      </w:r>
      <w:r>
        <w:t>in relation to</w:t>
      </w:r>
      <w:r w:rsidR="0052255C">
        <w:t>:</w:t>
      </w:r>
    </w:p>
    <w:p w14:paraId="43EF081C" w14:textId="77777777" w:rsidR="0052255C" w:rsidRDefault="00BB437F" w:rsidP="0052255C">
      <w:pPr>
        <w:pStyle w:val="DHHSbullet1"/>
      </w:pPr>
      <w:r>
        <w:t xml:space="preserve">the steps and timeframes for the submission of </w:t>
      </w:r>
      <w:r w:rsidR="00BA2CF3">
        <w:t>major and</w:t>
      </w:r>
      <w:r w:rsidR="003D35F2">
        <w:t xml:space="preserve"> non-major impact</w:t>
      </w:r>
      <w:r w:rsidR="00BA2CF3">
        <w:t xml:space="preserve"> </w:t>
      </w:r>
      <w:r>
        <w:t>incident reports</w:t>
      </w:r>
      <w:r w:rsidR="004E67FE">
        <w:t xml:space="preserve"> </w:t>
      </w:r>
    </w:p>
    <w:p w14:paraId="62B6E830" w14:textId="77777777" w:rsidR="0052255C" w:rsidRDefault="00BB437F" w:rsidP="0052255C">
      <w:pPr>
        <w:pStyle w:val="DHHSbullet1"/>
      </w:pPr>
      <w:r>
        <w:t>the determination of follow-up actions after a major impact incident</w:t>
      </w:r>
      <w:r w:rsidR="002F6FC6">
        <w:t xml:space="preserve"> </w:t>
      </w:r>
    </w:p>
    <w:p w14:paraId="7D25766B" w14:textId="77777777" w:rsidR="0052255C" w:rsidRDefault="00F85717" w:rsidP="0052255C">
      <w:pPr>
        <w:pStyle w:val="DHHSbullet1"/>
      </w:pPr>
      <w:r>
        <w:t>submission</w:t>
      </w:r>
      <w:r w:rsidR="002F6FC6">
        <w:t xml:space="preserve"> of case review reports to the department</w:t>
      </w:r>
      <w:r w:rsidR="004E67FE">
        <w:t xml:space="preserve"> </w:t>
      </w:r>
    </w:p>
    <w:p w14:paraId="3EF1367E" w14:textId="77777777" w:rsidR="00BB437F" w:rsidRDefault="002F6FC6" w:rsidP="0052255C">
      <w:pPr>
        <w:pStyle w:val="DHHSbullet1"/>
      </w:pPr>
      <w:r>
        <w:t>the use of the term ‘alleged perpetrator’.</w:t>
      </w:r>
      <w:r w:rsidR="00BB437F">
        <w:t xml:space="preserve"> </w:t>
      </w:r>
    </w:p>
    <w:p w14:paraId="79A009A6" w14:textId="34136CDE" w:rsidR="0013572F" w:rsidRDefault="008B1245" w:rsidP="00972848">
      <w:pPr>
        <w:pStyle w:val="DHHSbodyafterbullets"/>
      </w:pPr>
      <w:r>
        <w:t xml:space="preserve">For service providers using the department-built client incident register to </w:t>
      </w:r>
      <w:r w:rsidR="002D7219">
        <w:t>capture</w:t>
      </w:r>
      <w:r>
        <w:t xml:space="preserve"> and transmit incident</w:t>
      </w:r>
      <w:r w:rsidR="002D7219">
        <w:t>-related</w:t>
      </w:r>
      <w:r>
        <w:t xml:space="preserve"> information</w:t>
      </w:r>
      <w:r w:rsidR="00025ED3">
        <w:t xml:space="preserve"> to the department</w:t>
      </w:r>
      <w:r>
        <w:t>, t</w:t>
      </w:r>
      <w:r w:rsidR="0013572F">
        <w:t xml:space="preserve">he changes outlined </w:t>
      </w:r>
      <w:r w:rsidR="00D01FF9">
        <w:t>in this policy update</w:t>
      </w:r>
      <w:r w:rsidR="0013572F">
        <w:t xml:space="preserve"> are </w:t>
      </w:r>
      <w:r w:rsidR="00511AFB">
        <w:t>applicable</w:t>
      </w:r>
      <w:r w:rsidR="0013572F">
        <w:t xml:space="preserve"> from </w:t>
      </w:r>
      <w:r>
        <w:t>3</w:t>
      </w:r>
      <w:r w:rsidR="00262F9F">
        <w:t xml:space="preserve"> February 2020</w:t>
      </w:r>
      <w:r w:rsidR="0013572F">
        <w:t xml:space="preserve">. </w:t>
      </w:r>
    </w:p>
    <w:p w14:paraId="26FD7CCE" w14:textId="4B9BFA88" w:rsidR="00010A2D" w:rsidRDefault="008B1245" w:rsidP="00972848">
      <w:pPr>
        <w:pStyle w:val="DHHSbodyafterbullets"/>
      </w:pPr>
      <w:r w:rsidRPr="008B1245">
        <w:t xml:space="preserve">Service providers </w:t>
      </w:r>
      <w:r>
        <w:t xml:space="preserve">that have chosen to </w:t>
      </w:r>
      <w:r w:rsidRPr="008B1245">
        <w:t>us</w:t>
      </w:r>
      <w:r>
        <w:t>e</w:t>
      </w:r>
      <w:r w:rsidRPr="008B1245">
        <w:t xml:space="preserve"> the application program interface (API) to submit client incident information from their existing IT platforms to the department </w:t>
      </w:r>
      <w:r w:rsidR="002D7219">
        <w:t>are</w:t>
      </w:r>
      <w:r w:rsidRPr="008B1245">
        <w:t xml:space="preserve"> required</w:t>
      </w:r>
      <w:r>
        <w:t xml:space="preserve"> to update their standalone systems</w:t>
      </w:r>
      <w:r w:rsidR="002D7219">
        <w:t xml:space="preserve"> by 1 July 2020. Operational guidance will be provided to support the </w:t>
      </w:r>
      <w:r w:rsidR="00E16D21">
        <w:t>adoption</w:t>
      </w:r>
      <w:r w:rsidR="002D7219">
        <w:t xml:space="preserve"> of policy changes </w:t>
      </w:r>
      <w:r w:rsidR="00E16D21">
        <w:t>from</w:t>
      </w:r>
      <w:r w:rsidR="002D7219">
        <w:t xml:space="preserve"> 3 February 2020 while </w:t>
      </w:r>
      <w:r w:rsidR="008211CD">
        <w:t xml:space="preserve">these </w:t>
      </w:r>
      <w:r w:rsidR="006D1381">
        <w:t>standalone</w:t>
      </w:r>
      <w:r w:rsidR="002D7219">
        <w:t xml:space="preserve"> systems are updated.</w:t>
      </w:r>
    </w:p>
    <w:p w14:paraId="1C5ED8B4" w14:textId="129A7039" w:rsidR="008B1245" w:rsidRDefault="002D7219" w:rsidP="00972848">
      <w:pPr>
        <w:pStyle w:val="DHHSbodyafterbullets"/>
      </w:pPr>
      <w:r>
        <w:t>Policy c</w:t>
      </w:r>
      <w:r w:rsidR="008B1245">
        <w:t>hanges will not be applied retrospectively.</w:t>
      </w:r>
    </w:p>
    <w:p w14:paraId="2198B9B7" w14:textId="77777777" w:rsidR="009D1CC1" w:rsidRPr="00711B0C" w:rsidRDefault="009D1CC1" w:rsidP="009D1CC1">
      <w:pPr>
        <w:pStyle w:val="Heading2"/>
      </w:pPr>
      <w:bookmarkStart w:id="3" w:name="_Toc27560415"/>
      <w:r>
        <w:t>Process and timeframes for submitting incident reports</w:t>
      </w:r>
      <w:bookmarkEnd w:id="3"/>
    </w:p>
    <w:p w14:paraId="4D8F7D24" w14:textId="2E22F0E2" w:rsidR="00DA5DA2" w:rsidRPr="00CA7731" w:rsidRDefault="00DA5DA2" w:rsidP="00DA5DA2">
      <w:pPr>
        <w:pStyle w:val="DHHSbody"/>
      </w:pPr>
      <w:r w:rsidRPr="00CA7731">
        <w:t xml:space="preserve">Incident reports for major impact incidents and non-major impact incidents must be </w:t>
      </w:r>
      <w:r w:rsidR="002D7B99">
        <w:t xml:space="preserve">finalised and </w:t>
      </w:r>
      <w:r w:rsidRPr="00CA7731">
        <w:t xml:space="preserve">submitted to the department in the CIMS IT </w:t>
      </w:r>
      <w:r w:rsidRPr="00CA7731">
        <w:rPr>
          <w:b/>
        </w:rPr>
        <w:t>within three business days</w:t>
      </w:r>
      <w:r w:rsidRPr="00CA7731">
        <w:t xml:space="preserve"> of the incident occurring, or of the service provider becoming aware of the incident. </w:t>
      </w:r>
    </w:p>
    <w:p w14:paraId="3EFD5F3C" w14:textId="77777777" w:rsidR="00DA5DA2" w:rsidRPr="00CA7731" w:rsidRDefault="00DA5DA2" w:rsidP="00DA5DA2">
      <w:pPr>
        <w:pStyle w:val="DHHSbody"/>
      </w:pPr>
      <w:r w:rsidRPr="00CA7731">
        <w:t xml:space="preserve">The timeframes for reporting client incidents in the CIMS IT are separate to service providers responding to an event or circumstance to ensure the safety of the clients involved. </w:t>
      </w:r>
    </w:p>
    <w:p w14:paraId="7CC9FFAF" w14:textId="77777777" w:rsidR="00DA5DA2" w:rsidRPr="00CA7731" w:rsidRDefault="00DA5DA2" w:rsidP="00DA5DA2">
      <w:pPr>
        <w:pStyle w:val="DHHSbody"/>
      </w:pPr>
      <w:r w:rsidRPr="00CA7731">
        <w:t>When responding to an incident, service providers must always act to ensure that:</w:t>
      </w:r>
    </w:p>
    <w:p w14:paraId="6863882D" w14:textId="77777777" w:rsidR="00DA5DA2" w:rsidRPr="00CA7731" w:rsidRDefault="00DA5DA2" w:rsidP="00DA5DA2">
      <w:pPr>
        <w:pStyle w:val="DHHSbullet1"/>
      </w:pPr>
      <w:r w:rsidRPr="00CA7731">
        <w:t>the safety and wellbeing of clients is the first priority and any issues impacting on the immediate safety of clients are always be addressed prior to reporting, and throughout the management of an incident</w:t>
      </w:r>
    </w:p>
    <w:p w14:paraId="78B97A90" w14:textId="63D7543B" w:rsidR="00DA5DA2" w:rsidRPr="00CA7731" w:rsidRDefault="00DA5DA2" w:rsidP="00DA5DA2">
      <w:pPr>
        <w:pStyle w:val="DHHSbullet1"/>
      </w:pPr>
      <w:r w:rsidRPr="00CA7731">
        <w:t>relevant parties, including Victoria Police</w:t>
      </w:r>
      <w:r w:rsidR="006360A3">
        <w:t>, child protection</w:t>
      </w:r>
      <w:r w:rsidRPr="00CA7731">
        <w:t xml:space="preserve"> and other operational staff, are alerted in a timely way to significant client events (by phone, email or another system, as appropriate).</w:t>
      </w:r>
    </w:p>
    <w:p w14:paraId="232E3E4D" w14:textId="7495A5B9" w:rsidR="00DA5DA2" w:rsidRDefault="00931D70" w:rsidP="00DA5DA2">
      <w:pPr>
        <w:pStyle w:val="DHHSbodyafterbullets"/>
      </w:pPr>
      <w:r>
        <w:t xml:space="preserve">The high-level process </w:t>
      </w:r>
      <w:r w:rsidR="002D7B99">
        <w:t xml:space="preserve">for reporting major and non-major impact incidents </w:t>
      </w:r>
      <w:r>
        <w:t>is illustrated in Figure 1.</w:t>
      </w:r>
    </w:p>
    <w:p w14:paraId="4402F1E9" w14:textId="77777777" w:rsidR="009D1CC1" w:rsidRPr="003072C6" w:rsidRDefault="009D1CC1" w:rsidP="009D1CC1">
      <w:pPr>
        <w:pStyle w:val="DHHSfigurecaption"/>
      </w:pPr>
      <w:r>
        <w:lastRenderedPageBreak/>
        <w:t xml:space="preserve">Figure 1: </w:t>
      </w:r>
      <w:r w:rsidR="00990CA5">
        <w:t>High-level p</w:t>
      </w:r>
      <w:r>
        <w:t xml:space="preserve">rocess and timelines for </w:t>
      </w:r>
      <w:r w:rsidR="00990CA5">
        <w:t xml:space="preserve">reporting </w:t>
      </w:r>
      <w:r>
        <w:t>major and non-major impact incidents</w:t>
      </w:r>
    </w:p>
    <w:p w14:paraId="60061E4C" w14:textId="0EB6B1C9" w:rsidR="009D1CC1" w:rsidRPr="003072C6" w:rsidRDefault="002979EE" w:rsidP="009D1CC1">
      <w:pPr>
        <w:pStyle w:val="DHHSbody"/>
      </w:pPr>
      <w:r>
        <w:rPr>
          <w:noProof/>
        </w:rPr>
        <w:drawing>
          <wp:inline distT="0" distB="0" distL="0" distR="0" wp14:anchorId="340B0ACA" wp14:editId="6A8D33DC">
            <wp:extent cx="5723890" cy="3266440"/>
            <wp:effectExtent l="0" t="0" r="0" b="0"/>
            <wp:docPr id="1" name="Picture 1" descr="This flowchart provides an overview of the process for reporting incidents, as described in the introduction to this document and in 'Process and timeframes for submitting incident reports'. Further information can be found in Chapters 2 and 3 of the CIMS gu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23890" cy="3266440"/>
                    </a:xfrm>
                    <a:prstGeom prst="rect">
                      <a:avLst/>
                    </a:prstGeom>
                    <a:noFill/>
                  </pic:spPr>
                </pic:pic>
              </a:graphicData>
            </a:graphic>
          </wp:inline>
        </w:drawing>
      </w:r>
    </w:p>
    <w:p w14:paraId="6E8D969E" w14:textId="4090D2AE" w:rsidR="00E937EB" w:rsidRDefault="000C3D12" w:rsidP="000C3D12">
      <w:pPr>
        <w:pStyle w:val="DHHStablefigurenote"/>
      </w:pPr>
      <w:r>
        <w:t xml:space="preserve">Note: Diagram includes references to </w:t>
      </w:r>
      <w:r w:rsidR="00993DF7">
        <w:t xml:space="preserve">chapters and </w:t>
      </w:r>
      <w:r>
        <w:t xml:space="preserve">sections of the </w:t>
      </w:r>
      <w:r w:rsidRPr="000C3D12">
        <w:t>Client incident management guide</w:t>
      </w:r>
      <w:r w:rsidR="00993DF7">
        <w:t>.</w:t>
      </w:r>
    </w:p>
    <w:p w14:paraId="63341ED7" w14:textId="6B887F6E" w:rsidR="00951FD0" w:rsidRPr="003072C6" w:rsidRDefault="00951FD0" w:rsidP="00951FD0">
      <w:pPr>
        <w:pStyle w:val="Heading2"/>
      </w:pPr>
      <w:bookmarkStart w:id="4" w:name="_Toc27560416"/>
      <w:r>
        <w:t xml:space="preserve">Determining follow-up actions after </w:t>
      </w:r>
      <w:r w:rsidR="00131145">
        <w:t xml:space="preserve">a </w:t>
      </w:r>
      <w:r>
        <w:t>major impact incident</w:t>
      </w:r>
      <w:bookmarkEnd w:id="4"/>
    </w:p>
    <w:p w14:paraId="1CD24EA0" w14:textId="77777777" w:rsidR="000B7AB9" w:rsidRDefault="00854278" w:rsidP="00951FD0">
      <w:pPr>
        <w:pStyle w:val="DHHSbody"/>
      </w:pPr>
      <w:r>
        <w:t xml:space="preserve">Under </w:t>
      </w:r>
      <w:r w:rsidR="00B67C19">
        <w:t xml:space="preserve">the </w:t>
      </w:r>
      <w:r>
        <w:t>CIMS, a</w:t>
      </w:r>
      <w:r w:rsidR="00B01BDA">
        <w:t>ll major impact incidents must be subject to either an investigation or review (case review or root cause analysis</w:t>
      </w:r>
      <w:r w:rsidR="008E1085">
        <w:t xml:space="preserve"> review</w:t>
      </w:r>
      <w:r w:rsidR="00B01BDA">
        <w:t>).</w:t>
      </w:r>
    </w:p>
    <w:p w14:paraId="4EFB6C9A" w14:textId="77777777" w:rsidR="00B01BDA" w:rsidRDefault="00B01BDA" w:rsidP="00B01BDA">
      <w:pPr>
        <w:pStyle w:val="DHHSbody"/>
      </w:pPr>
      <w:r>
        <w:t xml:space="preserve">An investigation </w:t>
      </w:r>
      <w:r w:rsidRPr="00811E08">
        <w:rPr>
          <w:b/>
        </w:rPr>
        <w:t>must be undertaken</w:t>
      </w:r>
      <w:r>
        <w:t xml:space="preserve"> for incidents assessed as major client impact with one or more of the following incident types:</w:t>
      </w:r>
    </w:p>
    <w:p w14:paraId="4D29C038" w14:textId="77777777" w:rsidR="00B01BDA" w:rsidRDefault="00B01BDA" w:rsidP="00B01BDA">
      <w:pPr>
        <w:pStyle w:val="DHHSbullet1"/>
      </w:pPr>
      <w:r>
        <w:t>physical, sexual (including sexual exploitation), financial, or emotional/psychological (including cultural) abuse</w:t>
      </w:r>
      <w:r w:rsidR="00B67C19">
        <w:t xml:space="preserve"> where the subject of the allegation is a </w:t>
      </w:r>
      <w:r w:rsidR="00B67C19" w:rsidRPr="00B67C19">
        <w:t>staff member, volunteer, or client</w:t>
      </w:r>
    </w:p>
    <w:p w14:paraId="6C192743" w14:textId="77777777" w:rsidR="00B01BDA" w:rsidRDefault="00B01BDA" w:rsidP="00B01BDA">
      <w:pPr>
        <w:pStyle w:val="DHHSbullet1"/>
      </w:pPr>
      <w:r>
        <w:t>poor quality of care</w:t>
      </w:r>
    </w:p>
    <w:p w14:paraId="247BD62C" w14:textId="77777777" w:rsidR="00B01BDA" w:rsidRDefault="00B01BDA" w:rsidP="00B01BDA">
      <w:pPr>
        <w:pStyle w:val="DHHSbullet1"/>
      </w:pPr>
      <w:r>
        <w:t>injury – unexplained.</w:t>
      </w:r>
    </w:p>
    <w:p w14:paraId="587C78CB" w14:textId="5F28E37B" w:rsidR="00B01BDA" w:rsidRDefault="00B01BDA" w:rsidP="009E61F0">
      <w:pPr>
        <w:pStyle w:val="DHHSbodyafterbullets"/>
      </w:pPr>
      <w:r w:rsidRPr="00B01BDA">
        <w:t xml:space="preserve">Other major impact incident types </w:t>
      </w:r>
      <w:r w:rsidR="009B30E5">
        <w:t>and</w:t>
      </w:r>
      <w:r w:rsidRPr="00B01BDA">
        <w:t xml:space="preserve"> incidents involving allegations of abuse where the </w:t>
      </w:r>
      <w:r w:rsidR="000C3D12">
        <w:t>subject of the allegation</w:t>
      </w:r>
      <w:r w:rsidRPr="00B01BDA">
        <w:t xml:space="preserve"> is not a </w:t>
      </w:r>
      <w:bookmarkStart w:id="5" w:name="_Hlk26469611"/>
      <w:r w:rsidRPr="00B01BDA">
        <w:t xml:space="preserve">staff member, volunteer, or client </w:t>
      </w:r>
      <w:bookmarkEnd w:id="5"/>
      <w:r w:rsidR="00990CA5">
        <w:t>will</w:t>
      </w:r>
      <w:r w:rsidRPr="00B01BDA">
        <w:t xml:space="preserve"> not be investigated under the CIMS. These incidents must instead be subject to </w:t>
      </w:r>
      <w:r w:rsidR="00990CA5">
        <w:t xml:space="preserve">a </w:t>
      </w:r>
      <w:r w:rsidR="00990CA5" w:rsidRPr="00B01BDA">
        <w:t xml:space="preserve">case review </w:t>
      </w:r>
      <w:r w:rsidR="00990CA5">
        <w:t xml:space="preserve">or </w:t>
      </w:r>
      <w:r w:rsidRPr="00B01BDA">
        <w:t xml:space="preserve">a root cause analysis review. </w:t>
      </w:r>
    </w:p>
    <w:p w14:paraId="35B0235C" w14:textId="103BE93A" w:rsidR="00AE3C7C" w:rsidRDefault="00990CA5" w:rsidP="009E61F0">
      <w:pPr>
        <w:pStyle w:val="DHHSbody"/>
      </w:pPr>
      <w:r>
        <w:t xml:space="preserve">Once </w:t>
      </w:r>
      <w:r w:rsidR="00910D16">
        <w:t xml:space="preserve">the </w:t>
      </w:r>
      <w:r w:rsidR="009B30E5">
        <w:t xml:space="preserve">relevant </w:t>
      </w:r>
      <w:r>
        <w:t xml:space="preserve">incident parameters </w:t>
      </w:r>
      <w:r w:rsidR="009B30E5">
        <w:t>for a major impact incident have been</w:t>
      </w:r>
      <w:r w:rsidR="00E70066">
        <w:t xml:space="preserve"> established and </w:t>
      </w:r>
      <w:r w:rsidR="008E1085">
        <w:t xml:space="preserve">the incident report has been </w:t>
      </w:r>
      <w:r w:rsidR="00E70066">
        <w:t xml:space="preserve">endorsed by the department, </w:t>
      </w:r>
      <w:r w:rsidR="009B30E5">
        <w:t>service providers should</w:t>
      </w:r>
      <w:r w:rsidR="00E70066">
        <w:t xml:space="preserve"> </w:t>
      </w:r>
      <w:r w:rsidR="009B30E5">
        <w:t>automatically initiate an</w:t>
      </w:r>
      <w:r w:rsidR="00E70066">
        <w:t xml:space="preserve"> investigation or review, as outlined in </w:t>
      </w:r>
      <w:r w:rsidR="00854278">
        <w:t xml:space="preserve">the business rule matrix in </w:t>
      </w:r>
      <w:r w:rsidR="00E70066">
        <w:t>Table 1</w:t>
      </w:r>
      <w:r w:rsidR="00305BBC">
        <w:t xml:space="preserve">. </w:t>
      </w:r>
      <w:r w:rsidR="00C77431">
        <w:t>Service providers should note</w:t>
      </w:r>
      <w:r w:rsidR="00AE3C7C">
        <w:t xml:space="preserve"> that:</w:t>
      </w:r>
    </w:p>
    <w:p w14:paraId="47AD1E66" w14:textId="1B8893B7" w:rsidR="00A24DB3" w:rsidRDefault="00A24DB3" w:rsidP="00AE3C7C">
      <w:pPr>
        <w:pStyle w:val="DHHSbullet1"/>
      </w:pPr>
      <w:r>
        <w:t>i</w:t>
      </w:r>
      <w:r w:rsidRPr="00A24DB3">
        <w:t>f one client meets the criteria for investigation, the incident will automatically progress to investigation irrespective of the incident parameters for any other clients included in the incident report</w:t>
      </w:r>
    </w:p>
    <w:p w14:paraId="3996AD63" w14:textId="6044A935" w:rsidR="00706CE4" w:rsidRDefault="00C77431" w:rsidP="00AE3C7C">
      <w:pPr>
        <w:pStyle w:val="DHHSbullet1"/>
      </w:pPr>
      <w:r>
        <w:t xml:space="preserve">for all incidents </w:t>
      </w:r>
      <w:r w:rsidR="00781AD6">
        <w:t>meeting</w:t>
      </w:r>
      <w:r>
        <w:t xml:space="preserve"> the criteria for investigation, </w:t>
      </w:r>
      <w:r w:rsidR="00A24DB3">
        <w:t>service providers</w:t>
      </w:r>
      <w:r w:rsidR="00B50DDE">
        <w:t xml:space="preserve"> will be asked </w:t>
      </w:r>
      <w:r>
        <w:t xml:space="preserve">prior to submitting the incident report </w:t>
      </w:r>
      <w:r w:rsidR="00B50DDE">
        <w:t xml:space="preserve">to nominate an investigation manager and </w:t>
      </w:r>
      <w:r>
        <w:t xml:space="preserve">to confirm </w:t>
      </w:r>
      <w:r w:rsidR="00B50DDE">
        <w:t>whether the investigation is proposed to be jointly managed with the department</w:t>
      </w:r>
      <w:r w:rsidR="00781AD6">
        <w:t>.</w:t>
      </w:r>
    </w:p>
    <w:p w14:paraId="69CADFF8" w14:textId="41DA6832" w:rsidR="00A23BA9" w:rsidRDefault="0047686D" w:rsidP="002813E0">
      <w:pPr>
        <w:pStyle w:val="DHHSbodyafterbullets"/>
      </w:pPr>
      <w:r>
        <w:t>T</w:t>
      </w:r>
      <w:r w:rsidR="00811E08">
        <w:t xml:space="preserve">he department will </w:t>
      </w:r>
      <w:r w:rsidR="009B30E5">
        <w:t>confirm that</w:t>
      </w:r>
      <w:r w:rsidR="00910D16">
        <w:t xml:space="preserve"> the business rules have been correctly </w:t>
      </w:r>
      <w:r w:rsidR="00910D16" w:rsidRPr="00E64700">
        <w:t>applied</w:t>
      </w:r>
      <w:r w:rsidR="00AE3C7C">
        <w:t xml:space="preserve"> when quality assuring incident reports.</w:t>
      </w:r>
      <w:r>
        <w:t xml:space="preserve"> </w:t>
      </w:r>
      <w:r w:rsidR="00A23BA9" w:rsidRPr="00E64700">
        <w:t xml:space="preserve">There </w:t>
      </w:r>
      <w:r w:rsidR="00854278" w:rsidRPr="00E64700">
        <w:t>is</w:t>
      </w:r>
      <w:r w:rsidR="00A23BA9" w:rsidRPr="00E64700">
        <w:t xml:space="preserve"> no requirement for service providers to submit </w:t>
      </w:r>
      <w:r w:rsidR="00AE3C7C">
        <w:t xml:space="preserve">a </w:t>
      </w:r>
      <w:r w:rsidR="00A23BA9" w:rsidRPr="00E64700">
        <w:t>rationale</w:t>
      </w:r>
      <w:r w:rsidR="005E71D7" w:rsidRPr="00E64700">
        <w:t xml:space="preserve"> </w:t>
      </w:r>
      <w:r w:rsidR="00AE3C7C">
        <w:t xml:space="preserve">for the outcome chosen </w:t>
      </w:r>
      <w:r w:rsidR="005E71D7" w:rsidRPr="00E64700">
        <w:t xml:space="preserve">or </w:t>
      </w:r>
      <w:r w:rsidR="00AE3C7C">
        <w:t xml:space="preserve">to provide </w:t>
      </w:r>
      <w:r w:rsidR="00F72741" w:rsidRPr="00E64700">
        <w:t>investigation plans</w:t>
      </w:r>
      <w:r w:rsidR="005E71D7" w:rsidRPr="00E64700">
        <w:t xml:space="preserve"> to the department.</w:t>
      </w:r>
      <w:r w:rsidR="005E71D7">
        <w:t xml:space="preserve"> </w:t>
      </w:r>
      <w:r w:rsidR="00A23BA9">
        <w:t xml:space="preserve"> </w:t>
      </w:r>
    </w:p>
    <w:p w14:paraId="2CD11765" w14:textId="77777777" w:rsidR="00173849" w:rsidRPr="003072C6" w:rsidRDefault="00D01FF9" w:rsidP="00173849">
      <w:pPr>
        <w:pStyle w:val="DHHStablecaption"/>
      </w:pPr>
      <w:bookmarkStart w:id="6" w:name="_Hlk26283730"/>
      <w:r>
        <w:lastRenderedPageBreak/>
        <w:t xml:space="preserve">Table 1: </w:t>
      </w:r>
      <w:r w:rsidR="00706CE4">
        <w:t>Business rule m</w:t>
      </w:r>
      <w:r w:rsidR="002F6FC6">
        <w:t>atrix for determining follow-up action after a major impact incident</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1095"/>
        <w:gridCol w:w="2670"/>
        <w:gridCol w:w="1470"/>
        <w:gridCol w:w="2655"/>
        <w:gridCol w:w="1461"/>
      </w:tblGrid>
      <w:tr w:rsidR="002F6FC6" w:rsidRPr="003072C6" w14:paraId="2902118A" w14:textId="77777777" w:rsidTr="4388C7FB">
        <w:trPr>
          <w:tblHeader/>
        </w:trPr>
        <w:tc>
          <w:tcPr>
            <w:tcW w:w="1095" w:type="dxa"/>
            <w:shd w:val="clear" w:color="auto" w:fill="auto"/>
          </w:tcPr>
          <w:p w14:paraId="25354572" w14:textId="77777777" w:rsidR="002F6FC6" w:rsidRPr="00711B0C" w:rsidRDefault="002F6FC6" w:rsidP="00262F9F">
            <w:pPr>
              <w:pStyle w:val="DHHStablecolhead"/>
            </w:pPr>
            <w:r>
              <w:t>Incident impact</w:t>
            </w:r>
          </w:p>
        </w:tc>
        <w:tc>
          <w:tcPr>
            <w:tcW w:w="2670" w:type="dxa"/>
            <w:shd w:val="clear" w:color="auto" w:fill="auto"/>
          </w:tcPr>
          <w:p w14:paraId="1D00EB29" w14:textId="77777777" w:rsidR="002F6FC6" w:rsidRPr="00711B0C" w:rsidRDefault="002F6FC6" w:rsidP="00262F9F">
            <w:pPr>
              <w:pStyle w:val="DHHStablecolhead"/>
            </w:pPr>
            <w:r>
              <w:t>Incident type</w:t>
            </w:r>
          </w:p>
        </w:tc>
        <w:tc>
          <w:tcPr>
            <w:tcW w:w="1470" w:type="dxa"/>
            <w:shd w:val="clear" w:color="auto" w:fill="auto"/>
          </w:tcPr>
          <w:p w14:paraId="28B36636" w14:textId="66AE6FED" w:rsidR="002F6FC6" w:rsidRPr="003072C6" w:rsidRDefault="4388C7FB" w:rsidP="00262F9F">
            <w:pPr>
              <w:pStyle w:val="DHHStablecolhead"/>
            </w:pPr>
            <w:r>
              <w:t>Client involvement</w:t>
            </w:r>
          </w:p>
        </w:tc>
        <w:tc>
          <w:tcPr>
            <w:tcW w:w="2655" w:type="dxa"/>
            <w:shd w:val="clear" w:color="auto" w:fill="auto"/>
          </w:tcPr>
          <w:p w14:paraId="112955E0" w14:textId="77777777" w:rsidR="002F6FC6" w:rsidRPr="003072C6" w:rsidRDefault="002F6FC6" w:rsidP="00262F9F">
            <w:pPr>
              <w:pStyle w:val="DHHStablecolhead"/>
            </w:pPr>
            <w:r>
              <w:t xml:space="preserve">Additional </w:t>
            </w:r>
            <w:r w:rsidR="00F85717">
              <w:t>parameters</w:t>
            </w:r>
          </w:p>
        </w:tc>
        <w:tc>
          <w:tcPr>
            <w:tcW w:w="1461" w:type="dxa"/>
          </w:tcPr>
          <w:p w14:paraId="137C6548" w14:textId="77777777" w:rsidR="002F6FC6" w:rsidRPr="003072C6" w:rsidRDefault="002F6FC6" w:rsidP="00262F9F">
            <w:pPr>
              <w:pStyle w:val="DHHStablecolhead"/>
            </w:pPr>
            <w:r>
              <w:t>Follow-up action</w:t>
            </w:r>
          </w:p>
        </w:tc>
      </w:tr>
      <w:tr w:rsidR="00B01BDA" w:rsidRPr="003072C6" w14:paraId="0D9CBA55" w14:textId="77777777" w:rsidTr="4388C7FB">
        <w:tc>
          <w:tcPr>
            <w:tcW w:w="1095" w:type="dxa"/>
            <w:shd w:val="clear" w:color="auto" w:fill="auto"/>
          </w:tcPr>
          <w:p w14:paraId="59323D2B" w14:textId="77777777" w:rsidR="00B01BDA" w:rsidRPr="003072C6" w:rsidRDefault="00B01BDA" w:rsidP="00262F9F">
            <w:pPr>
              <w:pStyle w:val="DHHStabletext"/>
            </w:pPr>
            <w:r>
              <w:t>Major</w:t>
            </w:r>
          </w:p>
        </w:tc>
        <w:tc>
          <w:tcPr>
            <w:tcW w:w="2670" w:type="dxa"/>
            <w:shd w:val="clear" w:color="auto" w:fill="auto"/>
          </w:tcPr>
          <w:p w14:paraId="24FB81CE" w14:textId="77777777" w:rsidR="00B01BDA" w:rsidRDefault="00B01BDA" w:rsidP="00262F9F">
            <w:pPr>
              <w:pStyle w:val="DHHStabletext"/>
            </w:pPr>
            <w:r>
              <w:t>Physical abuse</w:t>
            </w:r>
          </w:p>
        </w:tc>
        <w:tc>
          <w:tcPr>
            <w:tcW w:w="1470" w:type="dxa"/>
            <w:shd w:val="clear" w:color="auto" w:fill="auto"/>
          </w:tcPr>
          <w:p w14:paraId="6CFAE63C" w14:textId="77777777" w:rsidR="00B01BDA" w:rsidRPr="003072C6" w:rsidRDefault="00B01BDA" w:rsidP="00262F9F">
            <w:pPr>
              <w:pStyle w:val="DHHStablebullet1"/>
              <w:numPr>
                <w:ilvl w:val="0"/>
                <w:numId w:val="0"/>
              </w:numPr>
            </w:pPr>
            <w:r>
              <w:t>Victim</w:t>
            </w:r>
          </w:p>
        </w:tc>
        <w:tc>
          <w:tcPr>
            <w:tcW w:w="2655" w:type="dxa"/>
            <w:shd w:val="clear" w:color="auto" w:fill="auto"/>
          </w:tcPr>
          <w:p w14:paraId="0D5E783E" w14:textId="46522EA7" w:rsidR="00B01BDA" w:rsidRPr="003072C6" w:rsidRDefault="4388C7FB" w:rsidP="00262F9F">
            <w:pPr>
              <w:pStyle w:val="DHHStablebullet1"/>
            </w:pPr>
            <w:r>
              <w:t>Incident type - more information is: staff to client or client to client</w:t>
            </w:r>
          </w:p>
        </w:tc>
        <w:tc>
          <w:tcPr>
            <w:tcW w:w="1461" w:type="dxa"/>
          </w:tcPr>
          <w:p w14:paraId="5F615202" w14:textId="77777777" w:rsidR="00B01BDA" w:rsidRPr="003072C6" w:rsidRDefault="00B01BDA" w:rsidP="00262F9F">
            <w:pPr>
              <w:pStyle w:val="DHHStablebullet1"/>
              <w:numPr>
                <w:ilvl w:val="0"/>
                <w:numId w:val="0"/>
              </w:numPr>
            </w:pPr>
            <w:r>
              <w:t>Investigation</w:t>
            </w:r>
          </w:p>
        </w:tc>
      </w:tr>
      <w:tr w:rsidR="00B01BDA" w:rsidRPr="003072C6" w14:paraId="2FF83C69" w14:textId="77777777" w:rsidTr="4388C7FB">
        <w:tc>
          <w:tcPr>
            <w:tcW w:w="1095" w:type="dxa"/>
            <w:shd w:val="clear" w:color="auto" w:fill="auto"/>
          </w:tcPr>
          <w:p w14:paraId="18B7224D" w14:textId="77777777" w:rsidR="00B01BDA" w:rsidRPr="003072C6" w:rsidRDefault="00B01BDA" w:rsidP="00262F9F">
            <w:pPr>
              <w:pStyle w:val="DHHStabletext"/>
            </w:pPr>
            <w:r>
              <w:t>Major</w:t>
            </w:r>
          </w:p>
        </w:tc>
        <w:tc>
          <w:tcPr>
            <w:tcW w:w="2670" w:type="dxa"/>
            <w:shd w:val="clear" w:color="auto" w:fill="auto"/>
          </w:tcPr>
          <w:p w14:paraId="224A1FE8" w14:textId="77777777" w:rsidR="00B01BDA" w:rsidRPr="003072C6" w:rsidRDefault="00B01BDA" w:rsidP="00262F9F">
            <w:pPr>
              <w:pStyle w:val="DHHStabletext"/>
            </w:pPr>
            <w:r>
              <w:t>Sexual abuse</w:t>
            </w:r>
          </w:p>
        </w:tc>
        <w:tc>
          <w:tcPr>
            <w:tcW w:w="1470" w:type="dxa"/>
            <w:shd w:val="clear" w:color="auto" w:fill="auto"/>
          </w:tcPr>
          <w:p w14:paraId="02B93112" w14:textId="77777777" w:rsidR="00B01BDA" w:rsidRPr="003072C6" w:rsidRDefault="00B01BDA" w:rsidP="00262F9F">
            <w:pPr>
              <w:pStyle w:val="DHHStablebullet1"/>
              <w:numPr>
                <w:ilvl w:val="0"/>
                <w:numId w:val="0"/>
              </w:numPr>
            </w:pPr>
            <w:r>
              <w:t>Victim</w:t>
            </w:r>
          </w:p>
        </w:tc>
        <w:tc>
          <w:tcPr>
            <w:tcW w:w="2655" w:type="dxa"/>
            <w:shd w:val="clear" w:color="auto" w:fill="auto"/>
          </w:tcPr>
          <w:p w14:paraId="41C95FAE" w14:textId="59D4A27F" w:rsidR="00B01BDA" w:rsidRPr="003072C6" w:rsidRDefault="4388C7FB" w:rsidP="00262F9F">
            <w:pPr>
              <w:pStyle w:val="DHHStablebullet1"/>
            </w:pPr>
            <w:r>
              <w:t>Incident type - more information is: staff to client or client to client</w:t>
            </w:r>
          </w:p>
        </w:tc>
        <w:tc>
          <w:tcPr>
            <w:tcW w:w="1461" w:type="dxa"/>
          </w:tcPr>
          <w:p w14:paraId="2B54E7BC" w14:textId="77777777" w:rsidR="00B01BDA" w:rsidRPr="003072C6" w:rsidRDefault="00B01BDA" w:rsidP="00262F9F">
            <w:pPr>
              <w:pStyle w:val="DHHStablebullet1"/>
              <w:numPr>
                <w:ilvl w:val="0"/>
                <w:numId w:val="0"/>
              </w:numPr>
            </w:pPr>
            <w:r>
              <w:t>Investigation</w:t>
            </w:r>
          </w:p>
        </w:tc>
      </w:tr>
      <w:tr w:rsidR="00B01BDA" w:rsidRPr="003072C6" w14:paraId="08A14E10" w14:textId="77777777" w:rsidTr="4388C7FB">
        <w:tc>
          <w:tcPr>
            <w:tcW w:w="1095" w:type="dxa"/>
            <w:shd w:val="clear" w:color="auto" w:fill="auto"/>
          </w:tcPr>
          <w:p w14:paraId="0BF43459" w14:textId="77777777" w:rsidR="00B01BDA" w:rsidRPr="003072C6" w:rsidRDefault="00B01BDA" w:rsidP="00262F9F">
            <w:pPr>
              <w:pStyle w:val="DHHStabletext"/>
            </w:pPr>
            <w:r>
              <w:t>Major</w:t>
            </w:r>
          </w:p>
        </w:tc>
        <w:tc>
          <w:tcPr>
            <w:tcW w:w="2670" w:type="dxa"/>
            <w:shd w:val="clear" w:color="auto" w:fill="auto"/>
          </w:tcPr>
          <w:p w14:paraId="4F6DDFCF" w14:textId="77777777" w:rsidR="00B01BDA" w:rsidRPr="003072C6" w:rsidRDefault="00B01BDA" w:rsidP="00262F9F">
            <w:pPr>
              <w:pStyle w:val="DHHStabletext"/>
            </w:pPr>
            <w:r>
              <w:t>Sexual exploitation</w:t>
            </w:r>
          </w:p>
        </w:tc>
        <w:tc>
          <w:tcPr>
            <w:tcW w:w="1470" w:type="dxa"/>
            <w:shd w:val="clear" w:color="auto" w:fill="auto"/>
          </w:tcPr>
          <w:p w14:paraId="13C34A81" w14:textId="77777777" w:rsidR="00B01BDA" w:rsidRPr="003072C6" w:rsidRDefault="00B01BDA" w:rsidP="00262F9F">
            <w:pPr>
              <w:pStyle w:val="DHHStablebullet1"/>
              <w:numPr>
                <w:ilvl w:val="0"/>
                <w:numId w:val="0"/>
              </w:numPr>
            </w:pPr>
            <w:r>
              <w:t>Victim</w:t>
            </w:r>
          </w:p>
        </w:tc>
        <w:tc>
          <w:tcPr>
            <w:tcW w:w="2655" w:type="dxa"/>
            <w:shd w:val="clear" w:color="auto" w:fill="auto"/>
          </w:tcPr>
          <w:p w14:paraId="7D8C9EBA" w14:textId="4D6AB635" w:rsidR="00B01BDA" w:rsidRPr="003072C6" w:rsidRDefault="4388C7FB" w:rsidP="00262F9F">
            <w:pPr>
              <w:pStyle w:val="DHHStablebullet1"/>
            </w:pPr>
            <w:r>
              <w:t>Incident type - more information is: staff to client or client to client</w:t>
            </w:r>
          </w:p>
        </w:tc>
        <w:tc>
          <w:tcPr>
            <w:tcW w:w="1461" w:type="dxa"/>
          </w:tcPr>
          <w:p w14:paraId="63519351" w14:textId="77777777" w:rsidR="00B01BDA" w:rsidRPr="003072C6" w:rsidRDefault="00B01BDA" w:rsidP="00262F9F">
            <w:pPr>
              <w:pStyle w:val="DHHStablebullet1"/>
              <w:numPr>
                <w:ilvl w:val="0"/>
                <w:numId w:val="0"/>
              </w:numPr>
            </w:pPr>
            <w:r>
              <w:t>Investigation</w:t>
            </w:r>
          </w:p>
        </w:tc>
      </w:tr>
      <w:tr w:rsidR="00B01BDA" w:rsidRPr="003072C6" w14:paraId="558217C4" w14:textId="77777777" w:rsidTr="4388C7FB">
        <w:tc>
          <w:tcPr>
            <w:tcW w:w="1095" w:type="dxa"/>
            <w:shd w:val="clear" w:color="auto" w:fill="auto"/>
          </w:tcPr>
          <w:p w14:paraId="50144CA1" w14:textId="77777777" w:rsidR="00B01BDA" w:rsidRPr="003072C6" w:rsidRDefault="00B01BDA" w:rsidP="00262F9F">
            <w:pPr>
              <w:pStyle w:val="DHHStabletext"/>
            </w:pPr>
            <w:r>
              <w:t>Major</w:t>
            </w:r>
          </w:p>
        </w:tc>
        <w:tc>
          <w:tcPr>
            <w:tcW w:w="2670" w:type="dxa"/>
            <w:shd w:val="clear" w:color="auto" w:fill="auto"/>
          </w:tcPr>
          <w:p w14:paraId="6229ED14" w14:textId="77777777" w:rsidR="00B01BDA" w:rsidRDefault="00B01BDA" w:rsidP="00262F9F">
            <w:pPr>
              <w:pStyle w:val="DHHStabletext"/>
            </w:pPr>
            <w:r>
              <w:t>Financial abuse</w:t>
            </w:r>
          </w:p>
        </w:tc>
        <w:tc>
          <w:tcPr>
            <w:tcW w:w="1470" w:type="dxa"/>
            <w:shd w:val="clear" w:color="auto" w:fill="auto"/>
          </w:tcPr>
          <w:p w14:paraId="395A501B" w14:textId="77777777" w:rsidR="00B01BDA" w:rsidRPr="003072C6" w:rsidRDefault="00B01BDA" w:rsidP="00262F9F">
            <w:pPr>
              <w:pStyle w:val="DHHStablebullet1"/>
              <w:numPr>
                <w:ilvl w:val="0"/>
                <w:numId w:val="0"/>
              </w:numPr>
            </w:pPr>
            <w:r>
              <w:t>Victim</w:t>
            </w:r>
          </w:p>
        </w:tc>
        <w:tc>
          <w:tcPr>
            <w:tcW w:w="2655" w:type="dxa"/>
            <w:shd w:val="clear" w:color="auto" w:fill="auto"/>
          </w:tcPr>
          <w:p w14:paraId="62131A7B" w14:textId="11DCE174" w:rsidR="00B01BDA" w:rsidRPr="003072C6" w:rsidRDefault="4388C7FB" w:rsidP="00262F9F">
            <w:pPr>
              <w:pStyle w:val="DHHStablebullet1"/>
            </w:pPr>
            <w:r>
              <w:t>Incident type - more information is: staff to client or client to client</w:t>
            </w:r>
          </w:p>
        </w:tc>
        <w:tc>
          <w:tcPr>
            <w:tcW w:w="1461" w:type="dxa"/>
          </w:tcPr>
          <w:p w14:paraId="765FFBA1" w14:textId="77777777" w:rsidR="00B01BDA" w:rsidRPr="003072C6" w:rsidRDefault="00B01BDA" w:rsidP="00262F9F">
            <w:pPr>
              <w:pStyle w:val="DHHStablebullet1"/>
              <w:numPr>
                <w:ilvl w:val="0"/>
                <w:numId w:val="0"/>
              </w:numPr>
            </w:pPr>
            <w:r>
              <w:t>Investigation</w:t>
            </w:r>
          </w:p>
        </w:tc>
      </w:tr>
      <w:tr w:rsidR="002F6FC6" w:rsidRPr="003072C6" w14:paraId="4332D895" w14:textId="77777777" w:rsidTr="4388C7FB">
        <w:tc>
          <w:tcPr>
            <w:tcW w:w="1095" w:type="dxa"/>
            <w:shd w:val="clear" w:color="auto" w:fill="auto"/>
          </w:tcPr>
          <w:p w14:paraId="3AD4E4E3" w14:textId="77777777" w:rsidR="002F6FC6" w:rsidRPr="003072C6" w:rsidRDefault="002F6FC6" w:rsidP="00262F9F">
            <w:pPr>
              <w:pStyle w:val="DHHStabletext"/>
            </w:pPr>
            <w:r>
              <w:t>Major</w:t>
            </w:r>
          </w:p>
        </w:tc>
        <w:tc>
          <w:tcPr>
            <w:tcW w:w="2670" w:type="dxa"/>
            <w:shd w:val="clear" w:color="auto" w:fill="auto"/>
          </w:tcPr>
          <w:p w14:paraId="45BD36EC" w14:textId="77777777" w:rsidR="002F6FC6" w:rsidRPr="003072C6" w:rsidRDefault="002F6FC6" w:rsidP="00262F9F">
            <w:pPr>
              <w:pStyle w:val="DHHStabletext"/>
            </w:pPr>
            <w:r>
              <w:t>Emotional / psychological abuse</w:t>
            </w:r>
          </w:p>
        </w:tc>
        <w:tc>
          <w:tcPr>
            <w:tcW w:w="1470" w:type="dxa"/>
            <w:shd w:val="clear" w:color="auto" w:fill="auto"/>
          </w:tcPr>
          <w:p w14:paraId="7F08B644" w14:textId="77777777" w:rsidR="002F6FC6" w:rsidRPr="003072C6" w:rsidRDefault="002F6FC6" w:rsidP="002F6FC6">
            <w:pPr>
              <w:pStyle w:val="DHHStablebullet1"/>
              <w:numPr>
                <w:ilvl w:val="0"/>
                <w:numId w:val="0"/>
              </w:numPr>
            </w:pPr>
            <w:r>
              <w:t>Victim</w:t>
            </w:r>
          </w:p>
        </w:tc>
        <w:tc>
          <w:tcPr>
            <w:tcW w:w="2655" w:type="dxa"/>
            <w:shd w:val="clear" w:color="auto" w:fill="auto"/>
          </w:tcPr>
          <w:p w14:paraId="2A5AD9B1" w14:textId="61C1DC95" w:rsidR="002F6FC6" w:rsidRPr="003072C6" w:rsidRDefault="4388C7FB" w:rsidP="00EF61CA">
            <w:pPr>
              <w:pStyle w:val="DHHStablebullet1"/>
            </w:pPr>
            <w:r>
              <w:t>Incident type - more information is: staff to client or client to client</w:t>
            </w:r>
          </w:p>
        </w:tc>
        <w:tc>
          <w:tcPr>
            <w:tcW w:w="1461" w:type="dxa"/>
          </w:tcPr>
          <w:p w14:paraId="0CF7E994" w14:textId="77777777" w:rsidR="002F6FC6" w:rsidRPr="003072C6" w:rsidRDefault="002F6FC6" w:rsidP="00951FD0">
            <w:pPr>
              <w:pStyle w:val="DHHStablebullet1"/>
              <w:numPr>
                <w:ilvl w:val="0"/>
                <w:numId w:val="0"/>
              </w:numPr>
            </w:pPr>
            <w:r>
              <w:t>Investigation</w:t>
            </w:r>
          </w:p>
        </w:tc>
      </w:tr>
      <w:tr w:rsidR="00F85717" w:rsidRPr="003072C6" w14:paraId="2FEF74F2" w14:textId="77777777" w:rsidTr="4388C7FB">
        <w:tc>
          <w:tcPr>
            <w:tcW w:w="1095" w:type="dxa"/>
            <w:shd w:val="clear" w:color="auto" w:fill="auto"/>
          </w:tcPr>
          <w:p w14:paraId="186369E0" w14:textId="77777777" w:rsidR="00F85717" w:rsidRPr="003072C6" w:rsidRDefault="00F85717" w:rsidP="00F85717">
            <w:pPr>
              <w:pStyle w:val="DHHStabletext"/>
            </w:pPr>
            <w:r>
              <w:t>Major</w:t>
            </w:r>
          </w:p>
        </w:tc>
        <w:tc>
          <w:tcPr>
            <w:tcW w:w="2670" w:type="dxa"/>
            <w:shd w:val="clear" w:color="auto" w:fill="auto"/>
          </w:tcPr>
          <w:p w14:paraId="56268089" w14:textId="77777777" w:rsidR="00F85717" w:rsidRDefault="00F85717" w:rsidP="00F85717">
            <w:pPr>
              <w:pStyle w:val="DHHStabletext"/>
            </w:pPr>
            <w:r>
              <w:t>Poor quality of care</w:t>
            </w:r>
          </w:p>
        </w:tc>
        <w:tc>
          <w:tcPr>
            <w:tcW w:w="1470" w:type="dxa"/>
            <w:shd w:val="clear" w:color="auto" w:fill="auto"/>
          </w:tcPr>
          <w:p w14:paraId="6D39F206" w14:textId="77777777" w:rsidR="00F85717" w:rsidRDefault="00F85717" w:rsidP="00F85717">
            <w:pPr>
              <w:pStyle w:val="DHHStablebullet1"/>
              <w:numPr>
                <w:ilvl w:val="0"/>
                <w:numId w:val="0"/>
              </w:numPr>
            </w:pPr>
            <w:r>
              <w:t>Victim</w:t>
            </w:r>
          </w:p>
        </w:tc>
        <w:tc>
          <w:tcPr>
            <w:tcW w:w="2655" w:type="dxa"/>
            <w:shd w:val="clear" w:color="auto" w:fill="auto"/>
          </w:tcPr>
          <w:p w14:paraId="33122C94" w14:textId="653817DE" w:rsidR="00F85717" w:rsidRPr="003072C6" w:rsidRDefault="4388C7FB" w:rsidP="00F85717">
            <w:pPr>
              <w:pStyle w:val="DHHStablebullet1"/>
            </w:pPr>
            <w:r>
              <w:t>Incident type - more information is: staff to client</w:t>
            </w:r>
          </w:p>
        </w:tc>
        <w:tc>
          <w:tcPr>
            <w:tcW w:w="1461" w:type="dxa"/>
          </w:tcPr>
          <w:p w14:paraId="77742194" w14:textId="77777777" w:rsidR="00F85717" w:rsidRPr="003072C6" w:rsidRDefault="00951FD0" w:rsidP="00951FD0">
            <w:pPr>
              <w:pStyle w:val="DHHStablebullet1"/>
              <w:numPr>
                <w:ilvl w:val="0"/>
                <w:numId w:val="0"/>
              </w:numPr>
            </w:pPr>
            <w:r>
              <w:t>Investigation</w:t>
            </w:r>
          </w:p>
        </w:tc>
      </w:tr>
      <w:tr w:rsidR="00F85717" w:rsidRPr="003072C6" w14:paraId="6BA0D749" w14:textId="77777777" w:rsidTr="4388C7FB">
        <w:tc>
          <w:tcPr>
            <w:tcW w:w="1095" w:type="dxa"/>
            <w:shd w:val="clear" w:color="auto" w:fill="auto"/>
          </w:tcPr>
          <w:p w14:paraId="39F42636" w14:textId="77777777" w:rsidR="00F85717" w:rsidRPr="003072C6" w:rsidRDefault="00F85717" w:rsidP="00F85717">
            <w:pPr>
              <w:pStyle w:val="DHHStabletext"/>
            </w:pPr>
            <w:r>
              <w:t>Major</w:t>
            </w:r>
          </w:p>
        </w:tc>
        <w:tc>
          <w:tcPr>
            <w:tcW w:w="2670" w:type="dxa"/>
            <w:shd w:val="clear" w:color="auto" w:fill="auto"/>
          </w:tcPr>
          <w:p w14:paraId="56712425" w14:textId="77777777" w:rsidR="00F85717" w:rsidRDefault="00F85717" w:rsidP="00F85717">
            <w:pPr>
              <w:pStyle w:val="DHHStabletext"/>
            </w:pPr>
            <w:r>
              <w:t>Injury</w:t>
            </w:r>
          </w:p>
        </w:tc>
        <w:tc>
          <w:tcPr>
            <w:tcW w:w="1470" w:type="dxa"/>
            <w:shd w:val="clear" w:color="auto" w:fill="auto"/>
          </w:tcPr>
          <w:p w14:paraId="164A852A" w14:textId="77777777" w:rsidR="00F85717" w:rsidRDefault="00F85717" w:rsidP="00F85717">
            <w:pPr>
              <w:pStyle w:val="DHHStablebullet1"/>
              <w:numPr>
                <w:ilvl w:val="0"/>
                <w:numId w:val="0"/>
              </w:numPr>
            </w:pPr>
            <w:r>
              <w:t>Participant</w:t>
            </w:r>
          </w:p>
        </w:tc>
        <w:tc>
          <w:tcPr>
            <w:tcW w:w="2655" w:type="dxa"/>
            <w:shd w:val="clear" w:color="auto" w:fill="auto"/>
          </w:tcPr>
          <w:p w14:paraId="6BF0F972" w14:textId="77777777" w:rsidR="00F85717" w:rsidRPr="003072C6" w:rsidRDefault="00990CA5" w:rsidP="00F85717">
            <w:pPr>
              <w:pStyle w:val="DHHStablebullet1"/>
            </w:pPr>
            <w:r>
              <w:t>The i</w:t>
            </w:r>
            <w:r w:rsidR="00F85717">
              <w:t>njury is unexplained</w:t>
            </w:r>
          </w:p>
        </w:tc>
        <w:tc>
          <w:tcPr>
            <w:tcW w:w="1461" w:type="dxa"/>
          </w:tcPr>
          <w:p w14:paraId="5B1955E8" w14:textId="77777777" w:rsidR="00F85717" w:rsidRPr="003072C6" w:rsidRDefault="00951FD0" w:rsidP="00951FD0">
            <w:pPr>
              <w:pStyle w:val="DHHStablebullet1"/>
              <w:numPr>
                <w:ilvl w:val="0"/>
                <w:numId w:val="0"/>
              </w:numPr>
            </w:pPr>
            <w:r>
              <w:t>Investigation</w:t>
            </w:r>
          </w:p>
        </w:tc>
      </w:tr>
      <w:tr w:rsidR="00F85717" w:rsidRPr="003072C6" w14:paraId="0AB7A981" w14:textId="77777777" w:rsidTr="4388C7FB">
        <w:tc>
          <w:tcPr>
            <w:tcW w:w="1095" w:type="dxa"/>
            <w:shd w:val="clear" w:color="auto" w:fill="auto"/>
          </w:tcPr>
          <w:p w14:paraId="5714BAB8" w14:textId="77777777" w:rsidR="00F85717" w:rsidRPr="003072C6" w:rsidRDefault="00F85717" w:rsidP="00F85717">
            <w:pPr>
              <w:pStyle w:val="DHHStabletext"/>
            </w:pPr>
            <w:r>
              <w:t>Major</w:t>
            </w:r>
          </w:p>
        </w:tc>
        <w:tc>
          <w:tcPr>
            <w:tcW w:w="2670" w:type="dxa"/>
            <w:shd w:val="clear" w:color="auto" w:fill="auto"/>
          </w:tcPr>
          <w:p w14:paraId="39AEF3C9" w14:textId="157DF251" w:rsidR="00F85717" w:rsidRDefault="00F85717" w:rsidP="00F85717">
            <w:pPr>
              <w:pStyle w:val="DHHStabletext"/>
            </w:pPr>
            <w:r>
              <w:t>Incident types other than abuse</w:t>
            </w:r>
            <w:r w:rsidR="00931D70">
              <w:t xml:space="preserve"> (staff to client or client to client)</w:t>
            </w:r>
            <w:r>
              <w:t xml:space="preserve">, poor quality of care, or </w:t>
            </w:r>
            <w:r w:rsidR="00951FD0">
              <w:t xml:space="preserve">unexplained </w:t>
            </w:r>
            <w:r>
              <w:t xml:space="preserve">injury </w:t>
            </w:r>
          </w:p>
        </w:tc>
        <w:tc>
          <w:tcPr>
            <w:tcW w:w="1470" w:type="dxa"/>
            <w:shd w:val="clear" w:color="auto" w:fill="auto"/>
          </w:tcPr>
          <w:p w14:paraId="4F8C78E1" w14:textId="77777777" w:rsidR="00F85717" w:rsidRDefault="00F85717" w:rsidP="00F85717">
            <w:pPr>
              <w:pStyle w:val="DHHStablebullet1"/>
              <w:numPr>
                <w:ilvl w:val="0"/>
                <w:numId w:val="0"/>
              </w:numPr>
            </w:pPr>
            <w:r>
              <w:t>Any</w:t>
            </w:r>
          </w:p>
        </w:tc>
        <w:tc>
          <w:tcPr>
            <w:tcW w:w="2655" w:type="dxa"/>
            <w:shd w:val="clear" w:color="auto" w:fill="auto"/>
          </w:tcPr>
          <w:p w14:paraId="759DB5A4" w14:textId="77777777" w:rsidR="00F85717" w:rsidRPr="003072C6" w:rsidRDefault="00F85717" w:rsidP="00F85717">
            <w:pPr>
              <w:pStyle w:val="DHHStablebullet1"/>
            </w:pPr>
            <w:r>
              <w:t xml:space="preserve">Service </w:t>
            </w:r>
            <w:r w:rsidRPr="00115A95">
              <w:t>processes and systems were not, or do not appear to be, a significant causal or contributing factor</w:t>
            </w:r>
          </w:p>
        </w:tc>
        <w:tc>
          <w:tcPr>
            <w:tcW w:w="1461" w:type="dxa"/>
          </w:tcPr>
          <w:p w14:paraId="6603927A" w14:textId="77777777" w:rsidR="00F85717" w:rsidRPr="003072C6" w:rsidRDefault="00F85717" w:rsidP="00951FD0">
            <w:pPr>
              <w:pStyle w:val="DHHStablebullet1"/>
              <w:numPr>
                <w:ilvl w:val="0"/>
                <w:numId w:val="0"/>
              </w:numPr>
            </w:pPr>
            <w:r>
              <w:t>Case review</w:t>
            </w:r>
          </w:p>
        </w:tc>
      </w:tr>
      <w:tr w:rsidR="00F85717" w:rsidRPr="003072C6" w14:paraId="438FC4C5" w14:textId="77777777" w:rsidTr="4388C7FB">
        <w:tc>
          <w:tcPr>
            <w:tcW w:w="1095" w:type="dxa"/>
            <w:shd w:val="clear" w:color="auto" w:fill="auto"/>
          </w:tcPr>
          <w:p w14:paraId="5913FC2B" w14:textId="77777777" w:rsidR="00F85717" w:rsidRPr="003072C6" w:rsidRDefault="00F85717" w:rsidP="00F85717">
            <w:pPr>
              <w:pStyle w:val="DHHStabletext"/>
            </w:pPr>
            <w:r>
              <w:t>Major</w:t>
            </w:r>
          </w:p>
        </w:tc>
        <w:tc>
          <w:tcPr>
            <w:tcW w:w="2670" w:type="dxa"/>
            <w:shd w:val="clear" w:color="auto" w:fill="auto"/>
          </w:tcPr>
          <w:p w14:paraId="0DA1AEE0" w14:textId="2C129681" w:rsidR="00F85717" w:rsidRDefault="00F85717" w:rsidP="00F85717">
            <w:pPr>
              <w:pStyle w:val="DHHStabletext"/>
            </w:pPr>
            <w:r>
              <w:t>Incident types other than abuse</w:t>
            </w:r>
            <w:r w:rsidR="00931D70">
              <w:t xml:space="preserve"> (staff to client or client to client)</w:t>
            </w:r>
            <w:r>
              <w:t xml:space="preserve">, poor quality of care, or </w:t>
            </w:r>
            <w:r w:rsidR="00951FD0">
              <w:t xml:space="preserve">unexplained </w:t>
            </w:r>
            <w:r>
              <w:t>injur</w:t>
            </w:r>
            <w:r w:rsidR="00951FD0">
              <w:t>y</w:t>
            </w:r>
            <w:r>
              <w:t xml:space="preserve"> </w:t>
            </w:r>
          </w:p>
        </w:tc>
        <w:tc>
          <w:tcPr>
            <w:tcW w:w="1470" w:type="dxa"/>
            <w:shd w:val="clear" w:color="auto" w:fill="auto"/>
          </w:tcPr>
          <w:p w14:paraId="1F5E0C7E" w14:textId="77777777" w:rsidR="00F85717" w:rsidRDefault="00F85717" w:rsidP="00F85717">
            <w:pPr>
              <w:pStyle w:val="DHHStablebullet1"/>
              <w:numPr>
                <w:ilvl w:val="0"/>
                <w:numId w:val="0"/>
              </w:numPr>
            </w:pPr>
            <w:r>
              <w:t>Any</w:t>
            </w:r>
          </w:p>
        </w:tc>
        <w:tc>
          <w:tcPr>
            <w:tcW w:w="2655" w:type="dxa"/>
            <w:shd w:val="clear" w:color="auto" w:fill="auto"/>
          </w:tcPr>
          <w:p w14:paraId="34B875D2" w14:textId="77777777" w:rsidR="00F85717" w:rsidRPr="003072C6" w:rsidRDefault="00F85717" w:rsidP="00F85717">
            <w:pPr>
              <w:pStyle w:val="DHHStablebullet1"/>
            </w:pPr>
            <w:r>
              <w:t>Service processes and systems were, or appear to be, a significant causal or contributing factor</w:t>
            </w:r>
          </w:p>
        </w:tc>
        <w:tc>
          <w:tcPr>
            <w:tcW w:w="1461" w:type="dxa"/>
          </w:tcPr>
          <w:p w14:paraId="33EEE2E8" w14:textId="77777777" w:rsidR="00F85717" w:rsidRPr="003072C6" w:rsidRDefault="00F85717" w:rsidP="00951FD0">
            <w:pPr>
              <w:pStyle w:val="DHHStablebullet1"/>
              <w:numPr>
                <w:ilvl w:val="0"/>
                <w:numId w:val="0"/>
              </w:numPr>
            </w:pPr>
            <w:r>
              <w:t>Root cause analysis</w:t>
            </w:r>
          </w:p>
        </w:tc>
      </w:tr>
    </w:tbl>
    <w:p w14:paraId="7722230A" w14:textId="77777777" w:rsidR="00951FD0" w:rsidRPr="00F73E28" w:rsidRDefault="00951FD0" w:rsidP="00173849">
      <w:pPr>
        <w:pStyle w:val="DHHStablefigurenote"/>
      </w:pPr>
      <w:r w:rsidRPr="00F73E28">
        <w:t xml:space="preserve">Note: </w:t>
      </w:r>
      <w:r w:rsidR="00115A95" w:rsidRPr="00F73E28">
        <w:t>If one client meets the criteria for investigation, t</w:t>
      </w:r>
      <w:r w:rsidR="000B7AB9" w:rsidRPr="00F73E28">
        <w:t xml:space="preserve">he incident will </w:t>
      </w:r>
      <w:r w:rsidR="00115A95" w:rsidRPr="00F73E28">
        <w:t xml:space="preserve">automatically </w:t>
      </w:r>
      <w:r w:rsidR="000B7AB9" w:rsidRPr="00F73E28">
        <w:t xml:space="preserve">progress to investigation </w:t>
      </w:r>
      <w:r w:rsidR="00115A95" w:rsidRPr="00F73E28">
        <w:t xml:space="preserve">irrespective of the incident parameters </w:t>
      </w:r>
      <w:r w:rsidR="00990CA5" w:rsidRPr="00F73E28">
        <w:t>for</w:t>
      </w:r>
      <w:r w:rsidR="00115A95" w:rsidRPr="00F73E28">
        <w:t xml:space="preserve"> </w:t>
      </w:r>
      <w:r w:rsidR="004C48B4" w:rsidRPr="00F73E28">
        <w:t xml:space="preserve">any </w:t>
      </w:r>
      <w:r w:rsidR="00115A95" w:rsidRPr="00F73E28">
        <w:t>other clients included in the incident report</w:t>
      </w:r>
    </w:p>
    <w:p w14:paraId="10D2E8CB" w14:textId="77777777" w:rsidR="00294CFF" w:rsidRPr="00F73E28" w:rsidRDefault="00294CFF" w:rsidP="00294CFF">
      <w:pPr>
        <w:pStyle w:val="DHHStablefigurenote"/>
      </w:pPr>
      <w:r w:rsidRPr="00F73E28">
        <w:t>Note: Where Injury is given as either the primary or secondary incident type, it will be further classified in CIMS IT as resulting from known cause</w:t>
      </w:r>
      <w:r w:rsidR="005E71D7" w:rsidRPr="00F73E28">
        <w:t>/s</w:t>
      </w:r>
      <w:r w:rsidRPr="00F73E28">
        <w:t xml:space="preserve"> (explained injury) or from unknown cause</w:t>
      </w:r>
      <w:r w:rsidR="005E71D7" w:rsidRPr="00F73E28">
        <w:t>/</w:t>
      </w:r>
      <w:r w:rsidRPr="00F73E28">
        <w:t>s (unexplained injury).</w:t>
      </w:r>
    </w:p>
    <w:p w14:paraId="036A8C41" w14:textId="77777777" w:rsidR="004226FE" w:rsidRDefault="00990CA5" w:rsidP="000E42EE">
      <w:pPr>
        <w:pStyle w:val="DHHSbodyaftertablefigure"/>
      </w:pPr>
      <w:r>
        <w:t>In instances</w:t>
      </w:r>
      <w:r w:rsidR="00910D16">
        <w:t xml:space="preserve"> where </w:t>
      </w:r>
      <w:r>
        <w:t>the information and evidence available (such as CCTV footage) enables a conclusion to be reached</w:t>
      </w:r>
      <w:r w:rsidR="004C48B4">
        <w:t xml:space="preserve"> </w:t>
      </w:r>
      <w:r w:rsidR="00656201">
        <w:t xml:space="preserve">during </w:t>
      </w:r>
      <w:r w:rsidR="00BD6A6F">
        <w:t xml:space="preserve">the </w:t>
      </w:r>
      <w:r w:rsidR="00656201">
        <w:t xml:space="preserve">initial follow </w:t>
      </w:r>
      <w:r w:rsidR="00656201" w:rsidRPr="00656201">
        <w:t>up and assessment</w:t>
      </w:r>
      <w:r w:rsidR="003579B9" w:rsidRPr="00656201">
        <w:t xml:space="preserve"> </w:t>
      </w:r>
      <w:r w:rsidR="004C48B4" w:rsidRPr="00656201">
        <w:t>as to</w:t>
      </w:r>
      <w:r w:rsidRPr="00656201">
        <w:t xml:space="preserve"> whether allegations can (or cannot) be substantiated</w:t>
      </w:r>
      <w:r w:rsidR="004226FE" w:rsidRPr="00656201">
        <w:t xml:space="preserve">, service providers </w:t>
      </w:r>
      <w:r w:rsidR="00706CE4" w:rsidRPr="00656201">
        <w:t>can</w:t>
      </w:r>
      <w:r w:rsidR="000E42EE" w:rsidRPr="00656201">
        <w:t xml:space="preserve"> </w:t>
      </w:r>
      <w:r w:rsidR="00276A06">
        <w:t xml:space="preserve">continue to </w:t>
      </w:r>
      <w:r w:rsidR="004226FE" w:rsidRPr="00656201">
        <w:t>use the</w:t>
      </w:r>
      <w:r w:rsidR="004226FE">
        <w:t xml:space="preserve"> </w:t>
      </w:r>
      <w:r w:rsidR="004226FE" w:rsidRPr="00D60B89">
        <w:rPr>
          <w:i/>
        </w:rPr>
        <w:t xml:space="preserve">Investigation outcome and case review </w:t>
      </w:r>
      <w:r w:rsidR="004226FE">
        <w:t xml:space="preserve">template </w:t>
      </w:r>
      <w:r w:rsidR="000E42EE">
        <w:t>or</w:t>
      </w:r>
      <w:r w:rsidR="004226FE">
        <w:t xml:space="preserve"> </w:t>
      </w:r>
      <w:r w:rsidR="004226FE" w:rsidRPr="00D60B89">
        <w:rPr>
          <w:i/>
        </w:rPr>
        <w:t>Investigation outcome and root cause analysis</w:t>
      </w:r>
      <w:r w:rsidR="004226FE" w:rsidRPr="00D60B89">
        <w:t xml:space="preserve"> template</w:t>
      </w:r>
      <w:r w:rsidR="004226FE">
        <w:t xml:space="preserve"> to advise the department of the investigation outcome (substantiated or not substantiated), the rationale </w:t>
      </w:r>
      <w:r w:rsidR="000E42EE">
        <w:t>for not further investigating, the evidence that supports th</w:t>
      </w:r>
      <w:r w:rsidR="008E1085">
        <w:t>at</w:t>
      </w:r>
      <w:r w:rsidR="000E42EE">
        <w:t xml:space="preserve"> outcome, and </w:t>
      </w:r>
      <w:r w:rsidR="00910D16">
        <w:t xml:space="preserve">the approach and </w:t>
      </w:r>
      <w:r w:rsidR="000E42EE">
        <w:t>findings</w:t>
      </w:r>
      <w:r w:rsidR="003008DE">
        <w:t xml:space="preserve"> of the subsequent review</w:t>
      </w:r>
      <w:r w:rsidR="003579B9">
        <w:t>.</w:t>
      </w:r>
      <w:r w:rsidR="000E42EE" w:rsidRPr="000E42EE">
        <w:t xml:space="preserve"> </w:t>
      </w:r>
    </w:p>
    <w:p w14:paraId="0B54EBAB" w14:textId="77777777" w:rsidR="000E42EE" w:rsidRDefault="00AE3AF9" w:rsidP="000E42EE">
      <w:pPr>
        <w:pStyle w:val="DHHSbody"/>
      </w:pPr>
      <w:r>
        <w:t>A summary of the follow-up</w:t>
      </w:r>
      <w:r w:rsidR="000E42EE">
        <w:t xml:space="preserve"> process is outlined in Figure 2.</w:t>
      </w:r>
      <w:r w:rsidR="00131145">
        <w:t xml:space="preserve"> </w:t>
      </w:r>
    </w:p>
    <w:p w14:paraId="51179B75" w14:textId="31174242" w:rsidR="000E42EE" w:rsidRPr="003072C6" w:rsidRDefault="000E42EE" w:rsidP="000E42EE">
      <w:pPr>
        <w:pStyle w:val="DHHSfigurecaption"/>
      </w:pPr>
      <w:r>
        <w:lastRenderedPageBreak/>
        <w:t xml:space="preserve">Figure </w:t>
      </w:r>
      <w:r w:rsidR="00E732C5">
        <w:t>2</w:t>
      </w:r>
      <w:r>
        <w:t xml:space="preserve">: </w:t>
      </w:r>
      <w:r w:rsidR="0003750A">
        <w:t>F</w:t>
      </w:r>
      <w:r w:rsidR="00131145">
        <w:t>ollow-up action</w:t>
      </w:r>
      <w:r w:rsidR="0003750A">
        <w:t>s</w:t>
      </w:r>
      <w:r w:rsidR="00131145">
        <w:t xml:space="preserve"> after</w:t>
      </w:r>
      <w:r>
        <w:t xml:space="preserve"> </w:t>
      </w:r>
      <w:r w:rsidR="00131145">
        <w:t xml:space="preserve">a </w:t>
      </w:r>
      <w:r>
        <w:t>major impact incident</w:t>
      </w:r>
      <w:r w:rsidR="0003750A">
        <w:t xml:space="preserve"> </w:t>
      </w:r>
    </w:p>
    <w:p w14:paraId="44EAFD9C" w14:textId="57D57249" w:rsidR="000E42EE" w:rsidRPr="003072C6" w:rsidRDefault="002979EE" w:rsidP="000E42EE">
      <w:pPr>
        <w:pStyle w:val="DHHSbody"/>
      </w:pPr>
      <w:r>
        <w:rPr>
          <w:noProof/>
        </w:rPr>
        <w:drawing>
          <wp:inline distT="0" distB="0" distL="0" distR="0" wp14:anchorId="67369B26" wp14:editId="631C6A61">
            <wp:extent cx="5885815" cy="4790440"/>
            <wp:effectExtent l="0" t="0" r="635" b="0"/>
            <wp:docPr id="3" name="Picture 3" descr="This flowchart provides an overview of the steps for identifying the required follow-up action, as described in 'Determining follow-up actions after a major impact incident' and Tabl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885815" cy="4790440"/>
                    </a:xfrm>
                    <a:prstGeom prst="rect">
                      <a:avLst/>
                    </a:prstGeom>
                    <a:noFill/>
                  </pic:spPr>
                </pic:pic>
              </a:graphicData>
            </a:graphic>
          </wp:inline>
        </w:drawing>
      </w:r>
    </w:p>
    <w:p w14:paraId="6E2A2AC9" w14:textId="295995E8" w:rsidR="000E42EE" w:rsidRDefault="00AE3C7C" w:rsidP="00AE3C7C">
      <w:pPr>
        <w:pStyle w:val="DHHStablefigurenote"/>
      </w:pPr>
      <w:r>
        <w:t>Note: References to staff members also include people who are volunteers</w:t>
      </w:r>
    </w:p>
    <w:p w14:paraId="0D6D264A" w14:textId="77777777" w:rsidR="00173849" w:rsidRPr="003072C6" w:rsidRDefault="0076312A" w:rsidP="00173849">
      <w:pPr>
        <w:pStyle w:val="Heading2"/>
      </w:pPr>
      <w:bookmarkStart w:id="7" w:name="_Toc27560417"/>
      <w:bookmarkEnd w:id="6"/>
      <w:r>
        <w:t>Providing</w:t>
      </w:r>
      <w:r w:rsidR="004E67FE">
        <w:t xml:space="preserve"> case review reports to the department</w:t>
      </w:r>
      <w:bookmarkEnd w:id="7"/>
    </w:p>
    <w:p w14:paraId="4EFC3310" w14:textId="5E697C8A" w:rsidR="00DF40CA" w:rsidRPr="007658A8" w:rsidRDefault="00DF40CA" w:rsidP="00DF40CA">
      <w:pPr>
        <w:pStyle w:val="DHHSbodyafterbullets"/>
      </w:pPr>
      <w:r w:rsidRPr="007658A8">
        <w:t xml:space="preserve">Approximately 65 per cent of major impact incidents under </w:t>
      </w:r>
      <w:r w:rsidR="00B0474D">
        <w:t xml:space="preserve">the </w:t>
      </w:r>
      <w:r w:rsidRPr="007658A8">
        <w:t xml:space="preserve">CIMS progress to case review. </w:t>
      </w:r>
    </w:p>
    <w:p w14:paraId="492AE820" w14:textId="77777777" w:rsidR="00176171" w:rsidRDefault="005616F1" w:rsidP="00173849">
      <w:pPr>
        <w:pStyle w:val="DHHSbody"/>
      </w:pPr>
      <w:r>
        <w:t>Service</w:t>
      </w:r>
      <w:r w:rsidR="00176171">
        <w:t xml:space="preserve"> providers are required to have robust, documented processes in place for carrying out or commissioning incident reviews under the CIMS</w:t>
      </w:r>
      <w:r w:rsidR="00F73E28">
        <w:t xml:space="preserve"> to answer one or both of the following questions:</w:t>
      </w:r>
    </w:p>
    <w:p w14:paraId="11FD0F02" w14:textId="77777777" w:rsidR="00927665" w:rsidRDefault="00F73E28" w:rsidP="00993DF7">
      <w:pPr>
        <w:pStyle w:val="DHHSbullet1"/>
      </w:pPr>
      <w:r>
        <w:t xml:space="preserve">Did the service provider respond with appropriate actions to manage the incident? </w:t>
      </w:r>
    </w:p>
    <w:p w14:paraId="004F858D" w14:textId="77777777" w:rsidR="00F73E28" w:rsidRDefault="00F73E28" w:rsidP="00993DF7">
      <w:pPr>
        <w:pStyle w:val="DHHSbullet1"/>
      </w:pPr>
      <w:r>
        <w:t xml:space="preserve">Why did the incident happen, and what can be changed to reduce the likelihood of similar or related incidents in the future? </w:t>
      </w:r>
    </w:p>
    <w:p w14:paraId="36001D26" w14:textId="77777777" w:rsidR="00451366" w:rsidRDefault="00CA7731" w:rsidP="00F73E28">
      <w:pPr>
        <w:pStyle w:val="DHHSbodyafterbullets"/>
      </w:pPr>
      <w:r>
        <w:t>The department is responsible for</w:t>
      </w:r>
      <w:r w:rsidR="00451366">
        <w:t xml:space="preserve"> </w:t>
      </w:r>
      <w:r w:rsidR="00451366" w:rsidRPr="003A7697">
        <w:t xml:space="preserve">contract management and regulatory </w:t>
      </w:r>
      <w:r>
        <w:t>oversight</w:t>
      </w:r>
      <w:r w:rsidR="00AA3948">
        <w:t xml:space="preserve"> activities </w:t>
      </w:r>
      <w:r w:rsidR="00451366" w:rsidRPr="003A7697">
        <w:t>to ensure that service providers are discharging their obligations regarding incident reviews. This may include audit</w:t>
      </w:r>
      <w:r>
        <w:t>s</w:t>
      </w:r>
      <w:r w:rsidR="00451366" w:rsidRPr="003A7697">
        <w:t xml:space="preserve"> and inspection</w:t>
      </w:r>
      <w:r>
        <w:t>s</w:t>
      </w:r>
      <w:r w:rsidR="00451366" w:rsidRPr="003A7697">
        <w:t xml:space="preserve"> </w:t>
      </w:r>
      <w:r w:rsidRPr="003A7697">
        <w:t xml:space="preserve">of </w:t>
      </w:r>
      <w:r w:rsidR="00451366" w:rsidRPr="003A7697">
        <w:t>records and reports, and reviewing the extent to which recommended actions have been implemented.</w:t>
      </w:r>
      <w:r w:rsidR="00D30E70">
        <w:t xml:space="preserve"> </w:t>
      </w:r>
      <w:r>
        <w:t xml:space="preserve">The department is also responsible for </w:t>
      </w:r>
      <w:r w:rsidR="00692F7E">
        <w:t>program</w:t>
      </w:r>
      <w:r>
        <w:t xml:space="preserve"> and system-level performance analysis.</w:t>
      </w:r>
    </w:p>
    <w:p w14:paraId="7579165E" w14:textId="07DC660D" w:rsidR="00656201" w:rsidRDefault="00451366" w:rsidP="00173849">
      <w:pPr>
        <w:pStyle w:val="DHHSbody"/>
      </w:pPr>
      <w:r>
        <w:t xml:space="preserve">To support the department </w:t>
      </w:r>
      <w:r w:rsidR="00AA3948">
        <w:t>in</w:t>
      </w:r>
      <w:r>
        <w:t xml:space="preserve"> </w:t>
      </w:r>
      <w:r w:rsidR="00AA3948">
        <w:t xml:space="preserve">efficiently </w:t>
      </w:r>
      <w:r>
        <w:t>discharg</w:t>
      </w:r>
      <w:r w:rsidR="00AA3948">
        <w:t>ing</w:t>
      </w:r>
      <w:r>
        <w:t xml:space="preserve"> its system steward role, </w:t>
      </w:r>
      <w:r w:rsidR="00AA3948">
        <w:t xml:space="preserve">the </w:t>
      </w:r>
      <w:r w:rsidR="00AA3948" w:rsidRPr="00AA3948">
        <w:rPr>
          <w:b/>
        </w:rPr>
        <w:t xml:space="preserve">outcomes of </w:t>
      </w:r>
      <w:r w:rsidRPr="00AA3948">
        <w:rPr>
          <w:b/>
        </w:rPr>
        <w:t>all</w:t>
      </w:r>
      <w:r w:rsidR="00656201" w:rsidRPr="004F1EF4">
        <w:rPr>
          <w:b/>
        </w:rPr>
        <w:t xml:space="preserve"> </w:t>
      </w:r>
      <w:r w:rsidR="00656201" w:rsidRPr="00D30E70">
        <w:rPr>
          <w:b/>
        </w:rPr>
        <w:t>case review</w:t>
      </w:r>
      <w:r w:rsidR="00AA3948">
        <w:rPr>
          <w:b/>
        </w:rPr>
        <w:t>s</w:t>
      </w:r>
      <w:r w:rsidR="00656201" w:rsidRPr="00D30E70">
        <w:rPr>
          <w:b/>
        </w:rPr>
        <w:t xml:space="preserve"> will be made available to the department</w:t>
      </w:r>
      <w:r w:rsidR="00656201" w:rsidRPr="00D30E70">
        <w:t xml:space="preserve"> in the CIMS</w:t>
      </w:r>
      <w:r w:rsidRPr="00D30E70">
        <w:t xml:space="preserve"> IT</w:t>
      </w:r>
      <w:r w:rsidR="00176171" w:rsidRPr="00D30E70">
        <w:t>.</w:t>
      </w:r>
      <w:r w:rsidR="00EB270F" w:rsidRPr="00D30E70">
        <w:t xml:space="preserve"> </w:t>
      </w:r>
      <w:r w:rsidR="00D30E70" w:rsidRPr="00D30E70">
        <w:t xml:space="preserve">This will </w:t>
      </w:r>
      <w:r w:rsidR="0047686D">
        <w:t>enable</w:t>
      </w:r>
      <w:r w:rsidR="004F1EF4" w:rsidRPr="00D30E70">
        <w:t xml:space="preserve"> </w:t>
      </w:r>
      <w:r w:rsidR="00176171" w:rsidRPr="00D30E70">
        <w:t xml:space="preserve">the department </w:t>
      </w:r>
      <w:r w:rsidR="0047686D">
        <w:t>to attest</w:t>
      </w:r>
      <w:r w:rsidR="00176171" w:rsidRPr="00D30E70">
        <w:t xml:space="preserve"> that case reviews are being completed in a timely manner</w:t>
      </w:r>
      <w:r w:rsidR="00D30E70">
        <w:t xml:space="preserve">, </w:t>
      </w:r>
      <w:r w:rsidR="00176171" w:rsidRPr="00D30E70">
        <w:t>and to the expected standard.</w:t>
      </w:r>
      <w:r w:rsidR="005F7D00">
        <w:t xml:space="preserve"> </w:t>
      </w:r>
    </w:p>
    <w:p w14:paraId="6341EB38" w14:textId="77777777" w:rsidR="002D79E9" w:rsidRDefault="002D79E9" w:rsidP="00F21E68">
      <w:pPr>
        <w:pStyle w:val="DHHSbody"/>
      </w:pPr>
      <w:r>
        <w:lastRenderedPageBreak/>
        <w:t xml:space="preserve">Consistent with service provider </w:t>
      </w:r>
      <w:r w:rsidR="00D30E70">
        <w:t xml:space="preserve">and departmental responsibilities </w:t>
      </w:r>
      <w:r>
        <w:t>under the CIMS, c</w:t>
      </w:r>
      <w:r w:rsidR="004F45FB">
        <w:t xml:space="preserve">ase review </w:t>
      </w:r>
      <w:r w:rsidR="00427A89">
        <w:t xml:space="preserve">documents and </w:t>
      </w:r>
      <w:r w:rsidR="004F45FB">
        <w:t xml:space="preserve">outcomes </w:t>
      </w:r>
      <w:r>
        <w:t xml:space="preserve">will </w:t>
      </w:r>
      <w:r w:rsidRPr="00D30E70">
        <w:rPr>
          <w:b/>
        </w:rPr>
        <w:t>not be subject to a dedicated quality assurance process</w:t>
      </w:r>
      <w:r>
        <w:t xml:space="preserve">, and </w:t>
      </w:r>
      <w:r w:rsidR="00532B7E">
        <w:t>will</w:t>
      </w:r>
      <w:r w:rsidR="004F45FB">
        <w:t xml:space="preserve"> not require endorsement by the department</w:t>
      </w:r>
      <w:r w:rsidR="00451366">
        <w:t xml:space="preserve">. </w:t>
      </w:r>
    </w:p>
    <w:p w14:paraId="18746805" w14:textId="77777777" w:rsidR="004E67FE" w:rsidRPr="003072C6" w:rsidRDefault="00306EC6" w:rsidP="004E67FE">
      <w:pPr>
        <w:pStyle w:val="Heading2"/>
      </w:pPr>
      <w:bookmarkStart w:id="8" w:name="_Toc27560418"/>
      <w:r>
        <w:t>Replacing ‘alleged perpetrator’ with</w:t>
      </w:r>
      <w:r w:rsidR="004E67FE">
        <w:t xml:space="preserve"> ‘subject of allegation’</w:t>
      </w:r>
      <w:bookmarkEnd w:id="8"/>
    </w:p>
    <w:p w14:paraId="0980042C" w14:textId="117A9C05" w:rsidR="00FF480C" w:rsidRDefault="004822EB" w:rsidP="00811E08">
      <w:pPr>
        <w:pStyle w:val="DHHSbody"/>
      </w:pPr>
      <w:r>
        <w:t xml:space="preserve">Across the </w:t>
      </w:r>
      <w:r w:rsidR="001F1C33">
        <w:t xml:space="preserve">health and </w:t>
      </w:r>
      <w:r w:rsidR="001D7566">
        <w:t xml:space="preserve">human services sector, </w:t>
      </w:r>
      <w:r w:rsidR="00C62E35">
        <w:t xml:space="preserve">services and </w:t>
      </w:r>
      <w:r w:rsidR="001D7566">
        <w:t>p</w:t>
      </w:r>
      <w:r w:rsidR="00811E08">
        <w:t xml:space="preserve">rofessionals use </w:t>
      </w:r>
      <w:r w:rsidR="001D7566">
        <w:t xml:space="preserve">a range of terms for individuals who have </w:t>
      </w:r>
      <w:r w:rsidR="001D7566" w:rsidRPr="001D7566">
        <w:t xml:space="preserve">caused or allowed the </w:t>
      </w:r>
      <w:r w:rsidR="001D7566">
        <w:t xml:space="preserve">abuse, neglect or </w:t>
      </w:r>
      <w:r w:rsidR="001D7566" w:rsidRPr="001D7566">
        <w:t>maltreatment of a</w:t>
      </w:r>
      <w:r w:rsidR="001D7566">
        <w:t xml:space="preserve">nother person. </w:t>
      </w:r>
      <w:r w:rsidR="00FF480C">
        <w:t xml:space="preserve">Under </w:t>
      </w:r>
      <w:r w:rsidR="00C15A5C">
        <w:t xml:space="preserve">the </w:t>
      </w:r>
      <w:r w:rsidR="00FF480C">
        <w:t xml:space="preserve">CIMS, </w:t>
      </w:r>
      <w:r w:rsidR="009610F1">
        <w:t>the term ‘alleged perpetrator’ will be no longer be used, and ‘subject of allegation’ will be used in its place</w:t>
      </w:r>
      <w:r w:rsidR="006B1398">
        <w:t>,</w:t>
      </w:r>
      <w:r w:rsidR="006B1398" w:rsidRPr="006B1398">
        <w:t xml:space="preserve"> </w:t>
      </w:r>
      <w:r w:rsidR="006B1398">
        <w:t>consistent with the Commission for Children and Young People’s Reportable Conduct Scheme.</w:t>
      </w:r>
    </w:p>
    <w:p w14:paraId="38CA70FE" w14:textId="77777777" w:rsidR="006B1398" w:rsidRDefault="009610F1" w:rsidP="00811E08">
      <w:pPr>
        <w:pStyle w:val="DHHSbody"/>
      </w:pPr>
      <w:r>
        <w:t xml:space="preserve">‘Subject of allegation’ </w:t>
      </w:r>
      <w:r w:rsidR="006B1398" w:rsidRPr="006B1398">
        <w:t>is consistent with the policy intent</w:t>
      </w:r>
      <w:r w:rsidR="003D35F2">
        <w:t xml:space="preserve"> of the CIMS</w:t>
      </w:r>
      <w:r w:rsidR="006B1398">
        <w:t xml:space="preserve">, and </w:t>
      </w:r>
      <w:r w:rsidR="00C62E35">
        <w:t xml:space="preserve">better reflects the vulnerability of clients </w:t>
      </w:r>
      <w:r w:rsidR="006B1398">
        <w:t xml:space="preserve">who may have experienced violence, abuse or neglect previously. </w:t>
      </w:r>
    </w:p>
    <w:p w14:paraId="0BBBBC10" w14:textId="77777777" w:rsidR="00DF0737" w:rsidRPr="003072C6" w:rsidRDefault="00DF0737" w:rsidP="00DF0737">
      <w:pPr>
        <w:pStyle w:val="Heading2"/>
      </w:pPr>
      <w:bookmarkStart w:id="9" w:name="_Toc27560419"/>
      <w:r>
        <w:t>Summary of reporting requirements</w:t>
      </w:r>
      <w:bookmarkEnd w:id="9"/>
      <w:r w:rsidR="008E1085">
        <w:t xml:space="preserve"> </w:t>
      </w:r>
    </w:p>
    <w:p w14:paraId="19716050" w14:textId="77777777" w:rsidR="00DF0737" w:rsidRDefault="00DF0737" w:rsidP="00DF0737">
      <w:pPr>
        <w:pStyle w:val="DHHSbody"/>
      </w:pPr>
      <w:r>
        <w:t xml:space="preserve">A summary of key </w:t>
      </w:r>
      <w:r w:rsidR="008E1085">
        <w:t xml:space="preserve">timeframes for </w:t>
      </w:r>
      <w:r>
        <w:t xml:space="preserve">incident </w:t>
      </w:r>
      <w:r w:rsidR="008E1085">
        <w:t xml:space="preserve">and outcome </w:t>
      </w:r>
      <w:r w:rsidR="004F1EF4">
        <w:t>reports</w:t>
      </w:r>
      <w:r>
        <w:t xml:space="preserve"> </w:t>
      </w:r>
      <w:r w:rsidR="004F1EF4">
        <w:t xml:space="preserve">for </w:t>
      </w:r>
      <w:r>
        <w:t xml:space="preserve">service providers are listed in Table 2. </w:t>
      </w:r>
    </w:p>
    <w:p w14:paraId="71A9370A" w14:textId="77777777" w:rsidR="00DF0737" w:rsidRPr="003072C6" w:rsidRDefault="00DF0737" w:rsidP="00DF0737">
      <w:pPr>
        <w:pStyle w:val="DHHStablecaption"/>
      </w:pPr>
      <w:r>
        <w:t>Table 2: Key incident reporting timeframes for service providers</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6232"/>
        <w:gridCol w:w="3119"/>
      </w:tblGrid>
      <w:tr w:rsidR="00DF0737" w:rsidRPr="003072C6" w14:paraId="74B46FE3" w14:textId="77777777" w:rsidTr="00880B1A">
        <w:trPr>
          <w:tblHeader/>
        </w:trPr>
        <w:tc>
          <w:tcPr>
            <w:tcW w:w="6232" w:type="dxa"/>
            <w:shd w:val="clear" w:color="auto" w:fill="auto"/>
          </w:tcPr>
          <w:p w14:paraId="15F68445" w14:textId="77777777" w:rsidR="00DF0737" w:rsidRPr="00711B0C" w:rsidRDefault="00DF0737" w:rsidP="00127F43">
            <w:pPr>
              <w:pStyle w:val="DHHStablecolhead"/>
            </w:pPr>
            <w:r>
              <w:t>Task</w:t>
            </w:r>
          </w:p>
        </w:tc>
        <w:tc>
          <w:tcPr>
            <w:tcW w:w="3119" w:type="dxa"/>
            <w:shd w:val="clear" w:color="auto" w:fill="auto"/>
          </w:tcPr>
          <w:p w14:paraId="0384FA1F" w14:textId="77777777" w:rsidR="00DF0737" w:rsidRPr="003072C6" w:rsidRDefault="00DF0737" w:rsidP="00127F43">
            <w:pPr>
              <w:pStyle w:val="DHHStablecolhead"/>
            </w:pPr>
            <w:r>
              <w:t xml:space="preserve">Timeframe for submission in CIMS IT </w:t>
            </w:r>
          </w:p>
        </w:tc>
      </w:tr>
      <w:tr w:rsidR="00DF0737" w:rsidRPr="003072C6" w14:paraId="3784A264" w14:textId="77777777" w:rsidTr="00880B1A">
        <w:tc>
          <w:tcPr>
            <w:tcW w:w="6232" w:type="dxa"/>
            <w:shd w:val="clear" w:color="auto" w:fill="auto"/>
          </w:tcPr>
          <w:p w14:paraId="2402A664" w14:textId="22EE66E9" w:rsidR="00DF0737" w:rsidRPr="002813E0" w:rsidRDefault="003945F3" w:rsidP="00C27DE2">
            <w:pPr>
              <w:pStyle w:val="DHHStabletext"/>
            </w:pPr>
            <w:r w:rsidRPr="002813E0">
              <w:t>Final</w:t>
            </w:r>
            <w:r w:rsidR="00DF0737" w:rsidRPr="002813E0">
              <w:t xml:space="preserve"> submission of major impact incident report</w:t>
            </w:r>
          </w:p>
        </w:tc>
        <w:tc>
          <w:tcPr>
            <w:tcW w:w="3119" w:type="dxa"/>
            <w:shd w:val="clear" w:color="auto" w:fill="auto"/>
          </w:tcPr>
          <w:p w14:paraId="312EE70D" w14:textId="77777777" w:rsidR="00DF0737" w:rsidRPr="00AE3AF9" w:rsidRDefault="00DF0737" w:rsidP="00127F43">
            <w:pPr>
              <w:pStyle w:val="DHHStablebullet1"/>
            </w:pPr>
            <w:r w:rsidRPr="00AE3AF9">
              <w:t>Within three business days of becoming aware of incident</w:t>
            </w:r>
          </w:p>
        </w:tc>
      </w:tr>
      <w:tr w:rsidR="00DF0737" w:rsidRPr="003072C6" w14:paraId="37242B56" w14:textId="77777777" w:rsidTr="00880B1A">
        <w:tc>
          <w:tcPr>
            <w:tcW w:w="6232" w:type="dxa"/>
            <w:shd w:val="clear" w:color="auto" w:fill="auto"/>
          </w:tcPr>
          <w:p w14:paraId="31DBBF1B" w14:textId="27634AE7" w:rsidR="00DF0737" w:rsidRPr="002813E0" w:rsidRDefault="003945F3" w:rsidP="00C27DE2">
            <w:pPr>
              <w:pStyle w:val="DHHStabletext"/>
            </w:pPr>
            <w:r w:rsidRPr="002813E0">
              <w:t>Final</w:t>
            </w:r>
            <w:r w:rsidR="00DF0737" w:rsidRPr="002813E0">
              <w:t xml:space="preserve"> submission of non-major impact incident report</w:t>
            </w:r>
          </w:p>
        </w:tc>
        <w:tc>
          <w:tcPr>
            <w:tcW w:w="3119" w:type="dxa"/>
            <w:shd w:val="clear" w:color="auto" w:fill="auto"/>
          </w:tcPr>
          <w:p w14:paraId="6BAE089E" w14:textId="77777777" w:rsidR="00DF0737" w:rsidRPr="00AE3AF9" w:rsidRDefault="00DF0737" w:rsidP="00127F43">
            <w:pPr>
              <w:pStyle w:val="DHHStablebullet1"/>
            </w:pPr>
            <w:r w:rsidRPr="00AE3AF9">
              <w:t>Within three business days of becoming aware of incident</w:t>
            </w:r>
          </w:p>
        </w:tc>
      </w:tr>
      <w:tr w:rsidR="00DF0737" w:rsidRPr="003072C6" w14:paraId="37A55230" w14:textId="77777777" w:rsidTr="00880B1A">
        <w:tc>
          <w:tcPr>
            <w:tcW w:w="6232" w:type="dxa"/>
            <w:shd w:val="clear" w:color="auto" w:fill="auto"/>
          </w:tcPr>
          <w:p w14:paraId="25C2C378" w14:textId="39C8CFFA" w:rsidR="00DF0737" w:rsidRPr="00C27DE2" w:rsidRDefault="00DF0737" w:rsidP="00C27DE2">
            <w:pPr>
              <w:pStyle w:val="DHHStabletext"/>
            </w:pPr>
            <w:r w:rsidRPr="00C27DE2">
              <w:t xml:space="preserve">Completion of full Investigation </w:t>
            </w:r>
            <w:r w:rsidR="001A1B76">
              <w:t>report</w:t>
            </w:r>
            <w:r w:rsidRPr="00C27DE2">
              <w:t xml:space="preserve"> </w:t>
            </w:r>
          </w:p>
        </w:tc>
        <w:tc>
          <w:tcPr>
            <w:tcW w:w="3119" w:type="dxa"/>
            <w:shd w:val="clear" w:color="auto" w:fill="auto"/>
          </w:tcPr>
          <w:p w14:paraId="7A0B0E57" w14:textId="125B448D" w:rsidR="00DF0737" w:rsidRPr="00AE3AF9" w:rsidRDefault="00DF0737" w:rsidP="00127F43">
            <w:pPr>
              <w:pStyle w:val="DHHStablebullet1"/>
            </w:pPr>
            <w:r w:rsidRPr="00AE3AF9">
              <w:t xml:space="preserve">Within 28 </w:t>
            </w:r>
            <w:r w:rsidR="000802C5">
              <w:t>business</w:t>
            </w:r>
            <w:r w:rsidRPr="00AE3AF9">
              <w:t xml:space="preserve"> days of incident </w:t>
            </w:r>
            <w:r w:rsidR="008E1085">
              <w:t xml:space="preserve">report </w:t>
            </w:r>
            <w:r w:rsidRPr="00AE3AF9">
              <w:t xml:space="preserve">endorsement </w:t>
            </w:r>
          </w:p>
        </w:tc>
      </w:tr>
      <w:tr w:rsidR="00DF0737" w:rsidRPr="003072C6" w14:paraId="3DB76D8A" w14:textId="77777777" w:rsidTr="00880B1A">
        <w:tc>
          <w:tcPr>
            <w:tcW w:w="6232" w:type="dxa"/>
            <w:shd w:val="clear" w:color="auto" w:fill="auto"/>
          </w:tcPr>
          <w:p w14:paraId="0883D070" w14:textId="25902AA2" w:rsidR="00DF0737" w:rsidRPr="00C27DE2" w:rsidRDefault="00DF0737" w:rsidP="00C27DE2">
            <w:pPr>
              <w:pStyle w:val="DHHStabletext"/>
            </w:pPr>
            <w:r w:rsidRPr="00C27DE2">
              <w:t xml:space="preserve">Completion of </w:t>
            </w:r>
            <w:r w:rsidRPr="00C27DE2">
              <w:rPr>
                <w:i/>
              </w:rPr>
              <w:t>Investigation outcome and case review</w:t>
            </w:r>
            <w:r w:rsidRPr="00C27DE2">
              <w:t xml:space="preserve"> </w:t>
            </w:r>
            <w:r w:rsidR="001A1B76">
              <w:t>report</w:t>
            </w:r>
            <w:r w:rsidRPr="00C27DE2">
              <w:t xml:space="preserve"> </w:t>
            </w:r>
          </w:p>
        </w:tc>
        <w:tc>
          <w:tcPr>
            <w:tcW w:w="3119" w:type="dxa"/>
            <w:shd w:val="clear" w:color="auto" w:fill="auto"/>
          </w:tcPr>
          <w:p w14:paraId="17C75D6A" w14:textId="4AEC4A8D" w:rsidR="00DF0737" w:rsidRPr="00E937EB" w:rsidRDefault="00DF0737" w:rsidP="00127F43">
            <w:pPr>
              <w:pStyle w:val="DHHStablebullet1"/>
            </w:pPr>
            <w:r w:rsidRPr="00E937EB">
              <w:t xml:space="preserve">Within 28 </w:t>
            </w:r>
            <w:r w:rsidR="000802C5">
              <w:t>business</w:t>
            </w:r>
            <w:r w:rsidRPr="00E937EB">
              <w:t xml:space="preserve"> days </w:t>
            </w:r>
            <w:r w:rsidR="00C27DE2" w:rsidRPr="00E937EB">
              <w:t>of incident report endorsement</w:t>
            </w:r>
          </w:p>
        </w:tc>
      </w:tr>
      <w:tr w:rsidR="00DF0737" w:rsidRPr="003072C6" w14:paraId="0D8FA8AD" w14:textId="77777777" w:rsidTr="00880B1A">
        <w:tc>
          <w:tcPr>
            <w:tcW w:w="6232" w:type="dxa"/>
            <w:shd w:val="clear" w:color="auto" w:fill="auto"/>
          </w:tcPr>
          <w:p w14:paraId="6A96C680" w14:textId="69F86895" w:rsidR="00DF0737" w:rsidRPr="00C27DE2" w:rsidRDefault="00DF0737" w:rsidP="00C27DE2">
            <w:pPr>
              <w:pStyle w:val="DHHStabletext"/>
            </w:pPr>
            <w:r w:rsidRPr="00C27DE2">
              <w:t xml:space="preserve">Completion of </w:t>
            </w:r>
            <w:r w:rsidRPr="00C27DE2">
              <w:rPr>
                <w:i/>
              </w:rPr>
              <w:t>Investigation outcome and root cause analysis</w:t>
            </w:r>
            <w:r w:rsidRPr="00C27DE2">
              <w:t xml:space="preserve"> </w:t>
            </w:r>
            <w:r w:rsidR="001A1B76">
              <w:t>report</w:t>
            </w:r>
          </w:p>
        </w:tc>
        <w:tc>
          <w:tcPr>
            <w:tcW w:w="3119" w:type="dxa"/>
            <w:shd w:val="clear" w:color="auto" w:fill="auto"/>
          </w:tcPr>
          <w:p w14:paraId="123156CD" w14:textId="06D46ED7" w:rsidR="00DF0737" w:rsidRPr="00E937EB" w:rsidRDefault="00DF0737" w:rsidP="00127F43">
            <w:pPr>
              <w:pStyle w:val="DHHStablebullet1"/>
            </w:pPr>
            <w:r w:rsidRPr="00E937EB">
              <w:t xml:space="preserve">Within 60 </w:t>
            </w:r>
            <w:r w:rsidR="000802C5">
              <w:t>business</w:t>
            </w:r>
            <w:r w:rsidRPr="00E937EB">
              <w:t xml:space="preserve"> days </w:t>
            </w:r>
            <w:r w:rsidR="00C27DE2" w:rsidRPr="00E937EB">
              <w:t>of incident report endorsement</w:t>
            </w:r>
          </w:p>
        </w:tc>
      </w:tr>
      <w:tr w:rsidR="00DF0737" w:rsidRPr="003072C6" w14:paraId="3026FF78" w14:textId="77777777" w:rsidTr="00880B1A">
        <w:trPr>
          <w:trHeight w:val="574"/>
        </w:trPr>
        <w:tc>
          <w:tcPr>
            <w:tcW w:w="6232" w:type="dxa"/>
            <w:shd w:val="clear" w:color="auto" w:fill="auto"/>
          </w:tcPr>
          <w:p w14:paraId="54ECBF60" w14:textId="77777777" w:rsidR="00DF0737" w:rsidRPr="00C27DE2" w:rsidRDefault="00DF0737" w:rsidP="00C27DE2">
            <w:pPr>
              <w:pStyle w:val="DHHStabletext"/>
            </w:pPr>
            <w:r w:rsidRPr="00C27DE2">
              <w:t>Completion of case review report</w:t>
            </w:r>
          </w:p>
        </w:tc>
        <w:tc>
          <w:tcPr>
            <w:tcW w:w="3119" w:type="dxa"/>
            <w:shd w:val="clear" w:color="auto" w:fill="auto"/>
          </w:tcPr>
          <w:p w14:paraId="6455E28F" w14:textId="367A4FC2" w:rsidR="00DF0737" w:rsidRPr="00E937EB" w:rsidRDefault="00DF0737" w:rsidP="00127F43">
            <w:pPr>
              <w:pStyle w:val="DHHStablebullet1"/>
            </w:pPr>
            <w:r w:rsidRPr="00E937EB">
              <w:t xml:space="preserve">Within 21 </w:t>
            </w:r>
            <w:r w:rsidR="000802C5">
              <w:t>business</w:t>
            </w:r>
            <w:r w:rsidRPr="00E937EB">
              <w:t xml:space="preserve"> days </w:t>
            </w:r>
            <w:r w:rsidR="00C27DE2" w:rsidRPr="00E937EB">
              <w:t>of incident report endorsement</w:t>
            </w:r>
          </w:p>
        </w:tc>
      </w:tr>
      <w:tr w:rsidR="00DF0737" w:rsidRPr="003072C6" w14:paraId="04673213" w14:textId="77777777" w:rsidTr="00880B1A">
        <w:tc>
          <w:tcPr>
            <w:tcW w:w="6232" w:type="dxa"/>
            <w:shd w:val="clear" w:color="auto" w:fill="auto"/>
          </w:tcPr>
          <w:p w14:paraId="483FA64E" w14:textId="77777777" w:rsidR="00DF0737" w:rsidRPr="00C27DE2" w:rsidRDefault="00DF0737" w:rsidP="00C27DE2">
            <w:pPr>
              <w:pStyle w:val="DHHStabletext"/>
            </w:pPr>
            <w:r w:rsidRPr="00C27DE2">
              <w:t>Completion of root cause analysis report</w:t>
            </w:r>
          </w:p>
        </w:tc>
        <w:tc>
          <w:tcPr>
            <w:tcW w:w="3119" w:type="dxa"/>
            <w:shd w:val="clear" w:color="auto" w:fill="auto"/>
          </w:tcPr>
          <w:p w14:paraId="7EF2DF8C" w14:textId="025A22C1" w:rsidR="00DF0737" w:rsidRPr="00E937EB" w:rsidRDefault="00DF0737" w:rsidP="00127F43">
            <w:pPr>
              <w:pStyle w:val="DHHStablebullet1"/>
            </w:pPr>
            <w:r w:rsidRPr="00E937EB">
              <w:t xml:space="preserve">Within 60 </w:t>
            </w:r>
            <w:r w:rsidR="000802C5">
              <w:t>business</w:t>
            </w:r>
            <w:r w:rsidRPr="00E937EB">
              <w:t xml:space="preserve"> days </w:t>
            </w:r>
            <w:r w:rsidR="00C27DE2" w:rsidRPr="00E937EB">
              <w:t>of incident report endorsement</w:t>
            </w:r>
          </w:p>
        </w:tc>
      </w:tr>
    </w:tbl>
    <w:p w14:paraId="6A987B48" w14:textId="0BC40400" w:rsidR="00060E39" w:rsidRDefault="00060E39" w:rsidP="00060E39">
      <w:pPr>
        <w:pStyle w:val="DHHStablefigurenote"/>
      </w:pPr>
      <w:r>
        <w:t>Note: ‘Business day’ denotes Monday to Friday, excluding public holidays</w:t>
      </w:r>
    </w:p>
    <w:p w14:paraId="3656B9AB" w14:textId="6CAEA1DE" w:rsidR="00127F43" w:rsidRDefault="00127F43" w:rsidP="00DF0737">
      <w:pPr>
        <w:pStyle w:val="DHHSbody"/>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1696"/>
        <w:gridCol w:w="2127"/>
        <w:gridCol w:w="5528"/>
      </w:tblGrid>
      <w:tr w:rsidR="00880B1A" w:rsidRPr="003072C6" w14:paraId="6C82C5C0" w14:textId="77777777" w:rsidTr="00EF2B79">
        <w:trPr>
          <w:tblHeader/>
        </w:trPr>
        <w:tc>
          <w:tcPr>
            <w:tcW w:w="1696" w:type="dxa"/>
            <w:shd w:val="clear" w:color="auto" w:fill="auto"/>
          </w:tcPr>
          <w:p w14:paraId="6B814A1E" w14:textId="77777777" w:rsidR="00880B1A" w:rsidRPr="00711B0C" w:rsidRDefault="00880B1A" w:rsidP="00127F43">
            <w:pPr>
              <w:pStyle w:val="DHHStablecolhead"/>
            </w:pPr>
            <w:r>
              <w:t>Version</w:t>
            </w:r>
          </w:p>
        </w:tc>
        <w:tc>
          <w:tcPr>
            <w:tcW w:w="2127" w:type="dxa"/>
            <w:shd w:val="clear" w:color="auto" w:fill="auto"/>
          </w:tcPr>
          <w:p w14:paraId="491072FA" w14:textId="77777777" w:rsidR="00880B1A" w:rsidRPr="00711B0C" w:rsidRDefault="00880B1A" w:rsidP="00127F43">
            <w:pPr>
              <w:pStyle w:val="DHHStablecolhead"/>
            </w:pPr>
            <w:r>
              <w:t>Date</w:t>
            </w:r>
          </w:p>
        </w:tc>
        <w:tc>
          <w:tcPr>
            <w:tcW w:w="5528" w:type="dxa"/>
            <w:shd w:val="clear" w:color="auto" w:fill="auto"/>
          </w:tcPr>
          <w:p w14:paraId="1C7DF0E4" w14:textId="77777777" w:rsidR="00880B1A" w:rsidRPr="003072C6" w:rsidRDefault="00880B1A" w:rsidP="00127F43">
            <w:pPr>
              <w:pStyle w:val="DHHStablecolhead"/>
            </w:pPr>
            <w:r>
              <w:t>Author</w:t>
            </w:r>
          </w:p>
        </w:tc>
      </w:tr>
      <w:tr w:rsidR="00880B1A" w:rsidRPr="003072C6" w14:paraId="10A297F9" w14:textId="77777777" w:rsidTr="00EF2B79">
        <w:tc>
          <w:tcPr>
            <w:tcW w:w="1696" w:type="dxa"/>
            <w:shd w:val="clear" w:color="auto" w:fill="auto"/>
          </w:tcPr>
          <w:p w14:paraId="523A32ED" w14:textId="77777777" w:rsidR="00880B1A" w:rsidRPr="003072C6" w:rsidRDefault="00880B1A" w:rsidP="00127F43">
            <w:pPr>
              <w:pStyle w:val="DHHStabletext"/>
            </w:pPr>
            <w:r>
              <w:t>Version 1.1</w:t>
            </w:r>
          </w:p>
        </w:tc>
        <w:tc>
          <w:tcPr>
            <w:tcW w:w="2127" w:type="dxa"/>
            <w:shd w:val="clear" w:color="auto" w:fill="auto"/>
          </w:tcPr>
          <w:p w14:paraId="4C27D151" w14:textId="70F6F344" w:rsidR="00880B1A" w:rsidRPr="003072C6" w:rsidRDefault="00C82DBD" w:rsidP="00127F43">
            <w:pPr>
              <w:pStyle w:val="DHHStabletext"/>
            </w:pPr>
            <w:r>
              <w:t>20</w:t>
            </w:r>
            <w:r w:rsidR="00880B1A">
              <w:t xml:space="preserve"> </w:t>
            </w:r>
            <w:r w:rsidR="003945F3">
              <w:t>December</w:t>
            </w:r>
            <w:r w:rsidR="00880B1A">
              <w:t xml:space="preserve"> 20</w:t>
            </w:r>
            <w:r w:rsidR="00F3784C">
              <w:t>19</w:t>
            </w:r>
          </w:p>
        </w:tc>
        <w:tc>
          <w:tcPr>
            <w:tcW w:w="5528" w:type="dxa"/>
            <w:shd w:val="clear" w:color="auto" w:fill="auto"/>
          </w:tcPr>
          <w:p w14:paraId="2C028E40" w14:textId="77777777" w:rsidR="00880B1A" w:rsidRPr="003072C6" w:rsidRDefault="00880B1A" w:rsidP="00880B1A">
            <w:pPr>
              <w:pStyle w:val="DHHStablebullet1"/>
              <w:numPr>
                <w:ilvl w:val="0"/>
                <w:numId w:val="0"/>
              </w:numPr>
            </w:pPr>
            <w:r>
              <w:t>Operational Performance and Quality Branch</w:t>
            </w:r>
          </w:p>
        </w:tc>
      </w:tr>
    </w:tbl>
    <w:p w14:paraId="19E98DE6" w14:textId="5F957767" w:rsidR="00310963" w:rsidRDefault="00310963" w:rsidP="00173849">
      <w:pPr>
        <w:pStyle w:val="DHHSbody"/>
      </w:pPr>
    </w:p>
    <w:sectPr w:rsidR="00310963" w:rsidSect="00BA5E47">
      <w:headerReference w:type="even" r:id="rId19"/>
      <w:headerReference w:type="default" r:id="rId20"/>
      <w:footerReference w:type="even" r:id="rId21"/>
      <w:footerReference w:type="default" r:id="rId22"/>
      <w:footerReference w:type="first" r:id="rId23"/>
      <w:pgSz w:w="11906" w:h="16838"/>
      <w:pgMar w:top="1701" w:right="1304" w:bottom="1134" w:left="1304" w:header="454" w:footer="5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99C43A" w14:textId="77777777" w:rsidR="00993DF7" w:rsidRDefault="00993DF7">
      <w:r>
        <w:separator/>
      </w:r>
    </w:p>
  </w:endnote>
  <w:endnote w:type="continuationSeparator" w:id="0">
    <w:p w14:paraId="4DDBEF00" w14:textId="77777777" w:rsidR="00993DF7" w:rsidRDefault="00993D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Lucida Grande">
    <w:charset w:val="00"/>
    <w:family w:val="auto"/>
    <w:pitch w:val="variable"/>
    <w:sig w:usb0="E1001AEF"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A86BA" w14:textId="77777777" w:rsidR="00DB566B" w:rsidRDefault="00DB56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2F095F" w14:textId="77777777" w:rsidR="00DB566B" w:rsidRDefault="00DB56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6C5931" w14:textId="77777777" w:rsidR="00DB566B" w:rsidRDefault="00DB566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4D2AF9" w14:textId="564C4507" w:rsidR="00993DF7" w:rsidRPr="008114D1" w:rsidRDefault="00993DF7" w:rsidP="00E969B1">
    <w:pPr>
      <w:pStyle w:val="DHHSfooter"/>
    </w:pPr>
    <w:r>
      <w:t xml:space="preserve">Page </w:t>
    </w:r>
    <w:r w:rsidRPr="005A39EC">
      <w:fldChar w:fldCharType="begin"/>
    </w:r>
    <w:r w:rsidRPr="005A39EC">
      <w:instrText xml:space="preserve"> PAGE </w:instrText>
    </w:r>
    <w:r w:rsidRPr="005A39EC">
      <w:fldChar w:fldCharType="separate"/>
    </w:r>
    <w:r>
      <w:rPr>
        <w:noProof/>
      </w:rPr>
      <w:t>10</w:t>
    </w:r>
    <w:r w:rsidRPr="005A39EC">
      <w:fldChar w:fldCharType="end"/>
    </w:r>
    <w:r>
      <w:ptab w:relativeTo="margin" w:alignment="right" w:leader="none"/>
    </w:r>
    <w:r>
      <w:t>Client incident management system: Policy update 1-2020</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25CE1F" w14:textId="77777777" w:rsidR="00993DF7" w:rsidRPr="0031753A" w:rsidRDefault="00993DF7" w:rsidP="00E969B1">
    <w:pPr>
      <w:pStyle w:val="DHHSfooter"/>
    </w:pPr>
    <w:r>
      <w:t>CIMS policy update 1-2020</w:t>
    </w:r>
    <w:r>
      <w:ptab w:relativeTo="margin" w:alignment="right" w:leader="none"/>
    </w:r>
    <w:r w:rsidRPr="0031753A">
      <w:t xml:space="preserve">Page </w:t>
    </w:r>
    <w:r w:rsidRPr="0031753A">
      <w:fldChar w:fldCharType="begin"/>
    </w:r>
    <w:r w:rsidRPr="0031753A">
      <w:instrText xml:space="preserve"> PAGE </w:instrText>
    </w:r>
    <w:r w:rsidRPr="0031753A">
      <w:fldChar w:fldCharType="separate"/>
    </w:r>
    <w:r>
      <w:rPr>
        <w:noProof/>
      </w:rPr>
      <w:t>9</w:t>
    </w:r>
    <w:r w:rsidRPr="0031753A">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B78278" w14:textId="77777777" w:rsidR="00993DF7" w:rsidRPr="001A7E04" w:rsidRDefault="00993DF7" w:rsidP="00AC0C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C39945" w14:textId="77777777" w:rsidR="00993DF7" w:rsidRDefault="00993DF7">
      <w:r>
        <w:separator/>
      </w:r>
    </w:p>
  </w:footnote>
  <w:footnote w:type="continuationSeparator" w:id="0">
    <w:p w14:paraId="0562CB0E" w14:textId="77777777" w:rsidR="00993DF7" w:rsidRDefault="00993D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783E19" w14:textId="77777777" w:rsidR="00DB566B" w:rsidRDefault="00DB56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C4E097" w14:textId="77777777" w:rsidR="00DB566B" w:rsidRDefault="00DB566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472EB2" w14:textId="77777777" w:rsidR="00DB566B" w:rsidRDefault="00DB566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F2D8B6" w14:textId="77777777" w:rsidR="00993DF7" w:rsidRPr="0069374A" w:rsidRDefault="00993DF7" w:rsidP="00E969B1">
    <w:pPr>
      <w:pStyle w:val="DHHS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61D779" w14:textId="77777777" w:rsidR="00993DF7" w:rsidRDefault="00993DF7" w:rsidP="00E969B1">
    <w:pPr>
      <w:pStyle w:val="DHHS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multilevel"/>
    <w:tmpl w:val="C7966E72"/>
    <w:lvl w:ilvl="0">
      <w:start w:val="1"/>
      <w:numFmt w:val="decimal"/>
      <w:pStyle w:val="ListNumber"/>
      <w:lvlText w:val="%1."/>
      <w:lvlJc w:val="left"/>
      <w:pPr>
        <w:tabs>
          <w:tab w:val="num" w:pos="567"/>
        </w:tabs>
        <w:ind w:left="567" w:hanging="567"/>
      </w:pPr>
      <w:rPr>
        <w:rFonts w:asciiTheme="minorHAnsi" w:hAnsiTheme="minorHAnsi" w:hint="default"/>
        <w:b w:val="0"/>
        <w:i w:val="0"/>
        <w:sz w:val="22"/>
      </w:rPr>
    </w:lvl>
    <w:lvl w:ilvl="1">
      <w:start w:val="1"/>
      <w:numFmt w:val="lowerLetter"/>
      <w:lvlText w:val="%2."/>
      <w:lvlJc w:val="left"/>
      <w:pPr>
        <w:ind w:left="1069" w:hanging="360"/>
      </w:pPr>
      <w:rPr>
        <w:i w:val="0"/>
      </w:rPr>
    </w:lvl>
    <w:lvl w:ilvl="2" w:tentative="1">
      <w:start w:val="1"/>
      <w:numFmt w:val="lowerRoman"/>
      <w:lvlText w:val="%3."/>
      <w:lvlJc w:val="right"/>
      <w:pPr>
        <w:ind w:left="1800" w:hanging="180"/>
      </w:pPr>
    </w:lvl>
    <w:lvl w:ilvl="3">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15:restartNumberingAfterBreak="0">
    <w:nsid w:val="0BAD2E30"/>
    <w:multiLevelType w:val="multilevel"/>
    <w:tmpl w:val="4A1477D0"/>
    <w:styleLink w:val="ZZNumbersloweralpha"/>
    <w:lvl w:ilvl="0">
      <w:start w:val="1"/>
      <w:numFmt w:val="lowerLetter"/>
      <w:pStyle w:val="DHHSnumberloweralpha"/>
      <w:lvlText w:val="(%1)"/>
      <w:lvlJc w:val="left"/>
      <w:pPr>
        <w:tabs>
          <w:tab w:val="num" w:pos="397"/>
        </w:tabs>
        <w:ind w:left="397" w:hanging="397"/>
      </w:pPr>
      <w:rPr>
        <w:rFonts w:hint="default"/>
      </w:rPr>
    </w:lvl>
    <w:lvl w:ilvl="1">
      <w:start w:val="1"/>
      <w:numFmt w:val="lowerLetter"/>
      <w:pStyle w:val="DHHS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 w15:restartNumberingAfterBreak="0">
    <w:nsid w:val="3E6C68D4"/>
    <w:multiLevelType w:val="multilevel"/>
    <w:tmpl w:val="DE3434B0"/>
    <w:styleLink w:val="ZZNumbersdigit"/>
    <w:lvl w:ilvl="0">
      <w:start w:val="1"/>
      <w:numFmt w:val="decimal"/>
      <w:pStyle w:val="DHHSnumberdigit"/>
      <w:lvlText w:val="%1."/>
      <w:lvlJc w:val="left"/>
      <w:pPr>
        <w:tabs>
          <w:tab w:val="num" w:pos="397"/>
        </w:tabs>
        <w:ind w:left="397" w:hanging="397"/>
      </w:pPr>
      <w:rPr>
        <w:rFonts w:hint="default"/>
      </w:rPr>
    </w:lvl>
    <w:lvl w:ilvl="1">
      <w:start w:val="1"/>
      <w:numFmt w:val="decimal"/>
      <w:pStyle w:val="DHHSnumberdigitindent"/>
      <w:lvlText w:val="%2."/>
      <w:lvlJc w:val="left"/>
      <w:pPr>
        <w:tabs>
          <w:tab w:val="num" w:pos="794"/>
        </w:tabs>
        <w:ind w:left="794" w:hanging="397"/>
      </w:pPr>
      <w:rPr>
        <w:rFonts w:hint="default"/>
      </w:rPr>
    </w:lvl>
    <w:lvl w:ilvl="2">
      <w:start w:val="1"/>
      <w:numFmt w:val="bullet"/>
      <w:lvlRestart w:val="0"/>
      <w:pStyle w:val="DHHSbulletafternumbers1"/>
      <w:lvlText w:val="•"/>
      <w:lvlJc w:val="left"/>
      <w:pPr>
        <w:ind w:left="794" w:hanging="397"/>
      </w:pPr>
      <w:rPr>
        <w:rFonts w:ascii="Calibri" w:hAnsi="Calibri" w:hint="default"/>
        <w:color w:val="auto"/>
      </w:rPr>
    </w:lvl>
    <w:lvl w:ilvl="3">
      <w:start w:val="1"/>
      <w:numFmt w:val="bullet"/>
      <w:lvlRestart w:val="0"/>
      <w:pStyle w:val="DHHS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3" w15:restartNumberingAfterBreak="0">
    <w:nsid w:val="3EC54A41"/>
    <w:multiLevelType w:val="multilevel"/>
    <w:tmpl w:val="46940C74"/>
    <w:styleLink w:val="ZZNumberslowerroman"/>
    <w:lvl w:ilvl="0">
      <w:start w:val="1"/>
      <w:numFmt w:val="lowerRoman"/>
      <w:pStyle w:val="DHHSnumberlowerroman"/>
      <w:lvlText w:val="(%1)"/>
      <w:lvlJc w:val="left"/>
      <w:pPr>
        <w:tabs>
          <w:tab w:val="num" w:pos="397"/>
        </w:tabs>
        <w:ind w:left="397" w:hanging="397"/>
      </w:pPr>
      <w:rPr>
        <w:rFonts w:hint="default"/>
      </w:rPr>
    </w:lvl>
    <w:lvl w:ilvl="1">
      <w:start w:val="1"/>
      <w:numFmt w:val="lowerRoman"/>
      <w:pStyle w:val="DHHS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 w15:restartNumberingAfterBreak="0">
    <w:nsid w:val="44967088"/>
    <w:multiLevelType w:val="hybridMultilevel"/>
    <w:tmpl w:val="60A4E42A"/>
    <w:lvl w:ilvl="0" w:tplc="67A0D6EA">
      <w:start w:val="1"/>
      <w:numFmt w:val="bullet"/>
      <w:lvlText w:val="-"/>
      <w:lvlJc w:val="left"/>
      <w:pPr>
        <w:ind w:left="72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41611C2"/>
    <w:multiLevelType w:val="multilevel"/>
    <w:tmpl w:val="96B4DF56"/>
    <w:styleLink w:val="ZZTablebullets"/>
    <w:lvl w:ilvl="0">
      <w:start w:val="1"/>
      <w:numFmt w:val="bullet"/>
      <w:pStyle w:val="DHHStablebullet1"/>
      <w:lvlText w:val="•"/>
      <w:lvlJc w:val="left"/>
      <w:pPr>
        <w:ind w:left="227" w:hanging="227"/>
      </w:pPr>
      <w:rPr>
        <w:rFonts w:ascii="Calibri" w:hAnsi="Calibri" w:hint="default"/>
      </w:rPr>
    </w:lvl>
    <w:lvl w:ilvl="1">
      <w:start w:val="1"/>
      <w:numFmt w:val="bullet"/>
      <w:lvlRestart w:val="0"/>
      <w:pStyle w:val="DHHS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6" w15:restartNumberingAfterBreak="0">
    <w:nsid w:val="54BA1E5A"/>
    <w:multiLevelType w:val="multilevel"/>
    <w:tmpl w:val="F1AE3C58"/>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7" w15:restartNumberingAfterBreak="0">
    <w:nsid w:val="6309259F"/>
    <w:multiLevelType w:val="multilevel"/>
    <w:tmpl w:val="866C5A8E"/>
    <w:styleLink w:val="ZZQuotebullets"/>
    <w:lvl w:ilvl="0">
      <w:start w:val="1"/>
      <w:numFmt w:val="bullet"/>
      <w:pStyle w:val="DHHSquotebullet1"/>
      <w:lvlText w:val="•"/>
      <w:lvlJc w:val="left"/>
      <w:pPr>
        <w:ind w:left="680" w:hanging="283"/>
      </w:pPr>
      <w:rPr>
        <w:rFonts w:ascii="Calibri" w:hAnsi="Calibri" w:hint="default"/>
        <w:color w:val="auto"/>
      </w:rPr>
    </w:lvl>
    <w:lvl w:ilvl="1">
      <w:start w:val="1"/>
      <w:numFmt w:val="bullet"/>
      <w:lvlRestart w:val="0"/>
      <w:pStyle w:val="DHHS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8" w15:restartNumberingAfterBreak="0">
    <w:nsid w:val="6473597C"/>
    <w:multiLevelType w:val="hybridMultilevel"/>
    <w:tmpl w:val="4D74B2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56350DC"/>
    <w:multiLevelType w:val="hybridMultilevel"/>
    <w:tmpl w:val="AC362D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1"/>
  </w:num>
  <w:num w:numId="4">
    <w:abstractNumId w:val="3"/>
  </w:num>
  <w:num w:numId="5">
    <w:abstractNumId w:val="7"/>
  </w:num>
  <w:num w:numId="6">
    <w:abstractNumId w:val="5"/>
  </w:num>
  <w:num w:numId="7">
    <w:abstractNumId w:val="1"/>
  </w:num>
  <w:num w:numId="8">
    <w:abstractNumId w:val="7"/>
  </w:num>
  <w:num w:numId="9">
    <w:abstractNumId w:val="3"/>
  </w:num>
  <w:num w:numId="10">
    <w:abstractNumId w:val="5"/>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4"/>
  </w:num>
  <w:num w:numId="17">
    <w:abstractNumId w:val="6"/>
  </w:num>
  <w:num w:numId="18">
    <w:abstractNumId w:val="6"/>
  </w:num>
  <w:num w:numId="19">
    <w:abstractNumId w:val="8"/>
  </w:num>
  <w:num w:numId="20">
    <w:abstractNumId w:val="6"/>
  </w:num>
  <w:num w:numId="21">
    <w:abstractNumId w:val="9"/>
  </w:num>
  <w:num w:numId="22">
    <w:abstractNumId w:val="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evenAndOddHeaders/>
  <w:drawingGridHorizontalSpacing w:val="181"/>
  <w:drawingGridVerticalSpacing w:val="181"/>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E92"/>
    <w:rsid w:val="000023EC"/>
    <w:rsid w:val="00002990"/>
    <w:rsid w:val="000048AC"/>
    <w:rsid w:val="00010A2D"/>
    <w:rsid w:val="00014FC4"/>
    <w:rsid w:val="00020AAB"/>
    <w:rsid w:val="000223A4"/>
    <w:rsid w:val="00022E60"/>
    <w:rsid w:val="00025ED3"/>
    <w:rsid w:val="00026C19"/>
    <w:rsid w:val="00031263"/>
    <w:rsid w:val="0003750A"/>
    <w:rsid w:val="00046FAA"/>
    <w:rsid w:val="0005587D"/>
    <w:rsid w:val="00060E39"/>
    <w:rsid w:val="00060E93"/>
    <w:rsid w:val="00061F3F"/>
    <w:rsid w:val="00064936"/>
    <w:rsid w:val="000734F8"/>
    <w:rsid w:val="000736B8"/>
    <w:rsid w:val="000802C5"/>
    <w:rsid w:val="000817CB"/>
    <w:rsid w:val="00082D6D"/>
    <w:rsid w:val="000873EF"/>
    <w:rsid w:val="00090EDB"/>
    <w:rsid w:val="000A1282"/>
    <w:rsid w:val="000B3792"/>
    <w:rsid w:val="000B7AB9"/>
    <w:rsid w:val="000C24D1"/>
    <w:rsid w:val="000C2631"/>
    <w:rsid w:val="000C2D40"/>
    <w:rsid w:val="000C3D12"/>
    <w:rsid w:val="000C6242"/>
    <w:rsid w:val="000C68DB"/>
    <w:rsid w:val="000D14FA"/>
    <w:rsid w:val="000D2C32"/>
    <w:rsid w:val="000E42EE"/>
    <w:rsid w:val="000E6F72"/>
    <w:rsid w:val="000F0478"/>
    <w:rsid w:val="000F0A50"/>
    <w:rsid w:val="00103D5E"/>
    <w:rsid w:val="00104EA7"/>
    <w:rsid w:val="00105D91"/>
    <w:rsid w:val="00105FAD"/>
    <w:rsid w:val="0011155B"/>
    <w:rsid w:val="00111A6A"/>
    <w:rsid w:val="00112935"/>
    <w:rsid w:val="00115A95"/>
    <w:rsid w:val="00121BF1"/>
    <w:rsid w:val="001274AE"/>
    <w:rsid w:val="00127A8B"/>
    <w:rsid w:val="00127F43"/>
    <w:rsid w:val="00131145"/>
    <w:rsid w:val="00134BE5"/>
    <w:rsid w:val="0013572F"/>
    <w:rsid w:val="001412D1"/>
    <w:rsid w:val="001416A5"/>
    <w:rsid w:val="001423E3"/>
    <w:rsid w:val="001431B4"/>
    <w:rsid w:val="001475EA"/>
    <w:rsid w:val="001504F5"/>
    <w:rsid w:val="001517BD"/>
    <w:rsid w:val="00161EAB"/>
    <w:rsid w:val="0017248D"/>
    <w:rsid w:val="00173626"/>
    <w:rsid w:val="00173849"/>
    <w:rsid w:val="0017614A"/>
    <w:rsid w:val="00176171"/>
    <w:rsid w:val="0018177B"/>
    <w:rsid w:val="001817CD"/>
    <w:rsid w:val="0018235E"/>
    <w:rsid w:val="001834B7"/>
    <w:rsid w:val="00186E46"/>
    <w:rsid w:val="0018768C"/>
    <w:rsid w:val="00192BA0"/>
    <w:rsid w:val="00197303"/>
    <w:rsid w:val="001A17EA"/>
    <w:rsid w:val="001A1B76"/>
    <w:rsid w:val="001A1D17"/>
    <w:rsid w:val="001A22AA"/>
    <w:rsid w:val="001A7A18"/>
    <w:rsid w:val="001B1565"/>
    <w:rsid w:val="001B166D"/>
    <w:rsid w:val="001B28B5"/>
    <w:rsid w:val="001B2975"/>
    <w:rsid w:val="001C08A9"/>
    <w:rsid w:val="001C122D"/>
    <w:rsid w:val="001D2A82"/>
    <w:rsid w:val="001D555F"/>
    <w:rsid w:val="001D569B"/>
    <w:rsid w:val="001D7566"/>
    <w:rsid w:val="001D7E55"/>
    <w:rsid w:val="001E0EA3"/>
    <w:rsid w:val="001E3F3D"/>
    <w:rsid w:val="001E4995"/>
    <w:rsid w:val="001E7A42"/>
    <w:rsid w:val="001F09DC"/>
    <w:rsid w:val="001F1C33"/>
    <w:rsid w:val="001F43E6"/>
    <w:rsid w:val="00213772"/>
    <w:rsid w:val="00215D68"/>
    <w:rsid w:val="00220749"/>
    <w:rsid w:val="00223717"/>
    <w:rsid w:val="0022422C"/>
    <w:rsid w:val="0022724E"/>
    <w:rsid w:val="00230666"/>
    <w:rsid w:val="00231153"/>
    <w:rsid w:val="0023252E"/>
    <w:rsid w:val="00241C31"/>
    <w:rsid w:val="002548D6"/>
    <w:rsid w:val="00256E7C"/>
    <w:rsid w:val="00262F9F"/>
    <w:rsid w:val="002679D5"/>
    <w:rsid w:val="002714FD"/>
    <w:rsid w:val="00275F94"/>
    <w:rsid w:val="00276A06"/>
    <w:rsid w:val="00277D12"/>
    <w:rsid w:val="002813E0"/>
    <w:rsid w:val="00281B9C"/>
    <w:rsid w:val="00284C9B"/>
    <w:rsid w:val="00286DE2"/>
    <w:rsid w:val="00294CFF"/>
    <w:rsid w:val="002979EE"/>
    <w:rsid w:val="002A141B"/>
    <w:rsid w:val="002A26B6"/>
    <w:rsid w:val="002A6A4E"/>
    <w:rsid w:val="002B5A85"/>
    <w:rsid w:val="002B63A7"/>
    <w:rsid w:val="002B6686"/>
    <w:rsid w:val="002C5543"/>
    <w:rsid w:val="002D0F7F"/>
    <w:rsid w:val="002D180B"/>
    <w:rsid w:val="002D7219"/>
    <w:rsid w:val="002D79E9"/>
    <w:rsid w:val="002D7B99"/>
    <w:rsid w:val="002E0198"/>
    <w:rsid w:val="002E1D7C"/>
    <w:rsid w:val="002F449B"/>
    <w:rsid w:val="002F4D86"/>
    <w:rsid w:val="002F5D69"/>
    <w:rsid w:val="002F6FC6"/>
    <w:rsid w:val="002F7C77"/>
    <w:rsid w:val="003008DE"/>
    <w:rsid w:val="00300CB3"/>
    <w:rsid w:val="00302C89"/>
    <w:rsid w:val="0030394B"/>
    <w:rsid w:val="00305BBC"/>
    <w:rsid w:val="00306EC6"/>
    <w:rsid w:val="003072C6"/>
    <w:rsid w:val="00310963"/>
    <w:rsid w:val="00310D8E"/>
    <w:rsid w:val="00315BBD"/>
    <w:rsid w:val="0031753A"/>
    <w:rsid w:val="00320029"/>
    <w:rsid w:val="00320293"/>
    <w:rsid w:val="00322CC2"/>
    <w:rsid w:val="003271DC"/>
    <w:rsid w:val="00332FA0"/>
    <w:rsid w:val="00334B54"/>
    <w:rsid w:val="0033739E"/>
    <w:rsid w:val="00343733"/>
    <w:rsid w:val="00355886"/>
    <w:rsid w:val="00356814"/>
    <w:rsid w:val="003579B9"/>
    <w:rsid w:val="003741AD"/>
    <w:rsid w:val="003747DA"/>
    <w:rsid w:val="0038019F"/>
    <w:rsid w:val="00382071"/>
    <w:rsid w:val="00385E48"/>
    <w:rsid w:val="003945F3"/>
    <w:rsid w:val="00394B7D"/>
    <w:rsid w:val="00395A76"/>
    <w:rsid w:val="003A2F25"/>
    <w:rsid w:val="003A7697"/>
    <w:rsid w:val="003B2807"/>
    <w:rsid w:val="003C1A21"/>
    <w:rsid w:val="003C68F2"/>
    <w:rsid w:val="003D35F2"/>
    <w:rsid w:val="003D58B8"/>
    <w:rsid w:val="003D5CFB"/>
    <w:rsid w:val="003E2636"/>
    <w:rsid w:val="003E2E12"/>
    <w:rsid w:val="003E7E91"/>
    <w:rsid w:val="003F39CE"/>
    <w:rsid w:val="00401108"/>
    <w:rsid w:val="004027D4"/>
    <w:rsid w:val="00402927"/>
    <w:rsid w:val="00407993"/>
    <w:rsid w:val="00410AFD"/>
    <w:rsid w:val="00411833"/>
    <w:rsid w:val="004125D4"/>
    <w:rsid w:val="00412F64"/>
    <w:rsid w:val="004146F0"/>
    <w:rsid w:val="00417BEB"/>
    <w:rsid w:val="00417CC6"/>
    <w:rsid w:val="004226FE"/>
    <w:rsid w:val="00422967"/>
    <w:rsid w:val="00423B59"/>
    <w:rsid w:val="00427A89"/>
    <w:rsid w:val="004324FF"/>
    <w:rsid w:val="00432A55"/>
    <w:rsid w:val="004372B7"/>
    <w:rsid w:val="0044260A"/>
    <w:rsid w:val="00444D82"/>
    <w:rsid w:val="00451366"/>
    <w:rsid w:val="004564C6"/>
    <w:rsid w:val="004610CC"/>
    <w:rsid w:val="004638F2"/>
    <w:rsid w:val="00465464"/>
    <w:rsid w:val="00465E87"/>
    <w:rsid w:val="00475A78"/>
    <w:rsid w:val="0047686D"/>
    <w:rsid w:val="0047786A"/>
    <w:rsid w:val="00477A65"/>
    <w:rsid w:val="0048073A"/>
    <w:rsid w:val="004822EB"/>
    <w:rsid w:val="00482DB3"/>
    <w:rsid w:val="0048736E"/>
    <w:rsid w:val="00496B9F"/>
    <w:rsid w:val="004A0236"/>
    <w:rsid w:val="004A369A"/>
    <w:rsid w:val="004A3B3E"/>
    <w:rsid w:val="004C48B4"/>
    <w:rsid w:val="004C5777"/>
    <w:rsid w:val="004D0173"/>
    <w:rsid w:val="004D1056"/>
    <w:rsid w:val="004D2B7B"/>
    <w:rsid w:val="004D3577"/>
    <w:rsid w:val="004E1EDE"/>
    <w:rsid w:val="004E21E2"/>
    <w:rsid w:val="004E293F"/>
    <w:rsid w:val="004E380D"/>
    <w:rsid w:val="004E4642"/>
    <w:rsid w:val="004E67FE"/>
    <w:rsid w:val="004E7922"/>
    <w:rsid w:val="004F0DFC"/>
    <w:rsid w:val="004F1EF4"/>
    <w:rsid w:val="004F3441"/>
    <w:rsid w:val="004F41B2"/>
    <w:rsid w:val="004F45FB"/>
    <w:rsid w:val="004F4AFC"/>
    <w:rsid w:val="004F52A5"/>
    <w:rsid w:val="00500C8C"/>
    <w:rsid w:val="00501272"/>
    <w:rsid w:val="00501359"/>
    <w:rsid w:val="00501375"/>
    <w:rsid w:val="00501D3B"/>
    <w:rsid w:val="005022C9"/>
    <w:rsid w:val="00502B8F"/>
    <w:rsid w:val="0050779D"/>
    <w:rsid w:val="00511AFB"/>
    <w:rsid w:val="005139EA"/>
    <w:rsid w:val="00520BBB"/>
    <w:rsid w:val="0052255C"/>
    <w:rsid w:val="00524310"/>
    <w:rsid w:val="00525456"/>
    <w:rsid w:val="00530452"/>
    <w:rsid w:val="00532236"/>
    <w:rsid w:val="00532B7E"/>
    <w:rsid w:val="005338EA"/>
    <w:rsid w:val="00541DFE"/>
    <w:rsid w:val="00543E6C"/>
    <w:rsid w:val="00544184"/>
    <w:rsid w:val="0055129B"/>
    <w:rsid w:val="00551789"/>
    <w:rsid w:val="00553F68"/>
    <w:rsid w:val="005552FD"/>
    <w:rsid w:val="005600E5"/>
    <w:rsid w:val="005616F1"/>
    <w:rsid w:val="00564955"/>
    <w:rsid w:val="00564E8F"/>
    <w:rsid w:val="005728A4"/>
    <w:rsid w:val="005763FC"/>
    <w:rsid w:val="00576EB4"/>
    <w:rsid w:val="00577B30"/>
    <w:rsid w:val="00582768"/>
    <w:rsid w:val="00583461"/>
    <w:rsid w:val="005856A4"/>
    <w:rsid w:val="00590730"/>
    <w:rsid w:val="0059263E"/>
    <w:rsid w:val="00595FE9"/>
    <w:rsid w:val="005A3051"/>
    <w:rsid w:val="005A53FE"/>
    <w:rsid w:val="005B7D22"/>
    <w:rsid w:val="005C029E"/>
    <w:rsid w:val="005C4A1C"/>
    <w:rsid w:val="005C59C9"/>
    <w:rsid w:val="005E085D"/>
    <w:rsid w:val="005E3FA7"/>
    <w:rsid w:val="005E71D7"/>
    <w:rsid w:val="005E7963"/>
    <w:rsid w:val="005F218C"/>
    <w:rsid w:val="005F4523"/>
    <w:rsid w:val="005F7D00"/>
    <w:rsid w:val="006008D9"/>
    <w:rsid w:val="00601D4D"/>
    <w:rsid w:val="006021B4"/>
    <w:rsid w:val="00605B5B"/>
    <w:rsid w:val="006062D8"/>
    <w:rsid w:val="00606827"/>
    <w:rsid w:val="00606C23"/>
    <w:rsid w:val="0060773F"/>
    <w:rsid w:val="00620262"/>
    <w:rsid w:val="00621B4C"/>
    <w:rsid w:val="00627C52"/>
    <w:rsid w:val="00630937"/>
    <w:rsid w:val="006360A3"/>
    <w:rsid w:val="0064777D"/>
    <w:rsid w:val="00653B84"/>
    <w:rsid w:val="00653E0D"/>
    <w:rsid w:val="00654F70"/>
    <w:rsid w:val="00656201"/>
    <w:rsid w:val="00670B96"/>
    <w:rsid w:val="006865C8"/>
    <w:rsid w:val="00686B48"/>
    <w:rsid w:val="00687038"/>
    <w:rsid w:val="0068714E"/>
    <w:rsid w:val="006872F5"/>
    <w:rsid w:val="006929F7"/>
    <w:rsid w:val="00692F7E"/>
    <w:rsid w:val="0069374A"/>
    <w:rsid w:val="00694AB8"/>
    <w:rsid w:val="00694E92"/>
    <w:rsid w:val="00695EF7"/>
    <w:rsid w:val="0069699D"/>
    <w:rsid w:val="006B007B"/>
    <w:rsid w:val="006B1398"/>
    <w:rsid w:val="006B2C51"/>
    <w:rsid w:val="006B6361"/>
    <w:rsid w:val="006B7544"/>
    <w:rsid w:val="006C59A9"/>
    <w:rsid w:val="006D1381"/>
    <w:rsid w:val="006D24CE"/>
    <w:rsid w:val="006D360C"/>
    <w:rsid w:val="006D5AC9"/>
    <w:rsid w:val="006D66ED"/>
    <w:rsid w:val="006E1E3A"/>
    <w:rsid w:val="006E786B"/>
    <w:rsid w:val="006F3E0E"/>
    <w:rsid w:val="007002B1"/>
    <w:rsid w:val="00704EB7"/>
    <w:rsid w:val="00705742"/>
    <w:rsid w:val="00706CE4"/>
    <w:rsid w:val="007104FE"/>
    <w:rsid w:val="00711B0C"/>
    <w:rsid w:val="007121A2"/>
    <w:rsid w:val="00713981"/>
    <w:rsid w:val="007176D6"/>
    <w:rsid w:val="00727D54"/>
    <w:rsid w:val="00731EF2"/>
    <w:rsid w:val="007344C5"/>
    <w:rsid w:val="00734959"/>
    <w:rsid w:val="00735137"/>
    <w:rsid w:val="0073520D"/>
    <w:rsid w:val="0076312A"/>
    <w:rsid w:val="007658A8"/>
    <w:rsid w:val="00780226"/>
    <w:rsid w:val="00781AB4"/>
    <w:rsid w:val="00781AD6"/>
    <w:rsid w:val="007923B7"/>
    <w:rsid w:val="00792616"/>
    <w:rsid w:val="007926BB"/>
    <w:rsid w:val="0079344C"/>
    <w:rsid w:val="007968AE"/>
    <w:rsid w:val="007A0283"/>
    <w:rsid w:val="007B5692"/>
    <w:rsid w:val="007C02C7"/>
    <w:rsid w:val="007C21EE"/>
    <w:rsid w:val="007C3AD4"/>
    <w:rsid w:val="007C6BFB"/>
    <w:rsid w:val="007D16F5"/>
    <w:rsid w:val="007D3A2E"/>
    <w:rsid w:val="007D6652"/>
    <w:rsid w:val="007E343D"/>
    <w:rsid w:val="007F4383"/>
    <w:rsid w:val="007F5858"/>
    <w:rsid w:val="007F6862"/>
    <w:rsid w:val="00801601"/>
    <w:rsid w:val="0080169A"/>
    <w:rsid w:val="008036A7"/>
    <w:rsid w:val="00807A6E"/>
    <w:rsid w:val="00810991"/>
    <w:rsid w:val="00811E08"/>
    <w:rsid w:val="0081318D"/>
    <w:rsid w:val="00814A9B"/>
    <w:rsid w:val="00814F66"/>
    <w:rsid w:val="00817C9E"/>
    <w:rsid w:val="008205AF"/>
    <w:rsid w:val="008211CD"/>
    <w:rsid w:val="008225E5"/>
    <w:rsid w:val="008243F5"/>
    <w:rsid w:val="00831053"/>
    <w:rsid w:val="008314D2"/>
    <w:rsid w:val="0083254D"/>
    <w:rsid w:val="00832845"/>
    <w:rsid w:val="00836249"/>
    <w:rsid w:val="00836F00"/>
    <w:rsid w:val="00846192"/>
    <w:rsid w:val="00846EA9"/>
    <w:rsid w:val="008474D7"/>
    <w:rsid w:val="00850806"/>
    <w:rsid w:val="00854278"/>
    <w:rsid w:val="00856A1B"/>
    <w:rsid w:val="008621C3"/>
    <w:rsid w:val="00865486"/>
    <w:rsid w:val="008669BE"/>
    <w:rsid w:val="00866BE6"/>
    <w:rsid w:val="00876275"/>
    <w:rsid w:val="00877DDD"/>
    <w:rsid w:val="00880B1A"/>
    <w:rsid w:val="00882B99"/>
    <w:rsid w:val="00886121"/>
    <w:rsid w:val="00890FA1"/>
    <w:rsid w:val="00892B15"/>
    <w:rsid w:val="0089675D"/>
    <w:rsid w:val="008A17BD"/>
    <w:rsid w:val="008A295B"/>
    <w:rsid w:val="008A5B97"/>
    <w:rsid w:val="008A6604"/>
    <w:rsid w:val="008B1245"/>
    <w:rsid w:val="008B1C73"/>
    <w:rsid w:val="008B5482"/>
    <w:rsid w:val="008C11F4"/>
    <w:rsid w:val="008C2BEC"/>
    <w:rsid w:val="008C6523"/>
    <w:rsid w:val="008C6D0E"/>
    <w:rsid w:val="008D09D2"/>
    <w:rsid w:val="008D2791"/>
    <w:rsid w:val="008D39C5"/>
    <w:rsid w:val="008D64F1"/>
    <w:rsid w:val="008E1085"/>
    <w:rsid w:val="008E1714"/>
    <w:rsid w:val="008E1D89"/>
    <w:rsid w:val="008E3E3E"/>
    <w:rsid w:val="008F02FC"/>
    <w:rsid w:val="008F5F87"/>
    <w:rsid w:val="00900A34"/>
    <w:rsid w:val="00906132"/>
    <w:rsid w:val="00907073"/>
    <w:rsid w:val="00910D16"/>
    <w:rsid w:val="00913D79"/>
    <w:rsid w:val="009208F5"/>
    <w:rsid w:val="00927665"/>
    <w:rsid w:val="00927D51"/>
    <w:rsid w:val="00931D70"/>
    <w:rsid w:val="00932272"/>
    <w:rsid w:val="00932862"/>
    <w:rsid w:val="00935D60"/>
    <w:rsid w:val="009447BB"/>
    <w:rsid w:val="00944C48"/>
    <w:rsid w:val="00946335"/>
    <w:rsid w:val="009513C4"/>
    <w:rsid w:val="00951FD0"/>
    <w:rsid w:val="00955E55"/>
    <w:rsid w:val="009610F1"/>
    <w:rsid w:val="00962200"/>
    <w:rsid w:val="00966F54"/>
    <w:rsid w:val="00972848"/>
    <w:rsid w:val="00975E61"/>
    <w:rsid w:val="00976E31"/>
    <w:rsid w:val="00977C63"/>
    <w:rsid w:val="00980087"/>
    <w:rsid w:val="00980C0B"/>
    <w:rsid w:val="009811F6"/>
    <w:rsid w:val="0098524F"/>
    <w:rsid w:val="00987ABE"/>
    <w:rsid w:val="009906C7"/>
    <w:rsid w:val="00990CA5"/>
    <w:rsid w:val="00993DF7"/>
    <w:rsid w:val="009963CD"/>
    <w:rsid w:val="009B266D"/>
    <w:rsid w:val="009B26C8"/>
    <w:rsid w:val="009B30E5"/>
    <w:rsid w:val="009B5CBF"/>
    <w:rsid w:val="009C184A"/>
    <w:rsid w:val="009C2CA5"/>
    <w:rsid w:val="009C7BBA"/>
    <w:rsid w:val="009D04EE"/>
    <w:rsid w:val="009D1CC1"/>
    <w:rsid w:val="009D3E45"/>
    <w:rsid w:val="009D4AA8"/>
    <w:rsid w:val="009D4EF3"/>
    <w:rsid w:val="009E4235"/>
    <w:rsid w:val="009E61F0"/>
    <w:rsid w:val="009F351F"/>
    <w:rsid w:val="009F3F89"/>
    <w:rsid w:val="009F480E"/>
    <w:rsid w:val="00A022A2"/>
    <w:rsid w:val="00A02D15"/>
    <w:rsid w:val="00A11403"/>
    <w:rsid w:val="00A23BA9"/>
    <w:rsid w:val="00A24DB3"/>
    <w:rsid w:val="00A26B0D"/>
    <w:rsid w:val="00A3735A"/>
    <w:rsid w:val="00A42F1B"/>
    <w:rsid w:val="00A44EBE"/>
    <w:rsid w:val="00A546BC"/>
    <w:rsid w:val="00A55989"/>
    <w:rsid w:val="00A5694A"/>
    <w:rsid w:val="00A63DA4"/>
    <w:rsid w:val="00A73A66"/>
    <w:rsid w:val="00A75CD5"/>
    <w:rsid w:val="00A763D5"/>
    <w:rsid w:val="00A83DF3"/>
    <w:rsid w:val="00A85915"/>
    <w:rsid w:val="00A86270"/>
    <w:rsid w:val="00A952AB"/>
    <w:rsid w:val="00A9783D"/>
    <w:rsid w:val="00AA2991"/>
    <w:rsid w:val="00AA3948"/>
    <w:rsid w:val="00AA45E6"/>
    <w:rsid w:val="00AA5A37"/>
    <w:rsid w:val="00AA7008"/>
    <w:rsid w:val="00AB489C"/>
    <w:rsid w:val="00AB4B7B"/>
    <w:rsid w:val="00AB50C1"/>
    <w:rsid w:val="00AB6936"/>
    <w:rsid w:val="00AC0C3B"/>
    <w:rsid w:val="00AC2D63"/>
    <w:rsid w:val="00AD03D8"/>
    <w:rsid w:val="00AD0711"/>
    <w:rsid w:val="00AD704E"/>
    <w:rsid w:val="00AE3AF9"/>
    <w:rsid w:val="00AE3C7C"/>
    <w:rsid w:val="00AE4D56"/>
    <w:rsid w:val="00AE5FE0"/>
    <w:rsid w:val="00AE60B7"/>
    <w:rsid w:val="00AF2AB7"/>
    <w:rsid w:val="00AF2B1C"/>
    <w:rsid w:val="00AF2EFA"/>
    <w:rsid w:val="00AF4D3F"/>
    <w:rsid w:val="00AF5A57"/>
    <w:rsid w:val="00B00994"/>
    <w:rsid w:val="00B01BDA"/>
    <w:rsid w:val="00B0300B"/>
    <w:rsid w:val="00B0474D"/>
    <w:rsid w:val="00B05457"/>
    <w:rsid w:val="00B057F5"/>
    <w:rsid w:val="00B06D1F"/>
    <w:rsid w:val="00B126CB"/>
    <w:rsid w:val="00B128A0"/>
    <w:rsid w:val="00B20240"/>
    <w:rsid w:val="00B23281"/>
    <w:rsid w:val="00B25ACB"/>
    <w:rsid w:val="00B27571"/>
    <w:rsid w:val="00B4164B"/>
    <w:rsid w:val="00B50DDE"/>
    <w:rsid w:val="00B510EF"/>
    <w:rsid w:val="00B5409A"/>
    <w:rsid w:val="00B55574"/>
    <w:rsid w:val="00B55C34"/>
    <w:rsid w:val="00B6525D"/>
    <w:rsid w:val="00B65ABA"/>
    <w:rsid w:val="00B67097"/>
    <w:rsid w:val="00B6790F"/>
    <w:rsid w:val="00B67C19"/>
    <w:rsid w:val="00B71B3B"/>
    <w:rsid w:val="00B853DB"/>
    <w:rsid w:val="00B87D61"/>
    <w:rsid w:val="00B917E0"/>
    <w:rsid w:val="00B93948"/>
    <w:rsid w:val="00BA2CF3"/>
    <w:rsid w:val="00BA4BC7"/>
    <w:rsid w:val="00BA55B7"/>
    <w:rsid w:val="00BA5E47"/>
    <w:rsid w:val="00BA7D57"/>
    <w:rsid w:val="00BB0F65"/>
    <w:rsid w:val="00BB156E"/>
    <w:rsid w:val="00BB2E06"/>
    <w:rsid w:val="00BB3330"/>
    <w:rsid w:val="00BB3AB8"/>
    <w:rsid w:val="00BB437F"/>
    <w:rsid w:val="00BB47D7"/>
    <w:rsid w:val="00BB4A62"/>
    <w:rsid w:val="00BC01C1"/>
    <w:rsid w:val="00BC45A1"/>
    <w:rsid w:val="00BC5A34"/>
    <w:rsid w:val="00BD17F5"/>
    <w:rsid w:val="00BD183C"/>
    <w:rsid w:val="00BD6A6F"/>
    <w:rsid w:val="00BD6E05"/>
    <w:rsid w:val="00BE17B7"/>
    <w:rsid w:val="00BE54D0"/>
    <w:rsid w:val="00BF6B6C"/>
    <w:rsid w:val="00BF7251"/>
    <w:rsid w:val="00BF7F28"/>
    <w:rsid w:val="00C01909"/>
    <w:rsid w:val="00C05787"/>
    <w:rsid w:val="00C11871"/>
    <w:rsid w:val="00C13059"/>
    <w:rsid w:val="00C14B1A"/>
    <w:rsid w:val="00C156D4"/>
    <w:rsid w:val="00C15A5C"/>
    <w:rsid w:val="00C167A3"/>
    <w:rsid w:val="00C16F9B"/>
    <w:rsid w:val="00C2181C"/>
    <w:rsid w:val="00C2640E"/>
    <w:rsid w:val="00C2657D"/>
    <w:rsid w:val="00C26A87"/>
    <w:rsid w:val="00C27DE2"/>
    <w:rsid w:val="00C304A2"/>
    <w:rsid w:val="00C3745D"/>
    <w:rsid w:val="00C37EB9"/>
    <w:rsid w:val="00C416E1"/>
    <w:rsid w:val="00C44209"/>
    <w:rsid w:val="00C471AE"/>
    <w:rsid w:val="00C47BF8"/>
    <w:rsid w:val="00C50CE6"/>
    <w:rsid w:val="00C51B1C"/>
    <w:rsid w:val="00C53DCE"/>
    <w:rsid w:val="00C53F20"/>
    <w:rsid w:val="00C62E35"/>
    <w:rsid w:val="00C655F2"/>
    <w:rsid w:val="00C65B4C"/>
    <w:rsid w:val="00C65B61"/>
    <w:rsid w:val="00C70E53"/>
    <w:rsid w:val="00C72979"/>
    <w:rsid w:val="00C77431"/>
    <w:rsid w:val="00C81529"/>
    <w:rsid w:val="00C81BA6"/>
    <w:rsid w:val="00C82DBD"/>
    <w:rsid w:val="00C8377C"/>
    <w:rsid w:val="00C877CD"/>
    <w:rsid w:val="00C902E9"/>
    <w:rsid w:val="00C908B7"/>
    <w:rsid w:val="00C91D81"/>
    <w:rsid w:val="00C92A42"/>
    <w:rsid w:val="00CA18F2"/>
    <w:rsid w:val="00CA209B"/>
    <w:rsid w:val="00CA4871"/>
    <w:rsid w:val="00CA6722"/>
    <w:rsid w:val="00CA6D4E"/>
    <w:rsid w:val="00CA7731"/>
    <w:rsid w:val="00CA7B4B"/>
    <w:rsid w:val="00CB36A8"/>
    <w:rsid w:val="00CB4FC7"/>
    <w:rsid w:val="00CC139A"/>
    <w:rsid w:val="00CC1E7A"/>
    <w:rsid w:val="00CC4F64"/>
    <w:rsid w:val="00CD058C"/>
    <w:rsid w:val="00CD3B98"/>
    <w:rsid w:val="00CD4216"/>
    <w:rsid w:val="00CD518C"/>
    <w:rsid w:val="00CD733F"/>
    <w:rsid w:val="00CD7C65"/>
    <w:rsid w:val="00CE0942"/>
    <w:rsid w:val="00CE1585"/>
    <w:rsid w:val="00CE57B8"/>
    <w:rsid w:val="00CE7CA5"/>
    <w:rsid w:val="00CF1D81"/>
    <w:rsid w:val="00CF2DC9"/>
    <w:rsid w:val="00CF7CB6"/>
    <w:rsid w:val="00D01FF9"/>
    <w:rsid w:val="00D30E70"/>
    <w:rsid w:val="00D311AB"/>
    <w:rsid w:val="00D32290"/>
    <w:rsid w:val="00D325A8"/>
    <w:rsid w:val="00D442AD"/>
    <w:rsid w:val="00D51450"/>
    <w:rsid w:val="00D5618A"/>
    <w:rsid w:val="00D5784B"/>
    <w:rsid w:val="00D60B89"/>
    <w:rsid w:val="00D63EFB"/>
    <w:rsid w:val="00D658AF"/>
    <w:rsid w:val="00D70A79"/>
    <w:rsid w:val="00D83DE9"/>
    <w:rsid w:val="00D8450D"/>
    <w:rsid w:val="00D946B9"/>
    <w:rsid w:val="00D95AF9"/>
    <w:rsid w:val="00DA09C9"/>
    <w:rsid w:val="00DA0A3A"/>
    <w:rsid w:val="00DA1822"/>
    <w:rsid w:val="00DA5DA2"/>
    <w:rsid w:val="00DB566B"/>
    <w:rsid w:val="00DB5E1F"/>
    <w:rsid w:val="00DC19D8"/>
    <w:rsid w:val="00DC2521"/>
    <w:rsid w:val="00DC2613"/>
    <w:rsid w:val="00DC4512"/>
    <w:rsid w:val="00DD3691"/>
    <w:rsid w:val="00DD4B55"/>
    <w:rsid w:val="00DD7F86"/>
    <w:rsid w:val="00DE1E90"/>
    <w:rsid w:val="00DE24E6"/>
    <w:rsid w:val="00DE5C8A"/>
    <w:rsid w:val="00DE7B07"/>
    <w:rsid w:val="00DF0737"/>
    <w:rsid w:val="00DF07AD"/>
    <w:rsid w:val="00DF3364"/>
    <w:rsid w:val="00DF40CA"/>
    <w:rsid w:val="00E055BB"/>
    <w:rsid w:val="00E11988"/>
    <w:rsid w:val="00E14FE7"/>
    <w:rsid w:val="00E15433"/>
    <w:rsid w:val="00E15DA9"/>
    <w:rsid w:val="00E16D21"/>
    <w:rsid w:val="00E2095D"/>
    <w:rsid w:val="00E30414"/>
    <w:rsid w:val="00E40769"/>
    <w:rsid w:val="00E42E8B"/>
    <w:rsid w:val="00E50130"/>
    <w:rsid w:val="00E50569"/>
    <w:rsid w:val="00E60F12"/>
    <w:rsid w:val="00E645ED"/>
    <w:rsid w:val="00E64700"/>
    <w:rsid w:val="00E652FB"/>
    <w:rsid w:val="00E66C20"/>
    <w:rsid w:val="00E70066"/>
    <w:rsid w:val="00E71C46"/>
    <w:rsid w:val="00E73152"/>
    <w:rsid w:val="00E731B7"/>
    <w:rsid w:val="00E732C5"/>
    <w:rsid w:val="00E75ED2"/>
    <w:rsid w:val="00E8280C"/>
    <w:rsid w:val="00E83E4C"/>
    <w:rsid w:val="00E91933"/>
    <w:rsid w:val="00E92A81"/>
    <w:rsid w:val="00E937EB"/>
    <w:rsid w:val="00E969B1"/>
    <w:rsid w:val="00EA44EB"/>
    <w:rsid w:val="00EA673E"/>
    <w:rsid w:val="00EB270F"/>
    <w:rsid w:val="00EB6552"/>
    <w:rsid w:val="00EC18E6"/>
    <w:rsid w:val="00EC1984"/>
    <w:rsid w:val="00EC234C"/>
    <w:rsid w:val="00EC44A4"/>
    <w:rsid w:val="00ED3529"/>
    <w:rsid w:val="00ED41C9"/>
    <w:rsid w:val="00ED4D17"/>
    <w:rsid w:val="00EE6CD3"/>
    <w:rsid w:val="00EF20D7"/>
    <w:rsid w:val="00EF2B79"/>
    <w:rsid w:val="00EF3419"/>
    <w:rsid w:val="00EF61CA"/>
    <w:rsid w:val="00F0119C"/>
    <w:rsid w:val="00F02BDB"/>
    <w:rsid w:val="00F0441B"/>
    <w:rsid w:val="00F07623"/>
    <w:rsid w:val="00F07D0B"/>
    <w:rsid w:val="00F2073E"/>
    <w:rsid w:val="00F21E68"/>
    <w:rsid w:val="00F223EF"/>
    <w:rsid w:val="00F2548D"/>
    <w:rsid w:val="00F3136B"/>
    <w:rsid w:val="00F314F1"/>
    <w:rsid w:val="00F327EA"/>
    <w:rsid w:val="00F33641"/>
    <w:rsid w:val="00F3784C"/>
    <w:rsid w:val="00F42842"/>
    <w:rsid w:val="00F43EE0"/>
    <w:rsid w:val="00F46E40"/>
    <w:rsid w:val="00F4760A"/>
    <w:rsid w:val="00F529FE"/>
    <w:rsid w:val="00F52B8E"/>
    <w:rsid w:val="00F53CFD"/>
    <w:rsid w:val="00F54AF5"/>
    <w:rsid w:val="00F557E3"/>
    <w:rsid w:val="00F61E78"/>
    <w:rsid w:val="00F635C5"/>
    <w:rsid w:val="00F72741"/>
    <w:rsid w:val="00F736E3"/>
    <w:rsid w:val="00F73E28"/>
    <w:rsid w:val="00F767E8"/>
    <w:rsid w:val="00F85717"/>
    <w:rsid w:val="00F866A0"/>
    <w:rsid w:val="00F86A3F"/>
    <w:rsid w:val="00F91297"/>
    <w:rsid w:val="00F9133B"/>
    <w:rsid w:val="00F97730"/>
    <w:rsid w:val="00FB32A4"/>
    <w:rsid w:val="00FB594D"/>
    <w:rsid w:val="00FC382E"/>
    <w:rsid w:val="00FC49BB"/>
    <w:rsid w:val="00FD616B"/>
    <w:rsid w:val="00FE367F"/>
    <w:rsid w:val="00FF29DC"/>
    <w:rsid w:val="00FF480C"/>
    <w:rsid w:val="00FF67D2"/>
    <w:rsid w:val="4388C7FB"/>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6865"/>
    <o:shapelayout v:ext="edit">
      <o:idmap v:ext="edit" data="1"/>
    </o:shapelayout>
  </w:shapeDefaults>
  <w:decimalSymbol w:val="."/>
  <w:listSeparator w:val=","/>
  <w14:docId w14:val="5360E31C"/>
  <w15:docId w15:val="{5D8B5C3E-88AD-41CC-B8E2-4D7788E45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7">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rsid w:val="005C4A1C"/>
    <w:rPr>
      <w:rFonts w:ascii="Cambria" w:hAnsi="Cambria"/>
      <w:lang w:eastAsia="en-US"/>
    </w:rPr>
  </w:style>
  <w:style w:type="paragraph" w:styleId="Heading1">
    <w:name w:val="heading 1"/>
    <w:next w:val="DHHSbody"/>
    <w:link w:val="Heading1Char"/>
    <w:uiPriority w:val="1"/>
    <w:qFormat/>
    <w:rsid w:val="009E4235"/>
    <w:pPr>
      <w:keepNext/>
      <w:keepLines/>
      <w:spacing w:before="520" w:after="440" w:line="440" w:lineRule="atLeast"/>
      <w:outlineLvl w:val="0"/>
    </w:pPr>
    <w:rPr>
      <w:rFonts w:ascii="Arial" w:hAnsi="Arial"/>
      <w:bCs/>
      <w:color w:val="87189D"/>
      <w:sz w:val="44"/>
      <w:szCs w:val="44"/>
      <w:lang w:eastAsia="en-US"/>
    </w:rPr>
  </w:style>
  <w:style w:type="paragraph" w:styleId="Heading2">
    <w:name w:val="heading 2"/>
    <w:next w:val="DHHSbody"/>
    <w:link w:val="Heading2Char"/>
    <w:uiPriority w:val="1"/>
    <w:qFormat/>
    <w:rsid w:val="009E4235"/>
    <w:pPr>
      <w:keepNext/>
      <w:keepLines/>
      <w:spacing w:before="240" w:after="90" w:line="320" w:lineRule="atLeast"/>
      <w:outlineLvl w:val="1"/>
    </w:pPr>
    <w:rPr>
      <w:rFonts w:ascii="Arial" w:hAnsi="Arial"/>
      <w:b/>
      <w:color w:val="87189D"/>
      <w:sz w:val="28"/>
      <w:szCs w:val="28"/>
      <w:lang w:eastAsia="en-US"/>
    </w:rPr>
  </w:style>
  <w:style w:type="paragraph" w:styleId="Heading3">
    <w:name w:val="heading 3"/>
    <w:next w:val="DHHSbody"/>
    <w:link w:val="Heading3Char"/>
    <w:uiPriority w:val="1"/>
    <w:qFormat/>
    <w:rsid w:val="00FB594D"/>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EE6CD3"/>
    <w:pPr>
      <w:keepNext/>
      <w:keepLines/>
      <w:spacing w:before="240" w:after="120" w:line="240" w:lineRule="atLeast"/>
      <w:outlineLvl w:val="3"/>
    </w:pPr>
    <w:rPr>
      <w:rFonts w:ascii="Arial" w:eastAsia="MS Mincho" w:hAnsi="Arial"/>
      <w:b/>
      <w:bCs/>
      <w:lang w:eastAsia="en-US"/>
    </w:rPr>
  </w:style>
  <w:style w:type="paragraph" w:styleId="Heading5">
    <w:name w:val="heading 5"/>
    <w:next w:val="DHHSbody"/>
    <w:link w:val="Heading5Char"/>
    <w:uiPriority w:val="9"/>
    <w:qFormat/>
    <w:rsid w:val="005B7D22"/>
    <w:pPr>
      <w:keepNext/>
      <w:keepLines/>
      <w:suppressAutoHyphens/>
      <w:spacing w:before="240" w:after="120" w:line="240" w:lineRule="atLeast"/>
      <w:outlineLvl w:val="4"/>
    </w:pPr>
    <w:rPr>
      <w:rFonts w:ascii="Arial" w:eastAsia="MS Mincho" w:hAnsi="Arial"/>
      <w:b/>
      <w:bCs/>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9E4235"/>
    <w:rPr>
      <w:rFonts w:ascii="Arial" w:hAnsi="Arial"/>
      <w:bCs/>
      <w:color w:val="87189D"/>
      <w:sz w:val="44"/>
      <w:szCs w:val="44"/>
      <w:lang w:eastAsia="en-US"/>
    </w:rPr>
  </w:style>
  <w:style w:type="character" w:customStyle="1" w:styleId="Heading2Char">
    <w:name w:val="Heading 2 Char"/>
    <w:link w:val="Heading2"/>
    <w:uiPriority w:val="1"/>
    <w:rsid w:val="009E4235"/>
    <w:rPr>
      <w:rFonts w:ascii="Arial" w:hAnsi="Arial"/>
      <w:b/>
      <w:color w:val="87189D"/>
      <w:sz w:val="28"/>
      <w:szCs w:val="28"/>
      <w:lang w:eastAsia="en-US"/>
    </w:rPr>
  </w:style>
  <w:style w:type="character" w:customStyle="1" w:styleId="Heading3Char">
    <w:name w:val="Heading 3 Char"/>
    <w:link w:val="Heading3"/>
    <w:uiPriority w:val="1"/>
    <w:rsid w:val="00FB594D"/>
    <w:rPr>
      <w:rFonts w:ascii="Arial" w:eastAsia="MS Gothic" w:hAnsi="Arial" w:cs="Times New Roman"/>
      <w:b/>
      <w:bCs/>
      <w:sz w:val="24"/>
      <w:szCs w:val="26"/>
    </w:rPr>
  </w:style>
  <w:style w:type="character" w:customStyle="1" w:styleId="Heading4Char">
    <w:name w:val="Heading 4 Char"/>
    <w:link w:val="Heading4"/>
    <w:uiPriority w:val="1"/>
    <w:rsid w:val="00EE6CD3"/>
    <w:rPr>
      <w:rFonts w:ascii="Arial" w:eastAsia="MS Mincho" w:hAnsi="Arial" w:cs="Times New Roman"/>
      <w:b/>
      <w:bCs/>
    </w:rPr>
  </w:style>
  <w:style w:type="paragraph" w:styleId="Header">
    <w:name w:val="header"/>
    <w:basedOn w:val="DHHSheader"/>
    <w:uiPriority w:val="98"/>
    <w:rsid w:val="004E380D"/>
  </w:style>
  <w:style w:type="paragraph" w:styleId="Footer">
    <w:name w:val="footer"/>
    <w:basedOn w:val="DHHSfooter"/>
    <w:uiPriority w:val="98"/>
    <w:rsid w:val="0031753A"/>
  </w:style>
  <w:style w:type="character" w:styleId="FollowedHyperlink">
    <w:name w:val="FollowedHyperlink"/>
    <w:uiPriority w:val="99"/>
    <w:rsid w:val="007F6862"/>
    <w:rPr>
      <w:color w:val="87189D"/>
      <w:u w:val="dotted"/>
    </w:rPr>
  </w:style>
  <w:style w:type="paragraph" w:customStyle="1" w:styleId="DHHStabletext6pt">
    <w:name w:val="DHHS table text + 6pt"/>
    <w:basedOn w:val="DHHStabletext"/>
    <w:rsid w:val="00E91933"/>
    <w:pPr>
      <w:spacing w:after="120"/>
    </w:pPr>
  </w:style>
  <w:style w:type="paragraph" w:styleId="Subtitle">
    <w:name w:val="Subtitle"/>
    <w:basedOn w:val="Normal"/>
    <w:next w:val="Normal"/>
    <w:link w:val="SubtitleChar"/>
    <w:uiPriority w:val="11"/>
    <w:semiHidden/>
    <w:qFormat/>
    <w:rsid w:val="00E71C46"/>
    <w:pPr>
      <w:spacing w:after="60"/>
      <w:jc w:val="center"/>
    </w:pPr>
    <w:rPr>
      <w:rFonts w:ascii="Calibri Light" w:hAnsi="Calibri Light"/>
      <w:sz w:val="24"/>
      <w:szCs w:val="24"/>
    </w:rPr>
  </w:style>
  <w:style w:type="paragraph" w:styleId="EndnoteText">
    <w:name w:val="endnote text"/>
    <w:basedOn w:val="Normal"/>
    <w:semiHidden/>
    <w:rsid w:val="00EA6F2B"/>
    <w:rPr>
      <w:sz w:val="24"/>
      <w:szCs w:val="24"/>
    </w:rPr>
  </w:style>
  <w:style w:type="character" w:styleId="EndnoteReference">
    <w:name w:val="endnote reference"/>
    <w:aliases w:val="Endnote Text Char"/>
    <w:semiHidden/>
    <w:rsid w:val="00923608"/>
    <w:rPr>
      <w:rFonts w:ascii="Arial" w:hAnsi="Arial"/>
      <w:sz w:val="20"/>
      <w:vertAlign w:val="superscript"/>
    </w:rPr>
  </w:style>
  <w:style w:type="table" w:styleId="TableGrid">
    <w:name w:val="Table Grid"/>
    <w:basedOn w:val="TableNormal"/>
    <w:rsid w:val="00DE7B07"/>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DA7946"/>
  </w:style>
  <w:style w:type="paragraph" w:customStyle="1" w:styleId="DHHSreportsubtitle">
    <w:name w:val="DHHS report subtitle"/>
    <w:basedOn w:val="Normal"/>
    <w:uiPriority w:val="4"/>
    <w:rsid w:val="00630937"/>
    <w:pPr>
      <w:spacing w:after="120" w:line="380" w:lineRule="atLeast"/>
    </w:pPr>
    <w:rPr>
      <w:rFonts w:ascii="Arial" w:hAnsi="Arial"/>
      <w:color w:val="000000"/>
      <w:sz w:val="30"/>
      <w:szCs w:val="30"/>
    </w:rPr>
  </w:style>
  <w:style w:type="character" w:styleId="FootnoteReference">
    <w:name w:val="footnote reference"/>
    <w:uiPriority w:val="8"/>
    <w:rsid w:val="00D869F2"/>
    <w:rPr>
      <w:vertAlign w:val="superscript"/>
    </w:rPr>
  </w:style>
  <w:style w:type="paragraph" w:customStyle="1" w:styleId="DHHSreportmaintitle">
    <w:name w:val="DHHS report main title"/>
    <w:uiPriority w:val="4"/>
    <w:rsid w:val="009E4235"/>
    <w:pPr>
      <w:keepLines/>
      <w:spacing w:after="240" w:line="580" w:lineRule="atLeast"/>
    </w:pPr>
    <w:rPr>
      <w:rFonts w:ascii="Arial" w:hAnsi="Arial"/>
      <w:color w:val="87189D"/>
      <w:sz w:val="50"/>
      <w:szCs w:val="24"/>
      <w:lang w:eastAsia="en-US"/>
    </w:rPr>
  </w:style>
  <w:style w:type="paragraph" w:styleId="FootnoteText">
    <w:name w:val="footnote text"/>
    <w:basedOn w:val="Normal"/>
    <w:uiPriority w:val="8"/>
    <w:rsid w:val="003072C6"/>
    <w:pPr>
      <w:spacing w:before="60" w:after="60" w:line="200" w:lineRule="atLeast"/>
    </w:pPr>
    <w:rPr>
      <w:rFonts w:ascii="Arial" w:eastAsia="MS Gothic" w:hAnsi="Arial" w:cs="Arial"/>
      <w:sz w:val="16"/>
      <w:szCs w:val="16"/>
    </w:rPr>
  </w:style>
  <w:style w:type="paragraph" w:styleId="TOC1">
    <w:name w:val="toc 1"/>
    <w:basedOn w:val="Normal"/>
    <w:next w:val="Normal"/>
    <w:uiPriority w:val="39"/>
    <w:rsid w:val="00DE7B07"/>
    <w:pPr>
      <w:keepNext/>
      <w:keepLines/>
      <w:tabs>
        <w:tab w:val="right" w:leader="dot" w:pos="9299"/>
      </w:tabs>
      <w:spacing w:before="160" w:after="60" w:line="270" w:lineRule="atLeast"/>
    </w:pPr>
    <w:rPr>
      <w:rFonts w:ascii="Arial" w:hAnsi="Arial"/>
      <w:b/>
      <w:noProof/>
    </w:rPr>
  </w:style>
  <w:style w:type="paragraph" w:styleId="TOC2">
    <w:name w:val="toc 2"/>
    <w:basedOn w:val="Normal"/>
    <w:next w:val="Normal"/>
    <w:uiPriority w:val="39"/>
    <w:rsid w:val="00DE7B07"/>
    <w:pPr>
      <w:keepNext/>
      <w:keepLines/>
      <w:tabs>
        <w:tab w:val="right" w:leader="dot" w:pos="9299"/>
      </w:tabs>
      <w:spacing w:after="60" w:line="270" w:lineRule="atLeast"/>
    </w:pPr>
    <w:rPr>
      <w:rFonts w:ascii="Arial" w:hAnsi="Arial"/>
      <w:noProof/>
    </w:rPr>
  </w:style>
  <w:style w:type="paragraph" w:styleId="TOC3">
    <w:name w:val="toc 3"/>
    <w:basedOn w:val="Normal"/>
    <w:next w:val="Normal"/>
    <w:uiPriority w:val="39"/>
    <w:rsid w:val="00DE7B07"/>
    <w:pPr>
      <w:keepLines/>
      <w:tabs>
        <w:tab w:val="right" w:leader="dot" w:pos="9299"/>
      </w:tabs>
      <w:spacing w:after="60" w:line="270" w:lineRule="atLeast"/>
      <w:ind w:left="284"/>
    </w:pPr>
    <w:rPr>
      <w:rFonts w:ascii="Arial" w:hAnsi="Arial" w:cs="Arial"/>
    </w:rPr>
  </w:style>
  <w:style w:type="paragraph" w:styleId="TOC4">
    <w:name w:val="toc 4"/>
    <w:basedOn w:val="TOC3"/>
    <w:uiPriority w:val="39"/>
    <w:rsid w:val="00B126CB"/>
    <w:pPr>
      <w:ind w:left="567"/>
    </w:pPr>
  </w:style>
  <w:style w:type="paragraph" w:styleId="TOC5">
    <w:name w:val="toc 5"/>
    <w:basedOn w:val="TOC4"/>
    <w:rsid w:val="00B126CB"/>
    <w:pPr>
      <w:ind w:left="851"/>
    </w:pPr>
  </w:style>
  <w:style w:type="paragraph" w:styleId="TOC6">
    <w:name w:val="toc 6"/>
    <w:basedOn w:val="Normal"/>
    <w:next w:val="Normal"/>
    <w:autoRedefine/>
    <w:semiHidden/>
    <w:rsid w:val="00862D33"/>
    <w:pPr>
      <w:ind w:left="1000"/>
    </w:pPr>
  </w:style>
  <w:style w:type="paragraph" w:styleId="TOC7">
    <w:name w:val="toc 7"/>
    <w:basedOn w:val="Normal"/>
    <w:next w:val="Normal"/>
    <w:autoRedefine/>
    <w:semiHidden/>
    <w:rsid w:val="00862D33"/>
    <w:pPr>
      <w:ind w:left="1200"/>
    </w:pPr>
  </w:style>
  <w:style w:type="paragraph" w:styleId="TOC8">
    <w:name w:val="toc 8"/>
    <w:basedOn w:val="Normal"/>
    <w:next w:val="Normal"/>
    <w:autoRedefine/>
    <w:semiHidden/>
    <w:rsid w:val="00862D33"/>
    <w:pPr>
      <w:ind w:left="1400"/>
    </w:pPr>
  </w:style>
  <w:style w:type="paragraph" w:styleId="TOC9">
    <w:name w:val="toc 9"/>
    <w:basedOn w:val="Normal"/>
    <w:next w:val="Normal"/>
    <w:autoRedefine/>
    <w:semiHidden/>
    <w:rsid w:val="00862D33"/>
    <w:pPr>
      <w:ind w:left="1600"/>
    </w:pPr>
  </w:style>
  <w:style w:type="paragraph" w:customStyle="1" w:styleId="DHHSreportmaintitlewhite">
    <w:name w:val="DHHS report main title white"/>
    <w:uiPriority w:val="4"/>
    <w:rsid w:val="00E91933"/>
    <w:pPr>
      <w:keepLines/>
      <w:spacing w:after="240" w:line="580" w:lineRule="atLeast"/>
    </w:pPr>
    <w:rPr>
      <w:rFonts w:ascii="Arial" w:hAnsi="Arial"/>
      <w:bCs/>
      <w:color w:val="FFFFFF"/>
      <w:sz w:val="50"/>
      <w:szCs w:val="50"/>
      <w:lang w:eastAsia="en-US"/>
    </w:rPr>
  </w:style>
  <w:style w:type="paragraph" w:customStyle="1" w:styleId="DHHSreportsubtitlewhite">
    <w:name w:val="DHHS report subtitle white"/>
    <w:uiPriority w:val="4"/>
    <w:rsid w:val="00E91933"/>
    <w:pPr>
      <w:spacing w:after="120" w:line="380" w:lineRule="atLeast"/>
    </w:pPr>
    <w:rPr>
      <w:rFonts w:ascii="Arial" w:hAnsi="Arial"/>
      <w:bCs/>
      <w:color w:val="FFFFFF"/>
      <w:sz w:val="30"/>
      <w:szCs w:val="30"/>
      <w:lang w:eastAsia="en-US"/>
    </w:rPr>
  </w:style>
  <w:style w:type="paragraph" w:customStyle="1" w:styleId="Coverinstructions">
    <w:name w:val="Cover instructions"/>
    <w:rsid w:val="001A7E04"/>
    <w:pPr>
      <w:spacing w:after="200" w:line="320" w:lineRule="atLeast"/>
    </w:pPr>
    <w:rPr>
      <w:rFonts w:ascii="Arial" w:hAnsi="Arial"/>
      <w:color w:val="FFFFFF"/>
      <w:sz w:val="24"/>
      <w:lang w:eastAsia="en-US"/>
    </w:rPr>
  </w:style>
  <w:style w:type="character" w:customStyle="1" w:styleId="Heading5Char">
    <w:name w:val="Heading 5 Char"/>
    <w:link w:val="Heading5"/>
    <w:uiPriority w:val="9"/>
    <w:rsid w:val="005B7D22"/>
    <w:rPr>
      <w:rFonts w:ascii="Arial" w:eastAsia="MS Mincho" w:hAnsi="Arial"/>
      <w:b/>
      <w:bCs/>
      <w:i/>
    </w:rPr>
  </w:style>
  <w:style w:type="paragraph" w:styleId="DocumentMap">
    <w:name w:val="Document Map"/>
    <w:basedOn w:val="Normal"/>
    <w:link w:val="DocumentMapChar"/>
    <w:uiPriority w:val="99"/>
    <w:semiHidden/>
    <w:unhideWhenUsed/>
    <w:rsid w:val="001E0EA3"/>
    <w:rPr>
      <w:rFonts w:ascii="Lucida Grande" w:hAnsi="Lucida Grande" w:cs="Lucida Grande"/>
      <w:sz w:val="24"/>
      <w:szCs w:val="24"/>
    </w:rPr>
  </w:style>
  <w:style w:type="character" w:customStyle="1" w:styleId="DocumentMapChar">
    <w:name w:val="Document Map Char"/>
    <w:link w:val="DocumentMap"/>
    <w:uiPriority w:val="99"/>
    <w:semiHidden/>
    <w:rsid w:val="001E0EA3"/>
    <w:rPr>
      <w:rFonts w:ascii="Lucida Grande" w:hAnsi="Lucida Grande" w:cs="Lucida Grande"/>
      <w:sz w:val="24"/>
      <w:szCs w:val="24"/>
    </w:rPr>
  </w:style>
  <w:style w:type="character" w:styleId="Hyperlink">
    <w:name w:val="Hyperlink"/>
    <w:uiPriority w:val="99"/>
    <w:rsid w:val="007F6862"/>
    <w:rPr>
      <w:color w:val="0072CE"/>
      <w:u w:val="dotted"/>
    </w:rPr>
  </w:style>
  <w:style w:type="paragraph" w:customStyle="1" w:styleId="DHHSbody">
    <w:name w:val="DHHS body"/>
    <w:qFormat/>
    <w:rsid w:val="00E30414"/>
    <w:pPr>
      <w:spacing w:after="120" w:line="270" w:lineRule="atLeast"/>
    </w:pPr>
    <w:rPr>
      <w:rFonts w:ascii="Arial" w:eastAsia="Times" w:hAnsi="Arial"/>
      <w:lang w:eastAsia="en-US"/>
    </w:rPr>
  </w:style>
  <w:style w:type="paragraph" w:customStyle="1" w:styleId="DHHSbullet1">
    <w:name w:val="DHHS bullet 1"/>
    <w:basedOn w:val="DHHSbody"/>
    <w:uiPriority w:val="99"/>
    <w:qFormat/>
    <w:rsid w:val="007F5858"/>
    <w:pPr>
      <w:numPr>
        <w:numId w:val="1"/>
      </w:numPr>
      <w:spacing w:after="40"/>
    </w:pPr>
  </w:style>
  <w:style w:type="paragraph" w:customStyle="1" w:styleId="DHHSnumberloweralpha">
    <w:name w:val="DHHS number lower alpha"/>
    <w:basedOn w:val="DHHSbody"/>
    <w:uiPriority w:val="3"/>
    <w:rsid w:val="008669BE"/>
    <w:pPr>
      <w:numPr>
        <w:numId w:val="7"/>
      </w:numPr>
    </w:pPr>
  </w:style>
  <w:style w:type="paragraph" w:customStyle="1" w:styleId="DHHSnumberloweralphaindent">
    <w:name w:val="DHHS number lower alpha indent"/>
    <w:basedOn w:val="DHHSbody"/>
    <w:uiPriority w:val="3"/>
    <w:rsid w:val="008669BE"/>
    <w:pPr>
      <w:numPr>
        <w:ilvl w:val="1"/>
        <w:numId w:val="7"/>
      </w:numPr>
    </w:pPr>
  </w:style>
  <w:style w:type="paragraph" w:customStyle="1" w:styleId="DHHStablefigurenote">
    <w:name w:val="DHHS table/figure note"/>
    <w:uiPriority w:val="4"/>
    <w:rsid w:val="008A5B97"/>
    <w:pPr>
      <w:spacing w:before="60" w:after="60" w:line="240" w:lineRule="exact"/>
    </w:pPr>
    <w:rPr>
      <w:rFonts w:ascii="Arial" w:hAnsi="Arial"/>
      <w:sz w:val="18"/>
      <w:lang w:eastAsia="en-US"/>
    </w:rPr>
  </w:style>
  <w:style w:type="paragraph" w:customStyle="1" w:styleId="DHHStabletext">
    <w:name w:val="DHHS table text"/>
    <w:uiPriority w:val="3"/>
    <w:qFormat/>
    <w:rsid w:val="00E30414"/>
    <w:pPr>
      <w:spacing w:before="80" w:after="60"/>
    </w:pPr>
    <w:rPr>
      <w:rFonts w:ascii="Arial" w:hAnsi="Arial"/>
      <w:lang w:eastAsia="en-US"/>
    </w:rPr>
  </w:style>
  <w:style w:type="paragraph" w:customStyle="1" w:styleId="DHHStablecaption">
    <w:name w:val="DHHS table caption"/>
    <w:next w:val="DHHSbody"/>
    <w:uiPriority w:val="3"/>
    <w:qFormat/>
    <w:rsid w:val="004E21E2"/>
    <w:pPr>
      <w:keepNext/>
      <w:keepLines/>
      <w:spacing w:before="240" w:after="120" w:line="240" w:lineRule="atLeast"/>
    </w:pPr>
    <w:rPr>
      <w:rFonts w:ascii="Arial" w:hAnsi="Arial"/>
      <w:b/>
      <w:lang w:eastAsia="en-US"/>
    </w:rPr>
  </w:style>
  <w:style w:type="paragraph" w:customStyle="1" w:styleId="DHHSfigurecaption">
    <w:name w:val="DHHS figure caption"/>
    <w:next w:val="DHHSbody"/>
    <w:rsid w:val="00E91933"/>
    <w:pPr>
      <w:keepNext/>
      <w:keepLines/>
      <w:spacing w:before="240" w:after="120"/>
    </w:pPr>
    <w:rPr>
      <w:rFonts w:ascii="Arial" w:hAnsi="Arial"/>
      <w:b/>
      <w:lang w:eastAsia="en-US"/>
    </w:rPr>
  </w:style>
  <w:style w:type="paragraph" w:customStyle="1" w:styleId="DHHSfooter">
    <w:name w:val="DHHS footer"/>
    <w:uiPriority w:val="11"/>
    <w:rsid w:val="00E969B1"/>
    <w:pPr>
      <w:tabs>
        <w:tab w:val="right" w:pos="9299"/>
      </w:tabs>
    </w:pPr>
    <w:rPr>
      <w:rFonts w:ascii="Arial" w:hAnsi="Arial" w:cs="Arial"/>
      <w:sz w:val="18"/>
      <w:szCs w:val="18"/>
      <w:lang w:eastAsia="en-US"/>
    </w:rPr>
  </w:style>
  <w:style w:type="paragraph" w:customStyle="1" w:styleId="DHHSbullet2">
    <w:name w:val="DHHS bullet 2"/>
    <w:basedOn w:val="DHHSbody"/>
    <w:uiPriority w:val="2"/>
    <w:qFormat/>
    <w:rsid w:val="007F5858"/>
    <w:pPr>
      <w:numPr>
        <w:ilvl w:val="1"/>
        <w:numId w:val="1"/>
      </w:numPr>
      <w:spacing w:after="40"/>
    </w:pPr>
  </w:style>
  <w:style w:type="paragraph" w:customStyle="1" w:styleId="DHHSheader">
    <w:name w:val="DHHS header"/>
    <w:basedOn w:val="DHHSfooter"/>
    <w:uiPriority w:val="11"/>
    <w:rsid w:val="00E969B1"/>
  </w:style>
  <w:style w:type="character" w:styleId="Strong">
    <w:name w:val="Strong"/>
    <w:uiPriority w:val="22"/>
    <w:qFormat/>
    <w:rsid w:val="00DC19D8"/>
    <w:rPr>
      <w:b/>
      <w:bCs/>
    </w:rPr>
  </w:style>
  <w:style w:type="paragraph" w:customStyle="1" w:styleId="DHHSnumberdigit">
    <w:name w:val="DHHS number digit"/>
    <w:basedOn w:val="DHHSbody"/>
    <w:uiPriority w:val="2"/>
    <w:rsid w:val="008669BE"/>
    <w:pPr>
      <w:numPr>
        <w:numId w:val="2"/>
      </w:numPr>
    </w:pPr>
  </w:style>
  <w:style w:type="paragraph" w:customStyle="1" w:styleId="DHHStablecolhead">
    <w:name w:val="DHHS table col head"/>
    <w:uiPriority w:val="3"/>
    <w:qFormat/>
    <w:rsid w:val="009E4235"/>
    <w:pPr>
      <w:spacing w:before="80" w:after="60"/>
    </w:pPr>
    <w:rPr>
      <w:rFonts w:ascii="Arial" w:hAnsi="Arial"/>
      <w:b/>
      <w:color w:val="87189D"/>
      <w:lang w:eastAsia="en-US"/>
    </w:rPr>
  </w:style>
  <w:style w:type="paragraph" w:customStyle="1" w:styleId="DHHSbodyaftertablefigure">
    <w:name w:val="DHHS body after table/figure"/>
    <w:basedOn w:val="DHHSbody"/>
    <w:next w:val="DHHSbody"/>
    <w:uiPriority w:val="1"/>
    <w:rsid w:val="00876275"/>
    <w:pPr>
      <w:spacing w:before="240"/>
    </w:pPr>
  </w:style>
  <w:style w:type="paragraph" w:customStyle="1" w:styleId="DHHSTOCheadingreport">
    <w:name w:val="DHHS TOC heading report"/>
    <w:basedOn w:val="Heading1"/>
    <w:link w:val="DHHSTOCheadingreportChar"/>
    <w:uiPriority w:val="5"/>
    <w:rsid w:val="009E4235"/>
    <w:pPr>
      <w:spacing w:before="0"/>
      <w:outlineLvl w:val="9"/>
    </w:pPr>
  </w:style>
  <w:style w:type="character" w:customStyle="1" w:styleId="DHHSTOCheadingreportChar">
    <w:name w:val="DHHS TOC heading report Char"/>
    <w:link w:val="DHHSTOCheadingreport"/>
    <w:uiPriority w:val="5"/>
    <w:rsid w:val="009E4235"/>
    <w:rPr>
      <w:rFonts w:ascii="Arial" w:hAnsi="Arial"/>
      <w:bCs/>
      <w:color w:val="87189D"/>
      <w:sz w:val="44"/>
      <w:szCs w:val="44"/>
      <w:lang w:eastAsia="en-US"/>
    </w:rPr>
  </w:style>
  <w:style w:type="paragraph" w:customStyle="1" w:styleId="DHHSaccessibilitypara">
    <w:name w:val="DHHS accessibility para"/>
    <w:uiPriority w:val="8"/>
    <w:rsid w:val="00B0300B"/>
    <w:pPr>
      <w:spacing w:after="300" w:line="300" w:lineRule="atLeast"/>
    </w:pPr>
    <w:rPr>
      <w:rFonts w:ascii="Arial" w:eastAsia="Times" w:hAnsi="Arial"/>
      <w:sz w:val="24"/>
      <w:szCs w:val="19"/>
      <w:lang w:eastAsia="en-US"/>
    </w:rPr>
  </w:style>
  <w:style w:type="paragraph" w:customStyle="1" w:styleId="DHHSbodynospace">
    <w:name w:val="DHHS body no space"/>
    <w:basedOn w:val="DHHSbody"/>
    <w:uiPriority w:val="3"/>
    <w:qFormat/>
    <w:rsid w:val="00CA6D4E"/>
    <w:pPr>
      <w:spacing w:after="0"/>
    </w:pPr>
  </w:style>
  <w:style w:type="paragraph" w:customStyle="1" w:styleId="DHHSquote">
    <w:name w:val="DHHS quote"/>
    <w:basedOn w:val="DHHSbody"/>
    <w:uiPriority w:val="4"/>
    <w:rsid w:val="00E75ED2"/>
    <w:pPr>
      <w:ind w:left="397"/>
    </w:pPr>
    <w:rPr>
      <w:szCs w:val="18"/>
    </w:rPr>
  </w:style>
  <w:style w:type="numbering" w:customStyle="1" w:styleId="ZZBullets">
    <w:name w:val="ZZ Bullets"/>
    <w:rsid w:val="007F5858"/>
    <w:pPr>
      <w:numPr>
        <w:numId w:val="1"/>
      </w:numPr>
    </w:pPr>
  </w:style>
  <w:style w:type="paragraph" w:customStyle="1" w:styleId="DHHSnumberlowerroman">
    <w:name w:val="DHHS number lower roman"/>
    <w:basedOn w:val="DHHSbody"/>
    <w:uiPriority w:val="3"/>
    <w:rsid w:val="008669BE"/>
    <w:pPr>
      <w:numPr>
        <w:numId w:val="9"/>
      </w:numPr>
    </w:pPr>
  </w:style>
  <w:style w:type="paragraph" w:customStyle="1" w:styleId="DHHSnumberlowerromanindent">
    <w:name w:val="DHHS number lower roman indent"/>
    <w:basedOn w:val="DHHSbody"/>
    <w:uiPriority w:val="3"/>
    <w:rsid w:val="008669BE"/>
    <w:pPr>
      <w:numPr>
        <w:ilvl w:val="1"/>
        <w:numId w:val="9"/>
      </w:numPr>
    </w:pPr>
  </w:style>
  <w:style w:type="paragraph" w:customStyle="1" w:styleId="DHHSnumberdigitindent">
    <w:name w:val="DHHS number digit indent"/>
    <w:basedOn w:val="DHHSnumberloweralphaindent"/>
    <w:uiPriority w:val="3"/>
    <w:rsid w:val="005C4A1C"/>
    <w:pPr>
      <w:numPr>
        <w:numId w:val="2"/>
      </w:numPr>
    </w:pPr>
  </w:style>
  <w:style w:type="character" w:customStyle="1" w:styleId="SubtitleChar">
    <w:name w:val="Subtitle Char"/>
    <w:link w:val="Subtitle"/>
    <w:uiPriority w:val="11"/>
    <w:semiHidden/>
    <w:rsid w:val="00E71C46"/>
    <w:rPr>
      <w:rFonts w:ascii="Calibri Light" w:eastAsia="Times New Roman" w:hAnsi="Calibri Light" w:cs="Times New Roman"/>
      <w:sz w:val="24"/>
      <w:szCs w:val="24"/>
      <w:lang w:eastAsia="en-US"/>
    </w:rPr>
  </w:style>
  <w:style w:type="paragraph" w:styleId="Title">
    <w:name w:val="Title"/>
    <w:basedOn w:val="Normal"/>
    <w:next w:val="Normal"/>
    <w:link w:val="TitleChar"/>
    <w:uiPriority w:val="10"/>
    <w:semiHidden/>
    <w:qFormat/>
    <w:rsid w:val="00E71C46"/>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E71C46"/>
    <w:rPr>
      <w:rFonts w:ascii="Calibri Light" w:eastAsia="Times New Roman" w:hAnsi="Calibri Light" w:cs="Times New Roman"/>
      <w:b/>
      <w:bCs/>
      <w:kern w:val="28"/>
      <w:sz w:val="32"/>
      <w:szCs w:val="32"/>
      <w:lang w:eastAsia="en-US"/>
    </w:rPr>
  </w:style>
  <w:style w:type="paragraph" w:customStyle="1" w:styleId="DHHSbodyafterbullets">
    <w:name w:val="DHHS body after bullets"/>
    <w:basedOn w:val="DHHSbody"/>
    <w:uiPriority w:val="11"/>
    <w:rsid w:val="008669BE"/>
    <w:pPr>
      <w:spacing w:before="120"/>
    </w:pPr>
  </w:style>
  <w:style w:type="paragraph" w:customStyle="1" w:styleId="DHHSbulletafternumbers1">
    <w:name w:val="DHHS bullet after numbers 1"/>
    <w:basedOn w:val="DHHSbody"/>
    <w:uiPriority w:val="4"/>
    <w:rsid w:val="005C4A1C"/>
    <w:pPr>
      <w:numPr>
        <w:ilvl w:val="2"/>
        <w:numId w:val="2"/>
      </w:numPr>
    </w:pPr>
  </w:style>
  <w:style w:type="paragraph" w:customStyle="1" w:styleId="DHHSbulletafternumbers2">
    <w:name w:val="DHHS bullet after numbers 2"/>
    <w:basedOn w:val="DHHSbody"/>
    <w:rsid w:val="005C4A1C"/>
    <w:pPr>
      <w:numPr>
        <w:ilvl w:val="3"/>
        <w:numId w:val="2"/>
      </w:numPr>
    </w:pPr>
  </w:style>
  <w:style w:type="paragraph" w:customStyle="1" w:styleId="DHHSquotebullet1">
    <w:name w:val="DHHS quote bullet 1"/>
    <w:basedOn w:val="DHHSquote"/>
    <w:rsid w:val="008669BE"/>
    <w:pPr>
      <w:numPr>
        <w:numId w:val="8"/>
      </w:numPr>
    </w:pPr>
  </w:style>
  <w:style w:type="paragraph" w:customStyle="1" w:styleId="DHHSquotebullet2">
    <w:name w:val="DHHS quote bullet 2"/>
    <w:basedOn w:val="DHHSquote"/>
    <w:rsid w:val="008669BE"/>
    <w:pPr>
      <w:numPr>
        <w:ilvl w:val="1"/>
        <w:numId w:val="8"/>
      </w:numPr>
    </w:pPr>
  </w:style>
  <w:style w:type="paragraph" w:customStyle="1" w:styleId="DHHStablebullet1">
    <w:name w:val="DHHS table bullet 1"/>
    <w:basedOn w:val="DHHStabletext"/>
    <w:uiPriority w:val="3"/>
    <w:qFormat/>
    <w:rsid w:val="008669BE"/>
    <w:pPr>
      <w:numPr>
        <w:numId w:val="10"/>
      </w:numPr>
    </w:pPr>
  </w:style>
  <w:style w:type="paragraph" w:customStyle="1" w:styleId="DHHStablebullet2">
    <w:name w:val="DHHS table bullet 2"/>
    <w:basedOn w:val="DHHStabletext"/>
    <w:uiPriority w:val="11"/>
    <w:rsid w:val="008669BE"/>
    <w:pPr>
      <w:numPr>
        <w:ilvl w:val="1"/>
        <w:numId w:val="10"/>
      </w:numPr>
    </w:pPr>
  </w:style>
  <w:style w:type="numbering" w:customStyle="1" w:styleId="ZZNumbersdigit">
    <w:name w:val="ZZ Numbers digit"/>
    <w:rsid w:val="005C4A1C"/>
    <w:pPr>
      <w:numPr>
        <w:numId w:val="2"/>
      </w:numPr>
    </w:pPr>
  </w:style>
  <w:style w:type="numbering" w:customStyle="1" w:styleId="ZZNumbersloweralpha">
    <w:name w:val="ZZ Numbers lower alpha"/>
    <w:basedOn w:val="NoList"/>
    <w:rsid w:val="008669BE"/>
    <w:pPr>
      <w:numPr>
        <w:numId w:val="3"/>
      </w:numPr>
    </w:pPr>
  </w:style>
  <w:style w:type="numbering" w:customStyle="1" w:styleId="ZZQuotebullets">
    <w:name w:val="ZZ Quote bullets"/>
    <w:basedOn w:val="ZZNumbersdigit"/>
    <w:rsid w:val="008669BE"/>
    <w:pPr>
      <w:numPr>
        <w:numId w:val="5"/>
      </w:numPr>
    </w:pPr>
  </w:style>
  <w:style w:type="numbering" w:customStyle="1" w:styleId="ZZNumberslowerroman">
    <w:name w:val="ZZ Numbers lower roman"/>
    <w:basedOn w:val="ZZQuotebullets"/>
    <w:rsid w:val="008669BE"/>
    <w:pPr>
      <w:numPr>
        <w:numId w:val="4"/>
      </w:numPr>
    </w:pPr>
  </w:style>
  <w:style w:type="numbering" w:customStyle="1" w:styleId="ZZTablebullets">
    <w:name w:val="ZZ Table bullets"/>
    <w:basedOn w:val="NoList"/>
    <w:rsid w:val="008669BE"/>
    <w:pPr>
      <w:numPr>
        <w:numId w:val="6"/>
      </w:numPr>
    </w:pPr>
  </w:style>
  <w:style w:type="paragraph" w:styleId="BalloonText">
    <w:name w:val="Balloon Text"/>
    <w:basedOn w:val="Normal"/>
    <w:link w:val="BalloonTextChar"/>
    <w:uiPriority w:val="99"/>
    <w:semiHidden/>
    <w:unhideWhenUsed/>
    <w:rsid w:val="00694E9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4E92"/>
    <w:rPr>
      <w:rFonts w:ascii="Segoe UI" w:hAnsi="Segoe UI" w:cs="Segoe UI"/>
      <w:sz w:val="18"/>
      <w:szCs w:val="18"/>
      <w:lang w:eastAsia="en-US"/>
    </w:rPr>
  </w:style>
  <w:style w:type="paragraph" w:customStyle="1" w:styleId="DHHStablebullet">
    <w:name w:val="DHHS table bullet"/>
    <w:basedOn w:val="DHHStabletext"/>
    <w:uiPriority w:val="3"/>
    <w:qFormat/>
    <w:rsid w:val="00422967"/>
    <w:pPr>
      <w:ind w:left="227" w:hanging="227"/>
    </w:pPr>
  </w:style>
  <w:style w:type="paragraph" w:customStyle="1" w:styleId="DHHSbulletindent">
    <w:name w:val="DHHS bullet indent"/>
    <w:basedOn w:val="DHHSbody"/>
    <w:uiPriority w:val="4"/>
    <w:rsid w:val="00422967"/>
    <w:pPr>
      <w:spacing w:after="40"/>
      <w:ind w:left="680" w:hanging="283"/>
    </w:pPr>
  </w:style>
  <w:style w:type="paragraph" w:customStyle="1" w:styleId="DHHSbullet1lastline">
    <w:name w:val="DHHS bullet 1 last line"/>
    <w:basedOn w:val="DHHSbullet1"/>
    <w:qFormat/>
    <w:rsid w:val="00422967"/>
    <w:pPr>
      <w:numPr>
        <w:numId w:val="0"/>
      </w:numPr>
      <w:spacing w:after="120"/>
      <w:ind w:left="284" w:hanging="284"/>
    </w:pPr>
  </w:style>
  <w:style w:type="paragraph" w:customStyle="1" w:styleId="DHHSbullet2lastline">
    <w:name w:val="DHHS bullet 2 last line"/>
    <w:basedOn w:val="DHHSbullet2"/>
    <w:uiPriority w:val="2"/>
    <w:qFormat/>
    <w:rsid w:val="00422967"/>
    <w:pPr>
      <w:numPr>
        <w:ilvl w:val="0"/>
        <w:numId w:val="0"/>
      </w:numPr>
      <w:spacing w:after="120"/>
      <w:ind w:left="567" w:hanging="283"/>
    </w:pPr>
  </w:style>
  <w:style w:type="paragraph" w:customStyle="1" w:styleId="DHHSbulletindentlastline">
    <w:name w:val="DHHS bullet indent last line"/>
    <w:basedOn w:val="DHHSbody"/>
    <w:uiPriority w:val="4"/>
    <w:rsid w:val="00422967"/>
    <w:pPr>
      <w:ind w:left="680" w:hanging="283"/>
    </w:pPr>
  </w:style>
  <w:style w:type="paragraph" w:styleId="ListNumber">
    <w:name w:val="List Number"/>
    <w:basedOn w:val="Normal"/>
    <w:rsid w:val="00AE3AF9"/>
    <w:pPr>
      <w:numPr>
        <w:numId w:val="15"/>
      </w:numPr>
      <w:spacing w:before="240"/>
    </w:pPr>
    <w:rPr>
      <w:rFonts w:ascii="Arial" w:hAnsi="Arial"/>
      <w:sz w:val="26"/>
      <w:szCs w:val="24"/>
    </w:rPr>
  </w:style>
  <w:style w:type="character" w:styleId="UnresolvedMention">
    <w:name w:val="Unresolved Mention"/>
    <w:basedOn w:val="DefaultParagraphFont"/>
    <w:uiPriority w:val="99"/>
    <w:semiHidden/>
    <w:unhideWhenUsed/>
    <w:rsid w:val="008D64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0355499">
      <w:bodyDiv w:val="1"/>
      <w:marLeft w:val="0"/>
      <w:marRight w:val="0"/>
      <w:marTop w:val="0"/>
      <w:marBottom w:val="0"/>
      <w:divBdr>
        <w:top w:val="none" w:sz="0" w:space="0" w:color="auto"/>
        <w:left w:val="none" w:sz="0" w:space="0" w:color="auto"/>
        <w:bottom w:val="none" w:sz="0" w:space="0" w:color="auto"/>
        <w:right w:val="none" w:sz="0" w:space="0" w:color="auto"/>
      </w:divBdr>
      <w:divsChild>
        <w:div w:id="1931428410">
          <w:marLeft w:val="418"/>
          <w:marRight w:val="0"/>
          <w:marTop w:val="76"/>
          <w:marBottom w:val="0"/>
          <w:divBdr>
            <w:top w:val="none" w:sz="0" w:space="0" w:color="auto"/>
            <w:left w:val="none" w:sz="0" w:space="0" w:color="auto"/>
            <w:bottom w:val="none" w:sz="0" w:space="0" w:color="auto"/>
            <w:right w:val="none" w:sz="0" w:space="0" w:color="auto"/>
          </w:divBdr>
        </w:div>
        <w:div w:id="1215240465">
          <w:marLeft w:val="418"/>
          <w:marRight w:val="0"/>
          <w:marTop w:val="76"/>
          <w:marBottom w:val="0"/>
          <w:divBdr>
            <w:top w:val="none" w:sz="0" w:space="0" w:color="auto"/>
            <w:left w:val="none" w:sz="0" w:space="0" w:color="auto"/>
            <w:bottom w:val="none" w:sz="0" w:space="0" w:color="auto"/>
            <w:right w:val="none" w:sz="0" w:space="0" w:color="auto"/>
          </w:divBdr>
        </w:div>
      </w:divsChild>
    </w:div>
    <w:div w:id="1002857175">
      <w:bodyDiv w:val="1"/>
      <w:marLeft w:val="0"/>
      <w:marRight w:val="0"/>
      <w:marTop w:val="0"/>
      <w:marBottom w:val="0"/>
      <w:divBdr>
        <w:top w:val="none" w:sz="0" w:space="0" w:color="auto"/>
        <w:left w:val="none" w:sz="0" w:space="0" w:color="auto"/>
        <w:bottom w:val="none" w:sz="0" w:space="0" w:color="auto"/>
        <w:right w:val="none" w:sz="0" w:space="0" w:color="auto"/>
      </w:divBdr>
    </w:div>
    <w:div w:id="1073744267">
      <w:bodyDiv w:val="1"/>
      <w:marLeft w:val="0"/>
      <w:marRight w:val="0"/>
      <w:marTop w:val="0"/>
      <w:marBottom w:val="0"/>
      <w:divBdr>
        <w:top w:val="none" w:sz="0" w:space="0" w:color="auto"/>
        <w:left w:val="none" w:sz="0" w:space="0" w:color="auto"/>
        <w:bottom w:val="none" w:sz="0" w:space="0" w:color="auto"/>
        <w:right w:val="none" w:sz="0" w:space="0" w:color="auto"/>
      </w:divBdr>
    </w:div>
    <w:div w:id="1800145942">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image" Target="media/image3.png"/><Relationship Id="rId26" Type="http://schemas.openxmlformats.org/officeDocument/2006/relationships/customXml" Target="../customXml/item2.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2.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providers.dhhs.vic.gov.au/cims" TargetMode="Externa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CIMS@dhhs.vic.gov.au" TargetMode="External"/><Relationship Id="rId23" Type="http://schemas.openxmlformats.org/officeDocument/2006/relationships/footer" Target="footer6.xml"/><Relationship Id="rId28" Type="http://schemas.openxmlformats.org/officeDocument/2006/relationships/customXml" Target="../customXml/item4.xml"/><Relationship Id="rId10" Type="http://schemas.openxmlformats.org/officeDocument/2006/relationships/header" Target="header2.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5.xml"/><Relationship Id="rId27"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internal.vic.gov.au\DHHS\GroupData\Office%20Templates\Visual%20style\DHHS%20Report%2002%20Purple%2026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20" ma:contentTypeDescription="Create a new document." ma:contentTypeScope="" ma:versionID="0c3b25750aaa4907d0800f2715a4d6a9">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1e0e4daec42ccf527de72b2be702ca1f"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Cap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Caption" ma:index="25" nillable="true" ma:displayName="Caption" ma:format="Dropdown" ma:internalName="Caption">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5a02ebc-a532-4cc7-9416-7e8309854dba}"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6badf41-c0a1-41a6-983a-efd542c2c878">
      <Terms xmlns="http://schemas.microsoft.com/office/infopath/2007/PartnerControls"/>
    </lcf76f155ced4ddcb4097134ff3c332f>
    <TaxCatchAll xmlns="5ce0f2b5-5be5-4508-bce9-d7011ece0659" xsi:nil="true"/>
    <Caption xmlns="06badf41-c0a1-41a6-983a-efd542c2c878" xsi:nil="true"/>
  </documentManagement>
</p:properties>
</file>

<file path=customXml/itemProps1.xml><?xml version="1.0" encoding="utf-8"?>
<ds:datastoreItem xmlns:ds="http://schemas.openxmlformats.org/officeDocument/2006/customXml" ds:itemID="{B5FF3EAE-6902-47EF-A9CD-18D1E93AB3FE}">
  <ds:schemaRefs>
    <ds:schemaRef ds:uri="http://schemas.openxmlformats.org/officeDocument/2006/bibliography"/>
  </ds:schemaRefs>
</ds:datastoreItem>
</file>

<file path=customXml/itemProps2.xml><?xml version="1.0" encoding="utf-8"?>
<ds:datastoreItem xmlns:ds="http://schemas.openxmlformats.org/officeDocument/2006/customXml" ds:itemID="{3EF35738-3C03-4128-A6DE-3E53108CC61B}"/>
</file>

<file path=customXml/itemProps3.xml><?xml version="1.0" encoding="utf-8"?>
<ds:datastoreItem xmlns:ds="http://schemas.openxmlformats.org/officeDocument/2006/customXml" ds:itemID="{D0C1E061-E792-47E5-963A-1F70032AFB0B}"/>
</file>

<file path=customXml/itemProps4.xml><?xml version="1.0" encoding="utf-8"?>
<ds:datastoreItem xmlns:ds="http://schemas.openxmlformats.org/officeDocument/2006/customXml" ds:itemID="{AD2578D9-BE14-4886-B65E-8ABAD07740FD}"/>
</file>

<file path=docProps/app.xml><?xml version="1.0" encoding="utf-8"?>
<Properties xmlns="http://schemas.openxmlformats.org/officeDocument/2006/extended-properties" xmlns:vt="http://schemas.openxmlformats.org/officeDocument/2006/docPropsVTypes">
  <Template>DHHS Report 02 Purple 2602.dotx</Template>
  <TotalTime>0</TotalTime>
  <Pages>8</Pages>
  <Words>1881</Words>
  <Characters>10725</Characters>
  <Application>Microsoft Office Word</Application>
  <DocSecurity>4</DocSecurity>
  <Lines>89</Lines>
  <Paragraphs>25</Paragraphs>
  <ScaleCrop>false</ScaleCrop>
  <HeadingPairs>
    <vt:vector size="2" baseType="variant">
      <vt:variant>
        <vt:lpstr>Title</vt:lpstr>
      </vt:variant>
      <vt:variant>
        <vt:i4>1</vt:i4>
      </vt:variant>
    </vt:vector>
  </HeadingPairs>
  <TitlesOfParts>
    <vt:vector size="1" baseType="lpstr">
      <vt:lpstr>Client incident management system policy update 1-2020</vt:lpstr>
    </vt:vector>
  </TitlesOfParts>
  <Company>Department of Health and Human Services</Company>
  <LinksUpToDate>false</LinksUpToDate>
  <CharactersWithSpaces>12581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Client incident management system policy update 1-2020</dc:title>
  <dc:subject>Policy changes relating to incident reporting timeframes, automating follow-up actions, submitting case review reports, and terminology change</dc:subject>
  <dc:creator>Operational Performance and Quality Branch</dc:creator>
  <cp:keywords/>
  <cp:lastModifiedBy>Alice York (DHHS)</cp:lastModifiedBy>
  <cp:revision>2</cp:revision>
  <cp:lastPrinted>2019-12-16T04:40:00Z</cp:lastPrinted>
  <dcterms:created xsi:type="dcterms:W3CDTF">2020-02-18T01:20:00Z</dcterms:created>
  <dcterms:modified xsi:type="dcterms:W3CDTF">2020-02-18T01:20:00Z</dcterms:modified>
  <cp:category>client incidents, incident reporting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0x0101009F0C4347C5C6D34BA8C9FCC4F57D19B6</vt:lpwstr>
  </property>
</Properties>
</file>