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3D737F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3D737F" w:rsidP="006E39C9">
            <w:pPr>
              <w:pStyle w:val="DHHSmainheading"/>
            </w:pPr>
            <w:r>
              <w:lastRenderedPageBreak/>
              <w:t xml:space="preserve">CIMS </w:t>
            </w:r>
            <w:r w:rsidR="006E39C9">
              <w:t>incident identification, response and reporting</w:t>
            </w:r>
            <w:r>
              <w:t xml:space="preserve"> – video transcript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3D737F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Client incident management system</w:t>
            </w:r>
          </w:p>
        </w:tc>
      </w:tr>
    </w:tbl>
    <w:p w:rsidR="007173CA" w:rsidRDefault="007173CA" w:rsidP="007173CA">
      <w:pPr>
        <w:pStyle w:val="DHHSbody"/>
      </w:pPr>
    </w:p>
    <w:p w:rsidR="007173CA" w:rsidRDefault="007173CA" w:rsidP="007173CA">
      <w:pPr>
        <w:pStyle w:val="DHHSbody"/>
        <w:sectPr w:rsidR="007173CA" w:rsidSect="00F01E5F">
          <w:headerReference w:type="default" r:id="rId10"/>
          <w:footerReference w:type="default" r:id="rId11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:rsidR="00E35CAE" w:rsidRDefault="00E35CAE" w:rsidP="00F3122E">
      <w:pPr>
        <w:pStyle w:val="DHHSbody"/>
      </w:pPr>
      <w:r w:rsidRPr="00E35CAE">
        <w:lastRenderedPageBreak/>
        <w:t>[Narrator]</w:t>
      </w:r>
      <w:bookmarkStart w:id="1" w:name="_GoBack"/>
      <w:bookmarkEnd w:id="1"/>
    </w:p>
    <w:p w:rsidR="00E35CAE" w:rsidRDefault="00E35CAE" w:rsidP="00F3122E">
      <w:pPr>
        <w:pStyle w:val="DHHSbody"/>
      </w:pPr>
      <w:r w:rsidRPr="00E35CAE">
        <w:t>The Victorian government has introduced a new Client Incident Management System or CIMS, to better manage serious incidents and further support the safety and wellbe</w:t>
      </w:r>
      <w:r>
        <w:t>ing of clients.</w:t>
      </w:r>
    </w:p>
    <w:p w:rsidR="00E35CAE" w:rsidRDefault="00E35CAE" w:rsidP="00F3122E">
      <w:pPr>
        <w:pStyle w:val="DHHSbody"/>
      </w:pPr>
      <w:r w:rsidRPr="00E35CAE">
        <w:t>A client incident is an event that occurs during service delivery and</w:t>
      </w:r>
      <w:r>
        <w:t xml:space="preserve"> results in harm to the client.</w:t>
      </w:r>
    </w:p>
    <w:p w:rsidR="00E35CAE" w:rsidRDefault="00E35CAE" w:rsidP="00F3122E">
      <w:pPr>
        <w:pStyle w:val="DHHSbody"/>
      </w:pPr>
      <w:r w:rsidRPr="00E35CAE">
        <w:t>CIMS involves a five stage process of identification and response, reporting, incident investigation, incident review and analysis and lear</w:t>
      </w:r>
      <w:r>
        <w:t>ning.</w:t>
      </w:r>
    </w:p>
    <w:p w:rsidR="00E35CAE" w:rsidRDefault="00E35CAE" w:rsidP="00F3122E">
      <w:pPr>
        <w:pStyle w:val="DHHSbody"/>
      </w:pPr>
      <w:r w:rsidRPr="00E35CAE">
        <w:t>This video will explain stages one and two of CIMS. Identificat</w:t>
      </w:r>
      <w:r>
        <w:t>ion and response and reporting.</w:t>
      </w:r>
    </w:p>
    <w:p w:rsidR="00E35CAE" w:rsidRDefault="00E35CAE" w:rsidP="00F3122E">
      <w:pPr>
        <w:pStyle w:val="DHHSbody"/>
      </w:pPr>
      <w:r w:rsidRPr="00E35CAE">
        <w:t xml:space="preserve">The safety, health and wellbeing of clients is always the priority </w:t>
      </w:r>
      <w:r>
        <w:t>when responding to an incident.</w:t>
      </w:r>
    </w:p>
    <w:p w:rsidR="00E35CAE" w:rsidRDefault="00E35CAE" w:rsidP="00F3122E">
      <w:pPr>
        <w:pStyle w:val="DHHSbody"/>
      </w:pPr>
      <w:r w:rsidRPr="00E35CAE">
        <w:t>There are two incident categories, major impact, such as, the death of a client and non-major impact, such as, a client being injure</w:t>
      </w:r>
      <w:r>
        <w:t>d, requiring medical attention.</w:t>
      </w:r>
    </w:p>
    <w:p w:rsidR="00E35CAE" w:rsidRDefault="00E35CAE" w:rsidP="00F3122E">
      <w:pPr>
        <w:pStyle w:val="DHHSbody"/>
      </w:pPr>
      <w:r w:rsidRPr="00E35CAE">
        <w:t>There are 16 incident types, some are always categori</w:t>
      </w:r>
      <w:r w:rsidR="006D59B2">
        <w:t>s</w:t>
      </w:r>
      <w:r w:rsidRPr="00E35CAE">
        <w:t>ed as major impact, while others maybe major or non-major impact based upon the assessment and professional ju</w:t>
      </w:r>
      <w:r>
        <w:t>dgment of the service provider.</w:t>
      </w:r>
    </w:p>
    <w:p w:rsidR="00E35CAE" w:rsidRDefault="00E35CAE" w:rsidP="00F3122E">
      <w:pPr>
        <w:pStyle w:val="DHHSbody"/>
      </w:pPr>
      <w:r w:rsidRPr="00E35CAE">
        <w:t xml:space="preserve">Major impact incident reports must be submitted by the service provider to the department of health and </w:t>
      </w:r>
      <w:r>
        <w:t>human services within 24 hours.</w:t>
      </w:r>
    </w:p>
    <w:p w:rsidR="00E35CAE" w:rsidRDefault="00E35CAE" w:rsidP="00F3122E">
      <w:pPr>
        <w:pStyle w:val="DHHSbody"/>
      </w:pPr>
      <w:r w:rsidRPr="00E35CAE">
        <w:t>Non-major impact incident reports must be reported within the service provider's organi</w:t>
      </w:r>
      <w:r w:rsidR="006D59B2">
        <w:t>s</w:t>
      </w:r>
      <w:r w:rsidRPr="00E35CAE">
        <w:t>ation within five business days and being submitted to the department of health and human services</w:t>
      </w:r>
      <w:r>
        <w:t xml:space="preserve"> in a batch on a monthly basis.</w:t>
      </w:r>
    </w:p>
    <w:p w:rsidR="00E35CAE" w:rsidRDefault="00E35CAE" w:rsidP="00F3122E">
      <w:pPr>
        <w:pStyle w:val="DHHSbody"/>
      </w:pPr>
      <w:r w:rsidRPr="00E35CAE">
        <w:t>A pattern or escalation of non-major impact incidents should be rep</w:t>
      </w:r>
      <w:r>
        <w:t>orted as major impact incident.</w:t>
      </w:r>
    </w:p>
    <w:p w:rsidR="00E35CAE" w:rsidRDefault="00E35CAE" w:rsidP="00F3122E">
      <w:pPr>
        <w:pStyle w:val="DHHSbody"/>
      </w:pPr>
      <w:r w:rsidRPr="00E35CAE">
        <w:t>The impact of an incident on each client involved, must be assessed and reported w</w:t>
      </w:r>
      <w:r>
        <w:t>ithin the same incident report.</w:t>
      </w:r>
    </w:p>
    <w:p w:rsidR="00E35CAE" w:rsidRDefault="00E35CAE" w:rsidP="00F3122E">
      <w:pPr>
        <w:pStyle w:val="DHHSbody"/>
      </w:pPr>
      <w:r w:rsidRPr="00E35CAE">
        <w:t>More information on CIMS will be presented in the accompanying three videos and other CIMS resources.</w:t>
      </w:r>
    </w:p>
    <w:p w:rsidR="00385FCE" w:rsidRPr="00385FCE" w:rsidRDefault="00E35CAE" w:rsidP="00F3122E">
      <w:pPr>
        <w:pStyle w:val="DHHSbody"/>
      </w:pPr>
      <w:r>
        <w:t>[</w:t>
      </w:r>
      <w:r w:rsidR="00385FCE">
        <w:t>End]</w:t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FCE" w:rsidRDefault="00385FCE" w:rsidP="00385FCE">
            <w:pPr>
              <w:spacing w:after="120" w:line="270" w:lineRule="atLeast"/>
              <w:rPr>
                <w:rFonts w:eastAsia="Arial,Times" w:cs="Arial"/>
                <w:sz w:val="24"/>
                <w:szCs w:val="24"/>
              </w:rPr>
            </w:pPr>
            <w:r w:rsidRPr="00010A46">
              <w:rPr>
                <w:rFonts w:eastAsia="Arial,Times" w:cs="Arial"/>
                <w:sz w:val="24"/>
                <w:szCs w:val="24"/>
              </w:rPr>
              <w:t xml:space="preserve">To receive this publication in an accessible format phone 1300 024 863, using the National Relay Service 13 36 77 if required, or </w:t>
            </w:r>
            <w:hyperlink r:id="rId12" w:history="1">
              <w:r w:rsidRPr="00010A46">
                <w:rPr>
                  <w:rStyle w:val="Hyperlink"/>
                  <w:rFonts w:eastAsia="Arial,Times" w:cs="Arial"/>
                  <w:sz w:val="24"/>
                  <w:szCs w:val="24"/>
                </w:rPr>
                <w:t>email the client incident management system team</w:t>
              </w:r>
            </w:hyperlink>
            <w:r w:rsidRPr="00010A46">
              <w:rPr>
                <w:rFonts w:eastAsia="Arial,Times" w:cs="Arial"/>
                <w:sz w:val="24"/>
                <w:szCs w:val="24"/>
              </w:rPr>
              <w:t xml:space="preserve"> &lt;CIMS@dhhs.vic.gov.au&gt;</w:t>
            </w:r>
          </w:p>
          <w:p w:rsidR="00385FCE" w:rsidRPr="00347601" w:rsidRDefault="00385FCE" w:rsidP="00385FCE">
            <w:pPr>
              <w:spacing w:after="120" w:line="270" w:lineRule="atLeast"/>
              <w:rPr>
                <w:rFonts w:eastAsia="Arial,Times" w:cs="Arial"/>
                <w:szCs w:val="24"/>
              </w:rPr>
            </w:pPr>
            <w:r w:rsidRPr="00347601">
              <w:rPr>
                <w:rFonts w:eastAsia="Arial,Times" w:cs="Arial"/>
                <w:szCs w:val="24"/>
              </w:rPr>
              <w:t>Authorised and published by the Victorian Government, 1 Treasury Place, Melbourne.</w:t>
            </w:r>
          </w:p>
          <w:p w:rsidR="00385FCE" w:rsidRPr="00347601" w:rsidRDefault="00385FCE" w:rsidP="00385FCE">
            <w:pPr>
              <w:spacing w:after="120" w:line="270" w:lineRule="atLeast"/>
              <w:rPr>
                <w:rFonts w:eastAsia="Arial,Times" w:cs="Arial"/>
                <w:szCs w:val="24"/>
              </w:rPr>
            </w:pPr>
            <w:r w:rsidRPr="00347601">
              <w:rPr>
                <w:rFonts w:eastAsia="Arial,Times" w:cs="Arial"/>
                <w:szCs w:val="24"/>
              </w:rPr>
              <w:t xml:space="preserve">© State of Victoria, Department of Health and Human Services </w:t>
            </w:r>
            <w:r>
              <w:rPr>
                <w:rFonts w:eastAsia="Arial,Times" w:cs="Arial"/>
                <w:szCs w:val="24"/>
              </w:rPr>
              <w:t>October</w:t>
            </w:r>
            <w:r w:rsidRPr="00347601">
              <w:rPr>
                <w:rFonts w:eastAsia="Arial,Times" w:cs="Arial"/>
                <w:szCs w:val="24"/>
              </w:rPr>
              <w:t xml:space="preserve"> 2017.</w:t>
            </w:r>
          </w:p>
          <w:p w:rsidR="002802E3" w:rsidRPr="002802E3" w:rsidRDefault="00385FCE" w:rsidP="00385FCE">
            <w:pPr>
              <w:pStyle w:val="DHHSbody"/>
            </w:pPr>
            <w:r w:rsidRPr="00347601">
              <w:rPr>
                <w:rFonts w:eastAsia="Arial,Times" w:cs="Arial"/>
                <w:szCs w:val="24"/>
              </w:rPr>
              <w:t xml:space="preserve">Available at </w:t>
            </w:r>
            <w:hyperlink r:id="rId13" w:history="1">
              <w:r w:rsidRPr="00010A46">
                <w:rPr>
                  <w:rStyle w:val="Hyperlink"/>
                  <w:rFonts w:cs="Arial"/>
                  <w:lang w:eastAsia="en-AU"/>
                </w:rPr>
                <w:t>client incident management system</w:t>
              </w:r>
            </w:hyperlink>
            <w:r>
              <w:rPr>
                <w:rFonts w:cs="Arial"/>
                <w:color w:val="000000"/>
                <w:lang w:eastAsia="en-AU"/>
              </w:rPr>
              <w:t xml:space="preserve"> &lt;https://providers.dhhs.vic.gov.au/cims&gt;</w:t>
            </w:r>
          </w:p>
        </w:tc>
      </w:tr>
    </w:tbl>
    <w:p w:rsidR="00B2752E" w:rsidRPr="00906490" w:rsidRDefault="00B2752E" w:rsidP="00385FCE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7F" w:rsidRDefault="003D737F">
      <w:r>
        <w:separator/>
      </w:r>
    </w:p>
  </w:endnote>
  <w:endnote w:type="continuationSeparator" w:id="0">
    <w:p w:rsidR="003D737F" w:rsidRDefault="003D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3D737F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9D70A4" w:rsidP="0051568D">
    <w:pPr>
      <w:pStyle w:val="DHHSfooter"/>
    </w:pPr>
    <w:r w:rsidRPr="00A11421">
      <w:t xml:space="preserve">Name of </w:t>
    </w:r>
    <w:r w:rsidRPr="0051568D">
      <w:t>document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385FCE">
      <w:rPr>
        <w:noProof/>
      </w:rPr>
      <w:t>4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7F" w:rsidRDefault="003D737F" w:rsidP="002862F1">
      <w:pPr>
        <w:spacing w:before="120"/>
      </w:pPr>
      <w:r>
        <w:separator/>
      </w:r>
    </w:p>
  </w:footnote>
  <w:footnote w:type="continuationSeparator" w:id="0">
    <w:p w:rsidR="003D737F" w:rsidRDefault="003D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7F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5629E"/>
    <w:rsid w:val="00260B49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85FCE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D737F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D59B2"/>
    <w:rsid w:val="006E138B"/>
    <w:rsid w:val="006E39C9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4FDB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35CAE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C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rsid w:val="00385FCE"/>
    <w:rPr>
      <w:rFonts w:ascii="Arial" w:hAnsi="Arial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rFonts w:ascii="Cambria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CE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rsid w:val="00385FCE"/>
    <w:rPr>
      <w:rFonts w:ascii="Arial" w:hAnsi="Arial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rFonts w:ascii="Cambria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CE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viders.dhhs.vic.gov.au/cims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IMS@dhhs.vic.gov.a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2%20Purple%2026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5B8C6B8E-558D-4332-B42D-93BF221496E2}"/>
</file>

<file path=customXml/itemProps2.xml><?xml version="1.0" encoding="utf-8"?>
<ds:datastoreItem xmlns:ds="http://schemas.openxmlformats.org/officeDocument/2006/customXml" ds:itemID="{487D9795-F266-4E21-8F78-C30CEFDFDD2D}"/>
</file>

<file path=customXml/itemProps3.xml><?xml version="1.0" encoding="utf-8"?>
<ds:datastoreItem xmlns:ds="http://schemas.openxmlformats.org/officeDocument/2006/customXml" ds:itemID="{0A90AC34-472D-461B-A513-C1BCCC13C3CE}"/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02 Purple 2602.dot</Template>
  <TotalTime>0</TotalTime>
  <Pages>1</Pages>
  <Words>332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CIMS incident identification, response and reporting - video transcript</vt:lpstr>
    </vt:vector>
  </TitlesOfParts>
  <Company>Department of Health and Human Services</Company>
  <LinksUpToDate>false</LinksUpToDate>
  <CharactersWithSpaces>2325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CIMS incident identification, response and reporting - video transcript</dc:title>
  <dc:creator>Performance and Reporting</dc:creator>
  <cp:keywords>CIMS, client incident management system, incident reporting</cp:keywords>
  <cp:lastModifiedBy>Sarah Luscombe (DHHS)</cp:lastModifiedBy>
  <cp:revision>2</cp:revision>
  <cp:lastPrinted>2015-08-21T03:17:00Z</cp:lastPrinted>
  <dcterms:created xsi:type="dcterms:W3CDTF">2017-10-12T22:54:00Z</dcterms:created>
  <dcterms:modified xsi:type="dcterms:W3CDTF">2017-10-12T22:54:00Z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