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38340A" w:rsidRDefault="00B95AB9" w:rsidP="00280C4B">
      <w:pPr>
        <w:pStyle w:val="Sectionbreakfirstpage"/>
      </w:pPr>
      <w:r w:rsidRPr="0038340A">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38340A" w:rsidRDefault="00A62D44" w:rsidP="00280C4B">
      <w:pPr>
        <w:pStyle w:val="Sectionbreakfirstpage"/>
        <w:sectPr w:rsidR="00A62D44" w:rsidRPr="0038340A"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rsidRPr="0038340A" w14:paraId="765659DC" w14:textId="77777777" w:rsidTr="00701F4C">
        <w:trPr>
          <w:trHeight w:val="1418"/>
        </w:trPr>
        <w:tc>
          <w:tcPr>
            <w:tcW w:w="7825" w:type="dxa"/>
            <w:vAlign w:val="bottom"/>
          </w:tcPr>
          <w:p w14:paraId="1B06FE4C" w14:textId="281E3F51" w:rsidR="00AD784C" w:rsidRPr="0038340A" w:rsidRDefault="001A181F" w:rsidP="00701F4C">
            <w:pPr>
              <w:pStyle w:val="Documenttitle"/>
            </w:pPr>
            <w:r w:rsidRPr="0038340A">
              <w:t>Child and family services transfer to Aboriginal Community Controlled Organisations</w:t>
            </w:r>
          </w:p>
        </w:tc>
      </w:tr>
      <w:tr w:rsidR="000B2117" w:rsidRPr="0038340A" w14:paraId="5DF317EC" w14:textId="77777777" w:rsidTr="0CA13D18">
        <w:trPr>
          <w:trHeight w:val="1247"/>
        </w:trPr>
        <w:tc>
          <w:tcPr>
            <w:tcW w:w="7825" w:type="dxa"/>
          </w:tcPr>
          <w:p w14:paraId="69C24C39" w14:textId="12A24354" w:rsidR="000B2117" w:rsidRPr="0038340A" w:rsidRDefault="0015286A" w:rsidP="0016037B">
            <w:pPr>
              <w:pStyle w:val="Documentsubtitle"/>
            </w:pPr>
            <w:r w:rsidRPr="0038340A">
              <w:t>Interim policy</w:t>
            </w:r>
          </w:p>
        </w:tc>
      </w:tr>
      <w:tr w:rsidR="00CF4148" w:rsidRPr="0038340A" w14:paraId="5F5E6105" w14:textId="77777777" w:rsidTr="0CA13D18">
        <w:trPr>
          <w:trHeight w:val="284"/>
        </w:trPr>
        <w:tc>
          <w:tcPr>
            <w:tcW w:w="7825" w:type="dxa"/>
          </w:tcPr>
          <w:p w14:paraId="45D389E8" w14:textId="74334762" w:rsidR="00CF4148" w:rsidRPr="0038340A" w:rsidRDefault="00CF4148" w:rsidP="00CF4148">
            <w:pPr>
              <w:pStyle w:val="Bannermarking"/>
            </w:pPr>
            <w:fldSimple w:instr="FILLIN  &quot;Type the protective marking&quot; \d OFFICIAL \o  \* MERGEFORMAT">
              <w:r w:rsidRPr="0038340A">
                <w:t>OFFICIAL</w:t>
              </w:r>
            </w:fldSimple>
          </w:p>
        </w:tc>
      </w:tr>
    </w:tbl>
    <w:p w14:paraId="0CBF5D9A" w14:textId="153295C1" w:rsidR="00AD784C" w:rsidRPr="0038340A" w:rsidRDefault="00AD784C" w:rsidP="002365B4">
      <w:pPr>
        <w:pStyle w:val="TOCheadingfactsheet"/>
      </w:pPr>
      <w:r w:rsidRPr="0038340A">
        <w:t>Contents</w:t>
      </w:r>
    </w:p>
    <w:p w14:paraId="7FEE969F" w14:textId="235920EF" w:rsidR="00652AEF" w:rsidRDefault="00AD784C">
      <w:pPr>
        <w:pStyle w:val="TOC1"/>
        <w:rPr>
          <w:rFonts w:asciiTheme="minorHAnsi" w:eastAsiaTheme="minorEastAsia" w:hAnsiTheme="minorHAnsi" w:cstheme="minorBidi"/>
          <w:b w:val="0"/>
          <w:kern w:val="2"/>
          <w:sz w:val="24"/>
          <w:szCs w:val="24"/>
          <w:lang w:eastAsia="en-AU"/>
          <w14:ligatures w14:val="standardContextual"/>
        </w:rPr>
      </w:pPr>
      <w:r w:rsidRPr="0038340A">
        <w:fldChar w:fldCharType="begin"/>
      </w:r>
      <w:r w:rsidRPr="0038340A">
        <w:instrText xml:space="preserve"> TOC \h \z \t "Heading 1,1,Heading 2,2" </w:instrText>
      </w:r>
      <w:r w:rsidRPr="0038340A">
        <w:fldChar w:fldCharType="separate"/>
      </w:r>
      <w:hyperlink w:anchor="_Toc219710526" w:history="1">
        <w:r w:rsidR="00652AEF" w:rsidRPr="000C1F09">
          <w:rPr>
            <w:rStyle w:val="Hyperlink"/>
          </w:rPr>
          <w:t>Acknowledgements</w:t>
        </w:r>
        <w:r w:rsidR="00652AEF">
          <w:rPr>
            <w:webHidden/>
          </w:rPr>
          <w:tab/>
        </w:r>
        <w:r w:rsidR="00652AEF">
          <w:rPr>
            <w:webHidden/>
          </w:rPr>
          <w:fldChar w:fldCharType="begin"/>
        </w:r>
        <w:r w:rsidR="00652AEF">
          <w:rPr>
            <w:webHidden/>
          </w:rPr>
          <w:instrText xml:space="preserve"> PAGEREF _Toc219710526 \h </w:instrText>
        </w:r>
        <w:r w:rsidR="00652AEF">
          <w:rPr>
            <w:webHidden/>
          </w:rPr>
        </w:r>
        <w:r w:rsidR="00652AEF">
          <w:rPr>
            <w:webHidden/>
          </w:rPr>
          <w:fldChar w:fldCharType="separate"/>
        </w:r>
        <w:r w:rsidR="00652AEF">
          <w:rPr>
            <w:webHidden/>
          </w:rPr>
          <w:t>2</w:t>
        </w:r>
        <w:r w:rsidR="00652AEF">
          <w:rPr>
            <w:webHidden/>
          </w:rPr>
          <w:fldChar w:fldCharType="end"/>
        </w:r>
      </w:hyperlink>
    </w:p>
    <w:p w14:paraId="7F154C91" w14:textId="1DAB06FB" w:rsidR="00652AEF" w:rsidRDefault="00652AEF">
      <w:pPr>
        <w:pStyle w:val="TOC1"/>
        <w:rPr>
          <w:rFonts w:asciiTheme="minorHAnsi" w:eastAsiaTheme="minorEastAsia" w:hAnsiTheme="minorHAnsi" w:cstheme="minorBidi"/>
          <w:b w:val="0"/>
          <w:kern w:val="2"/>
          <w:sz w:val="24"/>
          <w:szCs w:val="24"/>
          <w:lang w:eastAsia="en-AU"/>
          <w14:ligatures w14:val="standardContextual"/>
        </w:rPr>
      </w:pPr>
      <w:hyperlink w:anchor="_Toc219710527" w:history="1">
        <w:r w:rsidRPr="000C1F09">
          <w:rPr>
            <w:rStyle w:val="Hyperlink"/>
          </w:rPr>
          <w:t>Purpose</w:t>
        </w:r>
        <w:r>
          <w:rPr>
            <w:webHidden/>
          </w:rPr>
          <w:tab/>
        </w:r>
        <w:r>
          <w:rPr>
            <w:webHidden/>
          </w:rPr>
          <w:fldChar w:fldCharType="begin"/>
        </w:r>
        <w:r>
          <w:rPr>
            <w:webHidden/>
          </w:rPr>
          <w:instrText xml:space="preserve"> PAGEREF _Toc219710527 \h </w:instrText>
        </w:r>
        <w:r>
          <w:rPr>
            <w:webHidden/>
          </w:rPr>
        </w:r>
        <w:r>
          <w:rPr>
            <w:webHidden/>
          </w:rPr>
          <w:fldChar w:fldCharType="separate"/>
        </w:r>
        <w:r>
          <w:rPr>
            <w:webHidden/>
          </w:rPr>
          <w:t>2</w:t>
        </w:r>
        <w:r>
          <w:rPr>
            <w:webHidden/>
          </w:rPr>
          <w:fldChar w:fldCharType="end"/>
        </w:r>
      </w:hyperlink>
    </w:p>
    <w:p w14:paraId="6F274BC9" w14:textId="018F16B2"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28" w:history="1">
        <w:r w:rsidRPr="000C1F09">
          <w:rPr>
            <w:rStyle w:val="Hyperlink"/>
          </w:rPr>
          <w:t>Who this policy is for</w:t>
        </w:r>
        <w:r>
          <w:rPr>
            <w:webHidden/>
          </w:rPr>
          <w:tab/>
        </w:r>
        <w:r>
          <w:rPr>
            <w:webHidden/>
          </w:rPr>
          <w:fldChar w:fldCharType="begin"/>
        </w:r>
        <w:r>
          <w:rPr>
            <w:webHidden/>
          </w:rPr>
          <w:instrText xml:space="preserve"> PAGEREF _Toc219710528 \h </w:instrText>
        </w:r>
        <w:r>
          <w:rPr>
            <w:webHidden/>
          </w:rPr>
        </w:r>
        <w:r>
          <w:rPr>
            <w:webHidden/>
          </w:rPr>
          <w:fldChar w:fldCharType="separate"/>
        </w:r>
        <w:r>
          <w:rPr>
            <w:webHidden/>
          </w:rPr>
          <w:t>2</w:t>
        </w:r>
        <w:r>
          <w:rPr>
            <w:webHidden/>
          </w:rPr>
          <w:fldChar w:fldCharType="end"/>
        </w:r>
      </w:hyperlink>
    </w:p>
    <w:p w14:paraId="51935AA0" w14:textId="143C9F07"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29" w:history="1">
        <w:r w:rsidRPr="000C1F09">
          <w:rPr>
            <w:rStyle w:val="Hyperlink"/>
          </w:rPr>
          <w:t>Objectives</w:t>
        </w:r>
        <w:r>
          <w:rPr>
            <w:webHidden/>
          </w:rPr>
          <w:tab/>
        </w:r>
        <w:r>
          <w:rPr>
            <w:webHidden/>
          </w:rPr>
          <w:fldChar w:fldCharType="begin"/>
        </w:r>
        <w:r>
          <w:rPr>
            <w:webHidden/>
          </w:rPr>
          <w:instrText xml:space="preserve"> PAGEREF _Toc219710529 \h </w:instrText>
        </w:r>
        <w:r>
          <w:rPr>
            <w:webHidden/>
          </w:rPr>
        </w:r>
        <w:r>
          <w:rPr>
            <w:webHidden/>
          </w:rPr>
          <w:fldChar w:fldCharType="separate"/>
        </w:r>
        <w:r>
          <w:rPr>
            <w:webHidden/>
          </w:rPr>
          <w:t>2</w:t>
        </w:r>
        <w:r>
          <w:rPr>
            <w:webHidden/>
          </w:rPr>
          <w:fldChar w:fldCharType="end"/>
        </w:r>
      </w:hyperlink>
    </w:p>
    <w:p w14:paraId="1D0888AA" w14:textId="3E1DF8C9" w:rsidR="00652AEF" w:rsidRDefault="00652AEF">
      <w:pPr>
        <w:pStyle w:val="TOC1"/>
        <w:rPr>
          <w:rFonts w:asciiTheme="minorHAnsi" w:eastAsiaTheme="minorEastAsia" w:hAnsiTheme="minorHAnsi" w:cstheme="minorBidi"/>
          <w:b w:val="0"/>
          <w:kern w:val="2"/>
          <w:sz w:val="24"/>
          <w:szCs w:val="24"/>
          <w:lang w:eastAsia="en-AU"/>
          <w14:ligatures w14:val="standardContextual"/>
        </w:rPr>
      </w:pPr>
      <w:hyperlink w:anchor="_Toc219710530" w:history="1">
        <w:r w:rsidRPr="000C1F09">
          <w:rPr>
            <w:rStyle w:val="Hyperlink"/>
          </w:rPr>
          <w:t>Background</w:t>
        </w:r>
        <w:r>
          <w:rPr>
            <w:webHidden/>
          </w:rPr>
          <w:tab/>
        </w:r>
        <w:r>
          <w:rPr>
            <w:webHidden/>
          </w:rPr>
          <w:fldChar w:fldCharType="begin"/>
        </w:r>
        <w:r>
          <w:rPr>
            <w:webHidden/>
          </w:rPr>
          <w:instrText xml:space="preserve"> PAGEREF _Toc219710530 \h </w:instrText>
        </w:r>
        <w:r>
          <w:rPr>
            <w:webHidden/>
          </w:rPr>
        </w:r>
        <w:r>
          <w:rPr>
            <w:webHidden/>
          </w:rPr>
          <w:fldChar w:fldCharType="separate"/>
        </w:r>
        <w:r>
          <w:rPr>
            <w:webHidden/>
          </w:rPr>
          <w:t>2</w:t>
        </w:r>
        <w:r>
          <w:rPr>
            <w:webHidden/>
          </w:rPr>
          <w:fldChar w:fldCharType="end"/>
        </w:r>
      </w:hyperlink>
    </w:p>
    <w:p w14:paraId="6B6FA1BF" w14:textId="457C3926"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31" w:history="1">
        <w:r w:rsidRPr="000C1F09">
          <w:rPr>
            <w:rStyle w:val="Hyperlink"/>
          </w:rPr>
          <w:t>The strategic context</w:t>
        </w:r>
        <w:r>
          <w:rPr>
            <w:webHidden/>
          </w:rPr>
          <w:tab/>
        </w:r>
        <w:r>
          <w:rPr>
            <w:webHidden/>
          </w:rPr>
          <w:fldChar w:fldCharType="begin"/>
        </w:r>
        <w:r>
          <w:rPr>
            <w:webHidden/>
          </w:rPr>
          <w:instrText xml:space="preserve"> PAGEREF _Toc219710531 \h </w:instrText>
        </w:r>
        <w:r>
          <w:rPr>
            <w:webHidden/>
          </w:rPr>
        </w:r>
        <w:r>
          <w:rPr>
            <w:webHidden/>
          </w:rPr>
          <w:fldChar w:fldCharType="separate"/>
        </w:r>
        <w:r>
          <w:rPr>
            <w:webHidden/>
          </w:rPr>
          <w:t>2</w:t>
        </w:r>
        <w:r>
          <w:rPr>
            <w:webHidden/>
          </w:rPr>
          <w:fldChar w:fldCharType="end"/>
        </w:r>
      </w:hyperlink>
    </w:p>
    <w:p w14:paraId="349CFADF" w14:textId="7E46FE6B"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32" w:history="1">
        <w:r w:rsidRPr="000C1F09">
          <w:rPr>
            <w:rStyle w:val="Hyperlink"/>
          </w:rPr>
          <w:t>The way forward</w:t>
        </w:r>
        <w:r>
          <w:rPr>
            <w:webHidden/>
          </w:rPr>
          <w:tab/>
        </w:r>
        <w:r>
          <w:rPr>
            <w:webHidden/>
          </w:rPr>
          <w:fldChar w:fldCharType="begin"/>
        </w:r>
        <w:r>
          <w:rPr>
            <w:webHidden/>
          </w:rPr>
          <w:instrText xml:space="preserve"> PAGEREF _Toc219710532 \h </w:instrText>
        </w:r>
        <w:r>
          <w:rPr>
            <w:webHidden/>
          </w:rPr>
        </w:r>
        <w:r>
          <w:rPr>
            <w:webHidden/>
          </w:rPr>
          <w:fldChar w:fldCharType="separate"/>
        </w:r>
        <w:r>
          <w:rPr>
            <w:webHidden/>
          </w:rPr>
          <w:t>3</w:t>
        </w:r>
        <w:r>
          <w:rPr>
            <w:webHidden/>
          </w:rPr>
          <w:fldChar w:fldCharType="end"/>
        </w:r>
      </w:hyperlink>
    </w:p>
    <w:p w14:paraId="055118CE" w14:textId="55635B94" w:rsidR="00652AEF" w:rsidRDefault="00652AEF">
      <w:pPr>
        <w:pStyle w:val="TOC1"/>
        <w:rPr>
          <w:rFonts w:asciiTheme="minorHAnsi" w:eastAsiaTheme="minorEastAsia" w:hAnsiTheme="minorHAnsi" w:cstheme="minorBidi"/>
          <w:b w:val="0"/>
          <w:kern w:val="2"/>
          <w:sz w:val="24"/>
          <w:szCs w:val="24"/>
          <w:lang w:eastAsia="en-AU"/>
          <w14:ligatures w14:val="standardContextual"/>
        </w:rPr>
      </w:pPr>
      <w:hyperlink w:anchor="_Toc219710533" w:history="1">
        <w:r w:rsidRPr="000C1F09">
          <w:rPr>
            <w:rStyle w:val="Hyperlink"/>
          </w:rPr>
          <w:t>Scope</w:t>
        </w:r>
        <w:r>
          <w:rPr>
            <w:webHidden/>
          </w:rPr>
          <w:tab/>
        </w:r>
        <w:r>
          <w:rPr>
            <w:webHidden/>
          </w:rPr>
          <w:fldChar w:fldCharType="begin"/>
        </w:r>
        <w:r>
          <w:rPr>
            <w:webHidden/>
          </w:rPr>
          <w:instrText xml:space="preserve"> PAGEREF _Toc219710533 \h </w:instrText>
        </w:r>
        <w:r>
          <w:rPr>
            <w:webHidden/>
          </w:rPr>
        </w:r>
        <w:r>
          <w:rPr>
            <w:webHidden/>
          </w:rPr>
          <w:fldChar w:fldCharType="separate"/>
        </w:r>
        <w:r>
          <w:rPr>
            <w:webHidden/>
          </w:rPr>
          <w:t>4</w:t>
        </w:r>
        <w:r>
          <w:rPr>
            <w:webHidden/>
          </w:rPr>
          <w:fldChar w:fldCharType="end"/>
        </w:r>
      </w:hyperlink>
    </w:p>
    <w:p w14:paraId="13313782" w14:textId="76B10C1A"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34" w:history="1">
        <w:r w:rsidRPr="000C1F09">
          <w:rPr>
            <w:rStyle w:val="Hyperlink"/>
          </w:rPr>
          <w:t>Examples of resource transfer situations</w:t>
        </w:r>
        <w:r>
          <w:rPr>
            <w:webHidden/>
          </w:rPr>
          <w:tab/>
        </w:r>
        <w:r>
          <w:rPr>
            <w:webHidden/>
          </w:rPr>
          <w:fldChar w:fldCharType="begin"/>
        </w:r>
        <w:r>
          <w:rPr>
            <w:webHidden/>
          </w:rPr>
          <w:instrText xml:space="preserve"> PAGEREF _Toc219710534 \h </w:instrText>
        </w:r>
        <w:r>
          <w:rPr>
            <w:webHidden/>
          </w:rPr>
        </w:r>
        <w:r>
          <w:rPr>
            <w:webHidden/>
          </w:rPr>
          <w:fldChar w:fldCharType="separate"/>
        </w:r>
        <w:r>
          <w:rPr>
            <w:webHidden/>
          </w:rPr>
          <w:t>4</w:t>
        </w:r>
        <w:r>
          <w:rPr>
            <w:webHidden/>
          </w:rPr>
          <w:fldChar w:fldCharType="end"/>
        </w:r>
      </w:hyperlink>
    </w:p>
    <w:p w14:paraId="622B3132" w14:textId="4E252377"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35" w:history="1">
        <w:r w:rsidRPr="000C1F09">
          <w:rPr>
            <w:rStyle w:val="Hyperlink"/>
          </w:rPr>
          <w:t>Defining what is being transferred</w:t>
        </w:r>
        <w:r>
          <w:rPr>
            <w:webHidden/>
          </w:rPr>
          <w:tab/>
        </w:r>
        <w:r>
          <w:rPr>
            <w:webHidden/>
          </w:rPr>
          <w:fldChar w:fldCharType="begin"/>
        </w:r>
        <w:r>
          <w:rPr>
            <w:webHidden/>
          </w:rPr>
          <w:instrText xml:space="preserve"> PAGEREF _Toc219710535 \h </w:instrText>
        </w:r>
        <w:r>
          <w:rPr>
            <w:webHidden/>
          </w:rPr>
        </w:r>
        <w:r>
          <w:rPr>
            <w:webHidden/>
          </w:rPr>
          <w:fldChar w:fldCharType="separate"/>
        </w:r>
        <w:r>
          <w:rPr>
            <w:webHidden/>
          </w:rPr>
          <w:t>5</w:t>
        </w:r>
        <w:r>
          <w:rPr>
            <w:webHidden/>
          </w:rPr>
          <w:fldChar w:fldCharType="end"/>
        </w:r>
      </w:hyperlink>
    </w:p>
    <w:p w14:paraId="2E0B2322" w14:textId="68A4215A" w:rsidR="00652AEF" w:rsidRDefault="00652AEF">
      <w:pPr>
        <w:pStyle w:val="TOC1"/>
        <w:rPr>
          <w:rFonts w:asciiTheme="minorHAnsi" w:eastAsiaTheme="minorEastAsia" w:hAnsiTheme="minorHAnsi" w:cstheme="minorBidi"/>
          <w:b w:val="0"/>
          <w:kern w:val="2"/>
          <w:sz w:val="24"/>
          <w:szCs w:val="24"/>
          <w:lang w:eastAsia="en-AU"/>
          <w14:ligatures w14:val="standardContextual"/>
        </w:rPr>
      </w:pPr>
      <w:hyperlink w:anchor="_Toc219710536" w:history="1">
        <w:r w:rsidRPr="000C1F09">
          <w:rPr>
            <w:rStyle w:val="Hyperlink"/>
          </w:rPr>
          <w:t>Policy principles</w:t>
        </w:r>
        <w:r>
          <w:rPr>
            <w:webHidden/>
          </w:rPr>
          <w:tab/>
        </w:r>
        <w:r>
          <w:rPr>
            <w:webHidden/>
          </w:rPr>
          <w:fldChar w:fldCharType="begin"/>
        </w:r>
        <w:r>
          <w:rPr>
            <w:webHidden/>
          </w:rPr>
          <w:instrText xml:space="preserve"> PAGEREF _Toc219710536 \h </w:instrText>
        </w:r>
        <w:r>
          <w:rPr>
            <w:webHidden/>
          </w:rPr>
        </w:r>
        <w:r>
          <w:rPr>
            <w:webHidden/>
          </w:rPr>
          <w:fldChar w:fldCharType="separate"/>
        </w:r>
        <w:r>
          <w:rPr>
            <w:webHidden/>
          </w:rPr>
          <w:t>5</w:t>
        </w:r>
        <w:r>
          <w:rPr>
            <w:webHidden/>
          </w:rPr>
          <w:fldChar w:fldCharType="end"/>
        </w:r>
      </w:hyperlink>
    </w:p>
    <w:p w14:paraId="7C4F8C44" w14:textId="522746A2"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37" w:history="1">
        <w:r w:rsidRPr="000C1F09">
          <w:rPr>
            <w:rStyle w:val="Hyperlink"/>
          </w:rPr>
          <w:t>Overarching principles</w:t>
        </w:r>
        <w:r>
          <w:rPr>
            <w:webHidden/>
          </w:rPr>
          <w:tab/>
        </w:r>
        <w:r>
          <w:rPr>
            <w:webHidden/>
          </w:rPr>
          <w:fldChar w:fldCharType="begin"/>
        </w:r>
        <w:r>
          <w:rPr>
            <w:webHidden/>
          </w:rPr>
          <w:instrText xml:space="preserve"> PAGEREF _Toc219710537 \h </w:instrText>
        </w:r>
        <w:r>
          <w:rPr>
            <w:webHidden/>
          </w:rPr>
        </w:r>
        <w:r>
          <w:rPr>
            <w:webHidden/>
          </w:rPr>
          <w:fldChar w:fldCharType="separate"/>
        </w:r>
        <w:r>
          <w:rPr>
            <w:webHidden/>
          </w:rPr>
          <w:t>5</w:t>
        </w:r>
        <w:r>
          <w:rPr>
            <w:webHidden/>
          </w:rPr>
          <w:fldChar w:fldCharType="end"/>
        </w:r>
      </w:hyperlink>
    </w:p>
    <w:p w14:paraId="12C50065" w14:textId="32B17BF1"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38" w:history="1">
        <w:r w:rsidRPr="000C1F09">
          <w:rPr>
            <w:rStyle w:val="Hyperlink"/>
          </w:rPr>
          <w:t>Specific transfer principles</w:t>
        </w:r>
        <w:r>
          <w:rPr>
            <w:webHidden/>
          </w:rPr>
          <w:tab/>
        </w:r>
        <w:r>
          <w:rPr>
            <w:webHidden/>
          </w:rPr>
          <w:fldChar w:fldCharType="begin"/>
        </w:r>
        <w:r>
          <w:rPr>
            <w:webHidden/>
          </w:rPr>
          <w:instrText xml:space="preserve"> PAGEREF _Toc219710538 \h </w:instrText>
        </w:r>
        <w:r>
          <w:rPr>
            <w:webHidden/>
          </w:rPr>
        </w:r>
        <w:r>
          <w:rPr>
            <w:webHidden/>
          </w:rPr>
          <w:fldChar w:fldCharType="separate"/>
        </w:r>
        <w:r>
          <w:rPr>
            <w:webHidden/>
          </w:rPr>
          <w:t>6</w:t>
        </w:r>
        <w:r>
          <w:rPr>
            <w:webHidden/>
          </w:rPr>
          <w:fldChar w:fldCharType="end"/>
        </w:r>
      </w:hyperlink>
    </w:p>
    <w:p w14:paraId="2AACE78D" w14:textId="585C7728" w:rsidR="00652AEF" w:rsidRDefault="00652AEF">
      <w:pPr>
        <w:pStyle w:val="TOC1"/>
        <w:rPr>
          <w:rFonts w:asciiTheme="minorHAnsi" w:eastAsiaTheme="minorEastAsia" w:hAnsiTheme="minorHAnsi" w:cstheme="minorBidi"/>
          <w:b w:val="0"/>
          <w:kern w:val="2"/>
          <w:sz w:val="24"/>
          <w:szCs w:val="24"/>
          <w:lang w:eastAsia="en-AU"/>
          <w14:ligatures w14:val="standardContextual"/>
        </w:rPr>
      </w:pPr>
      <w:hyperlink w:anchor="_Toc219710539" w:history="1">
        <w:r w:rsidRPr="000C1F09">
          <w:rPr>
            <w:rStyle w:val="Hyperlink"/>
          </w:rPr>
          <w:t>Transfer proposal process</w:t>
        </w:r>
        <w:r>
          <w:rPr>
            <w:webHidden/>
          </w:rPr>
          <w:tab/>
        </w:r>
        <w:r>
          <w:rPr>
            <w:webHidden/>
          </w:rPr>
          <w:fldChar w:fldCharType="begin"/>
        </w:r>
        <w:r>
          <w:rPr>
            <w:webHidden/>
          </w:rPr>
          <w:instrText xml:space="preserve"> PAGEREF _Toc219710539 \h </w:instrText>
        </w:r>
        <w:r>
          <w:rPr>
            <w:webHidden/>
          </w:rPr>
        </w:r>
        <w:r>
          <w:rPr>
            <w:webHidden/>
          </w:rPr>
          <w:fldChar w:fldCharType="separate"/>
        </w:r>
        <w:r>
          <w:rPr>
            <w:webHidden/>
          </w:rPr>
          <w:t>7</w:t>
        </w:r>
        <w:r>
          <w:rPr>
            <w:webHidden/>
          </w:rPr>
          <w:fldChar w:fldCharType="end"/>
        </w:r>
      </w:hyperlink>
    </w:p>
    <w:p w14:paraId="463BE34A" w14:textId="2D9CD0F9"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40" w:history="1">
        <w:r w:rsidRPr="000C1F09">
          <w:rPr>
            <w:rStyle w:val="Hyperlink"/>
          </w:rPr>
          <w:t>Transfer proposal process stages</w:t>
        </w:r>
        <w:r>
          <w:rPr>
            <w:webHidden/>
          </w:rPr>
          <w:tab/>
        </w:r>
        <w:r>
          <w:rPr>
            <w:webHidden/>
          </w:rPr>
          <w:fldChar w:fldCharType="begin"/>
        </w:r>
        <w:r>
          <w:rPr>
            <w:webHidden/>
          </w:rPr>
          <w:instrText xml:space="preserve"> PAGEREF _Toc219710540 \h </w:instrText>
        </w:r>
        <w:r>
          <w:rPr>
            <w:webHidden/>
          </w:rPr>
        </w:r>
        <w:r>
          <w:rPr>
            <w:webHidden/>
          </w:rPr>
          <w:fldChar w:fldCharType="separate"/>
        </w:r>
        <w:r>
          <w:rPr>
            <w:webHidden/>
          </w:rPr>
          <w:t>9</w:t>
        </w:r>
        <w:r>
          <w:rPr>
            <w:webHidden/>
          </w:rPr>
          <w:fldChar w:fldCharType="end"/>
        </w:r>
      </w:hyperlink>
    </w:p>
    <w:p w14:paraId="028B6A46" w14:textId="33BE4CF9"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41" w:history="1">
        <w:r w:rsidRPr="000C1F09">
          <w:rPr>
            <w:rStyle w:val="Hyperlink"/>
          </w:rPr>
          <w:t>Local transition plans</w:t>
        </w:r>
        <w:r>
          <w:rPr>
            <w:webHidden/>
          </w:rPr>
          <w:tab/>
        </w:r>
        <w:r>
          <w:rPr>
            <w:webHidden/>
          </w:rPr>
          <w:fldChar w:fldCharType="begin"/>
        </w:r>
        <w:r>
          <w:rPr>
            <w:webHidden/>
          </w:rPr>
          <w:instrText xml:space="preserve"> PAGEREF _Toc219710541 \h </w:instrText>
        </w:r>
        <w:r>
          <w:rPr>
            <w:webHidden/>
          </w:rPr>
        </w:r>
        <w:r>
          <w:rPr>
            <w:webHidden/>
          </w:rPr>
          <w:fldChar w:fldCharType="separate"/>
        </w:r>
        <w:r>
          <w:rPr>
            <w:webHidden/>
          </w:rPr>
          <w:t>9</w:t>
        </w:r>
        <w:r>
          <w:rPr>
            <w:webHidden/>
          </w:rPr>
          <w:fldChar w:fldCharType="end"/>
        </w:r>
      </w:hyperlink>
    </w:p>
    <w:p w14:paraId="3978B17C" w14:textId="3F7535E8"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42" w:history="1">
        <w:r w:rsidRPr="000C1F09">
          <w:rPr>
            <w:rStyle w:val="Hyperlink"/>
          </w:rPr>
          <w:t>Proposals that are not endorsed</w:t>
        </w:r>
        <w:r>
          <w:rPr>
            <w:webHidden/>
          </w:rPr>
          <w:tab/>
        </w:r>
        <w:r>
          <w:rPr>
            <w:webHidden/>
          </w:rPr>
          <w:fldChar w:fldCharType="begin"/>
        </w:r>
        <w:r>
          <w:rPr>
            <w:webHidden/>
          </w:rPr>
          <w:instrText xml:space="preserve"> PAGEREF _Toc219710542 \h </w:instrText>
        </w:r>
        <w:r>
          <w:rPr>
            <w:webHidden/>
          </w:rPr>
        </w:r>
        <w:r>
          <w:rPr>
            <w:webHidden/>
          </w:rPr>
          <w:fldChar w:fldCharType="separate"/>
        </w:r>
        <w:r>
          <w:rPr>
            <w:webHidden/>
          </w:rPr>
          <w:t>10</w:t>
        </w:r>
        <w:r>
          <w:rPr>
            <w:webHidden/>
          </w:rPr>
          <w:fldChar w:fldCharType="end"/>
        </w:r>
      </w:hyperlink>
    </w:p>
    <w:p w14:paraId="663DA269" w14:textId="6FDA5DE2"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43" w:history="1">
        <w:r w:rsidRPr="000C1F09">
          <w:rPr>
            <w:rStyle w:val="Hyperlink"/>
          </w:rPr>
          <w:t>Management of information about agency performance, quality and compliance</w:t>
        </w:r>
        <w:r>
          <w:rPr>
            <w:webHidden/>
          </w:rPr>
          <w:tab/>
        </w:r>
        <w:r>
          <w:rPr>
            <w:webHidden/>
          </w:rPr>
          <w:fldChar w:fldCharType="begin"/>
        </w:r>
        <w:r>
          <w:rPr>
            <w:webHidden/>
          </w:rPr>
          <w:instrText xml:space="preserve"> PAGEREF _Toc219710543 \h </w:instrText>
        </w:r>
        <w:r>
          <w:rPr>
            <w:webHidden/>
          </w:rPr>
        </w:r>
        <w:r>
          <w:rPr>
            <w:webHidden/>
          </w:rPr>
          <w:fldChar w:fldCharType="separate"/>
        </w:r>
        <w:r>
          <w:rPr>
            <w:webHidden/>
          </w:rPr>
          <w:t>10</w:t>
        </w:r>
        <w:r>
          <w:rPr>
            <w:webHidden/>
          </w:rPr>
          <w:fldChar w:fldCharType="end"/>
        </w:r>
      </w:hyperlink>
    </w:p>
    <w:p w14:paraId="658C881C" w14:textId="5B54B6E9" w:rsidR="00652AEF" w:rsidRDefault="00652AEF">
      <w:pPr>
        <w:pStyle w:val="TOC1"/>
        <w:rPr>
          <w:rFonts w:asciiTheme="minorHAnsi" w:eastAsiaTheme="minorEastAsia" w:hAnsiTheme="minorHAnsi" w:cstheme="minorBidi"/>
          <w:b w:val="0"/>
          <w:kern w:val="2"/>
          <w:sz w:val="24"/>
          <w:szCs w:val="24"/>
          <w:lang w:eastAsia="en-AU"/>
          <w14:ligatures w14:val="standardContextual"/>
        </w:rPr>
      </w:pPr>
      <w:hyperlink w:anchor="_Toc219710544" w:history="1">
        <w:r w:rsidRPr="000C1F09">
          <w:rPr>
            <w:rStyle w:val="Hyperlink"/>
          </w:rPr>
          <w:t>Roles and responsibilities</w:t>
        </w:r>
        <w:r>
          <w:rPr>
            <w:webHidden/>
          </w:rPr>
          <w:tab/>
        </w:r>
        <w:r>
          <w:rPr>
            <w:webHidden/>
          </w:rPr>
          <w:fldChar w:fldCharType="begin"/>
        </w:r>
        <w:r>
          <w:rPr>
            <w:webHidden/>
          </w:rPr>
          <w:instrText xml:space="preserve"> PAGEREF _Toc219710544 \h </w:instrText>
        </w:r>
        <w:r>
          <w:rPr>
            <w:webHidden/>
          </w:rPr>
        </w:r>
        <w:r>
          <w:rPr>
            <w:webHidden/>
          </w:rPr>
          <w:fldChar w:fldCharType="separate"/>
        </w:r>
        <w:r>
          <w:rPr>
            <w:webHidden/>
          </w:rPr>
          <w:t>10</w:t>
        </w:r>
        <w:r>
          <w:rPr>
            <w:webHidden/>
          </w:rPr>
          <w:fldChar w:fldCharType="end"/>
        </w:r>
      </w:hyperlink>
    </w:p>
    <w:p w14:paraId="5B4E7E93" w14:textId="1E5E0A9B"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45" w:history="1">
        <w:r w:rsidRPr="000C1F09">
          <w:rPr>
            <w:rStyle w:val="Hyperlink"/>
          </w:rPr>
          <w:t>Department of Families, Fairness and Housing</w:t>
        </w:r>
        <w:r>
          <w:rPr>
            <w:webHidden/>
          </w:rPr>
          <w:tab/>
        </w:r>
        <w:r>
          <w:rPr>
            <w:webHidden/>
          </w:rPr>
          <w:fldChar w:fldCharType="begin"/>
        </w:r>
        <w:r>
          <w:rPr>
            <w:webHidden/>
          </w:rPr>
          <w:instrText xml:space="preserve"> PAGEREF _Toc219710545 \h </w:instrText>
        </w:r>
        <w:r>
          <w:rPr>
            <w:webHidden/>
          </w:rPr>
        </w:r>
        <w:r>
          <w:rPr>
            <w:webHidden/>
          </w:rPr>
          <w:fldChar w:fldCharType="separate"/>
        </w:r>
        <w:r>
          <w:rPr>
            <w:webHidden/>
          </w:rPr>
          <w:t>10</w:t>
        </w:r>
        <w:r>
          <w:rPr>
            <w:webHidden/>
          </w:rPr>
          <w:fldChar w:fldCharType="end"/>
        </w:r>
      </w:hyperlink>
    </w:p>
    <w:p w14:paraId="6D5AB686" w14:textId="0B2D1AB3"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46" w:history="1">
        <w:r w:rsidRPr="000C1F09">
          <w:rPr>
            <w:rStyle w:val="Hyperlink"/>
          </w:rPr>
          <w:t>Aboriginal community-controlled organisations</w:t>
        </w:r>
        <w:r>
          <w:rPr>
            <w:webHidden/>
          </w:rPr>
          <w:tab/>
        </w:r>
        <w:r>
          <w:rPr>
            <w:webHidden/>
          </w:rPr>
          <w:fldChar w:fldCharType="begin"/>
        </w:r>
        <w:r>
          <w:rPr>
            <w:webHidden/>
          </w:rPr>
          <w:instrText xml:space="preserve"> PAGEREF _Toc219710546 \h </w:instrText>
        </w:r>
        <w:r>
          <w:rPr>
            <w:webHidden/>
          </w:rPr>
        </w:r>
        <w:r>
          <w:rPr>
            <w:webHidden/>
          </w:rPr>
          <w:fldChar w:fldCharType="separate"/>
        </w:r>
        <w:r>
          <w:rPr>
            <w:webHidden/>
          </w:rPr>
          <w:t>11</w:t>
        </w:r>
        <w:r>
          <w:rPr>
            <w:webHidden/>
          </w:rPr>
          <w:fldChar w:fldCharType="end"/>
        </w:r>
      </w:hyperlink>
    </w:p>
    <w:p w14:paraId="4C192CD0" w14:textId="4E9C62CD"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47" w:history="1">
        <w:r w:rsidRPr="000C1F09">
          <w:rPr>
            <w:rStyle w:val="Hyperlink"/>
          </w:rPr>
          <w:t>Community service organisations</w:t>
        </w:r>
        <w:r>
          <w:rPr>
            <w:webHidden/>
          </w:rPr>
          <w:tab/>
        </w:r>
        <w:r>
          <w:rPr>
            <w:webHidden/>
          </w:rPr>
          <w:fldChar w:fldCharType="begin"/>
        </w:r>
        <w:r>
          <w:rPr>
            <w:webHidden/>
          </w:rPr>
          <w:instrText xml:space="preserve"> PAGEREF _Toc219710547 \h </w:instrText>
        </w:r>
        <w:r>
          <w:rPr>
            <w:webHidden/>
          </w:rPr>
        </w:r>
        <w:r>
          <w:rPr>
            <w:webHidden/>
          </w:rPr>
          <w:fldChar w:fldCharType="separate"/>
        </w:r>
        <w:r>
          <w:rPr>
            <w:webHidden/>
          </w:rPr>
          <w:t>11</w:t>
        </w:r>
        <w:r>
          <w:rPr>
            <w:webHidden/>
          </w:rPr>
          <w:fldChar w:fldCharType="end"/>
        </w:r>
      </w:hyperlink>
    </w:p>
    <w:p w14:paraId="7CD90465" w14:textId="3FCC876E"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48" w:history="1">
        <w:r w:rsidRPr="000C1F09">
          <w:rPr>
            <w:rStyle w:val="Hyperlink"/>
          </w:rPr>
          <w:t>Wungurilwil Gapgapduir Executive Committee</w:t>
        </w:r>
        <w:r>
          <w:rPr>
            <w:webHidden/>
          </w:rPr>
          <w:tab/>
        </w:r>
        <w:r>
          <w:rPr>
            <w:webHidden/>
          </w:rPr>
          <w:fldChar w:fldCharType="begin"/>
        </w:r>
        <w:r>
          <w:rPr>
            <w:webHidden/>
          </w:rPr>
          <w:instrText xml:space="preserve"> PAGEREF _Toc219710548 \h </w:instrText>
        </w:r>
        <w:r>
          <w:rPr>
            <w:webHidden/>
          </w:rPr>
        </w:r>
        <w:r>
          <w:rPr>
            <w:webHidden/>
          </w:rPr>
          <w:fldChar w:fldCharType="separate"/>
        </w:r>
        <w:r>
          <w:rPr>
            <w:webHidden/>
          </w:rPr>
          <w:t>12</w:t>
        </w:r>
        <w:r>
          <w:rPr>
            <w:webHidden/>
          </w:rPr>
          <w:fldChar w:fldCharType="end"/>
        </w:r>
      </w:hyperlink>
    </w:p>
    <w:p w14:paraId="2C8A98EB" w14:textId="1DC12085"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49" w:history="1">
        <w:r w:rsidRPr="000C1F09">
          <w:rPr>
            <w:rStyle w:val="Hyperlink"/>
          </w:rPr>
          <w:t>Aboriginal Children’s Forum</w:t>
        </w:r>
        <w:r>
          <w:rPr>
            <w:webHidden/>
          </w:rPr>
          <w:tab/>
        </w:r>
        <w:r>
          <w:rPr>
            <w:webHidden/>
          </w:rPr>
          <w:fldChar w:fldCharType="begin"/>
        </w:r>
        <w:r>
          <w:rPr>
            <w:webHidden/>
          </w:rPr>
          <w:instrText xml:space="preserve"> PAGEREF _Toc219710549 \h </w:instrText>
        </w:r>
        <w:r>
          <w:rPr>
            <w:webHidden/>
          </w:rPr>
        </w:r>
        <w:r>
          <w:rPr>
            <w:webHidden/>
          </w:rPr>
          <w:fldChar w:fldCharType="separate"/>
        </w:r>
        <w:r>
          <w:rPr>
            <w:webHidden/>
          </w:rPr>
          <w:t>12</w:t>
        </w:r>
        <w:r>
          <w:rPr>
            <w:webHidden/>
          </w:rPr>
          <w:fldChar w:fldCharType="end"/>
        </w:r>
      </w:hyperlink>
    </w:p>
    <w:p w14:paraId="5C193D85" w14:textId="22781487" w:rsidR="00652AEF" w:rsidRDefault="00652AEF">
      <w:pPr>
        <w:pStyle w:val="TOC1"/>
        <w:rPr>
          <w:rFonts w:asciiTheme="minorHAnsi" w:eastAsiaTheme="minorEastAsia" w:hAnsiTheme="minorHAnsi" w:cstheme="minorBidi"/>
          <w:b w:val="0"/>
          <w:kern w:val="2"/>
          <w:sz w:val="24"/>
          <w:szCs w:val="24"/>
          <w:lang w:eastAsia="en-AU"/>
          <w14:ligatures w14:val="standardContextual"/>
        </w:rPr>
      </w:pPr>
      <w:hyperlink w:anchor="_Toc219710550" w:history="1">
        <w:r w:rsidRPr="000C1F09">
          <w:rPr>
            <w:rStyle w:val="Hyperlink"/>
          </w:rPr>
          <w:t>Related policies and resources</w:t>
        </w:r>
        <w:r>
          <w:rPr>
            <w:webHidden/>
          </w:rPr>
          <w:tab/>
        </w:r>
        <w:r>
          <w:rPr>
            <w:webHidden/>
          </w:rPr>
          <w:fldChar w:fldCharType="begin"/>
        </w:r>
        <w:r>
          <w:rPr>
            <w:webHidden/>
          </w:rPr>
          <w:instrText xml:space="preserve"> PAGEREF _Toc219710550 \h </w:instrText>
        </w:r>
        <w:r>
          <w:rPr>
            <w:webHidden/>
          </w:rPr>
        </w:r>
        <w:r>
          <w:rPr>
            <w:webHidden/>
          </w:rPr>
          <w:fldChar w:fldCharType="separate"/>
        </w:r>
        <w:r>
          <w:rPr>
            <w:webHidden/>
          </w:rPr>
          <w:t>12</w:t>
        </w:r>
        <w:r>
          <w:rPr>
            <w:webHidden/>
          </w:rPr>
          <w:fldChar w:fldCharType="end"/>
        </w:r>
      </w:hyperlink>
    </w:p>
    <w:p w14:paraId="4F5A0277" w14:textId="7F6AE7F9" w:rsidR="00652AEF" w:rsidRDefault="00652AEF">
      <w:pPr>
        <w:pStyle w:val="TOC1"/>
        <w:rPr>
          <w:rFonts w:asciiTheme="minorHAnsi" w:eastAsiaTheme="minorEastAsia" w:hAnsiTheme="minorHAnsi" w:cstheme="minorBidi"/>
          <w:b w:val="0"/>
          <w:kern w:val="2"/>
          <w:sz w:val="24"/>
          <w:szCs w:val="24"/>
          <w:lang w:eastAsia="en-AU"/>
          <w14:ligatures w14:val="standardContextual"/>
        </w:rPr>
      </w:pPr>
      <w:hyperlink w:anchor="_Toc219710551" w:history="1">
        <w:r w:rsidRPr="000C1F09">
          <w:rPr>
            <w:rStyle w:val="Hyperlink"/>
          </w:rPr>
          <w:t>Further information</w:t>
        </w:r>
        <w:r>
          <w:rPr>
            <w:webHidden/>
          </w:rPr>
          <w:tab/>
        </w:r>
        <w:r>
          <w:rPr>
            <w:webHidden/>
          </w:rPr>
          <w:fldChar w:fldCharType="begin"/>
        </w:r>
        <w:r>
          <w:rPr>
            <w:webHidden/>
          </w:rPr>
          <w:instrText xml:space="preserve"> PAGEREF _Toc219710551 \h </w:instrText>
        </w:r>
        <w:r>
          <w:rPr>
            <w:webHidden/>
          </w:rPr>
        </w:r>
        <w:r>
          <w:rPr>
            <w:webHidden/>
          </w:rPr>
          <w:fldChar w:fldCharType="separate"/>
        </w:r>
        <w:r>
          <w:rPr>
            <w:webHidden/>
          </w:rPr>
          <w:t>13</w:t>
        </w:r>
        <w:r>
          <w:rPr>
            <w:webHidden/>
          </w:rPr>
          <w:fldChar w:fldCharType="end"/>
        </w:r>
      </w:hyperlink>
    </w:p>
    <w:p w14:paraId="4B1D5F54" w14:textId="43466579" w:rsidR="00652AEF" w:rsidRDefault="00652AEF">
      <w:pPr>
        <w:pStyle w:val="TOC1"/>
        <w:rPr>
          <w:rFonts w:asciiTheme="minorHAnsi" w:eastAsiaTheme="minorEastAsia" w:hAnsiTheme="minorHAnsi" w:cstheme="minorBidi"/>
          <w:b w:val="0"/>
          <w:kern w:val="2"/>
          <w:sz w:val="24"/>
          <w:szCs w:val="24"/>
          <w:lang w:eastAsia="en-AU"/>
          <w14:ligatures w14:val="standardContextual"/>
        </w:rPr>
      </w:pPr>
      <w:hyperlink w:anchor="_Toc219710552" w:history="1">
        <w:r w:rsidRPr="000C1F09">
          <w:rPr>
            <w:rStyle w:val="Hyperlink"/>
          </w:rPr>
          <w:t>Attachment A: Transfer proposal checklist</w:t>
        </w:r>
        <w:r>
          <w:rPr>
            <w:webHidden/>
          </w:rPr>
          <w:tab/>
        </w:r>
        <w:r>
          <w:rPr>
            <w:webHidden/>
          </w:rPr>
          <w:fldChar w:fldCharType="begin"/>
        </w:r>
        <w:r>
          <w:rPr>
            <w:webHidden/>
          </w:rPr>
          <w:instrText xml:space="preserve"> PAGEREF _Toc219710552 \h </w:instrText>
        </w:r>
        <w:r>
          <w:rPr>
            <w:webHidden/>
          </w:rPr>
        </w:r>
        <w:r>
          <w:rPr>
            <w:webHidden/>
          </w:rPr>
          <w:fldChar w:fldCharType="separate"/>
        </w:r>
        <w:r>
          <w:rPr>
            <w:webHidden/>
          </w:rPr>
          <w:t>14</w:t>
        </w:r>
        <w:r>
          <w:rPr>
            <w:webHidden/>
          </w:rPr>
          <w:fldChar w:fldCharType="end"/>
        </w:r>
      </w:hyperlink>
    </w:p>
    <w:p w14:paraId="40DEFA06" w14:textId="3203DC9F"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53" w:history="1">
        <w:r w:rsidRPr="000C1F09">
          <w:rPr>
            <w:rStyle w:val="Hyperlink"/>
          </w:rPr>
          <w:t>Organisational signatures</w:t>
        </w:r>
        <w:r>
          <w:rPr>
            <w:webHidden/>
          </w:rPr>
          <w:tab/>
        </w:r>
        <w:r>
          <w:rPr>
            <w:webHidden/>
          </w:rPr>
          <w:fldChar w:fldCharType="begin"/>
        </w:r>
        <w:r>
          <w:rPr>
            <w:webHidden/>
          </w:rPr>
          <w:instrText xml:space="preserve"> PAGEREF _Toc219710553 \h </w:instrText>
        </w:r>
        <w:r>
          <w:rPr>
            <w:webHidden/>
          </w:rPr>
        </w:r>
        <w:r>
          <w:rPr>
            <w:webHidden/>
          </w:rPr>
          <w:fldChar w:fldCharType="separate"/>
        </w:r>
        <w:r>
          <w:rPr>
            <w:webHidden/>
          </w:rPr>
          <w:t>18</w:t>
        </w:r>
        <w:r>
          <w:rPr>
            <w:webHidden/>
          </w:rPr>
          <w:fldChar w:fldCharType="end"/>
        </w:r>
      </w:hyperlink>
    </w:p>
    <w:p w14:paraId="452A9038" w14:textId="2B47FE3D" w:rsidR="00652AEF" w:rsidRDefault="00652AEF">
      <w:pPr>
        <w:pStyle w:val="TOC2"/>
        <w:rPr>
          <w:rFonts w:asciiTheme="minorHAnsi" w:eastAsiaTheme="minorEastAsia" w:hAnsiTheme="minorHAnsi" w:cstheme="minorBidi"/>
          <w:kern w:val="2"/>
          <w:sz w:val="24"/>
          <w:szCs w:val="24"/>
          <w:lang w:eastAsia="en-AU"/>
          <w14:ligatures w14:val="standardContextual"/>
        </w:rPr>
      </w:pPr>
      <w:hyperlink w:anchor="_Toc219710554" w:history="1">
        <w:r w:rsidRPr="000C1F09">
          <w:rPr>
            <w:rStyle w:val="Hyperlink"/>
          </w:rPr>
          <w:t>Departmental response</w:t>
        </w:r>
        <w:r>
          <w:rPr>
            <w:webHidden/>
          </w:rPr>
          <w:tab/>
        </w:r>
        <w:r>
          <w:rPr>
            <w:webHidden/>
          </w:rPr>
          <w:fldChar w:fldCharType="begin"/>
        </w:r>
        <w:r>
          <w:rPr>
            <w:webHidden/>
          </w:rPr>
          <w:instrText xml:space="preserve"> PAGEREF _Toc219710554 \h </w:instrText>
        </w:r>
        <w:r>
          <w:rPr>
            <w:webHidden/>
          </w:rPr>
        </w:r>
        <w:r>
          <w:rPr>
            <w:webHidden/>
          </w:rPr>
          <w:fldChar w:fldCharType="separate"/>
        </w:r>
        <w:r>
          <w:rPr>
            <w:webHidden/>
          </w:rPr>
          <w:t>18</w:t>
        </w:r>
        <w:r>
          <w:rPr>
            <w:webHidden/>
          </w:rPr>
          <w:fldChar w:fldCharType="end"/>
        </w:r>
      </w:hyperlink>
    </w:p>
    <w:p w14:paraId="623B2D43" w14:textId="0CEB9E98" w:rsidR="007173CA" w:rsidRPr="0038340A" w:rsidRDefault="00AD784C" w:rsidP="00D079AA">
      <w:pPr>
        <w:pStyle w:val="Body"/>
      </w:pPr>
      <w:r w:rsidRPr="0038340A">
        <w:lastRenderedPageBreak/>
        <w:fldChar w:fldCharType="end"/>
      </w:r>
    </w:p>
    <w:p w14:paraId="13445742" w14:textId="77777777" w:rsidR="00580394" w:rsidRPr="0038340A" w:rsidRDefault="00580394" w:rsidP="007173CA">
      <w:pPr>
        <w:pStyle w:val="Body"/>
        <w:sectPr w:rsidR="00580394" w:rsidRPr="0038340A"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583E27CC" w14:textId="77777777" w:rsidR="009348F8" w:rsidRPr="0038340A" w:rsidRDefault="009348F8" w:rsidP="009348F8">
      <w:pPr>
        <w:pStyle w:val="Heading1"/>
        <w:spacing w:after="120"/>
      </w:pPr>
      <w:bookmarkStart w:id="0" w:name="_Toc211509465"/>
      <w:bookmarkStart w:id="1" w:name="_Toc219710526"/>
      <w:bookmarkStart w:id="2" w:name="_Toc183422609"/>
      <w:bookmarkStart w:id="3" w:name="_Toc186713254"/>
      <w:bookmarkStart w:id="4" w:name="_Toc204004650"/>
      <w:bookmarkStart w:id="5" w:name="_Toc204345377"/>
      <w:bookmarkStart w:id="6" w:name="_Toc66794859"/>
      <w:r w:rsidRPr="0038340A">
        <w:t>Acknowledgements</w:t>
      </w:r>
      <w:bookmarkEnd w:id="0"/>
      <w:bookmarkEnd w:id="1"/>
    </w:p>
    <w:p w14:paraId="6389A8DB" w14:textId="77777777" w:rsidR="009348F8" w:rsidRPr="0038340A" w:rsidRDefault="009348F8" w:rsidP="009348F8">
      <w:pPr>
        <w:pStyle w:val="Body"/>
      </w:pPr>
      <w:r w:rsidRPr="0038340A">
        <w:t xml:space="preserve">The Department of Families, Fairness and Housing (the department) acknowledges Victorian Aboriginal people as the traditional custodians of the land and waters of Victoria. </w:t>
      </w:r>
    </w:p>
    <w:p w14:paraId="331FBB0B" w14:textId="77777777" w:rsidR="009348F8" w:rsidRPr="0038340A" w:rsidRDefault="009348F8" w:rsidP="009348F8">
      <w:pPr>
        <w:pStyle w:val="Body"/>
      </w:pPr>
      <w:r w:rsidRPr="0038340A">
        <w:t xml:space="preserve">The department acknowledges the ongoing leadership role of the Aboriginal community in delivering services and support to Aboriginal children and families. The department would like to thank members of the Aboriginal Children’s Forum (ACF), specifically the Victorian Aboriginal and Community Agency (VACCA), the Victorian Aboriginal Children and Young People’s Alliance (VACYPA) and the Centre for Excellence in Child and Family Welfare, as key partners and contributors to this policy. </w:t>
      </w:r>
    </w:p>
    <w:p w14:paraId="63575489" w14:textId="77777777" w:rsidR="009348F8" w:rsidRPr="0038340A" w:rsidRDefault="009348F8" w:rsidP="009348F8">
      <w:pPr>
        <w:pStyle w:val="Heading1"/>
      </w:pPr>
      <w:bookmarkStart w:id="7" w:name="_Toc211509466"/>
      <w:bookmarkStart w:id="8" w:name="_Toc219710527"/>
      <w:bookmarkEnd w:id="2"/>
      <w:bookmarkEnd w:id="3"/>
      <w:bookmarkEnd w:id="4"/>
      <w:bookmarkEnd w:id="5"/>
      <w:r w:rsidRPr="0038340A">
        <w:t>Purpose</w:t>
      </w:r>
      <w:bookmarkEnd w:id="7"/>
      <w:bookmarkEnd w:id="8"/>
    </w:p>
    <w:p w14:paraId="2852E6CF" w14:textId="37091227" w:rsidR="009348F8" w:rsidRPr="0038340A" w:rsidRDefault="009348F8" w:rsidP="009348F8">
      <w:pPr>
        <w:pStyle w:val="Body"/>
      </w:pPr>
      <w:r w:rsidRPr="0038340A">
        <w:t>Th</w:t>
      </w:r>
      <w:r w:rsidR="005E0B77" w:rsidRPr="0038340A">
        <w:t>is</w:t>
      </w:r>
      <w:r w:rsidRPr="0038340A">
        <w:t xml:space="preserve"> </w:t>
      </w:r>
      <w:r w:rsidR="00FE1C22" w:rsidRPr="0038340A">
        <w:t>interim policy</w:t>
      </w:r>
      <w:r w:rsidR="005E0B77" w:rsidRPr="0038340A">
        <w:t xml:space="preserve"> (the policy)</w:t>
      </w:r>
      <w:r w:rsidR="00FE1C22" w:rsidRPr="0038340A">
        <w:t xml:space="preserve"> </w:t>
      </w:r>
      <w:r w:rsidR="001F4694" w:rsidRPr="0038340A">
        <w:t>sets out</w:t>
      </w:r>
      <w:r w:rsidRPr="0038340A">
        <w:t xml:space="preserve"> the process for transfer</w:t>
      </w:r>
      <w:r w:rsidR="001F4694" w:rsidRPr="0038340A">
        <w:t>ring</w:t>
      </w:r>
      <w:r w:rsidRPr="0038340A">
        <w:t xml:space="preserve"> service delivery targets and related resources in the Victorian child and family services sector from government and non-Aboriginal </w:t>
      </w:r>
      <w:r w:rsidR="001F4694" w:rsidRPr="0038340A">
        <w:t xml:space="preserve">community services organisations </w:t>
      </w:r>
      <w:r w:rsidRPr="0038340A">
        <w:t xml:space="preserve">(CSOs) to Aboriginal </w:t>
      </w:r>
      <w:r w:rsidR="001F4694" w:rsidRPr="0038340A">
        <w:t>community-c</w:t>
      </w:r>
      <w:r w:rsidRPr="0038340A">
        <w:t xml:space="preserve">ontrolled </w:t>
      </w:r>
      <w:r w:rsidR="001F4694" w:rsidRPr="0038340A">
        <w:t xml:space="preserve">organisations </w:t>
      </w:r>
      <w:r w:rsidRPr="0038340A">
        <w:t>(ACCOs).</w:t>
      </w:r>
    </w:p>
    <w:p w14:paraId="29E6AF3D" w14:textId="143CC288" w:rsidR="001F4694" w:rsidRPr="0038340A" w:rsidRDefault="009348F8" w:rsidP="009348F8">
      <w:pPr>
        <w:pStyle w:val="Body"/>
      </w:pPr>
      <w:r w:rsidRPr="0038340A">
        <w:t xml:space="preserve">In this </w:t>
      </w:r>
      <w:r w:rsidR="001F4694" w:rsidRPr="0038340A">
        <w:t>p</w:t>
      </w:r>
      <w:r w:rsidRPr="0038340A">
        <w:t xml:space="preserve">olicy, ‘transfer’ </w:t>
      </w:r>
      <w:r w:rsidR="001F4694" w:rsidRPr="0038340A">
        <w:t>means</w:t>
      </w:r>
      <w:r w:rsidRPr="0038340A">
        <w:t xml:space="preserve"> transferring targets and resources to ACCOs. </w:t>
      </w:r>
    </w:p>
    <w:p w14:paraId="0F6D6147" w14:textId="142AFD3B" w:rsidR="009348F8" w:rsidRPr="0038340A" w:rsidRDefault="001F4694" w:rsidP="009348F8">
      <w:pPr>
        <w:pStyle w:val="Body"/>
      </w:pPr>
      <w:r w:rsidRPr="0038340A">
        <w:t>The policy also uses</w:t>
      </w:r>
      <w:r w:rsidR="009348F8" w:rsidRPr="0038340A">
        <w:t xml:space="preserve"> the concept</w:t>
      </w:r>
      <w:r w:rsidRPr="0038340A">
        <w:t xml:space="preserve"> of</w:t>
      </w:r>
      <w:r w:rsidR="009348F8" w:rsidRPr="0038340A">
        <w:t xml:space="preserve"> ‘transition’</w:t>
      </w:r>
      <w:r w:rsidR="00880667" w:rsidRPr="0038340A">
        <w:t>, which</w:t>
      </w:r>
      <w:r w:rsidRPr="0038340A">
        <w:t xml:space="preserve"> </w:t>
      </w:r>
      <w:r w:rsidR="009348F8" w:rsidRPr="0038340A">
        <w:t>refer</w:t>
      </w:r>
      <w:r w:rsidRPr="0038340A">
        <w:t>s</w:t>
      </w:r>
      <w:r w:rsidR="009348F8" w:rsidRPr="0038340A">
        <w:t xml:space="preserve"> to the </w:t>
      </w:r>
      <w:r w:rsidR="00205C5D" w:rsidRPr="0038340A">
        <w:t xml:space="preserve">broader process of </w:t>
      </w:r>
      <w:r w:rsidR="00991E5A" w:rsidRPr="0038340A">
        <w:t xml:space="preserve">transitioning service design and delivery to ACCOs, </w:t>
      </w:r>
      <w:r w:rsidR="009348F8" w:rsidRPr="0038340A">
        <w:t xml:space="preserve">which </w:t>
      </w:r>
      <w:r w:rsidRPr="0038340A">
        <w:t xml:space="preserve">includes </w:t>
      </w:r>
      <w:r w:rsidR="009348F8" w:rsidRPr="0038340A">
        <w:t>transferring targets and resources.</w:t>
      </w:r>
    </w:p>
    <w:p w14:paraId="72399E9B" w14:textId="39C75177" w:rsidR="009348F8" w:rsidRPr="0038340A" w:rsidRDefault="009348F8" w:rsidP="009348F8">
      <w:pPr>
        <w:pStyle w:val="Heading2"/>
        <w:spacing w:before="0"/>
      </w:pPr>
      <w:bookmarkStart w:id="9" w:name="_Toc211509467"/>
      <w:bookmarkStart w:id="10" w:name="_Toc219710528"/>
      <w:r w:rsidRPr="0038340A">
        <w:t>Who this polic</w:t>
      </w:r>
      <w:r w:rsidR="001F4694" w:rsidRPr="0038340A">
        <w:t>y is for</w:t>
      </w:r>
      <w:bookmarkEnd w:id="9"/>
      <w:bookmarkEnd w:id="10"/>
    </w:p>
    <w:p w14:paraId="27869AE5" w14:textId="406CF527" w:rsidR="009348F8" w:rsidRPr="0038340A" w:rsidRDefault="009348F8" w:rsidP="009348F8">
      <w:pPr>
        <w:pStyle w:val="Body"/>
      </w:pPr>
      <w:r w:rsidRPr="0038340A">
        <w:t>This policy applies to the department and agencies funded by the department</w:t>
      </w:r>
      <w:r w:rsidR="001F4694" w:rsidRPr="0038340A">
        <w:t>. This</w:t>
      </w:r>
      <w:r w:rsidRPr="0038340A">
        <w:t xml:space="preserve"> includes CSOs and ACCOs</w:t>
      </w:r>
      <w:r w:rsidR="001F4694" w:rsidRPr="0038340A">
        <w:t xml:space="preserve"> that</w:t>
      </w:r>
      <w:r w:rsidRPr="0038340A">
        <w:t xml:space="preserve"> deliver services under the </w:t>
      </w:r>
      <w:r w:rsidRPr="0038340A">
        <w:rPr>
          <w:i/>
          <w:iCs/>
        </w:rPr>
        <w:t xml:space="preserve">Children, Youth and Families Act </w:t>
      </w:r>
      <w:r w:rsidRPr="000B3B97">
        <w:rPr>
          <w:i/>
          <w:iCs/>
        </w:rPr>
        <w:t>2005</w:t>
      </w:r>
      <w:r w:rsidRPr="0038340A">
        <w:t xml:space="preserve"> (CYFA). </w:t>
      </w:r>
    </w:p>
    <w:p w14:paraId="692AE408" w14:textId="43394D3E" w:rsidR="001F4694" w:rsidRPr="0038340A" w:rsidRDefault="009348F8" w:rsidP="009348F8">
      <w:pPr>
        <w:pStyle w:val="Body"/>
      </w:pPr>
      <w:r w:rsidRPr="0038340A">
        <w:t xml:space="preserve">The policy also </w:t>
      </w:r>
      <w:r w:rsidR="001F4694" w:rsidRPr="0038340A">
        <w:t xml:space="preserve">provides </w:t>
      </w:r>
      <w:r w:rsidRPr="0038340A">
        <w:t xml:space="preserve">guidance </w:t>
      </w:r>
      <w:r w:rsidR="001F4694" w:rsidRPr="0038340A">
        <w:t xml:space="preserve">for </w:t>
      </w:r>
      <w:r w:rsidRPr="0038340A">
        <w:t xml:space="preserve">ACCOs </w:t>
      </w:r>
      <w:r w:rsidR="001F4694" w:rsidRPr="0038340A">
        <w:t xml:space="preserve">that do not currently </w:t>
      </w:r>
      <w:r w:rsidRPr="0038340A">
        <w:t>provide services under the CYFA,</w:t>
      </w:r>
      <w:r w:rsidRPr="0038340A" w:rsidDel="001A48F7">
        <w:t xml:space="preserve"> </w:t>
      </w:r>
      <w:r w:rsidRPr="0038340A">
        <w:t xml:space="preserve">but </w:t>
      </w:r>
      <w:r w:rsidR="001F4694" w:rsidRPr="0038340A">
        <w:t>who seek to do so</w:t>
      </w:r>
      <w:r w:rsidRPr="0038340A">
        <w:t xml:space="preserve">. </w:t>
      </w:r>
    </w:p>
    <w:p w14:paraId="71F0FCF5" w14:textId="761819C0" w:rsidR="009348F8" w:rsidRPr="0038340A" w:rsidRDefault="009348F8" w:rsidP="009348F8">
      <w:pPr>
        <w:pStyle w:val="Body"/>
      </w:pPr>
      <w:r w:rsidRPr="0038340A">
        <w:t xml:space="preserve">Governance forums, including the </w:t>
      </w:r>
      <w:proofErr w:type="spellStart"/>
      <w:r w:rsidRPr="0038340A">
        <w:t>Wungurilwil</w:t>
      </w:r>
      <w:proofErr w:type="spellEnd"/>
      <w:r w:rsidRPr="0038340A">
        <w:t xml:space="preserve"> </w:t>
      </w:r>
      <w:proofErr w:type="spellStart"/>
      <w:r w:rsidRPr="0038340A">
        <w:t>Gapgapduir</w:t>
      </w:r>
      <w:proofErr w:type="spellEnd"/>
      <w:r w:rsidRPr="0038340A">
        <w:t xml:space="preserve"> Executive Committee (WEC) and the ACF, </w:t>
      </w:r>
      <w:r w:rsidR="001F4694" w:rsidRPr="0038340A">
        <w:t>oversee the</w:t>
      </w:r>
      <w:r w:rsidRPr="0038340A">
        <w:t xml:space="preserve"> implementation of the</w:t>
      </w:r>
      <w:r w:rsidR="001F4694" w:rsidRPr="0038340A">
        <w:t xml:space="preserve"> policy</w:t>
      </w:r>
      <w:r w:rsidRPr="0038340A">
        <w:t>.</w:t>
      </w:r>
    </w:p>
    <w:p w14:paraId="452544EE" w14:textId="77777777" w:rsidR="009348F8" w:rsidRPr="00BC47F6" w:rsidRDefault="009348F8" w:rsidP="00BC47F6">
      <w:pPr>
        <w:pStyle w:val="Heading2"/>
      </w:pPr>
      <w:bookmarkStart w:id="11" w:name="_Toc211509468"/>
      <w:bookmarkStart w:id="12" w:name="_Toc219710529"/>
      <w:r w:rsidRPr="00BC47F6">
        <w:t>Objectives</w:t>
      </w:r>
      <w:bookmarkEnd w:id="11"/>
      <w:bookmarkEnd w:id="12"/>
      <w:r w:rsidRPr="00BC47F6">
        <w:t xml:space="preserve"> </w:t>
      </w:r>
    </w:p>
    <w:p w14:paraId="41D236F4" w14:textId="720A2347" w:rsidR="009348F8" w:rsidRPr="0038340A" w:rsidRDefault="009348F8" w:rsidP="009348F8">
      <w:pPr>
        <w:pStyle w:val="Body"/>
      </w:pPr>
      <w:r w:rsidRPr="0038340A">
        <w:t xml:space="preserve">The </w:t>
      </w:r>
      <w:r w:rsidR="00E055AC" w:rsidRPr="0038340A">
        <w:t>p</w:t>
      </w:r>
      <w:r w:rsidRPr="0038340A">
        <w:t xml:space="preserve">olicy </w:t>
      </w:r>
      <w:r w:rsidR="00E055AC" w:rsidRPr="0038340A">
        <w:t xml:space="preserve">aims to </w:t>
      </w:r>
      <w:r w:rsidR="009C6C68" w:rsidRPr="0038340A">
        <w:t>ensure</w:t>
      </w:r>
      <w:r w:rsidRPr="0038340A">
        <w:t xml:space="preserve">: </w:t>
      </w:r>
    </w:p>
    <w:p w14:paraId="489F2B9D" w14:textId="66BE80C8" w:rsidR="009C6C68" w:rsidRPr="0038340A" w:rsidRDefault="00E055AC" w:rsidP="0071312C">
      <w:pPr>
        <w:pStyle w:val="Bullet1"/>
      </w:pPr>
      <w:r w:rsidRPr="0038340A">
        <w:t>timely and adequate processes to transfer s</w:t>
      </w:r>
      <w:r w:rsidR="009348F8" w:rsidRPr="0038340A">
        <w:t>ervice delivery target</w:t>
      </w:r>
      <w:r w:rsidRPr="0038340A">
        <w:t>s</w:t>
      </w:r>
      <w:r w:rsidR="009348F8" w:rsidRPr="0038340A">
        <w:t xml:space="preserve"> and resource</w:t>
      </w:r>
      <w:r w:rsidRPr="0038340A">
        <w:t>s</w:t>
      </w:r>
      <w:r w:rsidR="00C6489C" w:rsidRPr="0038340A">
        <w:t xml:space="preserve"> (defined further under ‘Scope’)</w:t>
      </w:r>
      <w:r w:rsidR="009348F8" w:rsidRPr="0038340A">
        <w:t xml:space="preserve"> to ACCOs</w:t>
      </w:r>
    </w:p>
    <w:p w14:paraId="3892F5F9" w14:textId="16E4A487" w:rsidR="009348F8" w:rsidRPr="0038340A" w:rsidRDefault="009C6C68" w:rsidP="0071312C">
      <w:pPr>
        <w:pStyle w:val="Bullet1"/>
      </w:pPr>
      <w:r w:rsidRPr="0038340A">
        <w:t>processes that</w:t>
      </w:r>
      <w:r w:rsidR="00E055AC" w:rsidRPr="0038340A">
        <w:t xml:space="preserve"> </w:t>
      </w:r>
      <w:r w:rsidR="009348F8" w:rsidRPr="0038340A">
        <w:t xml:space="preserve">uphold Aboriginal self-determination </w:t>
      </w:r>
    </w:p>
    <w:p w14:paraId="78F3284C" w14:textId="56300A95" w:rsidR="009348F8" w:rsidRPr="0038340A" w:rsidRDefault="00E055AC" w:rsidP="0071312C">
      <w:pPr>
        <w:pStyle w:val="Bullet1"/>
      </w:pPr>
      <w:r w:rsidRPr="0038340A">
        <w:t xml:space="preserve">improved </w:t>
      </w:r>
      <w:r w:rsidR="009348F8" w:rsidRPr="0038340A">
        <w:t>outcomes for Aboriginal children and families by enabling ACCOs to deliver a greater proportion of child and family services to Aboriginal children and families.</w:t>
      </w:r>
    </w:p>
    <w:p w14:paraId="235DD975" w14:textId="77777777" w:rsidR="009348F8" w:rsidRPr="0038340A" w:rsidRDefault="009348F8" w:rsidP="009348F8">
      <w:pPr>
        <w:pStyle w:val="Heading1"/>
        <w:spacing w:after="120" w:line="240" w:lineRule="atLeast"/>
      </w:pPr>
      <w:bookmarkStart w:id="13" w:name="_Toc211509469"/>
      <w:bookmarkStart w:id="14" w:name="_Toc219710530"/>
      <w:r w:rsidRPr="0038340A">
        <w:t>Background</w:t>
      </w:r>
      <w:bookmarkEnd w:id="13"/>
      <w:bookmarkEnd w:id="14"/>
    </w:p>
    <w:p w14:paraId="626C1BEB" w14:textId="77777777" w:rsidR="009348F8" w:rsidRPr="0038340A" w:rsidRDefault="009348F8" w:rsidP="009348F8">
      <w:pPr>
        <w:pStyle w:val="Heading2"/>
        <w:spacing w:before="240"/>
      </w:pPr>
      <w:bookmarkStart w:id="15" w:name="_Toc211509470"/>
      <w:bookmarkStart w:id="16" w:name="_Toc219710531"/>
      <w:r w:rsidRPr="0038340A">
        <w:t>The strategic context</w:t>
      </w:r>
      <w:bookmarkEnd w:id="15"/>
      <w:bookmarkEnd w:id="16"/>
    </w:p>
    <w:p w14:paraId="6877EBF9" w14:textId="02BA2D13" w:rsidR="009348F8" w:rsidRPr="0038340A" w:rsidRDefault="009348F8" w:rsidP="0038340A">
      <w:pPr>
        <w:pStyle w:val="Body"/>
        <w:spacing w:before="120"/>
      </w:pPr>
      <w:r w:rsidRPr="0038340A">
        <w:t xml:space="preserve">The </w:t>
      </w:r>
      <w:r w:rsidR="00E055AC" w:rsidRPr="0038340A">
        <w:t>p</w:t>
      </w:r>
      <w:r w:rsidRPr="0038340A">
        <w:t>olicy affirms the Victorian Government</w:t>
      </w:r>
      <w:r w:rsidR="00E055AC" w:rsidRPr="0038340A">
        <w:t>’s</w:t>
      </w:r>
      <w:r w:rsidRPr="0038340A">
        <w:t xml:space="preserve"> commitment to transfer resources </w:t>
      </w:r>
      <w:r w:rsidR="00E055AC" w:rsidRPr="0038340A">
        <w:t xml:space="preserve">to the ACCO sector </w:t>
      </w:r>
      <w:r w:rsidRPr="0038340A">
        <w:t>for child and family services delivered to Victorian Aboriginal children and young people</w:t>
      </w:r>
      <w:r w:rsidR="00E055AC" w:rsidRPr="0038340A">
        <w:t>.</w:t>
      </w:r>
      <w:r w:rsidR="0050413D" w:rsidRPr="0038340A">
        <w:t xml:space="preserve"> It supports the aspirations of Aboriginal people to achieve increased autonomy over planning, resourcing and administration of services for Aboriginal children and families.</w:t>
      </w:r>
    </w:p>
    <w:p w14:paraId="5BA494FC" w14:textId="5C8894BA" w:rsidR="009348F8" w:rsidRPr="0038340A" w:rsidRDefault="009348F8" w:rsidP="009348F8">
      <w:pPr>
        <w:pStyle w:val="Body"/>
      </w:pPr>
      <w:r w:rsidRPr="0038340A">
        <w:lastRenderedPageBreak/>
        <w:t xml:space="preserve">Under the </w:t>
      </w:r>
      <w:proofErr w:type="spellStart"/>
      <w:r w:rsidRPr="0038340A">
        <w:rPr>
          <w:i/>
          <w:iCs/>
        </w:rPr>
        <w:t>Wungurilwil</w:t>
      </w:r>
      <w:proofErr w:type="spellEnd"/>
      <w:r w:rsidRPr="0038340A">
        <w:rPr>
          <w:i/>
          <w:iCs/>
        </w:rPr>
        <w:t xml:space="preserve"> </w:t>
      </w:r>
      <w:proofErr w:type="spellStart"/>
      <w:r w:rsidRPr="0038340A">
        <w:rPr>
          <w:i/>
          <w:iCs/>
        </w:rPr>
        <w:t>Gapgapduir</w:t>
      </w:r>
      <w:proofErr w:type="spellEnd"/>
      <w:r w:rsidRPr="0038340A">
        <w:rPr>
          <w:i/>
          <w:iCs/>
        </w:rPr>
        <w:t xml:space="preserve"> Aboriginal Children and Families Agreement </w:t>
      </w:r>
      <w:r w:rsidRPr="0038340A">
        <w:t xml:space="preserve">(2018), the </w:t>
      </w:r>
      <w:r w:rsidR="00EF5FC2" w:rsidRPr="0038340A">
        <w:t>g</w:t>
      </w:r>
      <w:r w:rsidRPr="0038340A">
        <w:t xml:space="preserve">overnment and CSOs, along with ACCOs, </w:t>
      </w:r>
      <w:r w:rsidR="00EF5FC2" w:rsidRPr="0038340A">
        <w:t>committed</w:t>
      </w:r>
      <w:r w:rsidRPr="0038340A">
        <w:t xml:space="preserve"> to strengthening Aboriginal organisations</w:t>
      </w:r>
      <w:r w:rsidR="00EF5FC2" w:rsidRPr="0038340A">
        <w:t>’</w:t>
      </w:r>
      <w:r w:rsidRPr="0038340A">
        <w:t xml:space="preserve"> capacity to provide child and family services</w:t>
      </w:r>
      <w:r w:rsidR="00EF5FC2" w:rsidRPr="0038340A">
        <w:t>.</w:t>
      </w:r>
      <w:r w:rsidRPr="0038340A">
        <w:t xml:space="preserve"> </w:t>
      </w:r>
      <w:r w:rsidR="00EF5FC2" w:rsidRPr="0038340A">
        <w:t>This will ensure</w:t>
      </w:r>
      <w:r w:rsidRPr="0038340A">
        <w:t xml:space="preserve"> Aboriginal children and young people are safe, resilient, thriving and living in culturally rich, strong Aboriginal families and communities.</w:t>
      </w:r>
    </w:p>
    <w:p w14:paraId="53F4661B" w14:textId="58A81EB2" w:rsidR="009348F8" w:rsidRPr="0038340A" w:rsidRDefault="009348F8" w:rsidP="009348F8">
      <w:pPr>
        <w:pStyle w:val="Body"/>
      </w:pPr>
      <w:r w:rsidRPr="0038340A">
        <w:t xml:space="preserve">Objective 2 of </w:t>
      </w:r>
      <w:proofErr w:type="spellStart"/>
      <w:r w:rsidRPr="0038340A">
        <w:rPr>
          <w:i/>
          <w:iCs/>
        </w:rPr>
        <w:t>Wunguril</w:t>
      </w:r>
      <w:r w:rsidR="00BD39A6" w:rsidRPr="0038340A">
        <w:rPr>
          <w:i/>
          <w:iCs/>
        </w:rPr>
        <w:t>w</w:t>
      </w:r>
      <w:r w:rsidRPr="0038340A">
        <w:rPr>
          <w:i/>
          <w:iCs/>
        </w:rPr>
        <w:t>il</w:t>
      </w:r>
      <w:proofErr w:type="spellEnd"/>
      <w:r w:rsidRPr="0038340A">
        <w:rPr>
          <w:i/>
          <w:iCs/>
        </w:rPr>
        <w:t xml:space="preserve"> </w:t>
      </w:r>
      <w:proofErr w:type="spellStart"/>
      <w:r w:rsidRPr="0038340A">
        <w:rPr>
          <w:i/>
          <w:iCs/>
        </w:rPr>
        <w:t>Gapgapduir</w:t>
      </w:r>
      <w:proofErr w:type="spellEnd"/>
      <w:r w:rsidRPr="0038340A">
        <w:t xml:space="preserve"> commits the parties to </w:t>
      </w:r>
      <w:r w:rsidR="00EF5FC2" w:rsidRPr="0038340A">
        <w:t>‘[r]</w:t>
      </w:r>
      <w:proofErr w:type="spellStart"/>
      <w:r w:rsidRPr="0038340A">
        <w:t>esource</w:t>
      </w:r>
      <w:proofErr w:type="spellEnd"/>
      <w:r w:rsidRPr="0038340A">
        <w:t xml:space="preserve"> and support Aboriginal organisations to care for their children, families and communities</w:t>
      </w:r>
      <w:r w:rsidR="00EF5FC2" w:rsidRPr="0038340A">
        <w:t>’</w:t>
      </w:r>
      <w:r w:rsidRPr="0038340A">
        <w:t xml:space="preserve">. </w:t>
      </w:r>
    </w:p>
    <w:p w14:paraId="61FDFC7D" w14:textId="7EBE7A8F" w:rsidR="009348F8" w:rsidRPr="0038340A" w:rsidRDefault="009348F8" w:rsidP="009348F8">
      <w:pPr>
        <w:pStyle w:val="Body"/>
      </w:pPr>
      <w:r w:rsidRPr="0038340A">
        <w:t xml:space="preserve">Through Action 4.3 of the </w:t>
      </w:r>
      <w:proofErr w:type="spellStart"/>
      <w:r w:rsidRPr="0038340A">
        <w:rPr>
          <w:i/>
          <w:iCs/>
        </w:rPr>
        <w:t>Wungurilwil</w:t>
      </w:r>
      <w:proofErr w:type="spellEnd"/>
      <w:r w:rsidRPr="0038340A">
        <w:rPr>
          <w:i/>
          <w:iCs/>
        </w:rPr>
        <w:t xml:space="preserve"> </w:t>
      </w:r>
      <w:proofErr w:type="spellStart"/>
      <w:r w:rsidRPr="0038340A">
        <w:rPr>
          <w:i/>
          <w:iCs/>
        </w:rPr>
        <w:t>Gapgapduir</w:t>
      </w:r>
      <w:proofErr w:type="spellEnd"/>
      <w:r w:rsidRPr="0038340A">
        <w:t xml:space="preserve"> </w:t>
      </w:r>
      <w:r w:rsidR="008A1240" w:rsidRPr="0038340A">
        <w:rPr>
          <w:i/>
          <w:iCs/>
        </w:rPr>
        <w:t>S</w:t>
      </w:r>
      <w:r w:rsidRPr="0038340A">
        <w:rPr>
          <w:i/>
          <w:iCs/>
        </w:rPr>
        <w:t xml:space="preserve">trategic </w:t>
      </w:r>
      <w:r w:rsidR="008A1240" w:rsidRPr="0038340A">
        <w:rPr>
          <w:i/>
          <w:iCs/>
        </w:rPr>
        <w:t>A</w:t>
      </w:r>
      <w:r w:rsidRPr="0038340A">
        <w:rPr>
          <w:i/>
          <w:iCs/>
        </w:rPr>
        <w:t xml:space="preserve">ction </w:t>
      </w:r>
      <w:r w:rsidR="008A1240" w:rsidRPr="0038340A">
        <w:rPr>
          <w:i/>
          <w:iCs/>
        </w:rPr>
        <w:t>P</w:t>
      </w:r>
      <w:r w:rsidRPr="0038340A">
        <w:rPr>
          <w:i/>
          <w:iCs/>
        </w:rPr>
        <w:t>lan</w:t>
      </w:r>
      <w:r w:rsidRPr="0038340A">
        <w:t xml:space="preserve"> </w:t>
      </w:r>
      <w:r w:rsidR="00EF5FC2" w:rsidRPr="0038340A">
        <w:t>(</w:t>
      </w:r>
      <w:r w:rsidRPr="0038340A">
        <w:t>2024</w:t>
      </w:r>
      <w:r w:rsidR="00EF5FC2" w:rsidRPr="0038340A">
        <w:t>–</w:t>
      </w:r>
      <w:r w:rsidRPr="0038340A">
        <w:t>2028</w:t>
      </w:r>
      <w:r w:rsidR="00EF5FC2" w:rsidRPr="0038340A">
        <w:t>)</w:t>
      </w:r>
      <w:r w:rsidRPr="0038340A">
        <w:t xml:space="preserve">, </w:t>
      </w:r>
      <w:r w:rsidR="00EF5FC2" w:rsidRPr="0038340A">
        <w:t>g</w:t>
      </w:r>
      <w:r w:rsidRPr="0038340A">
        <w:t xml:space="preserve">overnment and CSOs </w:t>
      </w:r>
      <w:r w:rsidR="00EF5FC2" w:rsidRPr="0038340A">
        <w:t>will</w:t>
      </w:r>
      <w:r w:rsidRPr="0038340A">
        <w:t xml:space="preserve"> </w:t>
      </w:r>
      <w:r w:rsidR="00EF5FC2" w:rsidRPr="0038340A">
        <w:t>‘[f]</w:t>
      </w:r>
      <w:proofErr w:type="spellStart"/>
      <w:r w:rsidRPr="0038340A">
        <w:t>acilitate</w:t>
      </w:r>
      <w:proofErr w:type="spellEnd"/>
      <w:r w:rsidRPr="0038340A">
        <w:t xml:space="preserve"> the ACCO-informed transfer of proportionate government and CSO investment to ACCOs to enable them to support their Aboriginal children and families</w:t>
      </w:r>
      <w:r w:rsidR="00EF5FC2" w:rsidRPr="0038340A">
        <w:t>’</w:t>
      </w:r>
      <w:r w:rsidRPr="0038340A">
        <w:t xml:space="preserve">. The </w:t>
      </w:r>
      <w:r w:rsidR="00EF5FC2" w:rsidRPr="0038340A">
        <w:t xml:space="preserve">policy </w:t>
      </w:r>
      <w:r w:rsidRPr="0038340A">
        <w:t>support</w:t>
      </w:r>
      <w:r w:rsidR="00EF5FC2" w:rsidRPr="0038340A">
        <w:t>s</w:t>
      </w:r>
      <w:r w:rsidRPr="0038340A">
        <w:t xml:space="preserve"> the progression of current and future </w:t>
      </w:r>
      <w:r w:rsidR="00C05ED7" w:rsidRPr="0038340A">
        <w:t xml:space="preserve">resource </w:t>
      </w:r>
      <w:r w:rsidRPr="0038340A">
        <w:t>transfers</w:t>
      </w:r>
      <w:r w:rsidR="007F3C0F" w:rsidRPr="0038340A">
        <w:t xml:space="preserve">, as an initial step </w:t>
      </w:r>
      <w:r w:rsidR="000772F3" w:rsidRPr="0038340A">
        <w:t>while further work on proportionate funding at scale is progressed.</w:t>
      </w:r>
    </w:p>
    <w:p w14:paraId="67CC29B7" w14:textId="3BDED178" w:rsidR="009348F8" w:rsidRPr="0038340A" w:rsidRDefault="00722573" w:rsidP="009348F8">
      <w:pPr>
        <w:pStyle w:val="Body"/>
      </w:pPr>
      <w:r w:rsidRPr="0038340A">
        <w:t>P</w:t>
      </w:r>
      <w:r w:rsidR="00EF5FC2" w:rsidRPr="0038340A">
        <w:t xml:space="preserve">rogress </w:t>
      </w:r>
      <w:r w:rsidRPr="0038340A">
        <w:t xml:space="preserve">has been made </w:t>
      </w:r>
      <w:r w:rsidR="009348F8" w:rsidRPr="0038340A">
        <w:t>on increasing funding to the ACCO sector</w:t>
      </w:r>
      <w:r w:rsidR="00E618A1" w:rsidRPr="0038340A">
        <w:t>, but</w:t>
      </w:r>
      <w:r w:rsidR="00EF5FC2" w:rsidRPr="0038340A">
        <w:t xml:space="preserve"> </w:t>
      </w:r>
      <w:r w:rsidR="009348F8" w:rsidRPr="0038340A">
        <w:t xml:space="preserve">funding levels are </w:t>
      </w:r>
      <w:r w:rsidR="00EF5FC2" w:rsidRPr="0038340A">
        <w:t xml:space="preserve">still not </w:t>
      </w:r>
      <w:r w:rsidR="009348F8" w:rsidRPr="0038340A">
        <w:t xml:space="preserve">proportionate to need across the continuum of services. </w:t>
      </w:r>
      <w:r w:rsidR="00EF5FC2" w:rsidRPr="0038340A">
        <w:t xml:space="preserve">In 2016–17, </w:t>
      </w:r>
      <w:r w:rsidR="00E618A1" w:rsidRPr="0038340A">
        <w:t xml:space="preserve">ACCOs received </w:t>
      </w:r>
      <w:r w:rsidR="00EF5FC2" w:rsidRPr="0038340A">
        <w:t>11%</w:t>
      </w:r>
      <w:r w:rsidR="00E618A1" w:rsidRPr="0038340A">
        <w:t xml:space="preserve"> of child protection and family services funding. This has risen to 18%</w:t>
      </w:r>
      <w:r w:rsidR="00890F97" w:rsidRPr="0038340A">
        <w:t xml:space="preserve"> in</w:t>
      </w:r>
      <w:r w:rsidR="00E618A1" w:rsidRPr="0038340A">
        <w:t xml:space="preserve"> 2025–26. However, Aboriginal children comprise 33% of children in out-of-home care</w:t>
      </w:r>
      <w:r w:rsidRPr="0038340A">
        <w:t xml:space="preserve"> as of July 2025.</w:t>
      </w:r>
      <w:r w:rsidR="009348F8" w:rsidRPr="0038340A">
        <w:rPr>
          <w:rStyle w:val="FootnoteReference"/>
        </w:rPr>
        <w:footnoteReference w:id="2"/>
      </w:r>
    </w:p>
    <w:p w14:paraId="2B610EFC" w14:textId="72A1DD22" w:rsidR="00CD1ABF" w:rsidRPr="0038340A" w:rsidRDefault="009348F8" w:rsidP="009348F8">
      <w:pPr>
        <w:pStyle w:val="Body"/>
      </w:pPr>
      <w:r w:rsidRPr="0038340A">
        <w:t xml:space="preserve">Action 4.3 aligns with </w:t>
      </w:r>
      <w:r w:rsidR="00CD1ABF" w:rsidRPr="0038340A">
        <w:t xml:space="preserve">s. 7E of the CYFA. This requires </w:t>
      </w:r>
      <w:r w:rsidRPr="0038340A">
        <w:t>decision</w:t>
      </w:r>
      <w:r w:rsidR="00646492" w:rsidRPr="0038340A">
        <w:t xml:space="preserve"> </w:t>
      </w:r>
      <w:r w:rsidRPr="0038340A">
        <w:t xml:space="preserve">makers to </w:t>
      </w:r>
      <w:r w:rsidR="00CC601B" w:rsidRPr="0038340A">
        <w:t>have regard and to give effect to</w:t>
      </w:r>
      <w:r w:rsidR="00071472" w:rsidRPr="0038340A">
        <w:t xml:space="preserve"> </w:t>
      </w:r>
      <w:r w:rsidRPr="0038340A">
        <w:t>the Recognition Principles when planning and providing services to Aboriginal children and families. Recognition Principle 10 states</w:t>
      </w:r>
      <w:r w:rsidR="00CD1ABF" w:rsidRPr="0038340A">
        <w:t xml:space="preserve">: </w:t>
      </w:r>
    </w:p>
    <w:p w14:paraId="1E69374F" w14:textId="434EB779" w:rsidR="009348F8" w:rsidRPr="0038340A" w:rsidRDefault="009348F8" w:rsidP="00A977AA">
      <w:pPr>
        <w:pStyle w:val="Quotetext"/>
      </w:pPr>
      <w:r w:rsidRPr="0038340A">
        <w:t>Funding provided under this Act to Aboriginal-led community services (separately or in partnership with other community services) to provide child and family services is to be transparent, equitable, flexible and sustainable and support self-determination.</w:t>
      </w:r>
    </w:p>
    <w:p w14:paraId="457BA5C5" w14:textId="3B7C528E" w:rsidR="009348F8" w:rsidRPr="0038340A" w:rsidRDefault="009348F8" w:rsidP="009348F8">
      <w:pPr>
        <w:pStyle w:val="Body"/>
        <w:rPr>
          <w:rFonts w:cs="Arial"/>
        </w:rPr>
      </w:pPr>
      <w:r w:rsidRPr="0038340A">
        <w:rPr>
          <w:rFonts w:cs="Arial"/>
        </w:rPr>
        <w:t xml:space="preserve">The Victorian Government is advancing Aboriginal self-determination, as </w:t>
      </w:r>
      <w:r w:rsidR="00CD1ABF" w:rsidRPr="0038340A">
        <w:rPr>
          <w:rFonts w:cs="Arial"/>
        </w:rPr>
        <w:t>set out in</w:t>
      </w:r>
      <w:r w:rsidRPr="0038340A">
        <w:rPr>
          <w:rFonts w:cs="Arial"/>
        </w:rPr>
        <w:t xml:space="preserve"> the </w:t>
      </w:r>
      <w:r w:rsidRPr="0038340A">
        <w:rPr>
          <w:rFonts w:cs="Arial"/>
          <w:i/>
          <w:iCs/>
        </w:rPr>
        <w:t xml:space="preserve">Victorian </w:t>
      </w:r>
      <w:r w:rsidR="00471D1E" w:rsidRPr="0038340A">
        <w:rPr>
          <w:rFonts w:cs="Arial"/>
          <w:i/>
          <w:iCs/>
        </w:rPr>
        <w:t>A</w:t>
      </w:r>
      <w:r w:rsidRPr="0038340A">
        <w:rPr>
          <w:rFonts w:cs="Arial"/>
          <w:i/>
          <w:iCs/>
        </w:rPr>
        <w:t xml:space="preserve">boriginal </w:t>
      </w:r>
      <w:r w:rsidR="00CD1ABF" w:rsidRPr="0038340A">
        <w:rPr>
          <w:rFonts w:cs="Arial"/>
          <w:i/>
          <w:iCs/>
        </w:rPr>
        <w:t>a</w:t>
      </w:r>
      <w:r w:rsidRPr="0038340A">
        <w:rPr>
          <w:rFonts w:cs="Arial"/>
          <w:i/>
          <w:iCs/>
        </w:rPr>
        <w:t xml:space="preserve">ffairs </w:t>
      </w:r>
      <w:r w:rsidR="00CD1ABF" w:rsidRPr="0038340A">
        <w:rPr>
          <w:rFonts w:cs="Arial"/>
          <w:i/>
          <w:iCs/>
        </w:rPr>
        <w:t>f</w:t>
      </w:r>
      <w:r w:rsidRPr="0038340A">
        <w:rPr>
          <w:rFonts w:cs="Arial"/>
          <w:i/>
          <w:iCs/>
        </w:rPr>
        <w:t>ramework 2018</w:t>
      </w:r>
      <w:r w:rsidR="00CD1ABF" w:rsidRPr="0038340A">
        <w:rPr>
          <w:rFonts w:cs="Arial"/>
          <w:i/>
          <w:iCs/>
        </w:rPr>
        <w:t>–</w:t>
      </w:r>
      <w:r w:rsidRPr="0038340A">
        <w:rPr>
          <w:rFonts w:cs="Arial"/>
          <w:i/>
          <w:iCs/>
        </w:rPr>
        <w:t xml:space="preserve">2023 </w:t>
      </w:r>
      <w:r w:rsidRPr="0038340A">
        <w:rPr>
          <w:rFonts w:cs="Arial"/>
        </w:rPr>
        <w:t>(VAAF</w:t>
      </w:r>
      <w:r w:rsidR="00CD1ABF" w:rsidRPr="0038340A">
        <w:rPr>
          <w:rFonts w:cs="Arial"/>
        </w:rPr>
        <w:t>). This includes</w:t>
      </w:r>
      <w:r w:rsidRPr="0038340A">
        <w:rPr>
          <w:rFonts w:cs="Arial"/>
        </w:rPr>
        <w:t xml:space="preserve"> supporting Truth and Treaty for Aboriginal people and communities in Victoria</w:t>
      </w:r>
      <w:r w:rsidR="00981FEB" w:rsidRPr="0038340A">
        <w:rPr>
          <w:rFonts w:cs="Arial"/>
        </w:rPr>
        <w:t xml:space="preserve">, following </w:t>
      </w:r>
      <w:r w:rsidR="002F2A3F" w:rsidRPr="0038340A">
        <w:rPr>
          <w:rFonts w:cs="Arial"/>
        </w:rPr>
        <w:t>passage</w:t>
      </w:r>
      <w:r w:rsidR="009572D0" w:rsidRPr="0038340A">
        <w:rPr>
          <w:rFonts w:cs="Arial"/>
        </w:rPr>
        <w:t xml:space="preserve"> of the </w:t>
      </w:r>
      <w:r w:rsidR="009572D0" w:rsidRPr="0038340A">
        <w:rPr>
          <w:rFonts w:cs="Arial"/>
          <w:i/>
          <w:iCs/>
        </w:rPr>
        <w:t xml:space="preserve">Statewide Treaty Act </w:t>
      </w:r>
      <w:r w:rsidR="009572D0" w:rsidRPr="0038340A">
        <w:rPr>
          <w:rFonts w:cs="Arial"/>
        </w:rPr>
        <w:t>2025</w:t>
      </w:r>
      <w:r w:rsidR="0066264B" w:rsidRPr="0038340A">
        <w:rPr>
          <w:rFonts w:cs="Arial"/>
          <w:i/>
          <w:iCs/>
        </w:rPr>
        <w:t xml:space="preserve">, </w:t>
      </w:r>
      <w:r w:rsidR="0066264B" w:rsidRPr="0038340A">
        <w:rPr>
          <w:rFonts w:cs="Arial"/>
        </w:rPr>
        <w:t xml:space="preserve">and the signing </w:t>
      </w:r>
      <w:r w:rsidR="00175444" w:rsidRPr="0038340A">
        <w:rPr>
          <w:rFonts w:cs="Arial"/>
        </w:rPr>
        <w:t xml:space="preserve">of the first </w:t>
      </w:r>
      <w:r w:rsidR="009A4074" w:rsidRPr="0038340A">
        <w:rPr>
          <w:rFonts w:cs="Arial"/>
        </w:rPr>
        <w:t>T</w:t>
      </w:r>
      <w:r w:rsidR="00175444" w:rsidRPr="0038340A">
        <w:rPr>
          <w:rFonts w:cs="Arial"/>
        </w:rPr>
        <w:t xml:space="preserve">reaty </w:t>
      </w:r>
      <w:r w:rsidR="00437429" w:rsidRPr="0038340A">
        <w:rPr>
          <w:rFonts w:cs="Arial"/>
        </w:rPr>
        <w:t xml:space="preserve">between the First Peoples’ Assembly and the Victorian </w:t>
      </w:r>
      <w:r w:rsidR="009A4074" w:rsidRPr="0038340A">
        <w:rPr>
          <w:rFonts w:cs="Arial"/>
        </w:rPr>
        <w:t>G</w:t>
      </w:r>
      <w:r w:rsidR="00437429" w:rsidRPr="0038340A">
        <w:rPr>
          <w:rFonts w:cs="Arial"/>
        </w:rPr>
        <w:t>overnment on 13 November 2025</w:t>
      </w:r>
      <w:r w:rsidRPr="0038340A">
        <w:rPr>
          <w:rFonts w:cs="Arial"/>
        </w:rPr>
        <w:t>.</w:t>
      </w:r>
    </w:p>
    <w:p w14:paraId="5043BF95" w14:textId="0C9DB5FB" w:rsidR="006B18D9" w:rsidRPr="0038340A" w:rsidRDefault="009348F8" w:rsidP="0074757A">
      <w:pPr>
        <w:pStyle w:val="Body"/>
        <w:rPr>
          <w:rFonts w:cs="Arial"/>
        </w:rPr>
      </w:pPr>
      <w:r w:rsidRPr="0038340A">
        <w:rPr>
          <w:rFonts w:cs="Arial"/>
        </w:rPr>
        <w:t xml:space="preserve">The Victorian Government is a signatory to the </w:t>
      </w:r>
      <w:r w:rsidRPr="0038340A">
        <w:rPr>
          <w:rFonts w:cs="Arial"/>
          <w:i/>
          <w:iCs/>
        </w:rPr>
        <w:t>National Agreement on Closing the Gap</w:t>
      </w:r>
      <w:r w:rsidRPr="0038340A">
        <w:rPr>
          <w:rFonts w:cs="Arial"/>
        </w:rPr>
        <w:t xml:space="preserve">, Priority Reform Two of which is </w:t>
      </w:r>
      <w:r w:rsidR="001069AC" w:rsidRPr="0038340A">
        <w:rPr>
          <w:rFonts w:cs="Arial"/>
        </w:rPr>
        <w:t>‘</w:t>
      </w:r>
      <w:r w:rsidRPr="0038340A">
        <w:rPr>
          <w:rFonts w:cs="Arial"/>
        </w:rPr>
        <w:t>Building the Aboriginal and Torres Strait Islander Community-Controlled Sector</w:t>
      </w:r>
      <w:r w:rsidR="001069AC" w:rsidRPr="0038340A">
        <w:rPr>
          <w:rFonts w:cs="Arial"/>
        </w:rPr>
        <w:t>’</w:t>
      </w:r>
      <w:r w:rsidRPr="0038340A">
        <w:rPr>
          <w:rFonts w:cs="Arial"/>
        </w:rPr>
        <w:t>.</w:t>
      </w:r>
      <w:r w:rsidR="001069AC" w:rsidRPr="0038340A">
        <w:rPr>
          <w:rFonts w:cs="Arial"/>
        </w:rPr>
        <w:t xml:space="preserve"> </w:t>
      </w:r>
      <w:r w:rsidR="008E5411" w:rsidRPr="0038340A">
        <w:rPr>
          <w:rFonts w:cs="Arial"/>
        </w:rPr>
        <w:t xml:space="preserve">Victoria’s </w:t>
      </w:r>
      <w:r w:rsidR="004A3011" w:rsidRPr="0038340A">
        <w:rPr>
          <w:rFonts w:cs="Arial"/>
        </w:rPr>
        <w:t xml:space="preserve">Closing the Gap Implementation Plan </w:t>
      </w:r>
      <w:r w:rsidR="00C4169A" w:rsidRPr="0038340A">
        <w:rPr>
          <w:rFonts w:cs="Arial"/>
        </w:rPr>
        <w:t>is currently being</w:t>
      </w:r>
      <w:r w:rsidR="008E5411" w:rsidRPr="0038340A">
        <w:rPr>
          <w:rFonts w:cs="Arial"/>
        </w:rPr>
        <w:t xml:space="preserve"> updated </w:t>
      </w:r>
      <w:r w:rsidR="007915D4" w:rsidRPr="0038340A">
        <w:rPr>
          <w:rFonts w:cs="Arial"/>
        </w:rPr>
        <w:t xml:space="preserve">with revised </w:t>
      </w:r>
      <w:r w:rsidR="00974F73" w:rsidRPr="0038340A">
        <w:rPr>
          <w:rFonts w:cs="Arial"/>
        </w:rPr>
        <w:t>actions against the socio-economic targets</w:t>
      </w:r>
      <w:r w:rsidR="00C4169A" w:rsidRPr="0038340A">
        <w:rPr>
          <w:rFonts w:cs="Arial"/>
        </w:rPr>
        <w:t xml:space="preserve">, including funding reform actions against Target 12 </w:t>
      </w:r>
      <w:proofErr w:type="gramStart"/>
      <w:r w:rsidR="00C4169A" w:rsidRPr="0038340A">
        <w:rPr>
          <w:rFonts w:cs="Arial"/>
        </w:rPr>
        <w:t>in regard to</w:t>
      </w:r>
      <w:proofErr w:type="gramEnd"/>
      <w:r w:rsidR="00C4169A" w:rsidRPr="0038340A">
        <w:rPr>
          <w:rFonts w:cs="Arial"/>
        </w:rPr>
        <w:t xml:space="preserve"> over-representation</w:t>
      </w:r>
      <w:r w:rsidR="006820DE" w:rsidRPr="0038340A">
        <w:rPr>
          <w:rFonts w:cs="Arial"/>
        </w:rPr>
        <w:t xml:space="preserve"> of Aboriginal children in out-of-home care.</w:t>
      </w:r>
    </w:p>
    <w:p w14:paraId="339348C4" w14:textId="6BCAA5B4" w:rsidR="009348F8" w:rsidRPr="0038340A" w:rsidRDefault="009348F8" w:rsidP="0074757A">
      <w:pPr>
        <w:pStyle w:val="Body"/>
        <w:rPr>
          <w:rFonts w:cs="Arial"/>
        </w:rPr>
      </w:pPr>
      <w:r w:rsidRPr="0038340A">
        <w:rPr>
          <w:rFonts w:cs="Arial"/>
        </w:rPr>
        <w:t xml:space="preserve">The Victorian Government is also a signatory to </w:t>
      </w:r>
      <w:r w:rsidRPr="0038340A">
        <w:rPr>
          <w:rFonts w:cs="Arial"/>
          <w:i/>
          <w:iCs/>
        </w:rPr>
        <w:t>Safe and Supported: The National Framework for Protecting Australia’s Children</w:t>
      </w:r>
      <w:r w:rsidRPr="0038340A">
        <w:rPr>
          <w:rFonts w:cs="Arial"/>
        </w:rPr>
        <w:t xml:space="preserve">, and the related </w:t>
      </w:r>
      <w:r w:rsidRPr="00AA2F4E">
        <w:rPr>
          <w:rFonts w:cs="Arial"/>
          <w:i/>
          <w:iCs/>
        </w:rPr>
        <w:t>Aboriginal and Torres Strait Islander First Action Plan 2023-2026</w:t>
      </w:r>
      <w:r w:rsidRPr="0038340A">
        <w:rPr>
          <w:rFonts w:cs="Arial"/>
        </w:rPr>
        <w:t>, Action 2 of which commits to increasing child and family services funding into the ACCO sector.</w:t>
      </w:r>
    </w:p>
    <w:p w14:paraId="345B44A5" w14:textId="2254F09F" w:rsidR="009348F8" w:rsidRPr="0038340A" w:rsidRDefault="009348F8" w:rsidP="00961533">
      <w:pPr>
        <w:pStyle w:val="Heading2"/>
      </w:pPr>
      <w:bookmarkStart w:id="17" w:name="_Toc211509471"/>
      <w:bookmarkStart w:id="18" w:name="_Toc219710532"/>
      <w:r w:rsidRPr="0038340A">
        <w:t>The way forward</w:t>
      </w:r>
      <w:bookmarkEnd w:id="17"/>
      <w:bookmarkEnd w:id="18"/>
    </w:p>
    <w:p w14:paraId="341D9F2D" w14:textId="65989782" w:rsidR="002C11E5" w:rsidRPr="0038340A" w:rsidRDefault="00CD1ABF" w:rsidP="009348F8">
      <w:pPr>
        <w:pStyle w:val="Body"/>
      </w:pPr>
      <w:r w:rsidRPr="0038340A">
        <w:t>This</w:t>
      </w:r>
      <w:r w:rsidR="009348F8" w:rsidRPr="0038340A">
        <w:t xml:space="preserve"> policy is an interim measure to provide clarity on current and future transfer negotiations</w:t>
      </w:r>
      <w:r w:rsidRPr="0038340A">
        <w:t>.</w:t>
      </w:r>
      <w:r w:rsidR="009348F8" w:rsidRPr="0038340A">
        <w:t xml:space="preserve"> </w:t>
      </w:r>
      <w:r w:rsidRPr="0038340A">
        <w:t>It is part of</w:t>
      </w:r>
      <w:r w:rsidR="00646492" w:rsidRPr="0038340A">
        <w:t xml:space="preserve"> a</w:t>
      </w:r>
      <w:r w:rsidR="009348F8" w:rsidRPr="0038340A">
        <w:t xml:space="preserve"> longer-term </w:t>
      </w:r>
      <w:r w:rsidR="00646492" w:rsidRPr="0038340A">
        <w:t>process</w:t>
      </w:r>
      <w:r w:rsidR="009348F8" w:rsidRPr="0038340A">
        <w:t xml:space="preserve"> to create greater capacity for Aboriginal-led service delivery for Aboriginal children and families.</w:t>
      </w:r>
      <w:r w:rsidR="00CD19D1" w:rsidRPr="0038340A">
        <w:t xml:space="preserve"> </w:t>
      </w:r>
    </w:p>
    <w:p w14:paraId="5801B9A4" w14:textId="5551F8B8" w:rsidR="00816F76" w:rsidRPr="0038340A" w:rsidRDefault="009348F8" w:rsidP="009348F8">
      <w:pPr>
        <w:pStyle w:val="Body"/>
      </w:pPr>
      <w:r w:rsidRPr="0038340A">
        <w:t xml:space="preserve">The </w:t>
      </w:r>
      <w:r w:rsidR="00646492" w:rsidRPr="0038340A">
        <w:t>policy complements</w:t>
      </w:r>
      <w:r w:rsidRPr="0038340A">
        <w:t xml:space="preserve"> the Treaty process underway in Victoria</w:t>
      </w:r>
      <w:r w:rsidR="00646492" w:rsidRPr="0038340A">
        <w:t>.</w:t>
      </w:r>
      <w:r w:rsidRPr="0038340A">
        <w:t xml:space="preserve"> </w:t>
      </w:r>
      <w:r w:rsidR="008E4112" w:rsidRPr="0038340A">
        <w:t xml:space="preserve">The Victorian Government </w:t>
      </w:r>
      <w:r w:rsidR="00DD19E7" w:rsidRPr="0038340A">
        <w:t xml:space="preserve">recognises that the Treaty process is the result of generations of advocacy work by </w:t>
      </w:r>
      <w:r w:rsidR="006473BE">
        <w:t>Aboriginal people</w:t>
      </w:r>
      <w:r w:rsidR="00DD19E7" w:rsidRPr="0038340A">
        <w:t xml:space="preserve"> throughout Victoria, and acknowledges the critical role that Aboriginal caucus’, Governance Forums and ACCOs have played in this work. </w:t>
      </w:r>
    </w:p>
    <w:p w14:paraId="0E7DD288" w14:textId="2187BF1A" w:rsidR="00F72DE5" w:rsidRPr="0038340A" w:rsidRDefault="00C139C3" w:rsidP="009348F8">
      <w:pPr>
        <w:pStyle w:val="Body"/>
      </w:pPr>
      <w:r w:rsidRPr="0038340A">
        <w:lastRenderedPageBreak/>
        <w:t xml:space="preserve">The </w:t>
      </w:r>
      <w:r w:rsidRPr="0038340A">
        <w:rPr>
          <w:i/>
          <w:iCs/>
        </w:rPr>
        <w:t>Statewide Treaty Act</w:t>
      </w:r>
      <w:r w:rsidRPr="0038340A">
        <w:t xml:space="preserve"> will establish a new entity </w:t>
      </w:r>
      <w:proofErr w:type="spellStart"/>
      <w:r w:rsidRPr="0038340A">
        <w:t>Gellung</w:t>
      </w:r>
      <w:proofErr w:type="spellEnd"/>
      <w:r w:rsidRPr="0038340A">
        <w:t xml:space="preserve"> Warl, evolved from Victoria’s successful </w:t>
      </w:r>
      <w:r w:rsidR="002832EF" w:rsidRPr="0038340A">
        <w:t xml:space="preserve">First Peoples’ Assembly. </w:t>
      </w:r>
      <w:r w:rsidR="00C066CC" w:rsidRPr="0038340A">
        <w:t xml:space="preserve">Guidelines to be developed between departments and the Assembly of </w:t>
      </w:r>
      <w:proofErr w:type="spellStart"/>
      <w:r w:rsidR="00C066CC" w:rsidRPr="0038340A">
        <w:t>Gellung</w:t>
      </w:r>
      <w:proofErr w:type="spellEnd"/>
      <w:r w:rsidR="00C066CC" w:rsidRPr="0038340A">
        <w:t xml:space="preserve"> Warl will set out processes that seek to clarify the relationship between Aboriginal </w:t>
      </w:r>
      <w:r w:rsidR="00D453AD" w:rsidRPr="0038340A">
        <w:t xml:space="preserve">Governance Forums and structures, departments and the Assembly. </w:t>
      </w:r>
    </w:p>
    <w:p w14:paraId="442F18F3" w14:textId="2CB8DF4A" w:rsidR="009348F8" w:rsidRPr="0038340A" w:rsidRDefault="00F67445" w:rsidP="009348F8">
      <w:pPr>
        <w:pStyle w:val="Body"/>
      </w:pPr>
      <w:r w:rsidRPr="0038340A">
        <w:t xml:space="preserve">As the </w:t>
      </w:r>
      <w:r w:rsidRPr="0038340A">
        <w:rPr>
          <w:i/>
          <w:iCs/>
        </w:rPr>
        <w:t>Statewide Treaty Act</w:t>
      </w:r>
      <w:r w:rsidRPr="0038340A">
        <w:t xml:space="preserve"> </w:t>
      </w:r>
      <w:r w:rsidRPr="524D9096">
        <w:rPr>
          <w:i/>
        </w:rPr>
        <w:t xml:space="preserve">2025 </w:t>
      </w:r>
      <w:r w:rsidRPr="0038340A">
        <w:t xml:space="preserve">outlines, </w:t>
      </w:r>
      <w:r w:rsidR="00495FC7" w:rsidRPr="0038340A">
        <w:t>Treaty-making involves ongoing negotiations</w:t>
      </w:r>
      <w:r w:rsidR="009D4410" w:rsidRPr="0038340A">
        <w:t xml:space="preserve"> between the State and </w:t>
      </w:r>
      <w:proofErr w:type="spellStart"/>
      <w:r w:rsidR="009D4410" w:rsidRPr="0038340A">
        <w:t>Gellung</w:t>
      </w:r>
      <w:proofErr w:type="spellEnd"/>
      <w:r w:rsidR="009D4410" w:rsidRPr="0038340A">
        <w:t xml:space="preserve"> Warl. </w:t>
      </w:r>
      <w:r w:rsidR="00213EA0" w:rsidRPr="0038340A">
        <w:t xml:space="preserve">The policy will therefore be monitored and reviewed to ensure </w:t>
      </w:r>
      <w:r w:rsidR="0050413D" w:rsidRPr="0038340A">
        <w:t xml:space="preserve">continued </w:t>
      </w:r>
      <w:r w:rsidR="00213EA0" w:rsidRPr="0038340A">
        <w:t>align</w:t>
      </w:r>
      <w:r w:rsidR="0050413D" w:rsidRPr="0038340A">
        <w:t>ment</w:t>
      </w:r>
      <w:r w:rsidR="00040011" w:rsidRPr="0038340A">
        <w:t>, both at the statewide and local level</w:t>
      </w:r>
      <w:r w:rsidR="00213EA0" w:rsidRPr="0038340A">
        <w:t>.</w:t>
      </w:r>
    </w:p>
    <w:p w14:paraId="5DDCFBF7" w14:textId="45605992" w:rsidR="009348F8" w:rsidRPr="0038340A" w:rsidRDefault="009348F8" w:rsidP="009348F8">
      <w:pPr>
        <w:pStyle w:val="Body"/>
      </w:pPr>
      <w:r w:rsidRPr="0038340A">
        <w:t>Implementation monitoring will be undertaken in partnership with VACCA, VACYPA and the Centre for Excellence in Child and Family Welfare</w:t>
      </w:r>
      <w:r w:rsidR="00646492" w:rsidRPr="0038340A">
        <w:t>.</w:t>
      </w:r>
      <w:r w:rsidRPr="0038340A">
        <w:t xml:space="preserve"> A review will be undertaken within 12 months of publication</w:t>
      </w:r>
      <w:r w:rsidR="00646492" w:rsidRPr="0038340A">
        <w:t>. This will</w:t>
      </w:r>
      <w:r w:rsidRPr="0038340A">
        <w:t xml:space="preserve"> identify opportunities for refinement and inform the development of a final </w:t>
      </w:r>
      <w:r w:rsidR="00646492" w:rsidRPr="0038340A">
        <w:t>policy</w:t>
      </w:r>
      <w:r w:rsidRPr="0038340A">
        <w:t xml:space="preserve">. </w:t>
      </w:r>
    </w:p>
    <w:p w14:paraId="01BB1CD5" w14:textId="237D1AC5" w:rsidR="009348F8" w:rsidRPr="0038340A" w:rsidRDefault="009348F8" w:rsidP="009348F8">
      <w:pPr>
        <w:pStyle w:val="Body"/>
      </w:pPr>
      <w:r w:rsidRPr="0038340A">
        <w:t>In parallel, the department will continue its work with the ACCO sector and CSOs</w:t>
      </w:r>
      <w:r w:rsidR="00646492" w:rsidRPr="0038340A">
        <w:t>.</w:t>
      </w:r>
      <w:r w:rsidRPr="0038340A">
        <w:t xml:space="preserve"> </w:t>
      </w:r>
      <w:r w:rsidR="00646492" w:rsidRPr="0038340A">
        <w:t xml:space="preserve">This will </w:t>
      </w:r>
      <w:r w:rsidRPr="0038340A">
        <w:t>enable the proportionate transfer of funding at scale. Key inputs and enablers include:</w:t>
      </w:r>
    </w:p>
    <w:p w14:paraId="024DD2A7" w14:textId="7842ED64" w:rsidR="009348F8" w:rsidRPr="0038340A" w:rsidRDefault="00646492" w:rsidP="009348F8">
      <w:pPr>
        <w:pStyle w:val="Bullet1"/>
      </w:pPr>
      <w:r w:rsidRPr="0038340A">
        <w:t xml:space="preserve">mapping </w:t>
      </w:r>
      <w:r w:rsidR="009348F8" w:rsidRPr="0038340A">
        <w:t xml:space="preserve">service availability and </w:t>
      </w:r>
      <w:r w:rsidR="00E03D01" w:rsidRPr="0038340A">
        <w:t xml:space="preserve">needs </w:t>
      </w:r>
      <w:r w:rsidR="009348F8" w:rsidRPr="0038340A">
        <w:t>across Victoria</w:t>
      </w:r>
    </w:p>
    <w:p w14:paraId="7E96F7C8" w14:textId="20005A3F" w:rsidR="009348F8" w:rsidRPr="0038340A" w:rsidRDefault="00646492" w:rsidP="009348F8">
      <w:pPr>
        <w:pStyle w:val="Bullet1"/>
      </w:pPr>
      <w:r w:rsidRPr="0038340A">
        <w:t xml:space="preserve">accurate </w:t>
      </w:r>
      <w:r w:rsidR="009348F8" w:rsidRPr="0038340A">
        <w:t>costing of ACCO-led service delivery</w:t>
      </w:r>
    </w:p>
    <w:p w14:paraId="00AC9D74" w14:textId="0C719551" w:rsidR="009348F8" w:rsidRPr="0038340A" w:rsidRDefault="00646492" w:rsidP="009348F8">
      <w:pPr>
        <w:pStyle w:val="Bullet1"/>
      </w:pPr>
      <w:r w:rsidRPr="0038340A">
        <w:t xml:space="preserve">complementary </w:t>
      </w:r>
      <w:r w:rsidR="009348F8" w:rsidRPr="0038340A">
        <w:t xml:space="preserve">initiatives being progressed under the </w:t>
      </w:r>
      <w:proofErr w:type="spellStart"/>
      <w:r w:rsidR="009348F8" w:rsidRPr="0038340A">
        <w:rPr>
          <w:i/>
          <w:iCs/>
        </w:rPr>
        <w:t>Wungurilwil</w:t>
      </w:r>
      <w:proofErr w:type="spellEnd"/>
      <w:r w:rsidR="009348F8" w:rsidRPr="0038340A">
        <w:rPr>
          <w:i/>
          <w:iCs/>
        </w:rPr>
        <w:t xml:space="preserve"> </w:t>
      </w:r>
      <w:proofErr w:type="spellStart"/>
      <w:r w:rsidR="009348F8" w:rsidRPr="0038340A">
        <w:rPr>
          <w:i/>
          <w:iCs/>
        </w:rPr>
        <w:t>Gapgapduir</w:t>
      </w:r>
      <w:proofErr w:type="spellEnd"/>
      <w:r w:rsidR="009348F8" w:rsidRPr="0038340A">
        <w:rPr>
          <w:i/>
          <w:iCs/>
        </w:rPr>
        <w:t xml:space="preserve"> </w:t>
      </w:r>
      <w:r w:rsidRPr="0038340A">
        <w:rPr>
          <w:i/>
          <w:iCs/>
        </w:rPr>
        <w:t>strategic action plan</w:t>
      </w:r>
      <w:r w:rsidRPr="0038340A">
        <w:t xml:space="preserve">. These </w:t>
      </w:r>
      <w:r w:rsidR="009348F8" w:rsidRPr="0038340A">
        <w:t xml:space="preserve">aim to build the ACCO sector’s workforce, infrastructure, </w:t>
      </w:r>
      <w:r w:rsidR="006A10A1" w:rsidRPr="0038340A">
        <w:t xml:space="preserve">foundational capacity, </w:t>
      </w:r>
      <w:r w:rsidR="009348F8" w:rsidRPr="0038340A">
        <w:t>data sovereignty and service delivery capacity</w:t>
      </w:r>
    </w:p>
    <w:p w14:paraId="06C4809D" w14:textId="1E3412EB" w:rsidR="00C87FAD" w:rsidRPr="0038340A" w:rsidRDefault="00646492" w:rsidP="00C87FAD">
      <w:pPr>
        <w:pStyle w:val="Bullet1"/>
      </w:pPr>
      <w:r w:rsidRPr="0038340A">
        <w:t xml:space="preserve">alignment </w:t>
      </w:r>
      <w:r w:rsidR="009348F8" w:rsidRPr="0038340A">
        <w:t>with ACCO resourcing transition commitments in portfolio areas beyond child and family services.</w:t>
      </w:r>
    </w:p>
    <w:p w14:paraId="083892B6" w14:textId="337DDB99" w:rsidR="009348F8" w:rsidRPr="0038340A" w:rsidRDefault="009348F8" w:rsidP="00D041E1">
      <w:pPr>
        <w:pStyle w:val="Heading1"/>
        <w:spacing w:before="240" w:after="120" w:line="240" w:lineRule="auto"/>
      </w:pPr>
      <w:bookmarkStart w:id="19" w:name="_Toc211509472"/>
      <w:bookmarkStart w:id="20" w:name="_Toc219710533"/>
      <w:r w:rsidRPr="0038340A">
        <w:t>Scope</w:t>
      </w:r>
      <w:bookmarkEnd w:id="19"/>
      <w:bookmarkEnd w:id="20"/>
      <w:r w:rsidRPr="0038340A">
        <w:t xml:space="preserve"> </w:t>
      </w:r>
    </w:p>
    <w:p w14:paraId="03C76F6E" w14:textId="3FEE66FC" w:rsidR="003A17CE" w:rsidRPr="0038340A" w:rsidRDefault="009348F8" w:rsidP="00927EA1">
      <w:pPr>
        <w:pStyle w:val="Bodyafterbullets"/>
      </w:pPr>
      <w:r w:rsidRPr="0038340A">
        <w:t xml:space="preserve">The </w:t>
      </w:r>
      <w:r w:rsidR="00646492" w:rsidRPr="0038340A">
        <w:t xml:space="preserve">policy </w:t>
      </w:r>
      <w:r w:rsidRPr="0038340A">
        <w:t>applies to</w:t>
      </w:r>
      <w:r w:rsidR="003A17CE" w:rsidRPr="0038340A">
        <w:t xml:space="preserve"> the transfer of targets and resources under existing Service Agreements to agencies funded by the department. This includes CSOs and ACCOs delivering services under the </w:t>
      </w:r>
      <w:r w:rsidR="00927EA1" w:rsidRPr="0038340A">
        <w:t>CYFA.</w:t>
      </w:r>
    </w:p>
    <w:p w14:paraId="6586B137" w14:textId="7B9FCEFB" w:rsidR="009348F8" w:rsidRPr="0038340A" w:rsidRDefault="003A17CE" w:rsidP="00646492">
      <w:pPr>
        <w:pStyle w:val="Bodyafterbullets"/>
      </w:pPr>
      <w:r w:rsidRPr="0038340A">
        <w:t xml:space="preserve">It specifically applies to </w:t>
      </w:r>
      <w:r w:rsidR="00512D1A" w:rsidRPr="0038340A">
        <w:t xml:space="preserve">proposals for an ACCO to receive a </w:t>
      </w:r>
      <w:r w:rsidR="00512D1A" w:rsidRPr="0038340A">
        <w:rPr>
          <w:b/>
          <w:bCs/>
        </w:rPr>
        <w:t>direct allocation</w:t>
      </w:r>
      <w:r w:rsidR="00512D1A" w:rsidRPr="0038340A">
        <w:t xml:space="preserve"> of resources under an existing Service Agreement to meet service delivery targets. </w:t>
      </w:r>
      <w:r w:rsidR="009348F8" w:rsidRPr="0038340A">
        <w:t>While ACCOs may also receive indirect allocation through subcontracting arrangements (such as with a CSO), subcontracting processes are covered through different departmental policies (</w:t>
      </w:r>
      <w:r w:rsidR="00646492" w:rsidRPr="0038340A">
        <w:t>refer to the ‘</w:t>
      </w:r>
      <w:r w:rsidR="009348F8" w:rsidRPr="0038340A">
        <w:t xml:space="preserve">Related </w:t>
      </w:r>
      <w:r w:rsidR="00646492" w:rsidRPr="0038340A">
        <w:t xml:space="preserve">policies </w:t>
      </w:r>
      <w:r w:rsidR="009348F8" w:rsidRPr="0038340A">
        <w:t xml:space="preserve">and </w:t>
      </w:r>
      <w:r w:rsidR="00646492" w:rsidRPr="0038340A">
        <w:t>resources’ section</w:t>
      </w:r>
      <w:r w:rsidR="009348F8" w:rsidRPr="0038340A">
        <w:t xml:space="preserve">). </w:t>
      </w:r>
    </w:p>
    <w:p w14:paraId="4F509D0A" w14:textId="3CD466F3" w:rsidR="009348F8" w:rsidRPr="0038340A" w:rsidRDefault="009348F8" w:rsidP="00961533">
      <w:pPr>
        <w:pStyle w:val="Body"/>
      </w:pPr>
      <w:r w:rsidRPr="0038340A">
        <w:t xml:space="preserve">Direct allocation to ACCOs, as opposed to subcontracting, aligns with the objective of self-determination </w:t>
      </w:r>
      <w:r w:rsidR="00646492" w:rsidRPr="0038340A">
        <w:t xml:space="preserve">set out </w:t>
      </w:r>
      <w:r w:rsidRPr="0038340A">
        <w:t xml:space="preserve">in </w:t>
      </w:r>
      <w:proofErr w:type="spellStart"/>
      <w:r w:rsidRPr="0038340A">
        <w:rPr>
          <w:i/>
          <w:iCs/>
        </w:rPr>
        <w:t>Wungurilwil</w:t>
      </w:r>
      <w:proofErr w:type="spellEnd"/>
      <w:r w:rsidRPr="0038340A">
        <w:rPr>
          <w:i/>
          <w:iCs/>
        </w:rPr>
        <w:t xml:space="preserve"> </w:t>
      </w:r>
      <w:proofErr w:type="spellStart"/>
      <w:r w:rsidRPr="0038340A">
        <w:rPr>
          <w:i/>
          <w:iCs/>
        </w:rPr>
        <w:t>Gapgapduir</w:t>
      </w:r>
      <w:proofErr w:type="spellEnd"/>
      <w:r w:rsidRPr="0038340A">
        <w:t>. In some instances, an ACCO with a direct allocation may opt to subcontract to a CSO to support service delivery. This subcontracting arrangement is covered by other policies and should be considered with the objective of Aboriginal self-determination in min</w:t>
      </w:r>
      <w:r w:rsidR="00B21F2C" w:rsidRPr="0038340A">
        <w:t>d and the principles within this policy.</w:t>
      </w:r>
    </w:p>
    <w:p w14:paraId="62A564DE" w14:textId="77777777" w:rsidR="009348F8" w:rsidRPr="0038340A" w:rsidRDefault="009348F8" w:rsidP="009348F8">
      <w:pPr>
        <w:pStyle w:val="Heading2"/>
        <w:spacing w:before="0"/>
      </w:pPr>
      <w:bookmarkStart w:id="21" w:name="_Toc211509473"/>
      <w:bookmarkStart w:id="22" w:name="_Toc219710534"/>
      <w:r w:rsidRPr="0038340A">
        <w:t>Examples of resource transfer situations</w:t>
      </w:r>
      <w:bookmarkEnd w:id="21"/>
      <w:bookmarkEnd w:id="22"/>
    </w:p>
    <w:p w14:paraId="7E1B897D" w14:textId="320428BC" w:rsidR="009348F8" w:rsidRPr="0038340A" w:rsidRDefault="009348F8" w:rsidP="009348F8">
      <w:pPr>
        <w:pStyle w:val="Body"/>
      </w:pPr>
      <w:r w:rsidRPr="0038340A">
        <w:t xml:space="preserve">This </w:t>
      </w:r>
      <w:r w:rsidR="00646492" w:rsidRPr="0038340A">
        <w:t xml:space="preserve">policy </w:t>
      </w:r>
      <w:r w:rsidRPr="0038340A">
        <w:t>provide</w:t>
      </w:r>
      <w:r w:rsidR="00646492" w:rsidRPr="0038340A">
        <w:t>s</w:t>
      </w:r>
      <w:r w:rsidRPr="0038340A">
        <w:t xml:space="preserve"> guidance on </w:t>
      </w:r>
      <w:r w:rsidR="00646492" w:rsidRPr="0038340A">
        <w:t xml:space="preserve">transferring </w:t>
      </w:r>
      <w:r w:rsidRPr="0038340A">
        <w:t>resource</w:t>
      </w:r>
      <w:r w:rsidR="00646492" w:rsidRPr="0038340A">
        <w:t>s</w:t>
      </w:r>
      <w:r w:rsidRPr="0038340A">
        <w:t xml:space="preserve"> to ACCOs</w:t>
      </w:r>
      <w:r w:rsidR="00646492" w:rsidRPr="0038340A">
        <w:t xml:space="preserve">. </w:t>
      </w:r>
      <w:r w:rsidR="008C3B4E" w:rsidRPr="0038340A">
        <w:t>Common situations include</w:t>
      </w:r>
      <w:r w:rsidR="00646492" w:rsidRPr="0038340A">
        <w:t xml:space="preserve">: </w:t>
      </w:r>
    </w:p>
    <w:p w14:paraId="01766F62" w14:textId="0545E07A" w:rsidR="009348F8" w:rsidRPr="0038340A" w:rsidRDefault="00646492" w:rsidP="009348F8">
      <w:pPr>
        <w:pStyle w:val="Bullet1"/>
      </w:pPr>
      <w:r w:rsidRPr="0038340A">
        <w:t xml:space="preserve">bilateral </w:t>
      </w:r>
      <w:r w:rsidR="009348F8" w:rsidRPr="0038340A">
        <w:t>negotiation between an ACCO and CSO to transfer</w:t>
      </w:r>
    </w:p>
    <w:p w14:paraId="379BB687" w14:textId="3E1D13C9" w:rsidR="009348F8" w:rsidRPr="0038340A" w:rsidRDefault="00646492" w:rsidP="009348F8">
      <w:pPr>
        <w:pStyle w:val="Bullet1"/>
      </w:pPr>
      <w:r w:rsidRPr="0038340A">
        <w:t xml:space="preserve">multilateral </w:t>
      </w:r>
      <w:r w:rsidR="009348F8" w:rsidRPr="0038340A">
        <w:t>negotiation between multiple ACCOs and CSOs to transfer</w:t>
      </w:r>
    </w:p>
    <w:p w14:paraId="6BB62E29" w14:textId="19F63F41" w:rsidR="009348F8" w:rsidRPr="0038340A" w:rsidRDefault="00646492" w:rsidP="009348F8">
      <w:pPr>
        <w:pStyle w:val="Bullet1"/>
      </w:pPr>
      <w:r w:rsidRPr="0038340A">
        <w:t xml:space="preserve">negotiations </w:t>
      </w:r>
      <w:r w:rsidR="009348F8" w:rsidRPr="0038340A">
        <w:t>at any stage, from early conversations to a formal proposal to the department</w:t>
      </w:r>
    </w:p>
    <w:p w14:paraId="4715CD63" w14:textId="29F2AC66" w:rsidR="009348F8" w:rsidRPr="0038340A" w:rsidRDefault="00646492" w:rsidP="009348F8">
      <w:pPr>
        <w:pStyle w:val="Bullet1"/>
      </w:pPr>
      <w:r w:rsidRPr="0038340A">
        <w:t>t</w:t>
      </w:r>
      <w:r w:rsidR="009348F8" w:rsidRPr="0038340A">
        <w:t>ransfers at the local and/or statewide level</w:t>
      </w:r>
    </w:p>
    <w:p w14:paraId="2A75176C" w14:textId="4FAC3DE3" w:rsidR="009348F8" w:rsidRPr="0038340A" w:rsidRDefault="009348F8" w:rsidP="009348F8">
      <w:pPr>
        <w:pStyle w:val="Bullet1"/>
      </w:pPr>
      <w:r w:rsidRPr="0038340A">
        <w:t>splitting a program for ACCO-led delivery to Aboriginal children and/or families, or a partnership/consortium arrangement between an ACCO and CSO</w:t>
      </w:r>
    </w:p>
    <w:p w14:paraId="69105682" w14:textId="5B04D920" w:rsidR="009348F8" w:rsidRPr="0038340A" w:rsidRDefault="00646492" w:rsidP="009348F8">
      <w:pPr>
        <w:pStyle w:val="Bullet1"/>
      </w:pPr>
      <w:r w:rsidRPr="0038340A">
        <w:t>a</w:t>
      </w:r>
      <w:r w:rsidR="009348F8" w:rsidRPr="0038340A">
        <w:t xml:space="preserve">lternative service delivery options by ACCOs, where it is not possible to split a </w:t>
      </w:r>
      <w:r w:rsidR="00EB65A2" w:rsidRPr="0038340A">
        <w:t>CSO-</w:t>
      </w:r>
      <w:r w:rsidR="009348F8" w:rsidRPr="0038340A">
        <w:t>provided service or a type of service cannot be delivered by an ACCO</w:t>
      </w:r>
    </w:p>
    <w:p w14:paraId="32D3B5FC" w14:textId="04C3123D" w:rsidR="009348F8" w:rsidRPr="0038340A" w:rsidRDefault="00646492" w:rsidP="009348F8">
      <w:pPr>
        <w:pStyle w:val="Bullet1"/>
      </w:pPr>
      <w:r w:rsidRPr="0038340A">
        <w:t>r</w:t>
      </w:r>
      <w:r w:rsidR="009348F8" w:rsidRPr="0038340A">
        <w:t>eallocation of service delivery targets between ACCOs and CSOs.</w:t>
      </w:r>
    </w:p>
    <w:p w14:paraId="7EF94894" w14:textId="77777777" w:rsidR="009348F8" w:rsidRPr="0038340A" w:rsidRDefault="009348F8" w:rsidP="009348F8">
      <w:pPr>
        <w:pStyle w:val="Heading2"/>
      </w:pPr>
      <w:bookmarkStart w:id="23" w:name="_Toc211509474"/>
      <w:bookmarkStart w:id="24" w:name="_Toc219710535"/>
      <w:r w:rsidRPr="0038340A">
        <w:lastRenderedPageBreak/>
        <w:t>Defining what is being transferred</w:t>
      </w:r>
      <w:bookmarkEnd w:id="23"/>
      <w:bookmarkEnd w:id="24"/>
    </w:p>
    <w:p w14:paraId="3C625345" w14:textId="491E5FD6" w:rsidR="009348F8" w:rsidRPr="0038340A" w:rsidRDefault="008C3B4E" w:rsidP="009348F8">
      <w:pPr>
        <w:pStyle w:val="Body"/>
      </w:pPr>
      <w:r w:rsidRPr="0038340A">
        <w:t>The</w:t>
      </w:r>
      <w:r w:rsidR="009348F8" w:rsidRPr="0038340A">
        <w:t xml:space="preserve"> term ‘resources’ </w:t>
      </w:r>
      <w:r w:rsidRPr="0038340A">
        <w:t>refers to</w:t>
      </w:r>
      <w:r w:rsidR="009348F8" w:rsidRPr="0038340A">
        <w:t xml:space="preserve"> elements that can be transferred within Service Agreement</w:t>
      </w:r>
      <w:r w:rsidRPr="0038340A">
        <w:t>s. These</w:t>
      </w:r>
      <w:r w:rsidR="009348F8" w:rsidRPr="0038340A">
        <w:t xml:space="preserve"> </w:t>
      </w:r>
      <w:r w:rsidRPr="0038340A">
        <w:t>include</w:t>
      </w:r>
      <w:r w:rsidR="009348F8" w:rsidRPr="0038340A">
        <w:t>:</w:t>
      </w:r>
    </w:p>
    <w:p w14:paraId="23216180" w14:textId="5765D06D" w:rsidR="009348F8" w:rsidRPr="0038340A" w:rsidRDefault="008C3B4E" w:rsidP="009348F8">
      <w:pPr>
        <w:pStyle w:val="Bullet1"/>
      </w:pPr>
      <w:r w:rsidRPr="0038340A">
        <w:t>f</w:t>
      </w:r>
      <w:r w:rsidR="009348F8" w:rsidRPr="0038340A">
        <w:t>unding and</w:t>
      </w:r>
      <w:r w:rsidRPr="0038340A">
        <w:t xml:space="preserve"> </w:t>
      </w:r>
      <w:r w:rsidR="009348F8" w:rsidRPr="0038340A">
        <w:t xml:space="preserve">related service delivery targets </w:t>
      </w:r>
    </w:p>
    <w:p w14:paraId="52A62066" w14:textId="0D80459C" w:rsidR="009348F8" w:rsidRPr="0038340A" w:rsidRDefault="008C3B4E" w:rsidP="009348F8">
      <w:pPr>
        <w:pStyle w:val="Bullet1"/>
      </w:pPr>
      <w:r w:rsidRPr="0038340A">
        <w:t>i</w:t>
      </w:r>
      <w:r w:rsidR="009348F8" w:rsidRPr="0038340A">
        <w:t>nfrastructure (</w:t>
      </w:r>
      <w:r w:rsidRPr="0038340A">
        <w:t>such as</w:t>
      </w:r>
      <w:r w:rsidR="009348F8" w:rsidRPr="0038340A">
        <w:t xml:space="preserve"> ownership or tenancy of buildings)</w:t>
      </w:r>
    </w:p>
    <w:p w14:paraId="4A35CC09" w14:textId="7D701C16" w:rsidR="009348F8" w:rsidRPr="0038340A" w:rsidRDefault="008C3B4E" w:rsidP="009348F8">
      <w:pPr>
        <w:pStyle w:val="Bullet1"/>
      </w:pPr>
      <w:r w:rsidRPr="0038340A">
        <w:t xml:space="preserve">assets </w:t>
      </w:r>
      <w:r w:rsidR="009348F8" w:rsidRPr="0038340A">
        <w:t>(</w:t>
      </w:r>
      <w:r w:rsidRPr="0038340A">
        <w:t xml:space="preserve">such as </w:t>
      </w:r>
      <w:r w:rsidR="009348F8" w:rsidRPr="0038340A">
        <w:t>vehicles</w:t>
      </w:r>
      <w:r w:rsidRPr="0038340A">
        <w:t xml:space="preserve"> and </w:t>
      </w:r>
      <w:r w:rsidR="009348F8" w:rsidRPr="0038340A">
        <w:t>furniture). Some assets are specifically listed in Service Agreements</w:t>
      </w:r>
      <w:r w:rsidRPr="0038340A">
        <w:t>.</w:t>
      </w:r>
    </w:p>
    <w:p w14:paraId="0CE14D17" w14:textId="544ACCB8" w:rsidR="009348F8" w:rsidRPr="0038340A" w:rsidRDefault="008C3B4E" w:rsidP="009348F8">
      <w:pPr>
        <w:pStyle w:val="Bodyafterbullets"/>
      </w:pPr>
      <w:r w:rsidRPr="0038340A">
        <w:t>S</w:t>
      </w:r>
      <w:r w:rsidR="009348F8" w:rsidRPr="0038340A">
        <w:t>taff</w:t>
      </w:r>
      <w:r w:rsidRPr="0038340A">
        <w:t xml:space="preserve"> are also a key consideration </w:t>
      </w:r>
      <w:r w:rsidR="009348F8" w:rsidRPr="0038340A">
        <w:t>in transfer processes.</w:t>
      </w:r>
      <w:r w:rsidR="00C842AC" w:rsidRPr="0038340A">
        <w:t xml:space="preserve"> </w:t>
      </w:r>
      <w:r w:rsidR="00552A3D" w:rsidRPr="0038340A">
        <w:t>F</w:t>
      </w:r>
      <w:r w:rsidR="00CA4149" w:rsidRPr="0038340A">
        <w:t>unding is often calculated based on full time equivalent (FTE) staffing required</w:t>
      </w:r>
      <w:r w:rsidR="00552A3D" w:rsidRPr="0038340A">
        <w:t xml:space="preserve"> to meet targets.</w:t>
      </w:r>
      <w:r w:rsidR="00E508D1" w:rsidRPr="0038340A">
        <w:t xml:space="preserve"> Transfers will therefore likely have </w:t>
      </w:r>
      <w:r w:rsidR="004224F0" w:rsidRPr="0038340A">
        <w:t xml:space="preserve">human resource </w:t>
      </w:r>
      <w:r w:rsidR="00E508D1" w:rsidRPr="0038340A">
        <w:t xml:space="preserve">implications for </w:t>
      </w:r>
      <w:r w:rsidR="004224F0" w:rsidRPr="0038340A">
        <w:t>existing and new staff.</w:t>
      </w:r>
    </w:p>
    <w:p w14:paraId="3A571A56" w14:textId="26FB580B" w:rsidR="009348F8" w:rsidRPr="0038340A" w:rsidRDefault="009348F8" w:rsidP="009348F8">
      <w:pPr>
        <w:pStyle w:val="Body"/>
      </w:pPr>
      <w:r w:rsidRPr="0038340A">
        <w:t xml:space="preserve">The department </w:t>
      </w:r>
      <w:r w:rsidR="008C3B4E" w:rsidRPr="0038340A">
        <w:t>oversees</w:t>
      </w:r>
      <w:r w:rsidRPr="0038340A">
        <w:t xml:space="preserve"> transfers of funding, infrastructure and assets listed </w:t>
      </w:r>
      <w:r w:rsidR="008C3B4E" w:rsidRPr="0038340A">
        <w:t>i</w:t>
      </w:r>
      <w:r w:rsidRPr="0038340A">
        <w:t xml:space="preserve">n Service Agreements. The transfer of any infrastructure, assets and other resources </w:t>
      </w:r>
      <w:r w:rsidR="008C3B4E" w:rsidRPr="0038340A">
        <w:t>that are</w:t>
      </w:r>
      <w:r w:rsidRPr="0038340A">
        <w:t xml:space="preserve"> outside</w:t>
      </w:r>
      <w:r w:rsidR="008C3B4E" w:rsidRPr="0038340A">
        <w:t xml:space="preserve"> a</w:t>
      </w:r>
      <w:r w:rsidRPr="0038340A">
        <w:t xml:space="preserve"> Service Agreement is not overseen by the department and is a matter for negotiation between ACCOs and CSOs.</w:t>
      </w:r>
    </w:p>
    <w:p w14:paraId="3A9A2AD0" w14:textId="45B020A6" w:rsidR="009348F8" w:rsidRPr="0038340A" w:rsidRDefault="009348F8" w:rsidP="009348F8">
      <w:pPr>
        <w:pStyle w:val="Body"/>
      </w:pPr>
      <w:r w:rsidRPr="0038340A">
        <w:t>When targets and resources are transferred, a range of related responsibilities are also transferred, including:</w:t>
      </w:r>
    </w:p>
    <w:p w14:paraId="476931AC" w14:textId="2B16B947" w:rsidR="009348F8" w:rsidRPr="0038340A" w:rsidRDefault="00E6546C" w:rsidP="009348F8">
      <w:pPr>
        <w:pStyle w:val="Bullet1"/>
      </w:pPr>
      <w:r w:rsidRPr="0038340A">
        <w:t>s</w:t>
      </w:r>
      <w:r w:rsidR="009348F8" w:rsidRPr="0038340A">
        <w:t>ervice delivery targets (</w:t>
      </w:r>
      <w:r w:rsidR="008C3B4E" w:rsidRPr="0038340A">
        <w:t>such as</w:t>
      </w:r>
      <w:r w:rsidR="009348F8" w:rsidRPr="0038340A">
        <w:t xml:space="preserve"> program outputs and outcomes)</w:t>
      </w:r>
    </w:p>
    <w:p w14:paraId="29A37199" w14:textId="2CAB0297" w:rsidR="009348F8" w:rsidRPr="0038340A" w:rsidRDefault="008C3B4E" w:rsidP="009348F8">
      <w:pPr>
        <w:pStyle w:val="Bullet1"/>
      </w:pPr>
      <w:r w:rsidRPr="0038340A">
        <w:t>c</w:t>
      </w:r>
      <w:r w:rsidR="009348F8" w:rsidRPr="0038340A">
        <w:t>lient management responsibility and relationships</w:t>
      </w:r>
    </w:p>
    <w:p w14:paraId="7E49B373" w14:textId="1755B6D3" w:rsidR="009348F8" w:rsidRPr="0038340A" w:rsidRDefault="008C3B4E" w:rsidP="009348F8">
      <w:pPr>
        <w:pStyle w:val="Bullet1"/>
      </w:pPr>
      <w:r w:rsidRPr="0038340A">
        <w:t xml:space="preserve">partnerships </w:t>
      </w:r>
      <w:r w:rsidR="009348F8" w:rsidRPr="0038340A">
        <w:t>with other services</w:t>
      </w:r>
    </w:p>
    <w:p w14:paraId="6C763DCF" w14:textId="5D1E3C3D" w:rsidR="009348F8" w:rsidRPr="0038340A" w:rsidRDefault="008C3B4E" w:rsidP="009348F8">
      <w:pPr>
        <w:pStyle w:val="Bullet1"/>
      </w:pPr>
      <w:r w:rsidRPr="0038340A">
        <w:t>r</w:t>
      </w:r>
      <w:r w:rsidR="009348F8" w:rsidRPr="0038340A">
        <w:t>ecords and client information</w:t>
      </w:r>
    </w:p>
    <w:p w14:paraId="0F2E11C8" w14:textId="703AE6DF" w:rsidR="009348F8" w:rsidRPr="0038340A" w:rsidRDefault="008C3B4E" w:rsidP="009348F8">
      <w:pPr>
        <w:pStyle w:val="Bullet1"/>
      </w:pPr>
      <w:r w:rsidRPr="0038340A">
        <w:t xml:space="preserve">intellectual </w:t>
      </w:r>
      <w:r w:rsidR="009348F8" w:rsidRPr="0038340A">
        <w:t>property</w:t>
      </w:r>
    </w:p>
    <w:p w14:paraId="756CE890" w14:textId="0EFA6B20" w:rsidR="009348F8" w:rsidRPr="0038340A" w:rsidRDefault="008C3B4E" w:rsidP="009348F8">
      <w:pPr>
        <w:pStyle w:val="Bullet1"/>
      </w:pPr>
      <w:r w:rsidRPr="0038340A">
        <w:t xml:space="preserve">other </w:t>
      </w:r>
      <w:r w:rsidR="009348F8" w:rsidRPr="0038340A">
        <w:t>contract management responsibilities.</w:t>
      </w:r>
    </w:p>
    <w:p w14:paraId="6E22E461" w14:textId="10E15F8B" w:rsidR="009348F8" w:rsidRPr="0038340A" w:rsidRDefault="009348F8" w:rsidP="009348F8">
      <w:pPr>
        <w:pStyle w:val="Bodyafterbullets"/>
      </w:pPr>
      <w:r w:rsidRPr="0038340A">
        <w:t>Transfer proposals should have regard to these matters</w:t>
      </w:r>
      <w:r w:rsidR="008C3B4E" w:rsidRPr="0038340A">
        <w:t>.</w:t>
      </w:r>
      <w:r w:rsidRPr="0038340A">
        <w:t xml:space="preserve"> </w:t>
      </w:r>
      <w:r w:rsidR="005273E3" w:rsidRPr="0038340A">
        <w:t xml:space="preserve">Refer to </w:t>
      </w:r>
      <w:r w:rsidR="008C3B4E" w:rsidRPr="0038340A">
        <w:t>‘</w:t>
      </w:r>
      <w:r w:rsidRPr="0038340A">
        <w:t>Attachment A</w:t>
      </w:r>
      <w:r w:rsidR="008C3B4E" w:rsidRPr="0038340A">
        <w:t xml:space="preserve">’ </w:t>
      </w:r>
      <w:r w:rsidR="005273E3" w:rsidRPr="0038340A">
        <w:t xml:space="preserve">for </w:t>
      </w:r>
      <w:r w:rsidR="008C3B4E" w:rsidRPr="0038340A">
        <w:t xml:space="preserve">a </w:t>
      </w:r>
      <w:r w:rsidR="005273E3" w:rsidRPr="0038340A">
        <w:t xml:space="preserve">detailed </w:t>
      </w:r>
      <w:r w:rsidR="008C3B4E" w:rsidRPr="0038340A">
        <w:t>checklist</w:t>
      </w:r>
      <w:r w:rsidR="005273E3" w:rsidRPr="0038340A">
        <w:t xml:space="preserve"> on transfer considerations</w:t>
      </w:r>
      <w:r w:rsidR="008C3B4E" w:rsidRPr="0038340A">
        <w:t xml:space="preserve">. </w:t>
      </w:r>
    </w:p>
    <w:p w14:paraId="4BA0580C" w14:textId="77777777" w:rsidR="009348F8" w:rsidRPr="0038340A" w:rsidRDefault="009348F8" w:rsidP="009348F8">
      <w:pPr>
        <w:pStyle w:val="Heading1"/>
        <w:spacing w:before="240" w:after="120"/>
      </w:pPr>
      <w:bookmarkStart w:id="25" w:name="_Toc211509475"/>
      <w:bookmarkStart w:id="26" w:name="_Toc219710536"/>
      <w:r w:rsidRPr="0038340A">
        <w:t>Policy principles</w:t>
      </w:r>
      <w:bookmarkEnd w:id="25"/>
      <w:bookmarkEnd w:id="26"/>
    </w:p>
    <w:p w14:paraId="615E931B" w14:textId="1F7CF71E" w:rsidR="009348F8" w:rsidRPr="0038340A" w:rsidRDefault="009348F8" w:rsidP="009348F8">
      <w:pPr>
        <w:pStyle w:val="Body"/>
      </w:pPr>
      <w:r w:rsidRPr="0038340A">
        <w:t xml:space="preserve">The following principles guide the transfer of resources to ACCOs. </w:t>
      </w:r>
    </w:p>
    <w:p w14:paraId="043E6F58" w14:textId="77777777" w:rsidR="009348F8" w:rsidRPr="0038340A" w:rsidRDefault="009348F8" w:rsidP="009348F8">
      <w:pPr>
        <w:pStyle w:val="Heading2"/>
        <w:spacing w:before="240" w:line="120" w:lineRule="atLeast"/>
      </w:pPr>
      <w:bookmarkStart w:id="27" w:name="_Toc204004656"/>
      <w:bookmarkStart w:id="28" w:name="_Toc204345383"/>
      <w:bookmarkStart w:id="29" w:name="_Toc211509476"/>
      <w:bookmarkStart w:id="30" w:name="_Toc219710537"/>
      <w:r w:rsidRPr="0038340A">
        <w:t>Overarching principles</w:t>
      </w:r>
      <w:bookmarkEnd w:id="27"/>
      <w:bookmarkEnd w:id="28"/>
      <w:bookmarkEnd w:id="29"/>
      <w:bookmarkEnd w:id="30"/>
      <w:r w:rsidRPr="0038340A">
        <w:t xml:space="preserve"> </w:t>
      </w:r>
    </w:p>
    <w:p w14:paraId="6A423219" w14:textId="77777777" w:rsidR="009348F8" w:rsidRPr="0038340A" w:rsidRDefault="009348F8" w:rsidP="009348F8">
      <w:pPr>
        <w:pStyle w:val="Heading3"/>
        <w:spacing w:before="120"/>
      </w:pPr>
      <w:r w:rsidRPr="0038340A">
        <w:t>Self-determination</w:t>
      </w:r>
    </w:p>
    <w:p w14:paraId="0888CC97" w14:textId="68D949C5" w:rsidR="009348F8" w:rsidRPr="0038340A" w:rsidRDefault="009348F8" w:rsidP="009348F8">
      <w:pPr>
        <w:pStyle w:val="Body"/>
      </w:pPr>
      <w:r w:rsidRPr="0038340A">
        <w:t xml:space="preserve">The process and outcomes of transferring resources to ACCOs </w:t>
      </w:r>
      <w:r w:rsidR="00710617" w:rsidRPr="0038340A">
        <w:t xml:space="preserve">will </w:t>
      </w:r>
      <w:r w:rsidRPr="0038340A">
        <w:t xml:space="preserve">uphold self-determination for Aboriginal peoples in Victoria as a collective, and for Aboriginal communities across Victoria. </w:t>
      </w:r>
    </w:p>
    <w:p w14:paraId="031D78BA" w14:textId="67741767" w:rsidR="009348F8" w:rsidRPr="0038340A" w:rsidRDefault="00710617" w:rsidP="009348F8">
      <w:pPr>
        <w:pStyle w:val="Body"/>
      </w:pPr>
      <w:r w:rsidRPr="0038340A">
        <w:t>The VAAF describes s</w:t>
      </w:r>
      <w:r w:rsidR="009348F8" w:rsidRPr="0038340A">
        <w:t>elf-determination as Aboriginal Victorians exercising ownership over their own affairs</w:t>
      </w:r>
      <w:r w:rsidRPr="0038340A">
        <w:t>. This includes</w:t>
      </w:r>
      <w:r w:rsidR="009348F8" w:rsidRPr="0038340A">
        <w:t xml:space="preserve"> </w:t>
      </w:r>
      <w:r w:rsidRPr="0038340A">
        <w:t>‘</w:t>
      </w:r>
      <w:r w:rsidR="009348F8" w:rsidRPr="0038340A">
        <w:t>through designing and delivering policy and services on their own terms, setting their own funding priorities and holding their service providers accountable.</w:t>
      </w:r>
      <w:r w:rsidRPr="0038340A">
        <w:t>’</w:t>
      </w:r>
      <w:r w:rsidR="00E32CC9" w:rsidRPr="0038340A">
        <w:t xml:space="preserve"> More broadly, the United Nations Declaration on the Rights of Indigenous Peoples describes self-determination as the ability for Indigenous people to freely determine their political status and pursue their economic, social and cultural development.</w:t>
      </w:r>
    </w:p>
    <w:p w14:paraId="1CAD3012" w14:textId="54722D19" w:rsidR="009348F8" w:rsidRPr="0038340A" w:rsidRDefault="009348F8" w:rsidP="009348F8">
      <w:pPr>
        <w:pStyle w:val="Body"/>
      </w:pPr>
      <w:r w:rsidRPr="0038340A">
        <w:t xml:space="preserve">The following priorities </w:t>
      </w:r>
      <w:r w:rsidR="00817CF4" w:rsidRPr="0038340A">
        <w:t>will advance</w:t>
      </w:r>
      <w:r w:rsidRPr="0038340A">
        <w:t xml:space="preserve"> Aboriginal self-determination within child and family services:</w:t>
      </w:r>
    </w:p>
    <w:p w14:paraId="3B19D45F" w14:textId="2465EE9C" w:rsidR="009348F8" w:rsidRPr="0038340A" w:rsidRDefault="009348F8" w:rsidP="009348F8">
      <w:pPr>
        <w:pStyle w:val="Bullet1"/>
      </w:pPr>
      <w:r w:rsidRPr="0038340A">
        <w:t xml:space="preserve">ACCOs are best placed to deliver culturally appropriate, trauma-informed, timely and responsive services to Aboriginal children and their </w:t>
      </w:r>
      <w:r w:rsidR="00817CF4" w:rsidRPr="0038340A">
        <w:t>families</w:t>
      </w:r>
    </w:p>
    <w:p w14:paraId="68F502F9" w14:textId="6B86FFC0" w:rsidR="009348F8" w:rsidRPr="0038340A" w:rsidRDefault="009348F8" w:rsidP="009348F8">
      <w:pPr>
        <w:pStyle w:val="Bullet1"/>
      </w:pPr>
      <w:r w:rsidRPr="0038340A">
        <w:t xml:space="preserve">ACCOs </w:t>
      </w:r>
      <w:r w:rsidR="00817CF4" w:rsidRPr="0038340A">
        <w:t xml:space="preserve">are enabled to </w:t>
      </w:r>
      <w:r w:rsidRPr="0038340A">
        <w:t>care for Aboriginal children and families</w:t>
      </w:r>
    </w:p>
    <w:p w14:paraId="1A7FE8B8" w14:textId="54F76C55" w:rsidR="009348F8" w:rsidRPr="0038340A" w:rsidRDefault="009348F8" w:rsidP="009348F8">
      <w:pPr>
        <w:pStyle w:val="Bullet1"/>
      </w:pPr>
      <w:r w:rsidRPr="0038340A">
        <w:t xml:space="preserve">Aboriginal leaders within ACCOs </w:t>
      </w:r>
      <w:r w:rsidR="00817CF4" w:rsidRPr="0038340A">
        <w:t xml:space="preserve">take </w:t>
      </w:r>
      <w:r w:rsidRPr="0038340A">
        <w:t>on greater responsibility while maintaining their reputation and connection with community</w:t>
      </w:r>
    </w:p>
    <w:p w14:paraId="380FA1A7" w14:textId="311B05CE" w:rsidR="009348F8" w:rsidRPr="0038340A" w:rsidRDefault="009348F8" w:rsidP="009348F8">
      <w:pPr>
        <w:pStyle w:val="Bullet1"/>
      </w:pPr>
      <w:r w:rsidRPr="0038340A">
        <w:t>Aboriginal-led design of statewide and community</w:t>
      </w:r>
      <w:r w:rsidR="00817CF4" w:rsidRPr="0038340A">
        <w:t>-</w:t>
      </w:r>
      <w:r w:rsidRPr="0038340A">
        <w:t>level commissioning policies and processes (</w:t>
      </w:r>
      <w:r w:rsidR="00817CF4" w:rsidRPr="0038340A">
        <w:t>refer to the ‘</w:t>
      </w:r>
      <w:r w:rsidRPr="0038340A">
        <w:t>Localised approach</w:t>
      </w:r>
      <w:r w:rsidR="00817CF4" w:rsidRPr="0038340A">
        <w:t xml:space="preserve">’ </w:t>
      </w:r>
      <w:r w:rsidR="00B64184" w:rsidRPr="0038340A">
        <w:t>principle below</w:t>
      </w:r>
      <w:r w:rsidRPr="0038340A">
        <w:t>).</w:t>
      </w:r>
    </w:p>
    <w:p w14:paraId="4AB95018" w14:textId="77777777" w:rsidR="009348F8" w:rsidRPr="0038340A" w:rsidRDefault="009348F8" w:rsidP="009348F8">
      <w:pPr>
        <w:pStyle w:val="Heading3"/>
      </w:pPr>
      <w:r w:rsidRPr="0038340A">
        <w:lastRenderedPageBreak/>
        <w:t>Improving cultural connection and outcomes for Aboriginal children and families</w:t>
      </w:r>
    </w:p>
    <w:p w14:paraId="42428D0C" w14:textId="237A70A8" w:rsidR="009348F8" w:rsidRPr="0038340A" w:rsidRDefault="009348F8" w:rsidP="004D0472">
      <w:pPr>
        <w:pStyle w:val="Body"/>
      </w:pPr>
      <w:r w:rsidRPr="0038340A">
        <w:t>The goal of transferring resources to ACCOs is to improve socioeconomic outcomes for Aboriginal children and families</w:t>
      </w:r>
      <w:r w:rsidR="00817CF4" w:rsidRPr="0038340A">
        <w:t>. This is</w:t>
      </w:r>
      <w:r w:rsidRPr="0038340A">
        <w:t xml:space="preserve"> in line with commitments to Closing the Gap </w:t>
      </w:r>
      <w:r w:rsidR="004D0472" w:rsidRPr="0038340A">
        <w:t xml:space="preserve">socio-economic </w:t>
      </w:r>
      <w:r w:rsidRPr="0038340A">
        <w:t>targets. Improved outcomes will be underpinned by:</w:t>
      </w:r>
    </w:p>
    <w:p w14:paraId="0E29E785" w14:textId="6CFF60CE" w:rsidR="009348F8" w:rsidRPr="0038340A" w:rsidRDefault="00817CF4" w:rsidP="009348F8">
      <w:pPr>
        <w:pStyle w:val="Bullet1"/>
      </w:pPr>
      <w:r w:rsidRPr="0038340A">
        <w:t>u</w:t>
      </w:r>
      <w:r w:rsidR="009348F8" w:rsidRPr="0038340A">
        <w:t>pholding the human rights of Aboriginal children, families and communities</w:t>
      </w:r>
      <w:r w:rsidRPr="0038340A">
        <w:t>. This includes</w:t>
      </w:r>
      <w:r w:rsidR="009348F8" w:rsidRPr="0038340A">
        <w:t xml:space="preserve"> the distinct cultural rights of First Nations people as outlined under the </w:t>
      </w:r>
      <w:r w:rsidR="009348F8" w:rsidRPr="0038340A">
        <w:rPr>
          <w:i/>
          <w:iCs/>
        </w:rPr>
        <w:t>Victorian Charter of Human Rights and Responsibilities Act 2006</w:t>
      </w:r>
      <w:r w:rsidR="00A864E9" w:rsidRPr="0038340A">
        <w:rPr>
          <w:rStyle w:val="FootnoteReference"/>
          <w:i/>
          <w:iCs/>
        </w:rPr>
        <w:footnoteReference w:id="3"/>
      </w:r>
    </w:p>
    <w:p w14:paraId="78A38AD7" w14:textId="0DDAE4F8" w:rsidR="009348F8" w:rsidRPr="0038340A" w:rsidRDefault="00817CF4" w:rsidP="009348F8">
      <w:pPr>
        <w:pStyle w:val="Bullet1"/>
      </w:pPr>
      <w:r w:rsidRPr="0038340A">
        <w:t xml:space="preserve">more </w:t>
      </w:r>
      <w:r w:rsidR="009348F8" w:rsidRPr="0038340A">
        <w:t>responsive, integrated and culturally safe services that are provided by ACCOs</w:t>
      </w:r>
    </w:p>
    <w:p w14:paraId="35125CC8" w14:textId="0AC7155F" w:rsidR="009348F8" w:rsidRPr="0038340A" w:rsidRDefault="00817CF4" w:rsidP="009348F8">
      <w:pPr>
        <w:pStyle w:val="Bullet1"/>
      </w:pPr>
      <w:r w:rsidRPr="0038340A">
        <w:t xml:space="preserve">prioritising </w:t>
      </w:r>
      <w:r w:rsidR="009348F8" w:rsidRPr="0038340A">
        <w:t xml:space="preserve">Aboriginal </w:t>
      </w:r>
      <w:r w:rsidR="00C93486" w:rsidRPr="0038340A">
        <w:t xml:space="preserve">knowledges and evidence, and </w:t>
      </w:r>
      <w:r w:rsidR="009348F8" w:rsidRPr="0038340A">
        <w:t>ways of knowing, being and doing into service delivery.</w:t>
      </w:r>
    </w:p>
    <w:p w14:paraId="1C7E361B" w14:textId="5A21F0FA" w:rsidR="009348F8" w:rsidRPr="0038340A" w:rsidRDefault="004F44EC" w:rsidP="009348F8">
      <w:pPr>
        <w:pStyle w:val="Bodyafterbullets"/>
      </w:pPr>
      <w:r w:rsidRPr="0038340A">
        <w:t xml:space="preserve">For Aboriginal children and families who choose to receive services from </w:t>
      </w:r>
      <w:r w:rsidR="00817CF4" w:rsidRPr="0038340A">
        <w:t>CSOs</w:t>
      </w:r>
      <w:r w:rsidRPr="0038340A">
        <w:t>,</w:t>
      </w:r>
      <w:r w:rsidR="009348F8" w:rsidRPr="0038340A">
        <w:t xml:space="preserve"> ensuring cultural </w:t>
      </w:r>
      <w:r w:rsidR="000D48E4" w:rsidRPr="0038340A">
        <w:t>awareness</w:t>
      </w:r>
      <w:r w:rsidR="001A2E58" w:rsidRPr="0038340A">
        <w:t xml:space="preserve">, </w:t>
      </w:r>
      <w:r w:rsidR="009348F8" w:rsidRPr="0038340A">
        <w:t>respect</w:t>
      </w:r>
      <w:r w:rsidR="001A2E58" w:rsidRPr="0038340A">
        <w:t xml:space="preserve"> and safety</w:t>
      </w:r>
      <w:r w:rsidR="009348F8" w:rsidRPr="0038340A">
        <w:t xml:space="preserve"> in service delivery is also a priority.</w:t>
      </w:r>
    </w:p>
    <w:p w14:paraId="30EE6E4B" w14:textId="77777777" w:rsidR="009348F8" w:rsidRPr="0038340A" w:rsidRDefault="009348F8" w:rsidP="009348F8">
      <w:pPr>
        <w:pStyle w:val="Heading2"/>
      </w:pPr>
      <w:bookmarkStart w:id="31" w:name="_Toc204004657"/>
      <w:bookmarkStart w:id="32" w:name="_Toc211509477"/>
      <w:bookmarkStart w:id="33" w:name="_Toc219710538"/>
      <w:bookmarkStart w:id="34" w:name="_Toc204345384"/>
      <w:r w:rsidRPr="0038340A">
        <w:t>Specific transfer principles</w:t>
      </w:r>
      <w:bookmarkEnd w:id="31"/>
      <w:bookmarkEnd w:id="32"/>
      <w:bookmarkEnd w:id="33"/>
      <w:r w:rsidRPr="0038340A">
        <w:t xml:space="preserve"> </w:t>
      </w:r>
      <w:bookmarkEnd w:id="34"/>
    </w:p>
    <w:p w14:paraId="460A0DD6" w14:textId="63269FE8" w:rsidR="009348F8" w:rsidRPr="0038340A" w:rsidRDefault="009348F8" w:rsidP="009348F8">
      <w:pPr>
        <w:pStyle w:val="Numberdigit"/>
        <w:numPr>
          <w:ilvl w:val="0"/>
          <w:numId w:val="4"/>
        </w:numPr>
      </w:pPr>
      <w:r w:rsidRPr="0038340A">
        <w:rPr>
          <w:b/>
          <w:bCs/>
        </w:rPr>
        <w:t>Shared decision</w:t>
      </w:r>
      <w:r w:rsidR="00EB65A2" w:rsidRPr="0038340A">
        <w:rPr>
          <w:b/>
          <w:bCs/>
        </w:rPr>
        <w:t>-</w:t>
      </w:r>
      <w:r w:rsidRPr="0038340A">
        <w:rPr>
          <w:b/>
          <w:bCs/>
        </w:rPr>
        <w:t>making:</w:t>
      </w:r>
      <w:r w:rsidRPr="0038340A">
        <w:t xml:space="preserve"> Decision</w:t>
      </w:r>
      <w:r w:rsidR="00EB65A2" w:rsidRPr="0038340A">
        <w:t>-</w:t>
      </w:r>
      <w:r w:rsidRPr="0038340A">
        <w:t xml:space="preserve">making </w:t>
      </w:r>
      <w:r w:rsidR="005113EB" w:rsidRPr="0038340A">
        <w:t xml:space="preserve">will </w:t>
      </w:r>
      <w:r w:rsidRPr="0038340A">
        <w:t xml:space="preserve">be shared between </w:t>
      </w:r>
      <w:r w:rsidRPr="0038340A" w:rsidDel="00E231AF">
        <w:t>government</w:t>
      </w:r>
      <w:r w:rsidRPr="0038340A">
        <w:t xml:space="preserve"> and ACCOs, based on open and transparent sharing of information.</w:t>
      </w:r>
    </w:p>
    <w:p w14:paraId="59D54159" w14:textId="4366BFC0" w:rsidR="009348F8" w:rsidRPr="0038340A" w:rsidRDefault="009348F8" w:rsidP="00BD1F7A">
      <w:pPr>
        <w:pStyle w:val="Numberdigit"/>
        <w:spacing w:after="60"/>
      </w:pPr>
      <w:r w:rsidRPr="0038340A">
        <w:rPr>
          <w:b/>
          <w:bCs/>
        </w:rPr>
        <w:t>Localised approach</w:t>
      </w:r>
      <w:r w:rsidRPr="0038340A">
        <w:t xml:space="preserve">: </w:t>
      </w:r>
      <w:r w:rsidR="00C30B78" w:rsidRPr="0038340A">
        <w:t>Transfer of resources will reflect l</w:t>
      </w:r>
      <w:r w:rsidRPr="0038340A">
        <w:t>ocal context</w:t>
      </w:r>
      <w:r w:rsidR="00C30B78" w:rsidRPr="0038340A">
        <w:t>s</w:t>
      </w:r>
      <w:r w:rsidRPr="0038340A">
        <w:t xml:space="preserve"> and priorities, including local Aboriginal community and ACCO aspirations</w:t>
      </w:r>
      <w:r w:rsidR="00B02E9C" w:rsidRPr="0038340A">
        <w:rPr>
          <w:rStyle w:val="FootnoteReference"/>
        </w:rPr>
        <w:footnoteReference w:id="4"/>
      </w:r>
      <w:r w:rsidR="00C30B78" w:rsidRPr="0038340A">
        <w:t xml:space="preserve">. </w:t>
      </w:r>
      <w:r w:rsidRPr="0038340A">
        <w:t>Aboriginal people should be able to access Aboriginal services when and as they need</w:t>
      </w:r>
      <w:r w:rsidR="00C30B78" w:rsidRPr="0038340A">
        <w:t>, regardless of where they live</w:t>
      </w:r>
      <w:r w:rsidRPr="0038340A">
        <w:t xml:space="preserve">. This includes understanding and respecting that some ACCOs </w:t>
      </w:r>
      <w:r w:rsidR="00C30B78" w:rsidRPr="0038340A">
        <w:t>provide services in locations that do</w:t>
      </w:r>
      <w:r w:rsidRPr="0038340A">
        <w:t xml:space="preserve"> not always align with departmental Areas.</w:t>
      </w:r>
    </w:p>
    <w:p w14:paraId="6538D76F" w14:textId="6618CECB" w:rsidR="009348F8" w:rsidRPr="0038340A" w:rsidRDefault="009348F8" w:rsidP="00412A63">
      <w:pPr>
        <w:pStyle w:val="Numberdigit"/>
        <w:numPr>
          <w:ilvl w:val="0"/>
          <w:numId w:val="0"/>
        </w:numPr>
        <w:spacing w:after="60"/>
        <w:ind w:left="397"/>
      </w:pPr>
      <w:r w:rsidRPr="0038340A">
        <w:t>Decision</w:t>
      </w:r>
      <w:r w:rsidR="00C30B78" w:rsidRPr="0038340A">
        <w:t>s</w:t>
      </w:r>
      <w:r w:rsidRPr="0038340A">
        <w:t xml:space="preserve"> about resource transfer </w:t>
      </w:r>
      <w:r w:rsidR="00C30B78" w:rsidRPr="0038340A">
        <w:t>will be</w:t>
      </w:r>
      <w:r w:rsidRPr="0038340A">
        <w:t xml:space="preserve"> informed by a statewide strategy</w:t>
      </w:r>
      <w:r w:rsidR="00C30B78" w:rsidRPr="0038340A">
        <w:t xml:space="preserve"> but made at the local level</w:t>
      </w:r>
      <w:r w:rsidRPr="0038340A">
        <w:t>. Statewide considerations of service gaps, demand and equitable resourcing</w:t>
      </w:r>
      <w:r w:rsidR="0049007D" w:rsidRPr="0038340A">
        <w:t xml:space="preserve"> will</w:t>
      </w:r>
      <w:r w:rsidRPr="0038340A">
        <w:t xml:space="preserve"> inform local decision</w:t>
      </w:r>
      <w:r w:rsidR="0049007D" w:rsidRPr="0038340A">
        <w:t>s.</w:t>
      </w:r>
      <w:r w:rsidRPr="0038340A">
        <w:t xml:space="preserve"> </w:t>
      </w:r>
      <w:r w:rsidR="0049007D" w:rsidRPr="0038340A">
        <w:t>This localised approach will</w:t>
      </w:r>
      <w:r w:rsidRPr="0038340A">
        <w:t xml:space="preserve"> ensure </w:t>
      </w:r>
      <w:r w:rsidR="0049007D" w:rsidRPr="0038340A">
        <w:t xml:space="preserve">services respond to </w:t>
      </w:r>
      <w:r w:rsidRPr="0038340A">
        <w:t>local needs</w:t>
      </w:r>
      <w:r w:rsidR="0049007D" w:rsidRPr="0038340A">
        <w:t>.</w:t>
      </w:r>
      <w:r w:rsidRPr="0038340A">
        <w:t xml:space="preserve"> </w:t>
      </w:r>
      <w:r w:rsidR="0049007D" w:rsidRPr="0038340A">
        <w:t xml:space="preserve">This includes </w:t>
      </w:r>
      <w:r w:rsidRPr="0038340A">
        <w:t xml:space="preserve">decisions on how to transfer resources in areas where there are multiple ACCOs operating. </w:t>
      </w:r>
      <w:r w:rsidR="00A601EE" w:rsidRPr="0038340A">
        <w:t xml:space="preserve">The </w:t>
      </w:r>
      <w:r w:rsidRPr="0038340A">
        <w:t xml:space="preserve">process of resource transfer </w:t>
      </w:r>
      <w:r w:rsidR="00A601EE" w:rsidRPr="0038340A">
        <w:t xml:space="preserve">will be </w:t>
      </w:r>
      <w:proofErr w:type="gramStart"/>
      <w:r w:rsidRPr="0038340A">
        <w:t>Aboriginal</w:t>
      </w:r>
      <w:r w:rsidR="0049007D" w:rsidRPr="0038340A">
        <w:t>-</w:t>
      </w:r>
      <w:r w:rsidRPr="0038340A">
        <w:t>led</w:t>
      </w:r>
      <w:proofErr w:type="gramEnd"/>
      <w:r w:rsidR="00A601EE" w:rsidRPr="0038340A">
        <w:t xml:space="preserve">, </w:t>
      </w:r>
      <w:r w:rsidR="00613991" w:rsidRPr="0038340A">
        <w:t>ensuring a strengthened roles of the ACCO sector in service planning and delivery</w:t>
      </w:r>
      <w:r w:rsidRPr="0038340A">
        <w:t>, both statewide and locally.</w:t>
      </w:r>
    </w:p>
    <w:p w14:paraId="07118836" w14:textId="132B78AE" w:rsidR="00396D17" w:rsidRPr="0038340A" w:rsidRDefault="00396D17" w:rsidP="00927EA1">
      <w:pPr>
        <w:pStyle w:val="Numberdigit"/>
      </w:pPr>
      <w:r w:rsidRPr="0038340A">
        <w:rPr>
          <w:b/>
          <w:bCs/>
        </w:rPr>
        <w:t>Resourcing for original purpose</w:t>
      </w:r>
      <w:r w:rsidRPr="0038340A">
        <w:t>: Transferred targets and resources will be used for the original purpose: to deliver services to meet targets. Broader uses of resources such as service reform and workforce development are acknowledged as a priority for ACCOs but will be addressed through other funding streams. Transfer negotiations will consider flexibility in the targets themselves. This recognises that many ACCOs do not have the same level of established core operations and infrastructure as large CSOs. Negotiations will include assessing what targets are achievable with current resourcing. The development of unique Aboriginal service models for child and family services will also be a key consideration in assessing revised targets.</w:t>
      </w:r>
    </w:p>
    <w:p w14:paraId="0DA31045" w14:textId="77777777" w:rsidR="00F81ED6" w:rsidRPr="0038340A" w:rsidRDefault="00F81ED6" w:rsidP="00F81ED6">
      <w:pPr>
        <w:pStyle w:val="Numberdigit"/>
      </w:pPr>
      <w:r w:rsidRPr="0038340A">
        <w:rPr>
          <w:b/>
          <w:bCs/>
        </w:rPr>
        <w:t>Probity:</w:t>
      </w:r>
      <w:r w:rsidRPr="0038340A">
        <w:t xml:space="preserve"> The transfer of resources will be open, fair and transparent. Any commissioning process will be consistent and align with whole-of-government procurement principles.</w:t>
      </w:r>
    </w:p>
    <w:p w14:paraId="43B3D9DE" w14:textId="77777777" w:rsidR="00F81ED6" w:rsidRPr="0038340A" w:rsidRDefault="00F81ED6" w:rsidP="00F81ED6">
      <w:pPr>
        <w:pStyle w:val="Numberdigit"/>
      </w:pPr>
      <w:r w:rsidRPr="0038340A">
        <w:rPr>
          <w:b/>
          <w:bCs/>
        </w:rPr>
        <w:t>Quality and safety:</w:t>
      </w:r>
      <w:r w:rsidRPr="0038340A">
        <w:t xml:space="preserve"> Providers will meet legislative requirements for safe and high-quality services before the transfer of resources. Taking shared responsibility for managing risks is a key aspect of this principle.</w:t>
      </w:r>
    </w:p>
    <w:p w14:paraId="6377550A" w14:textId="60C235F5" w:rsidR="00F81ED6" w:rsidRPr="0038340A" w:rsidRDefault="00F81ED6" w:rsidP="00927EA1">
      <w:pPr>
        <w:pStyle w:val="Numberdigit"/>
      </w:pPr>
      <w:r w:rsidRPr="0038340A">
        <w:rPr>
          <w:b/>
          <w:bCs/>
        </w:rPr>
        <w:t>Value for money:</w:t>
      </w:r>
      <w:r w:rsidRPr="0038340A">
        <w:t xml:space="preserve"> Transfer of resources will consider the most effective and efficient use of public funds to deliver services and benefits to Aboriginal children and families.</w:t>
      </w:r>
    </w:p>
    <w:p w14:paraId="74491F55" w14:textId="731612A0" w:rsidR="00BC47B6" w:rsidRPr="0038340A" w:rsidRDefault="009348F8" w:rsidP="00932F4E">
      <w:pPr>
        <w:pStyle w:val="Numberdigit"/>
        <w:spacing w:after="40"/>
      </w:pPr>
      <w:r w:rsidRPr="0038340A">
        <w:rPr>
          <w:b/>
          <w:bCs/>
        </w:rPr>
        <w:t>Evidence-informed investment</w:t>
      </w:r>
      <w:r w:rsidRPr="0038340A">
        <w:t>: Transferring resources to ACCOs is based on</w:t>
      </w:r>
      <w:r w:rsidR="001017B4" w:rsidRPr="0038340A">
        <w:t xml:space="preserve"> evidence of</w:t>
      </w:r>
      <w:r w:rsidR="00BC47B6" w:rsidRPr="0038340A">
        <w:t>:</w:t>
      </w:r>
    </w:p>
    <w:p w14:paraId="5CCB3E3E" w14:textId="5AF29A14" w:rsidR="00BC47B6" w:rsidRPr="0038340A" w:rsidRDefault="009348F8" w:rsidP="00932F4E">
      <w:pPr>
        <w:pStyle w:val="Bullet2"/>
        <w:ind w:left="709" w:hanging="284"/>
      </w:pPr>
      <w:r w:rsidRPr="0038340A">
        <w:lastRenderedPageBreak/>
        <w:t xml:space="preserve">service </w:t>
      </w:r>
      <w:r w:rsidR="00EB79B1" w:rsidRPr="0038340A">
        <w:t>needs</w:t>
      </w:r>
    </w:p>
    <w:p w14:paraId="1A2525D5" w14:textId="646BF5D3" w:rsidR="00BC47B6" w:rsidRPr="0038340A" w:rsidRDefault="009348F8" w:rsidP="00932F4E">
      <w:pPr>
        <w:pStyle w:val="Bullet2"/>
        <w:ind w:left="709" w:hanging="284"/>
      </w:pPr>
      <w:r w:rsidRPr="0038340A">
        <w:t>current uptake of services by Aboriginal children</w:t>
      </w:r>
    </w:p>
    <w:p w14:paraId="2ED75103" w14:textId="280DCAA8" w:rsidR="00BC47B6" w:rsidRPr="0038340A" w:rsidRDefault="009348F8" w:rsidP="00932F4E">
      <w:pPr>
        <w:pStyle w:val="Bullet2"/>
        <w:ind w:left="709" w:hanging="284"/>
      </w:pPr>
      <w:r w:rsidRPr="0038340A">
        <w:t>unmet need</w:t>
      </w:r>
      <w:r w:rsidR="001017B4" w:rsidRPr="0038340A">
        <w:t xml:space="preserve"> within the community</w:t>
      </w:r>
      <w:r w:rsidRPr="0038340A">
        <w:t xml:space="preserve">. </w:t>
      </w:r>
    </w:p>
    <w:p w14:paraId="342197A8" w14:textId="6681FB01" w:rsidR="009348F8" w:rsidRPr="0038340A" w:rsidRDefault="00BC47B6" w:rsidP="00B668AD">
      <w:pPr>
        <w:pStyle w:val="Bullet2"/>
        <w:numPr>
          <w:ilvl w:val="0"/>
          <w:numId w:val="0"/>
        </w:numPr>
        <w:ind w:left="426"/>
      </w:pPr>
      <w:r w:rsidRPr="0038340A">
        <w:t>Investment decisions</w:t>
      </w:r>
      <w:r w:rsidR="009348F8" w:rsidRPr="0038340A">
        <w:t xml:space="preserve"> will </w:t>
      </w:r>
      <w:r w:rsidR="00EB65A2" w:rsidRPr="0038340A">
        <w:t>consider</w:t>
      </w:r>
      <w:r w:rsidRPr="0038340A">
        <w:t xml:space="preserve"> the </w:t>
      </w:r>
      <w:r w:rsidR="00EB65A2" w:rsidRPr="0038340A">
        <w:t xml:space="preserve">different resource implications of </w:t>
      </w:r>
      <w:r w:rsidRPr="0038340A">
        <w:t>ACCO</w:t>
      </w:r>
      <w:r w:rsidR="009348F8" w:rsidRPr="0038340A">
        <w:t xml:space="preserve"> holistic </w:t>
      </w:r>
      <w:r w:rsidR="00B668AD" w:rsidRPr="0038340A">
        <w:t xml:space="preserve">service </w:t>
      </w:r>
      <w:r w:rsidR="009348F8" w:rsidRPr="0038340A">
        <w:t xml:space="preserve">models </w:t>
      </w:r>
      <w:r w:rsidRPr="0038340A">
        <w:t xml:space="preserve">and </w:t>
      </w:r>
      <w:r w:rsidR="009348F8" w:rsidRPr="0038340A">
        <w:t xml:space="preserve">CSO service models. The perspectives of ACCOs, CSOs and communities </w:t>
      </w:r>
      <w:r w:rsidR="00622F1A" w:rsidRPr="0038340A">
        <w:t>will</w:t>
      </w:r>
      <w:r w:rsidR="009348F8" w:rsidRPr="0038340A">
        <w:t xml:space="preserve"> inform investment. </w:t>
      </w:r>
      <w:r w:rsidR="00622F1A" w:rsidRPr="0038340A">
        <w:t xml:space="preserve">Evidence will prioritise </w:t>
      </w:r>
      <w:r w:rsidR="009348F8" w:rsidRPr="0038340A" w:rsidDel="003571EE">
        <w:t>Aboriginal ways of knowing, being and doing</w:t>
      </w:r>
      <w:r w:rsidR="00622F1A" w:rsidRPr="0038340A">
        <w:t>.</w:t>
      </w:r>
      <w:r w:rsidR="009348F8" w:rsidRPr="0038340A" w:rsidDel="003571EE">
        <w:t xml:space="preserve"> </w:t>
      </w:r>
    </w:p>
    <w:p w14:paraId="07C3D284" w14:textId="2DE64894" w:rsidR="009348F8" w:rsidRPr="0038340A" w:rsidRDefault="009348F8" w:rsidP="001E2C3C">
      <w:pPr>
        <w:pStyle w:val="Numberdigit"/>
      </w:pPr>
      <w:r w:rsidRPr="0038340A">
        <w:rPr>
          <w:b/>
          <w:bCs/>
        </w:rPr>
        <w:t>Data sovereignty and governance</w:t>
      </w:r>
      <w:r w:rsidRPr="0038340A">
        <w:t xml:space="preserve">: Aboriginal-led governance </w:t>
      </w:r>
      <w:r w:rsidR="00622F1A" w:rsidRPr="0038340A">
        <w:t xml:space="preserve">will determine </w:t>
      </w:r>
      <w:r w:rsidRPr="0038340A">
        <w:t xml:space="preserve">how evidence and data </w:t>
      </w:r>
      <w:r w:rsidR="00622F1A" w:rsidRPr="0038340A">
        <w:t xml:space="preserve">informs </w:t>
      </w:r>
      <w:r w:rsidRPr="0038340A">
        <w:t xml:space="preserve">resource transfer. </w:t>
      </w:r>
      <w:r w:rsidR="00622F1A" w:rsidRPr="0038340A">
        <w:t>The</w:t>
      </w:r>
      <w:r w:rsidRPr="0038340A">
        <w:t xml:space="preserve"> department and CSOs </w:t>
      </w:r>
      <w:r w:rsidR="00622F1A" w:rsidRPr="0038340A">
        <w:t xml:space="preserve">will share </w:t>
      </w:r>
      <w:r w:rsidRPr="0038340A">
        <w:t xml:space="preserve">relevant data with ACCOs to support planning. </w:t>
      </w:r>
      <w:r w:rsidR="00622F1A" w:rsidRPr="0038340A">
        <w:t xml:space="preserve">Transferring </w:t>
      </w:r>
      <w:r w:rsidRPr="0038340A">
        <w:t>targets and resources to ACCO</w:t>
      </w:r>
      <w:r w:rsidR="00622F1A" w:rsidRPr="0038340A">
        <w:t xml:space="preserve"> provides</w:t>
      </w:r>
      <w:r w:rsidRPr="0038340A">
        <w:t xml:space="preserve"> </w:t>
      </w:r>
      <w:r w:rsidR="00622F1A" w:rsidRPr="0038340A">
        <w:t>opportunities</w:t>
      </w:r>
      <w:r w:rsidRPr="0038340A">
        <w:t xml:space="preserve"> to advance Indigenous Data Sovereignty</w:t>
      </w:r>
      <w:r w:rsidR="00622F1A" w:rsidRPr="0038340A">
        <w:t>.</w:t>
      </w:r>
      <w:r w:rsidRPr="0038340A">
        <w:t xml:space="preserve"> </w:t>
      </w:r>
      <w:r w:rsidR="00622F1A" w:rsidRPr="0038340A">
        <w:t>This ensures</w:t>
      </w:r>
      <w:r w:rsidRPr="0038340A">
        <w:t xml:space="preserve"> ACCOs and Aboriginal communities have greater control over how service delivery data is accessed, analysed and shared. Ensuring ACCOs have the resources to exercise data sovereignty will be an ongoing consideration.</w:t>
      </w:r>
    </w:p>
    <w:p w14:paraId="7E6FB431" w14:textId="77777777" w:rsidR="009348F8" w:rsidRPr="0038340A" w:rsidRDefault="009348F8" w:rsidP="009348F8">
      <w:pPr>
        <w:pStyle w:val="Heading1"/>
        <w:spacing w:before="240" w:after="120"/>
      </w:pPr>
      <w:bookmarkStart w:id="35" w:name="_Toc204345385"/>
      <w:bookmarkStart w:id="36" w:name="_Toc211509478"/>
      <w:bookmarkStart w:id="37" w:name="_Toc219710539"/>
      <w:r w:rsidRPr="0038340A">
        <w:t>Transfer proposal process</w:t>
      </w:r>
      <w:bookmarkEnd w:id="35"/>
      <w:bookmarkEnd w:id="36"/>
      <w:bookmarkEnd w:id="37"/>
    </w:p>
    <w:p w14:paraId="1E60BC61" w14:textId="77777777" w:rsidR="009348F8" w:rsidRPr="0038340A" w:rsidRDefault="009348F8" w:rsidP="009348F8">
      <w:pPr>
        <w:pStyle w:val="Body"/>
      </w:pPr>
      <w:r w:rsidRPr="0038340A">
        <w:t xml:space="preserve">At a local level, the transition of resources to ACCOs will occur in different ways and at different paces. This local approach will be guided by the aspirations of the local Aboriginal community and ACCOs, in line with self-determination. </w:t>
      </w:r>
    </w:p>
    <w:p w14:paraId="6CD5A84B" w14:textId="77777777" w:rsidR="00622F1A" w:rsidRPr="0038340A" w:rsidRDefault="009348F8" w:rsidP="009348F8">
      <w:pPr>
        <w:pStyle w:val="Body"/>
      </w:pPr>
      <w:r w:rsidRPr="0038340A">
        <w:t>However, there are common steps that will be shared across most situations</w:t>
      </w:r>
      <w:r w:rsidR="00622F1A" w:rsidRPr="0038340A">
        <w:t xml:space="preserve">. </w:t>
      </w:r>
    </w:p>
    <w:p w14:paraId="0027A365" w14:textId="4DC377FF" w:rsidR="009348F8" w:rsidRPr="0038340A" w:rsidRDefault="009348F8" w:rsidP="009348F8">
      <w:pPr>
        <w:pStyle w:val="Body"/>
      </w:pPr>
      <w:r w:rsidRPr="0038340A">
        <w:t xml:space="preserve">This section outlines a standard process that will apply to transfer proposals </w:t>
      </w:r>
      <w:r w:rsidR="00622F1A" w:rsidRPr="0038340A">
        <w:t>that involve changes to</w:t>
      </w:r>
      <w:r w:rsidRPr="0038340A">
        <w:t xml:space="preserve"> a Service Agreement. </w:t>
      </w:r>
      <w:r w:rsidR="00622F1A" w:rsidRPr="0038340A">
        <w:t>The</w:t>
      </w:r>
      <w:r w:rsidRPr="0038340A">
        <w:t xml:space="preserve"> process</w:t>
      </w:r>
      <w:r w:rsidRPr="0038340A" w:rsidDel="008660A0">
        <w:t xml:space="preserve"> </w:t>
      </w:r>
      <w:r w:rsidR="00622F1A" w:rsidRPr="0038340A">
        <w:t xml:space="preserve">can be </w:t>
      </w:r>
      <w:r w:rsidRPr="0038340A">
        <w:t>adapt</w:t>
      </w:r>
      <w:r w:rsidR="00622F1A" w:rsidRPr="0038340A">
        <w:t>ed depending on the size, complexity and risk profile of the</w:t>
      </w:r>
      <w:r w:rsidRPr="0038340A">
        <w:t xml:space="preserve"> proposal.</w:t>
      </w:r>
      <w:r w:rsidR="00084373" w:rsidRPr="0038340A">
        <w:t xml:space="preserve"> At each stage of the process, the department fulfils a key facilitation and support role, outlined further under the Roles and Responsibilities section of this policy.</w:t>
      </w:r>
    </w:p>
    <w:p w14:paraId="1C628D02" w14:textId="5269269B" w:rsidR="0015286A" w:rsidRPr="0038340A" w:rsidRDefault="009348F8" w:rsidP="009348F8">
      <w:pPr>
        <w:pStyle w:val="Body"/>
        <w:sectPr w:rsidR="0015286A" w:rsidRPr="0038340A" w:rsidSect="00593A99">
          <w:type w:val="continuous"/>
          <w:pgSz w:w="11906" w:h="16838" w:code="9"/>
          <w:pgMar w:top="1418" w:right="851" w:bottom="851" w:left="851" w:header="680" w:footer="567" w:gutter="0"/>
          <w:cols w:space="340"/>
          <w:docGrid w:linePitch="360"/>
        </w:sectPr>
      </w:pPr>
      <w:r w:rsidRPr="0038340A">
        <w:t xml:space="preserve">Figure 1 </w:t>
      </w:r>
      <w:r w:rsidR="00622F1A" w:rsidRPr="0038340A">
        <w:t xml:space="preserve">shows </w:t>
      </w:r>
      <w:r w:rsidRPr="0038340A">
        <w:t xml:space="preserve">the process for developing and </w:t>
      </w:r>
      <w:proofErr w:type="spellStart"/>
      <w:r w:rsidRPr="0038340A">
        <w:t>assessing</w:t>
      </w:r>
      <w:proofErr w:type="spellEnd"/>
      <w:r w:rsidRPr="0038340A">
        <w:t xml:space="preserve"> a resource transfer proposal. The process is also stepped out in written form below.</w:t>
      </w:r>
    </w:p>
    <w:p w14:paraId="1584E26E" w14:textId="7DD1868C" w:rsidR="00457D2E" w:rsidRPr="0038340A" w:rsidRDefault="00622F1A" w:rsidP="006E511D">
      <w:pPr>
        <w:pStyle w:val="Figurecaption"/>
      </w:pPr>
      <w:r w:rsidRPr="0038340A">
        <w:lastRenderedPageBreak/>
        <w:t>Figure 1: Transfer proposal process</w:t>
      </w:r>
    </w:p>
    <w:p w14:paraId="109CF032" w14:textId="73268B27" w:rsidR="006E511D" w:rsidRDefault="00824842" w:rsidP="00622F1A">
      <w:pPr>
        <w:pStyle w:val="Body"/>
        <w:rPr>
          <w:noProof/>
        </w:rPr>
      </w:pPr>
      <w:r>
        <w:rPr>
          <w:noProof/>
        </w:rPr>
        <w:drawing>
          <wp:inline distT="0" distB="0" distL="0" distR="0" wp14:anchorId="4AD0393F" wp14:editId="4E4F0E60">
            <wp:extent cx="9267825" cy="5114770"/>
            <wp:effectExtent l="0" t="0" r="0" b="0"/>
            <wp:docPr id="1442328687" name="Picture 1" descr="Flowchart showing the process as described under 'Transfer proposal process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28687" name="Picture 1" descr="Flowchart showing the process as described under 'Transfer proposal process stag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82915" cy="5123098"/>
                    </a:xfrm>
                    <a:prstGeom prst="rect">
                      <a:avLst/>
                    </a:prstGeom>
                    <a:noFill/>
                  </pic:spPr>
                </pic:pic>
              </a:graphicData>
            </a:graphic>
          </wp:inline>
        </w:drawing>
      </w:r>
    </w:p>
    <w:p w14:paraId="0BC85770" w14:textId="188D7A2C" w:rsidR="00824842" w:rsidRPr="0038340A" w:rsidRDefault="00824842" w:rsidP="00622F1A">
      <w:pPr>
        <w:pStyle w:val="Body"/>
        <w:sectPr w:rsidR="00824842" w:rsidRPr="0038340A" w:rsidSect="0015286A">
          <w:pgSz w:w="16817" w:h="11901" w:orient="landscape" w:code="9"/>
          <w:pgMar w:top="851" w:right="851" w:bottom="851" w:left="1418" w:header="680" w:footer="567" w:gutter="0"/>
          <w:cols w:space="340"/>
          <w:docGrid w:linePitch="360"/>
        </w:sectPr>
      </w:pPr>
    </w:p>
    <w:p w14:paraId="04CDC074" w14:textId="125A2163" w:rsidR="00154D97" w:rsidRPr="000B78EA" w:rsidRDefault="000B78EA" w:rsidP="000B78EA">
      <w:pPr>
        <w:pStyle w:val="Heading2"/>
      </w:pPr>
      <w:bookmarkStart w:id="38" w:name="_Toc219710540"/>
      <w:r w:rsidRPr="000B78EA">
        <w:lastRenderedPageBreak/>
        <w:t>Transfer proposal process stages</w:t>
      </w:r>
      <w:bookmarkEnd w:id="38"/>
    </w:p>
    <w:p w14:paraId="43AFB6ED" w14:textId="705BCF49" w:rsidR="0015286A" w:rsidRPr="0038340A" w:rsidRDefault="0015286A" w:rsidP="000B78EA">
      <w:pPr>
        <w:pStyle w:val="Heading3"/>
      </w:pPr>
      <w:r w:rsidRPr="0038340A">
        <w:t>Stage 1</w:t>
      </w:r>
      <w:r w:rsidR="00500A58" w:rsidRPr="0038340A">
        <w:t>:</w:t>
      </w:r>
      <w:r w:rsidRPr="0038340A">
        <w:t xml:space="preserve"> Planning</w:t>
      </w:r>
    </w:p>
    <w:p w14:paraId="47096EF9" w14:textId="77777777" w:rsidR="0015286A" w:rsidRPr="0038340A" w:rsidRDefault="0015286A" w:rsidP="00A76BCB">
      <w:pPr>
        <w:pStyle w:val="Bullet1"/>
      </w:pPr>
      <w:r w:rsidRPr="0038340A">
        <w:t>ACCO-led transition readiness assessment</w:t>
      </w:r>
    </w:p>
    <w:p w14:paraId="4FF32E3B" w14:textId="77777777" w:rsidR="0015286A" w:rsidRPr="0038340A" w:rsidRDefault="0015286A" w:rsidP="00A76BCB">
      <w:pPr>
        <w:pStyle w:val="Bullet1"/>
      </w:pPr>
      <w:r w:rsidRPr="0038340A">
        <w:t>Engagement between local ACCOs, CSOs and community</w:t>
      </w:r>
    </w:p>
    <w:p w14:paraId="3F417D3A" w14:textId="6FBF94D5" w:rsidR="0015286A" w:rsidRPr="0038340A" w:rsidRDefault="0015286A" w:rsidP="00A76BCB">
      <w:pPr>
        <w:pStyle w:val="Bullet1"/>
      </w:pPr>
      <w:r w:rsidRPr="0038340A">
        <w:t xml:space="preserve">Support from </w:t>
      </w:r>
      <w:r w:rsidR="00500A58" w:rsidRPr="0038340A">
        <w:t xml:space="preserve">the department </w:t>
      </w:r>
      <w:r w:rsidRPr="0038340A">
        <w:t>as requested (</w:t>
      </w:r>
      <w:r w:rsidR="00500A58" w:rsidRPr="0038340A">
        <w:t>for example,</w:t>
      </w:r>
      <w:r w:rsidRPr="0038340A">
        <w:t xml:space="preserve"> provide data on demand and targets, ensure CSO readiness)</w:t>
      </w:r>
    </w:p>
    <w:p w14:paraId="4E6DF435" w14:textId="0AEE6411" w:rsidR="0015286A" w:rsidRPr="0038340A" w:rsidRDefault="0015286A" w:rsidP="00A76BCB">
      <w:pPr>
        <w:pStyle w:val="Bullet1"/>
      </w:pPr>
      <w:r w:rsidRPr="0038340A">
        <w:t xml:space="preserve">Development of transfer proposal using </w:t>
      </w:r>
      <w:r w:rsidR="00500A58" w:rsidRPr="0038340A">
        <w:t>the transfer c</w:t>
      </w:r>
      <w:r w:rsidRPr="0038340A">
        <w:t xml:space="preserve">hecklist </w:t>
      </w:r>
      <w:r w:rsidR="00500A58" w:rsidRPr="0038340A">
        <w:t>(Attachment A)</w:t>
      </w:r>
    </w:p>
    <w:p w14:paraId="6B3E82CC" w14:textId="7681924D" w:rsidR="0015286A" w:rsidRPr="0038340A" w:rsidRDefault="0015286A" w:rsidP="00A76BCB">
      <w:pPr>
        <w:pStyle w:val="Bullet1"/>
      </w:pPr>
      <w:r w:rsidRPr="0038340A">
        <w:t>Submission of transfer proposal to Area Executive Director</w:t>
      </w:r>
    </w:p>
    <w:p w14:paraId="582CBB60" w14:textId="633CC44F" w:rsidR="0015286A" w:rsidRPr="0038340A" w:rsidRDefault="0015286A" w:rsidP="000B78EA">
      <w:pPr>
        <w:pStyle w:val="Heading3"/>
      </w:pPr>
      <w:r w:rsidRPr="0038340A">
        <w:t>Stage 2</w:t>
      </w:r>
      <w:r w:rsidR="00C87FAD" w:rsidRPr="0038340A">
        <w:t>:</w:t>
      </w:r>
      <w:r w:rsidRPr="0038340A">
        <w:t xml:space="preserve"> Assessment</w:t>
      </w:r>
    </w:p>
    <w:p w14:paraId="471D4809" w14:textId="2D43FA32" w:rsidR="0015286A" w:rsidRPr="0038340A" w:rsidRDefault="0015286A" w:rsidP="00A76BCB">
      <w:pPr>
        <w:pStyle w:val="Bullet1"/>
      </w:pPr>
      <w:r w:rsidRPr="0038340A">
        <w:t xml:space="preserve">Written acknowledgement of proposal from </w:t>
      </w:r>
      <w:r w:rsidR="00500A58" w:rsidRPr="0038340A">
        <w:t>the department</w:t>
      </w:r>
    </w:p>
    <w:p w14:paraId="60424618" w14:textId="77777777" w:rsidR="00A23189" w:rsidRPr="0038340A" w:rsidRDefault="0015286A" w:rsidP="00A76BCB">
      <w:pPr>
        <w:pStyle w:val="Bullet1"/>
      </w:pPr>
      <w:r w:rsidRPr="0038340A">
        <w:t xml:space="preserve">Request for additional information (if needed) is issued by </w:t>
      </w:r>
      <w:r w:rsidR="00500A58" w:rsidRPr="0038340A">
        <w:t xml:space="preserve">the department </w:t>
      </w:r>
      <w:r w:rsidRPr="0038340A">
        <w:t xml:space="preserve">within </w:t>
      </w:r>
      <w:r w:rsidRPr="006526C2">
        <w:rPr>
          <w:b/>
          <w:bCs/>
        </w:rPr>
        <w:t>28 days</w:t>
      </w:r>
      <w:r w:rsidRPr="0038340A">
        <w:t xml:space="preserve"> of receipt of proposal</w:t>
      </w:r>
      <w:r w:rsidR="00C17C62" w:rsidRPr="0038340A">
        <w:t>. Agencies to be advised of expected assessment timeframes.</w:t>
      </w:r>
    </w:p>
    <w:p w14:paraId="05D13133" w14:textId="38E5C37F" w:rsidR="00421017" w:rsidRPr="00421017" w:rsidRDefault="00421017" w:rsidP="00421017">
      <w:pPr>
        <w:pStyle w:val="Bullet1"/>
      </w:pPr>
      <w:r w:rsidRPr="00421017">
        <w:rPr>
          <w:lang w:val="en-US"/>
        </w:rPr>
        <w:t>Assessment completed. Agencies advised of outcome. Agencies advised of expected timeframes for Financial Delegate approval and transfer implementation (stages 3 &amp; 4).</w:t>
      </w:r>
      <w:r>
        <w:rPr>
          <w:lang w:val="en-US"/>
        </w:rPr>
        <w:t xml:space="preserve"> </w:t>
      </w:r>
      <w:r w:rsidRPr="00421017">
        <w:rPr>
          <w:lang w:val="en-US"/>
        </w:rPr>
        <w:t>Where a Project Control Group has been established, timeframes will be agreed by the Group and be a standing agenda item.</w:t>
      </w:r>
    </w:p>
    <w:p w14:paraId="65F0DFCC" w14:textId="174D8C5B" w:rsidR="000E79F5" w:rsidRPr="0038340A" w:rsidRDefault="000E79F5" w:rsidP="000E79F5">
      <w:pPr>
        <w:pStyle w:val="Bullet1"/>
      </w:pPr>
      <w:r w:rsidRPr="0038340A">
        <w:t xml:space="preserve">Within </w:t>
      </w:r>
      <w:r w:rsidRPr="0038340A">
        <w:rPr>
          <w:b/>
          <w:bCs/>
        </w:rPr>
        <w:t xml:space="preserve">60 days </w:t>
      </w:r>
      <w:r w:rsidRPr="0038340A">
        <w:t>of receipt of proposal, DFFH must notify agencies of assessment progress (even if assessment is incomplete)</w:t>
      </w:r>
    </w:p>
    <w:p w14:paraId="2F99A195" w14:textId="73E76DB8" w:rsidR="0015286A" w:rsidRPr="0038340A" w:rsidRDefault="0015286A" w:rsidP="000B78EA">
      <w:pPr>
        <w:pStyle w:val="Heading3"/>
      </w:pPr>
      <w:r w:rsidRPr="0038340A">
        <w:t>Stage 3</w:t>
      </w:r>
      <w:r w:rsidR="00C87FAD" w:rsidRPr="0038340A">
        <w:t>:</w:t>
      </w:r>
      <w:r w:rsidRPr="0038340A">
        <w:t xml:space="preserve"> Approval</w:t>
      </w:r>
    </w:p>
    <w:p w14:paraId="33D89C22" w14:textId="77777777" w:rsidR="0015286A" w:rsidRPr="0038340A" w:rsidRDefault="0015286A" w:rsidP="00A76BCB">
      <w:pPr>
        <w:pStyle w:val="Bullet1"/>
      </w:pPr>
      <w:r w:rsidRPr="0038340A">
        <w:t>If required, further discussion and agreement on targets and funding to be transferred</w:t>
      </w:r>
    </w:p>
    <w:p w14:paraId="17EA9760" w14:textId="62FEB7F2" w:rsidR="0015286A" w:rsidRPr="0038340A" w:rsidRDefault="0015286A" w:rsidP="00A76BCB">
      <w:pPr>
        <w:pStyle w:val="Bullet1"/>
      </w:pPr>
      <w:r w:rsidRPr="0038340A">
        <w:t xml:space="preserve">Final changes to transfer proposal are made by ACCO, CSO and </w:t>
      </w:r>
      <w:r w:rsidR="00471D1E" w:rsidRPr="0038340A">
        <w:t>the department</w:t>
      </w:r>
    </w:p>
    <w:p w14:paraId="1DBDFB3E" w14:textId="3629C4E1" w:rsidR="0015286A" w:rsidRPr="0038340A" w:rsidRDefault="00471D1E" w:rsidP="00A76BCB">
      <w:pPr>
        <w:pStyle w:val="Bullet1"/>
      </w:pPr>
      <w:r w:rsidRPr="0038340A">
        <w:t>Departmental fi</w:t>
      </w:r>
      <w:r w:rsidR="0015286A" w:rsidRPr="0038340A">
        <w:t xml:space="preserve">nancial </w:t>
      </w:r>
      <w:r w:rsidRPr="0038340A">
        <w:t xml:space="preserve">delegate </w:t>
      </w:r>
      <w:r w:rsidR="0015286A" w:rsidRPr="0038340A">
        <w:t>approves requested changes to Service Agreements</w:t>
      </w:r>
    </w:p>
    <w:p w14:paraId="1C5C4A4C" w14:textId="7EBDC948" w:rsidR="0015286A" w:rsidRPr="0038340A" w:rsidRDefault="0015286A" w:rsidP="000B78EA">
      <w:pPr>
        <w:pStyle w:val="Heading3"/>
      </w:pPr>
      <w:r w:rsidRPr="0038340A">
        <w:t>Stage 4</w:t>
      </w:r>
      <w:r w:rsidR="00C87FAD" w:rsidRPr="0038340A">
        <w:t>:</w:t>
      </w:r>
      <w:r w:rsidRPr="0038340A">
        <w:t xml:space="preserve"> Implementation</w:t>
      </w:r>
    </w:p>
    <w:p w14:paraId="1B9B181C" w14:textId="77777777" w:rsidR="0015286A" w:rsidRPr="0038340A" w:rsidRDefault="0015286A" w:rsidP="00A76BCB">
      <w:pPr>
        <w:pStyle w:val="Bullet1"/>
      </w:pPr>
      <w:r w:rsidRPr="0038340A">
        <w:t>Variation of Service Agreement/s to reflect final proposal</w:t>
      </w:r>
    </w:p>
    <w:p w14:paraId="27F89D20" w14:textId="6A4F1765" w:rsidR="0015286A" w:rsidRPr="0038340A" w:rsidRDefault="00471D1E" w:rsidP="00A76BCB">
      <w:pPr>
        <w:pStyle w:val="Bullet1"/>
      </w:pPr>
      <w:r w:rsidRPr="0038340A">
        <w:t xml:space="preserve">Department </w:t>
      </w:r>
      <w:r w:rsidR="0015286A" w:rsidRPr="0038340A">
        <w:t>to provide transfer support, as required</w:t>
      </w:r>
    </w:p>
    <w:p w14:paraId="07B09BE3" w14:textId="7E815FF0" w:rsidR="0015286A" w:rsidRPr="0038340A" w:rsidRDefault="0015286A" w:rsidP="00A76BCB">
      <w:pPr>
        <w:pStyle w:val="Bullet1"/>
      </w:pPr>
      <w:r w:rsidRPr="0038340A">
        <w:t xml:space="preserve">Ongoing discussion as required on any transfer challenges, between </w:t>
      </w:r>
      <w:r w:rsidR="00471D1E" w:rsidRPr="0038340A">
        <w:t>the department</w:t>
      </w:r>
      <w:r w:rsidRPr="0038340A">
        <w:t>, ACCO and CSO</w:t>
      </w:r>
    </w:p>
    <w:p w14:paraId="1D58FCFA" w14:textId="77777777" w:rsidR="0015286A" w:rsidRPr="0038340A" w:rsidRDefault="0015286A" w:rsidP="000B78EA">
      <w:pPr>
        <w:pStyle w:val="Heading3"/>
      </w:pPr>
      <w:r w:rsidRPr="0038340A">
        <w:t>Across all stages</w:t>
      </w:r>
    </w:p>
    <w:p w14:paraId="79EDCE6B" w14:textId="79B5921F" w:rsidR="0015286A" w:rsidRPr="0038340A" w:rsidRDefault="0015286A" w:rsidP="00A76BCB">
      <w:pPr>
        <w:pStyle w:val="Bullet1"/>
      </w:pPr>
      <w:proofErr w:type="spellStart"/>
      <w:r w:rsidRPr="0038340A">
        <w:t>Wungurilwil</w:t>
      </w:r>
      <w:proofErr w:type="spellEnd"/>
      <w:r w:rsidRPr="0038340A">
        <w:t xml:space="preserve"> </w:t>
      </w:r>
      <w:proofErr w:type="spellStart"/>
      <w:r w:rsidRPr="0038340A">
        <w:t>Gapgapduir</w:t>
      </w:r>
      <w:proofErr w:type="spellEnd"/>
      <w:r w:rsidRPr="0038340A">
        <w:t xml:space="preserve"> Executive Committee and </w:t>
      </w:r>
      <w:r w:rsidR="00EB65A2" w:rsidRPr="0038340A">
        <w:t>ACF</w:t>
      </w:r>
      <w:r w:rsidRPr="0038340A">
        <w:t xml:space="preserve"> to provide oversight</w:t>
      </w:r>
    </w:p>
    <w:p w14:paraId="7EEC7379" w14:textId="25415A39" w:rsidR="000B78EA" w:rsidRDefault="00C26719" w:rsidP="00C26719">
      <w:pPr>
        <w:pStyle w:val="Heading2"/>
      </w:pPr>
      <w:bookmarkStart w:id="39" w:name="_Toc219710541"/>
      <w:r>
        <w:t>Local transition plans</w:t>
      </w:r>
      <w:bookmarkEnd w:id="39"/>
    </w:p>
    <w:p w14:paraId="3314E9A4" w14:textId="4180A2A5" w:rsidR="0015286A" w:rsidRPr="0038340A" w:rsidRDefault="00E05C6E" w:rsidP="00E05C6E">
      <w:pPr>
        <w:pStyle w:val="Bodyaftertablefigure"/>
      </w:pPr>
      <w:r w:rsidRPr="0038340A">
        <w:t>As Figure 1 shows, e</w:t>
      </w:r>
      <w:r w:rsidR="0015286A" w:rsidRPr="0038340A">
        <w:t>ngagement between ACCOs, CSOs and the local community is an important part of planning for transfer proposals.</w:t>
      </w:r>
      <w:r w:rsidRPr="0038340A">
        <w:t xml:space="preserve"> </w:t>
      </w:r>
      <w:r w:rsidR="0015286A" w:rsidRPr="0038340A">
        <w:t xml:space="preserve">In some instances, ACCOs </w:t>
      </w:r>
      <w:r w:rsidR="001B485E" w:rsidRPr="0038340A">
        <w:t xml:space="preserve">and CSOs </w:t>
      </w:r>
      <w:r w:rsidR="0015286A" w:rsidRPr="0038340A">
        <w:t xml:space="preserve">may </w:t>
      </w:r>
      <w:r w:rsidR="00C87FAD" w:rsidRPr="0038340A">
        <w:t>develop</w:t>
      </w:r>
      <w:r w:rsidR="0015286A" w:rsidRPr="0038340A">
        <w:t xml:space="preserve"> a </w:t>
      </w:r>
      <w:r w:rsidR="00C87FAD" w:rsidRPr="0038340A">
        <w:t>l</w:t>
      </w:r>
      <w:r w:rsidR="0015286A" w:rsidRPr="0038340A">
        <w:t xml:space="preserve">ocal </w:t>
      </w:r>
      <w:r w:rsidR="00C87FAD" w:rsidRPr="0038340A">
        <w:t>t</w:t>
      </w:r>
      <w:r w:rsidR="0015286A" w:rsidRPr="0038340A">
        <w:t xml:space="preserve">ransition </w:t>
      </w:r>
      <w:r w:rsidR="00C87FAD" w:rsidRPr="0038340A">
        <w:t>p</w:t>
      </w:r>
      <w:r w:rsidR="0015286A" w:rsidRPr="0038340A">
        <w:t>lan with early departmental input</w:t>
      </w:r>
      <w:r w:rsidR="00C87FAD" w:rsidRPr="0038340A">
        <w:t>.</w:t>
      </w:r>
      <w:r w:rsidR="0015286A" w:rsidRPr="0038340A">
        <w:t xml:space="preserve"> </w:t>
      </w:r>
      <w:r w:rsidR="00C87FAD" w:rsidRPr="0038340A">
        <w:t>This will</w:t>
      </w:r>
      <w:r w:rsidR="0015286A" w:rsidRPr="0038340A">
        <w:t xml:space="preserve"> consider broader transition goals beyond a specific proposal. </w:t>
      </w:r>
      <w:r w:rsidR="00C87FAD" w:rsidRPr="0038340A">
        <w:t>Local t</w:t>
      </w:r>
      <w:r w:rsidR="0015286A" w:rsidRPr="0038340A">
        <w:t xml:space="preserve">ransition </w:t>
      </w:r>
      <w:r w:rsidR="00C87FAD" w:rsidRPr="0038340A">
        <w:t>p</w:t>
      </w:r>
      <w:r w:rsidR="0015286A" w:rsidRPr="0038340A">
        <w:t>lan</w:t>
      </w:r>
      <w:r w:rsidR="00C87FAD" w:rsidRPr="0038340A">
        <w:t>s</w:t>
      </w:r>
      <w:r w:rsidR="0015286A" w:rsidRPr="0038340A">
        <w:t xml:space="preserve"> </w:t>
      </w:r>
      <w:r w:rsidR="00C87FAD" w:rsidRPr="0038340A">
        <w:t>allow</w:t>
      </w:r>
      <w:r w:rsidR="0015286A" w:rsidRPr="0038340A">
        <w:t xml:space="preserve"> for ongoing review of progress towards transition goals</w:t>
      </w:r>
      <w:r w:rsidR="00C87FAD" w:rsidRPr="0038340A">
        <w:t>. They may</w:t>
      </w:r>
      <w:r w:rsidR="0015286A" w:rsidRPr="0038340A">
        <w:t xml:space="preserve"> include:</w:t>
      </w:r>
    </w:p>
    <w:p w14:paraId="4453FB57" w14:textId="63CA9616" w:rsidR="0015286A" w:rsidRPr="0038340A" w:rsidRDefault="00C87FAD" w:rsidP="0015286A">
      <w:pPr>
        <w:pStyle w:val="Bullet1"/>
      </w:pPr>
      <w:r w:rsidRPr="0038340A">
        <w:t xml:space="preserve">transition </w:t>
      </w:r>
      <w:r w:rsidR="0015286A" w:rsidRPr="0038340A">
        <w:t>goals</w:t>
      </w:r>
    </w:p>
    <w:p w14:paraId="64DE0C60" w14:textId="34F698BD" w:rsidR="0015286A" w:rsidRPr="0038340A" w:rsidRDefault="00C87FAD" w:rsidP="0015286A">
      <w:pPr>
        <w:pStyle w:val="Bullet1"/>
      </w:pPr>
      <w:r w:rsidRPr="0038340A">
        <w:t>r</w:t>
      </w:r>
      <w:r w:rsidR="0015286A" w:rsidRPr="0038340A">
        <w:t>oles and responsibilities of stakeholders</w:t>
      </w:r>
    </w:p>
    <w:p w14:paraId="358D9B90" w14:textId="796E2F05" w:rsidR="0015286A" w:rsidRPr="0038340A" w:rsidRDefault="00C87FAD" w:rsidP="0015286A">
      <w:pPr>
        <w:pStyle w:val="Bullet1"/>
      </w:pPr>
      <w:r w:rsidRPr="0038340A">
        <w:t xml:space="preserve">governance </w:t>
      </w:r>
      <w:r w:rsidR="0015286A" w:rsidRPr="0038340A">
        <w:t>– how the plan is overseen by different groups and meetings</w:t>
      </w:r>
    </w:p>
    <w:p w14:paraId="1495B13E" w14:textId="34245D42" w:rsidR="0015286A" w:rsidRPr="0038340A" w:rsidRDefault="0015286A" w:rsidP="0015286A">
      <w:pPr>
        <w:pStyle w:val="Bullet1"/>
      </w:pPr>
      <w:r w:rsidRPr="0038340A">
        <w:t>communication processes – how stakeholders commit to share and seek information amongst themselves and community</w:t>
      </w:r>
    </w:p>
    <w:p w14:paraId="4DBD4767" w14:textId="257AFDF4" w:rsidR="0015286A" w:rsidRPr="0038340A" w:rsidRDefault="00C87FAD" w:rsidP="0015286A">
      <w:pPr>
        <w:pStyle w:val="Bullet1"/>
      </w:pPr>
      <w:r w:rsidRPr="0038340A">
        <w:t xml:space="preserve">an </w:t>
      </w:r>
      <w:r w:rsidR="0015286A" w:rsidRPr="0038340A">
        <w:t>agreed review cycle (</w:t>
      </w:r>
      <w:r w:rsidRPr="0038340A">
        <w:t>for example,</w:t>
      </w:r>
      <w:r w:rsidR="0015286A" w:rsidRPr="0038340A">
        <w:t xml:space="preserve"> yearly review).</w:t>
      </w:r>
    </w:p>
    <w:p w14:paraId="716916E0" w14:textId="36742390" w:rsidR="0015286A" w:rsidRPr="0038340A" w:rsidRDefault="00C87FAD" w:rsidP="006F480E">
      <w:pPr>
        <w:pStyle w:val="Heading2"/>
      </w:pPr>
      <w:bookmarkStart w:id="40" w:name="_Toc219710542"/>
      <w:r w:rsidRPr="0038340A">
        <w:lastRenderedPageBreak/>
        <w:t>P</w:t>
      </w:r>
      <w:r w:rsidR="0015286A" w:rsidRPr="0038340A">
        <w:t>roposals that are not endorsed</w:t>
      </w:r>
      <w:bookmarkEnd w:id="40"/>
    </w:p>
    <w:p w14:paraId="679F951F" w14:textId="721A78BA" w:rsidR="0015286A" w:rsidRPr="0038340A" w:rsidRDefault="0015286A" w:rsidP="0015286A">
      <w:pPr>
        <w:pStyle w:val="Body"/>
      </w:pPr>
      <w:r w:rsidRPr="0038340A">
        <w:t xml:space="preserve">If a proposal is not endorsed either at the </w:t>
      </w:r>
      <w:r w:rsidR="00C87FAD" w:rsidRPr="0038340A">
        <w:t>a</w:t>
      </w:r>
      <w:r w:rsidRPr="0038340A">
        <w:t xml:space="preserve">ssessment or </w:t>
      </w:r>
      <w:r w:rsidR="00C87FAD" w:rsidRPr="0038340A">
        <w:t xml:space="preserve">approval </w:t>
      </w:r>
      <w:r w:rsidRPr="0038340A">
        <w:t>stages, the department will notify the ACCO and CSO</w:t>
      </w:r>
      <w:r w:rsidR="006F480E" w:rsidRPr="0038340A">
        <w:t>s</w:t>
      </w:r>
      <w:r w:rsidR="00C87FAD" w:rsidRPr="0038340A">
        <w:t>. The department will set out</w:t>
      </w:r>
      <w:r w:rsidRPr="0038340A">
        <w:t xml:space="preserve"> the reasons why </w:t>
      </w:r>
      <w:r w:rsidR="00C87FAD" w:rsidRPr="0038340A">
        <w:t xml:space="preserve">the proposal was </w:t>
      </w:r>
      <w:r w:rsidRPr="0038340A">
        <w:t xml:space="preserve">not endorsed. If there is a dispute about a proposal, including a dispute over not being endorsed, this </w:t>
      </w:r>
      <w:r w:rsidR="00B04BBF" w:rsidRPr="0038340A">
        <w:t>can be</w:t>
      </w:r>
      <w:r w:rsidRPr="0038340A">
        <w:t xml:space="preserve"> referred</w:t>
      </w:r>
      <w:r w:rsidR="00B04BBF" w:rsidRPr="0038340A">
        <w:t xml:space="preserve"> by ACCOs and CSOs</w:t>
      </w:r>
      <w:r w:rsidRPr="0038340A">
        <w:t xml:space="preserve"> to the WEC for mediation.</w:t>
      </w:r>
    </w:p>
    <w:p w14:paraId="7028A8F1" w14:textId="77777777" w:rsidR="0015286A" w:rsidRPr="0038340A" w:rsidRDefault="0015286A" w:rsidP="005A734C">
      <w:pPr>
        <w:pStyle w:val="Heading2"/>
      </w:pPr>
      <w:bookmarkStart w:id="41" w:name="_Toc219710543"/>
      <w:r w:rsidRPr="0038340A">
        <w:t>Management of information about agency performance, quality and compliance</w:t>
      </w:r>
      <w:bookmarkEnd w:id="41"/>
    </w:p>
    <w:p w14:paraId="62E607DB" w14:textId="32598405" w:rsidR="0015286A" w:rsidRPr="0038340A" w:rsidRDefault="0015286A" w:rsidP="0015286A">
      <w:pPr>
        <w:pStyle w:val="Body"/>
      </w:pPr>
      <w:r w:rsidRPr="0038340A">
        <w:t xml:space="preserve">At the </w:t>
      </w:r>
      <w:r w:rsidR="00C87FAD" w:rsidRPr="0038340A">
        <w:t>a</w:t>
      </w:r>
      <w:r w:rsidRPr="0038340A">
        <w:t xml:space="preserve">ssessment stage, the department may be aware of performance, quality and compliance issues relating to a CSO </w:t>
      </w:r>
      <w:r w:rsidR="00C87FAD" w:rsidRPr="0038340A">
        <w:t xml:space="preserve">or </w:t>
      </w:r>
      <w:r w:rsidRPr="0038340A">
        <w:t xml:space="preserve">ACCO. </w:t>
      </w:r>
      <w:r w:rsidR="00C87FAD" w:rsidRPr="0038340A">
        <w:t>The</w:t>
      </w:r>
      <w:r w:rsidRPr="0038340A">
        <w:t xml:space="preserve"> department </w:t>
      </w:r>
      <w:r w:rsidR="00C87FAD" w:rsidRPr="0038340A">
        <w:t xml:space="preserve">will </w:t>
      </w:r>
      <w:r w:rsidRPr="0038340A">
        <w:t xml:space="preserve">determine </w:t>
      </w:r>
      <w:r w:rsidR="00512CA5" w:rsidRPr="0038340A">
        <w:t xml:space="preserve">whether </w:t>
      </w:r>
      <w:r w:rsidRPr="0038340A">
        <w:t>parties are aware of any issues</w:t>
      </w:r>
      <w:r w:rsidR="00512CA5" w:rsidRPr="0038340A">
        <w:t>,</w:t>
      </w:r>
      <w:r w:rsidRPr="0038340A">
        <w:t xml:space="preserve"> </w:t>
      </w:r>
      <w:r w:rsidR="00512CA5" w:rsidRPr="0038340A">
        <w:t xml:space="preserve">and, </w:t>
      </w:r>
      <w:r w:rsidRPr="0038340A">
        <w:t xml:space="preserve">if not, </w:t>
      </w:r>
      <w:r w:rsidR="00512CA5" w:rsidRPr="0038340A">
        <w:t xml:space="preserve">it will </w:t>
      </w:r>
      <w:r w:rsidRPr="0038340A">
        <w:t>inform them if appropriate. Confidentiality will be a key consideration as to what information can be shared.</w:t>
      </w:r>
      <w:bookmarkStart w:id="42" w:name="_Toc204004658"/>
      <w:bookmarkStart w:id="43" w:name="_Toc204345386"/>
      <w:r w:rsidR="0032180B" w:rsidRPr="0038340A">
        <w:t xml:space="preserve"> </w:t>
      </w:r>
      <w:r w:rsidR="00817188" w:rsidRPr="0038340A">
        <w:t>Ideally, issues are addressed and resolved</w:t>
      </w:r>
      <w:r w:rsidR="00CC7765" w:rsidRPr="0038340A">
        <w:t xml:space="preserve"> between an ACCO/CSO and the department</w:t>
      </w:r>
      <w:r w:rsidR="00714275" w:rsidRPr="0038340A">
        <w:t xml:space="preserve"> prior to any transfer proposal</w:t>
      </w:r>
      <w:r w:rsidR="0014448E" w:rsidRPr="0038340A">
        <w:t>.</w:t>
      </w:r>
    </w:p>
    <w:p w14:paraId="2DC84263" w14:textId="77777777" w:rsidR="0015286A" w:rsidRPr="0038340A" w:rsidRDefault="0015286A" w:rsidP="0015286A">
      <w:pPr>
        <w:pStyle w:val="Heading1"/>
      </w:pPr>
      <w:bookmarkStart w:id="44" w:name="_Toc211509479"/>
      <w:bookmarkStart w:id="45" w:name="_Toc219710544"/>
      <w:r w:rsidRPr="0038340A">
        <w:t>Roles and responsibilities</w:t>
      </w:r>
      <w:bookmarkEnd w:id="42"/>
      <w:bookmarkEnd w:id="43"/>
      <w:bookmarkEnd w:id="44"/>
      <w:bookmarkEnd w:id="45"/>
    </w:p>
    <w:p w14:paraId="76A7A408" w14:textId="009CF250" w:rsidR="0015286A" w:rsidRPr="0038340A" w:rsidRDefault="00512CA5" w:rsidP="0015286A">
      <w:pPr>
        <w:pStyle w:val="Body"/>
      </w:pPr>
      <w:bookmarkStart w:id="46" w:name="_Toc186713263"/>
      <w:r w:rsidRPr="0038340A">
        <w:t>This section sets out the</w:t>
      </w:r>
      <w:r w:rsidR="0015286A" w:rsidRPr="0038340A">
        <w:t xml:space="preserve"> roles and responsibilities of </w:t>
      </w:r>
      <w:r w:rsidRPr="0038340A">
        <w:t xml:space="preserve">each </w:t>
      </w:r>
      <w:r w:rsidR="0015286A" w:rsidRPr="0038340A">
        <w:t>stakeholder group in the transition of resources to ACCOs</w:t>
      </w:r>
      <w:r w:rsidRPr="0038340A">
        <w:t>. It builds on the responsibilities in the previous section</w:t>
      </w:r>
      <w:r w:rsidR="0015286A" w:rsidRPr="0038340A">
        <w:t>.</w:t>
      </w:r>
    </w:p>
    <w:p w14:paraId="184CBF78" w14:textId="0BC30ED9" w:rsidR="0015286A" w:rsidRPr="0038340A" w:rsidRDefault="0015286A" w:rsidP="00830AE0">
      <w:pPr>
        <w:pStyle w:val="Heading2"/>
      </w:pPr>
      <w:bookmarkStart w:id="47" w:name="_Toc219710545"/>
      <w:r w:rsidRPr="0038340A">
        <w:t>Department of Families, Fairness and Housing</w:t>
      </w:r>
      <w:bookmarkEnd w:id="47"/>
    </w:p>
    <w:p w14:paraId="535A1C1C" w14:textId="58F38FA7" w:rsidR="0015286A" w:rsidRPr="0038340A" w:rsidRDefault="0015286A" w:rsidP="00830AE0">
      <w:pPr>
        <w:pStyle w:val="Heading3"/>
      </w:pPr>
      <w:r w:rsidRPr="0038340A">
        <w:t>Department</w:t>
      </w:r>
      <w:r w:rsidR="00512CA5" w:rsidRPr="0038340A">
        <w:t>-</w:t>
      </w:r>
      <w:r w:rsidRPr="0038340A">
        <w:t>wide responsibilities</w:t>
      </w:r>
    </w:p>
    <w:p w14:paraId="42F53CE2" w14:textId="75C777AA" w:rsidR="0015286A" w:rsidRPr="0038340A" w:rsidRDefault="0015286A" w:rsidP="0015286A">
      <w:pPr>
        <w:pStyle w:val="Body"/>
      </w:pPr>
      <w:r w:rsidRPr="0038340A">
        <w:t xml:space="preserve">The department </w:t>
      </w:r>
      <w:r w:rsidR="00512CA5" w:rsidRPr="0038340A">
        <w:t>facilitates</w:t>
      </w:r>
      <w:r w:rsidRPr="0038340A">
        <w:t xml:space="preserve"> </w:t>
      </w:r>
      <w:r w:rsidR="00502F25" w:rsidRPr="0038340A">
        <w:t>transfer</w:t>
      </w:r>
      <w:r w:rsidRPr="0038340A">
        <w:t xml:space="preserve"> processes. As the provider of funding to CSOs and ACCOs, the department has r</w:t>
      </w:r>
      <w:r w:rsidR="00512CA5" w:rsidRPr="0038340A">
        <w:t xml:space="preserve">esponsibilities </w:t>
      </w:r>
      <w:r w:rsidRPr="0038340A">
        <w:t xml:space="preserve">under the </w:t>
      </w:r>
      <w:r w:rsidRPr="0038340A">
        <w:rPr>
          <w:i/>
          <w:iCs/>
        </w:rPr>
        <w:t xml:space="preserve">Financial Management Act </w:t>
      </w:r>
      <w:r w:rsidRPr="0038340A">
        <w:t>1994</w:t>
      </w:r>
      <w:r w:rsidRPr="0038340A">
        <w:rPr>
          <w:i/>
          <w:iCs/>
        </w:rPr>
        <w:t xml:space="preserve"> </w:t>
      </w:r>
      <w:r w:rsidRPr="0038340A">
        <w:t>and related Standing Directions</w:t>
      </w:r>
      <w:r w:rsidRPr="0038340A">
        <w:rPr>
          <w:i/>
          <w:iCs/>
        </w:rPr>
        <w:t xml:space="preserve"> </w:t>
      </w:r>
      <w:r w:rsidRPr="0038340A">
        <w:t>2018 issued by the Department of Treasury and Finance</w:t>
      </w:r>
      <w:r w:rsidR="00512CA5" w:rsidRPr="0038340A">
        <w:t>.</w:t>
      </w:r>
      <w:r w:rsidRPr="0038340A">
        <w:t xml:space="preserve"> </w:t>
      </w:r>
      <w:r w:rsidR="00512CA5" w:rsidRPr="0038340A">
        <w:t xml:space="preserve">These include </w:t>
      </w:r>
      <w:r w:rsidRPr="0038340A">
        <w:t>oversee</w:t>
      </w:r>
      <w:r w:rsidR="00512CA5" w:rsidRPr="0038340A">
        <w:t>ing</w:t>
      </w:r>
      <w:r w:rsidRPr="0038340A">
        <w:t xml:space="preserve"> how funds are </w:t>
      </w:r>
      <w:r w:rsidR="00512CA5" w:rsidRPr="0038340A">
        <w:t xml:space="preserve">used </w:t>
      </w:r>
      <w:r w:rsidRPr="0038340A">
        <w:t xml:space="preserve">and transferred. </w:t>
      </w:r>
      <w:r w:rsidR="00512CA5" w:rsidRPr="0038340A">
        <w:t>A</w:t>
      </w:r>
      <w:r w:rsidRPr="0038340A">
        <w:t xml:space="preserve">s work progresses towards greater Aboriginal self-determination in child and family services, this financial role may change in future </w:t>
      </w:r>
      <w:r w:rsidR="00512CA5" w:rsidRPr="0038340A">
        <w:t>policies</w:t>
      </w:r>
      <w:r w:rsidRPr="0038340A">
        <w:t>.</w:t>
      </w:r>
    </w:p>
    <w:p w14:paraId="56EA407A" w14:textId="737AE298" w:rsidR="00502F25" w:rsidRPr="0038340A" w:rsidRDefault="00502F25" w:rsidP="0015286A">
      <w:pPr>
        <w:pStyle w:val="Body"/>
      </w:pPr>
      <w:r w:rsidRPr="0038340A">
        <w:t>Alongside this financial decision-making role, the department has a responsibility to uphold Aboriginal self-determination</w:t>
      </w:r>
      <w:r w:rsidR="00095A90" w:rsidRPr="0038340A">
        <w:t xml:space="preserve"> in</w:t>
      </w:r>
      <w:r w:rsidR="00716849" w:rsidRPr="0038340A">
        <w:t xml:space="preserve"> child and family services</w:t>
      </w:r>
      <w:r w:rsidRPr="0038340A">
        <w:t xml:space="preserve">, as committed </w:t>
      </w:r>
      <w:r w:rsidR="00095A90" w:rsidRPr="0038340A">
        <w:t xml:space="preserve">to under the </w:t>
      </w:r>
      <w:proofErr w:type="spellStart"/>
      <w:r w:rsidR="00095A90" w:rsidRPr="0038340A">
        <w:t>Wungurilwil</w:t>
      </w:r>
      <w:proofErr w:type="spellEnd"/>
      <w:r w:rsidR="00095A90" w:rsidRPr="0038340A">
        <w:t xml:space="preserve"> </w:t>
      </w:r>
      <w:proofErr w:type="spellStart"/>
      <w:r w:rsidR="00095A90" w:rsidRPr="0038340A">
        <w:t>Gapgapduir</w:t>
      </w:r>
      <w:proofErr w:type="spellEnd"/>
      <w:r w:rsidR="00095A90" w:rsidRPr="0038340A">
        <w:t xml:space="preserve"> Agreement</w:t>
      </w:r>
      <w:r w:rsidR="007F46B8" w:rsidRPr="0038340A">
        <w:t>.</w:t>
      </w:r>
    </w:p>
    <w:p w14:paraId="552D745B" w14:textId="7366F0EE" w:rsidR="0015286A" w:rsidRPr="0038340A" w:rsidRDefault="0015286A" w:rsidP="0015286A">
      <w:pPr>
        <w:pStyle w:val="Body"/>
      </w:pPr>
      <w:r w:rsidRPr="0038340A">
        <w:t xml:space="preserve">The department </w:t>
      </w:r>
      <w:r w:rsidR="00512CA5" w:rsidRPr="0038340A">
        <w:t xml:space="preserve">will </w:t>
      </w:r>
      <w:r w:rsidRPr="0038340A">
        <w:t>assess transition proposals with the broader statewide system in mind</w:t>
      </w:r>
      <w:r w:rsidR="00512CA5" w:rsidRPr="0038340A">
        <w:t>. This</w:t>
      </w:r>
      <w:r w:rsidRPr="0038340A">
        <w:t xml:space="preserve"> ensure</w:t>
      </w:r>
      <w:r w:rsidR="00512CA5" w:rsidRPr="0038340A">
        <w:t>s</w:t>
      </w:r>
      <w:r w:rsidRPr="0038340A">
        <w:t xml:space="preserve"> sustainable, transparent and fair transition processes. </w:t>
      </w:r>
      <w:r w:rsidR="00512CA5" w:rsidRPr="0038340A">
        <w:t>A</w:t>
      </w:r>
      <w:r w:rsidRPr="0038340A">
        <w:t>ssessment occurs alongside ongoing consultation with ACCO and CSO stakeholders.</w:t>
      </w:r>
    </w:p>
    <w:p w14:paraId="4BD5A11F" w14:textId="3A26E834" w:rsidR="0015286A" w:rsidRPr="0038340A" w:rsidRDefault="00512CA5" w:rsidP="0015286A">
      <w:pPr>
        <w:pStyle w:val="Body"/>
      </w:pPr>
      <w:r w:rsidRPr="0038340A">
        <w:t>Before assessment and approval, t</w:t>
      </w:r>
      <w:r w:rsidR="0015286A" w:rsidRPr="0038340A">
        <w:t xml:space="preserve">he department </w:t>
      </w:r>
      <w:r w:rsidRPr="0038340A">
        <w:t xml:space="preserve">will </w:t>
      </w:r>
      <w:r w:rsidR="0015286A" w:rsidRPr="0038340A">
        <w:t>work collaboratively with ACCOs and CSOs to ensure transfer proposals are adequately developed</w:t>
      </w:r>
      <w:r w:rsidRPr="0038340A">
        <w:t>.</w:t>
      </w:r>
      <w:r w:rsidR="0015286A" w:rsidRPr="0038340A">
        <w:t xml:space="preserve"> The department will also endeavour to</w:t>
      </w:r>
      <w:r w:rsidR="009E3C74" w:rsidRPr="0038340A">
        <w:t xml:space="preserve"> communicate proactively on transfer process timelines to ensure readiness and</w:t>
      </w:r>
      <w:r w:rsidR="0015286A" w:rsidRPr="0038340A">
        <w:t xml:space="preserve"> meet agreed deadlines</w:t>
      </w:r>
      <w:r w:rsidR="00E924AD" w:rsidRPr="0038340A">
        <w:t xml:space="preserve">. This will </w:t>
      </w:r>
      <w:r w:rsidR="0015286A" w:rsidRPr="0038340A">
        <w:t>ensure ACCO and CSO service delivery is not adversely interrupted due to transfer delays.</w:t>
      </w:r>
    </w:p>
    <w:p w14:paraId="5D9308D6" w14:textId="527A3D08" w:rsidR="0015286A" w:rsidRPr="0038340A" w:rsidRDefault="0015286A" w:rsidP="0015286A">
      <w:pPr>
        <w:pStyle w:val="Body"/>
      </w:pPr>
      <w:r w:rsidRPr="0038340A">
        <w:t xml:space="preserve">The department will work in partnership with VACYPA, VACCA and the Centre for Excellence in Child and Family Welfare to actively communicate and promote this </w:t>
      </w:r>
      <w:r w:rsidR="00E924AD" w:rsidRPr="0038340A">
        <w:t>policy</w:t>
      </w:r>
      <w:r w:rsidRPr="0038340A">
        <w:t xml:space="preserve">. </w:t>
      </w:r>
    </w:p>
    <w:p w14:paraId="6CC6ED21" w14:textId="1BD143CB" w:rsidR="0015286A" w:rsidRPr="0038340A" w:rsidRDefault="0015286A" w:rsidP="00830AE0">
      <w:pPr>
        <w:pStyle w:val="Heading3"/>
      </w:pPr>
      <w:r w:rsidRPr="0038340A">
        <w:t xml:space="preserve">Children and Families Division </w:t>
      </w:r>
    </w:p>
    <w:p w14:paraId="268400B4" w14:textId="62C51046" w:rsidR="0015286A" w:rsidRPr="0038340A" w:rsidRDefault="00E924AD" w:rsidP="0015286A">
      <w:pPr>
        <w:pStyle w:val="Body"/>
      </w:pPr>
      <w:r w:rsidRPr="0038340A">
        <w:t>Children and Families Division (</w:t>
      </w:r>
      <w:r w:rsidR="0015286A" w:rsidRPr="0038340A">
        <w:t>CFD</w:t>
      </w:r>
      <w:r w:rsidRPr="0038340A">
        <w:t>)</w:t>
      </w:r>
      <w:r w:rsidR="0015286A" w:rsidRPr="0038340A">
        <w:t xml:space="preserve"> </w:t>
      </w:r>
      <w:proofErr w:type="gramStart"/>
      <w:r w:rsidR="0015286A" w:rsidRPr="0038340A">
        <w:t>provides</w:t>
      </w:r>
      <w:proofErr w:type="gramEnd"/>
      <w:r w:rsidR="0015286A" w:rsidRPr="0038340A">
        <w:t xml:space="preserve"> statewide oversight of child protection, care service</w:t>
      </w:r>
      <w:r w:rsidR="00830AE0" w:rsidRPr="0038340A">
        <w:t>s</w:t>
      </w:r>
      <w:r w:rsidR="0015286A" w:rsidRPr="0038340A">
        <w:t xml:space="preserve"> and family service</w:t>
      </w:r>
      <w:r w:rsidR="00830AE0" w:rsidRPr="0038340A">
        <w:t>s</w:t>
      </w:r>
      <w:r w:rsidR="0015286A" w:rsidRPr="0038340A">
        <w:t xml:space="preserve"> systems</w:t>
      </w:r>
      <w:r w:rsidRPr="0038340A">
        <w:t>. It also facilitates</w:t>
      </w:r>
      <w:r w:rsidR="0015286A" w:rsidRPr="0038340A">
        <w:t xml:space="preserve"> Aboriginal-led reforms to these systems. Responsibilities of CFD under this policy include:</w:t>
      </w:r>
    </w:p>
    <w:p w14:paraId="311BBAA8" w14:textId="6C083FFE" w:rsidR="0015286A" w:rsidRPr="0038340A" w:rsidRDefault="00E924AD" w:rsidP="005B6AE5">
      <w:pPr>
        <w:pStyle w:val="Bullet1"/>
      </w:pPr>
      <w:r w:rsidRPr="0038340A">
        <w:t xml:space="preserve">provide </w:t>
      </w:r>
      <w:r w:rsidR="0015286A" w:rsidRPr="0038340A">
        <w:t>statewide</w:t>
      </w:r>
      <w:r w:rsidR="005336E2" w:rsidRPr="0038340A">
        <w:t xml:space="preserve"> planning and</w:t>
      </w:r>
      <w:r w:rsidR="0015286A" w:rsidRPr="0038340A">
        <w:t xml:space="preserve"> oversight of transfers</w:t>
      </w:r>
    </w:p>
    <w:p w14:paraId="0FD47A87" w14:textId="2F390855" w:rsidR="0015286A" w:rsidRPr="0038340A" w:rsidRDefault="00E924AD" w:rsidP="005B6AE5">
      <w:pPr>
        <w:pStyle w:val="Bullet1"/>
      </w:pPr>
      <w:r w:rsidRPr="0038340A">
        <w:t xml:space="preserve">monitor </w:t>
      </w:r>
      <w:r w:rsidR="0015286A" w:rsidRPr="0038340A">
        <w:t xml:space="preserve">and review implementation of this </w:t>
      </w:r>
      <w:r w:rsidRPr="0038340A">
        <w:t>policy</w:t>
      </w:r>
    </w:p>
    <w:p w14:paraId="656D490F" w14:textId="26D594BA" w:rsidR="0015286A" w:rsidRPr="0038340A" w:rsidRDefault="00E924AD" w:rsidP="005B6AE5">
      <w:pPr>
        <w:pStyle w:val="Bullet1"/>
      </w:pPr>
      <w:r w:rsidRPr="0038340A">
        <w:lastRenderedPageBreak/>
        <w:t xml:space="preserve">promote </w:t>
      </w:r>
      <w:r w:rsidR="0015286A" w:rsidRPr="0038340A">
        <w:t>awareness</w:t>
      </w:r>
      <w:r w:rsidR="00CB0828" w:rsidRPr="0038340A">
        <w:t xml:space="preserve"> and understanding</w:t>
      </w:r>
      <w:r w:rsidR="0015286A" w:rsidRPr="0038340A">
        <w:t xml:space="preserve"> of the policy </w:t>
      </w:r>
      <w:r w:rsidR="00BD39A6" w:rsidRPr="0038340A">
        <w:t>among</w:t>
      </w:r>
      <w:r w:rsidR="0015286A" w:rsidRPr="0038340A">
        <w:t xml:space="preserve"> CSOs, ACCOs and </w:t>
      </w:r>
      <w:r w:rsidR="00EB65A2" w:rsidRPr="0038340A">
        <w:t>the department’s Community Operations and Practice Leadership (COPL) areas</w:t>
      </w:r>
    </w:p>
    <w:p w14:paraId="040A69BF" w14:textId="2E015077" w:rsidR="0035577C" w:rsidRPr="0038340A" w:rsidRDefault="00E924AD" w:rsidP="005B6AE5">
      <w:pPr>
        <w:pStyle w:val="Bullet1"/>
      </w:pPr>
      <w:r w:rsidRPr="0038340A">
        <w:t xml:space="preserve">provide </w:t>
      </w:r>
      <w:r w:rsidR="0015286A" w:rsidRPr="0038340A">
        <w:t>policy advice and input into the COPL-led assessment, and support WEC and ACF briefings</w:t>
      </w:r>
      <w:r w:rsidR="00567517" w:rsidRPr="0038340A">
        <w:t xml:space="preserve"> </w:t>
      </w:r>
    </w:p>
    <w:p w14:paraId="78D48DD5" w14:textId="6088A12E" w:rsidR="0015286A" w:rsidRPr="0038340A" w:rsidRDefault="0035577C" w:rsidP="005B6AE5">
      <w:pPr>
        <w:pStyle w:val="Bullet1"/>
      </w:pPr>
      <w:r w:rsidRPr="0038340A">
        <w:t>p</w:t>
      </w:r>
      <w:r w:rsidR="0015286A" w:rsidRPr="0038340A">
        <w:t>rovide advice if a transition proposal includes changes to a service model, such as significant changes to the type or scope of targets.</w:t>
      </w:r>
    </w:p>
    <w:p w14:paraId="0D521D51" w14:textId="42ED11BD" w:rsidR="0015286A" w:rsidRPr="0038340A" w:rsidRDefault="0015286A" w:rsidP="00AE7602">
      <w:pPr>
        <w:pStyle w:val="Heading3"/>
      </w:pPr>
      <w:r w:rsidRPr="0038340A">
        <w:t xml:space="preserve">Community Operations and Practice Leadership division </w:t>
      </w:r>
    </w:p>
    <w:p w14:paraId="604EE401" w14:textId="77887334" w:rsidR="00E924AD" w:rsidRPr="0038340A" w:rsidRDefault="0015286A" w:rsidP="0015286A">
      <w:pPr>
        <w:pStyle w:val="Body"/>
      </w:pPr>
      <w:r w:rsidRPr="0038340A">
        <w:t xml:space="preserve">COPL </w:t>
      </w:r>
      <w:r w:rsidR="00E924AD" w:rsidRPr="0038340A">
        <w:t xml:space="preserve">is the department’s service delivery division. It </w:t>
      </w:r>
      <w:r w:rsidRPr="0038340A">
        <w:t>implement</w:t>
      </w:r>
      <w:r w:rsidR="00E924AD" w:rsidRPr="0038340A">
        <w:t>s</w:t>
      </w:r>
      <w:r w:rsidRPr="0038340A">
        <w:t xml:space="preserve"> operational policy and funding frameworks. </w:t>
      </w:r>
    </w:p>
    <w:p w14:paraId="223B6659" w14:textId="2C38AFC6" w:rsidR="0015286A" w:rsidRPr="0038340A" w:rsidRDefault="0015286A" w:rsidP="0015286A">
      <w:pPr>
        <w:pStyle w:val="Body"/>
      </w:pPr>
      <w:r w:rsidRPr="0038340A">
        <w:t>COPL work</w:t>
      </w:r>
      <w:r w:rsidR="00293911" w:rsidRPr="0038340A">
        <w:t>s</w:t>
      </w:r>
      <w:r w:rsidRPr="0038340A">
        <w:t xml:space="preserve"> across geographic Areas</w:t>
      </w:r>
      <w:r w:rsidR="005F2D4F" w:rsidRPr="0038340A">
        <w:t>,</w:t>
      </w:r>
      <w:r w:rsidRPr="0038340A">
        <w:t xml:space="preserve"> </w:t>
      </w:r>
      <w:r w:rsidR="005F2D4F" w:rsidRPr="0038340A">
        <w:t xml:space="preserve">to </w:t>
      </w:r>
      <w:r w:rsidR="00E924AD" w:rsidRPr="0038340A">
        <w:t>provide</w:t>
      </w:r>
      <w:r w:rsidRPr="0038340A">
        <w:t xml:space="preserve"> local support and oversight. Agency Performance and Systems Support teams within COPL provide oversight of Service Agreements and agency performance. </w:t>
      </w:r>
    </w:p>
    <w:p w14:paraId="5BD22777" w14:textId="54E0E01E" w:rsidR="0015286A" w:rsidRPr="0038340A" w:rsidRDefault="0015286A" w:rsidP="0015286A">
      <w:pPr>
        <w:pStyle w:val="Body"/>
      </w:pPr>
      <w:r w:rsidRPr="0038340A">
        <w:t xml:space="preserve">COPL </w:t>
      </w:r>
      <w:r w:rsidR="00E924AD" w:rsidRPr="0038340A">
        <w:t xml:space="preserve">responsibilities </w:t>
      </w:r>
      <w:r w:rsidRPr="0038340A">
        <w:t>under this policy include:</w:t>
      </w:r>
    </w:p>
    <w:p w14:paraId="2840F6D8" w14:textId="57E1EB19" w:rsidR="0015286A" w:rsidRPr="0038340A" w:rsidRDefault="00E924AD" w:rsidP="005B6AE5">
      <w:pPr>
        <w:pStyle w:val="Bullet1"/>
        <w:rPr>
          <w:b/>
          <w:bCs/>
        </w:rPr>
      </w:pPr>
      <w:r w:rsidRPr="0038340A">
        <w:t xml:space="preserve">fostering </w:t>
      </w:r>
      <w:r w:rsidR="0015286A" w:rsidRPr="0038340A">
        <w:t xml:space="preserve">relationships with </w:t>
      </w:r>
      <w:r w:rsidRPr="0038340A">
        <w:t xml:space="preserve">local </w:t>
      </w:r>
      <w:r w:rsidR="0015286A" w:rsidRPr="0038340A">
        <w:t>communities, ACCOs and CSOs</w:t>
      </w:r>
    </w:p>
    <w:p w14:paraId="5F4A848C" w14:textId="1F6B5D8F" w:rsidR="0015286A" w:rsidRPr="0038340A" w:rsidRDefault="00E924AD" w:rsidP="005B6AE5">
      <w:pPr>
        <w:pStyle w:val="Bullet1"/>
      </w:pPr>
      <w:r w:rsidRPr="0038340A">
        <w:t xml:space="preserve">together </w:t>
      </w:r>
      <w:r w:rsidR="0015286A" w:rsidRPr="0038340A">
        <w:t>with CSOs and CFD, respond</w:t>
      </w:r>
      <w:r w:rsidRPr="0038340A">
        <w:t>ing</w:t>
      </w:r>
      <w:r w:rsidR="0015286A" w:rsidRPr="0038340A">
        <w:t xml:space="preserve"> to ACCO requests for relevant service data </w:t>
      </w:r>
      <w:r w:rsidRPr="0038340A">
        <w:t>to</w:t>
      </w:r>
      <w:r w:rsidR="0015286A" w:rsidRPr="0038340A">
        <w:t xml:space="preserve"> inform transition planning</w:t>
      </w:r>
    </w:p>
    <w:p w14:paraId="48CBE505" w14:textId="012110D6" w:rsidR="0015286A" w:rsidRPr="0038340A" w:rsidRDefault="00E924AD" w:rsidP="005B6AE5">
      <w:pPr>
        <w:pStyle w:val="Bullet1"/>
      </w:pPr>
      <w:r w:rsidRPr="0038340A">
        <w:t>upon request, providing</w:t>
      </w:r>
      <w:r w:rsidR="0015286A" w:rsidRPr="0038340A">
        <w:t xml:space="preserve"> input into transition planning discussions between ACCOs and CSOs</w:t>
      </w:r>
      <w:r w:rsidRPr="0038340A">
        <w:t xml:space="preserve"> </w:t>
      </w:r>
      <w:r w:rsidR="0015286A" w:rsidRPr="0038340A">
        <w:t>(prior to a formal transfer proposal)</w:t>
      </w:r>
    </w:p>
    <w:p w14:paraId="769E8E54" w14:textId="4BA4CE4C" w:rsidR="005A234D" w:rsidRPr="0038340A" w:rsidRDefault="005A234D" w:rsidP="005B6AE5">
      <w:pPr>
        <w:pStyle w:val="Bullet1"/>
      </w:pPr>
      <w:r w:rsidRPr="0038340A">
        <w:t>proactively informing CFD of initial discussions with ACCOs about transfer proposals. This will help to address issues early and ensure statewide oversight</w:t>
      </w:r>
    </w:p>
    <w:p w14:paraId="511DDBD0" w14:textId="076722CA" w:rsidR="0015286A" w:rsidRPr="0038340A" w:rsidRDefault="00E924AD" w:rsidP="005B6AE5">
      <w:pPr>
        <w:pStyle w:val="Bullet1"/>
        <w:rPr>
          <w:b/>
        </w:rPr>
      </w:pPr>
      <w:r w:rsidRPr="0038340A">
        <w:t xml:space="preserve">receiving </w:t>
      </w:r>
      <w:r w:rsidR="0015286A" w:rsidRPr="0038340A">
        <w:t xml:space="preserve">transfer proposals and </w:t>
      </w:r>
      <w:r w:rsidRPr="0038340A">
        <w:t xml:space="preserve">coordinating </w:t>
      </w:r>
      <w:r w:rsidR="0015286A" w:rsidRPr="0038340A">
        <w:t>the initial departmental assessment</w:t>
      </w:r>
    </w:p>
    <w:p w14:paraId="252B6BBE" w14:textId="4A751761" w:rsidR="0015286A" w:rsidRPr="0038340A" w:rsidRDefault="00E924AD" w:rsidP="005B6AE5">
      <w:pPr>
        <w:pStyle w:val="Bullet1"/>
      </w:pPr>
      <w:r w:rsidRPr="0038340A">
        <w:t xml:space="preserve">working </w:t>
      </w:r>
      <w:r w:rsidR="0015286A" w:rsidRPr="0038340A">
        <w:t>collaboratively with ACCOs and CSOs at each stage of the transfer process to enable the early resolution of issues</w:t>
      </w:r>
    </w:p>
    <w:p w14:paraId="0DD12F52" w14:textId="00302264" w:rsidR="0015286A" w:rsidRPr="0038340A" w:rsidRDefault="00E924AD" w:rsidP="005B6AE5">
      <w:pPr>
        <w:pStyle w:val="Bullet1"/>
      </w:pPr>
      <w:r w:rsidRPr="0038340A">
        <w:t xml:space="preserve">upon </w:t>
      </w:r>
      <w:r w:rsidR="0015286A" w:rsidRPr="0038340A">
        <w:t xml:space="preserve">request, </w:t>
      </w:r>
      <w:r w:rsidRPr="0038340A">
        <w:t xml:space="preserve">providing </w:t>
      </w:r>
      <w:r w:rsidR="0015286A" w:rsidRPr="0038340A">
        <w:t>support to ACCOs where CSOs are not engaging in transition planning.</w:t>
      </w:r>
    </w:p>
    <w:p w14:paraId="2D110CDB" w14:textId="3141D820" w:rsidR="0015286A" w:rsidRPr="0038340A" w:rsidRDefault="0015286A" w:rsidP="00E924AD">
      <w:pPr>
        <w:pStyle w:val="Heading2"/>
      </w:pPr>
      <w:bookmarkStart w:id="48" w:name="_Toc219710546"/>
      <w:r w:rsidRPr="0038340A">
        <w:t xml:space="preserve">Aboriginal </w:t>
      </w:r>
      <w:r w:rsidR="00E924AD" w:rsidRPr="0038340A">
        <w:t>c</w:t>
      </w:r>
      <w:r w:rsidRPr="0038340A">
        <w:t>ommunity</w:t>
      </w:r>
      <w:r w:rsidR="00E924AD" w:rsidRPr="0038340A">
        <w:t>-c</w:t>
      </w:r>
      <w:r w:rsidRPr="0038340A">
        <w:t xml:space="preserve">ontrolled </w:t>
      </w:r>
      <w:r w:rsidR="00E924AD" w:rsidRPr="0038340A">
        <w:t>organisations</w:t>
      </w:r>
      <w:bookmarkEnd w:id="48"/>
      <w:r w:rsidR="00E924AD" w:rsidRPr="0038340A">
        <w:t xml:space="preserve"> </w:t>
      </w:r>
    </w:p>
    <w:p w14:paraId="18022EAA" w14:textId="6F842049" w:rsidR="00A70466" w:rsidRPr="0038340A" w:rsidRDefault="00A70466" w:rsidP="00A46878">
      <w:pPr>
        <w:pStyle w:val="Body"/>
      </w:pPr>
      <w:r w:rsidRPr="0038340A">
        <w:t>ACCOs will:</w:t>
      </w:r>
    </w:p>
    <w:p w14:paraId="02270843" w14:textId="09A91461" w:rsidR="0015286A" w:rsidRPr="0038340A" w:rsidRDefault="00A70466" w:rsidP="005B6AE5">
      <w:pPr>
        <w:pStyle w:val="Bullet1"/>
      </w:pPr>
      <w:r w:rsidRPr="0038340A">
        <w:t>l</w:t>
      </w:r>
      <w:r w:rsidR="0015286A" w:rsidRPr="0038340A">
        <w:t xml:space="preserve">ead the pace of planning for service transition, in line with self-determination </w:t>
      </w:r>
    </w:p>
    <w:p w14:paraId="2E74B43E" w14:textId="695DCCF6" w:rsidR="0015286A" w:rsidRPr="0038340A" w:rsidRDefault="0015286A" w:rsidP="005B6AE5">
      <w:pPr>
        <w:pStyle w:val="Bullet1"/>
      </w:pPr>
      <w:r w:rsidRPr="0038340A">
        <w:t xml:space="preserve">determine their </w:t>
      </w:r>
      <w:r w:rsidR="00080199" w:rsidRPr="0038340A">
        <w:t xml:space="preserve">goals and </w:t>
      </w:r>
      <w:r w:rsidRPr="0038340A">
        <w:t>readiness for transition</w:t>
      </w:r>
      <w:r w:rsidR="00CA3FF5" w:rsidRPr="0038340A">
        <w:t>,</w:t>
      </w:r>
      <w:r w:rsidRPr="0038340A">
        <w:t xml:space="preserve"> and be the lead organisation in driving a transfer proposal</w:t>
      </w:r>
    </w:p>
    <w:p w14:paraId="4E336BB4" w14:textId="276ECB13" w:rsidR="0015286A" w:rsidRPr="0038340A" w:rsidRDefault="00A70466" w:rsidP="005B6AE5">
      <w:pPr>
        <w:pStyle w:val="Bullet1"/>
      </w:pPr>
      <w:r w:rsidRPr="0038340A">
        <w:t>coordinate</w:t>
      </w:r>
      <w:r w:rsidR="0015286A" w:rsidRPr="0038340A">
        <w:t xml:space="preserve"> input from other ACCOs into transfer proposals, such as via regional ACCO collectives. This includes ACCOs currently funded to deliver CYFA services, as well </w:t>
      </w:r>
      <w:r w:rsidRPr="0038340A">
        <w:t>those seeking</w:t>
      </w:r>
      <w:r w:rsidR="0015286A" w:rsidRPr="0038340A">
        <w:t xml:space="preserve"> to provide CYFA services in future</w:t>
      </w:r>
    </w:p>
    <w:p w14:paraId="4F53AE4F" w14:textId="50F567A9" w:rsidR="00A70466" w:rsidRPr="0038340A" w:rsidRDefault="00A70466" w:rsidP="005B6AE5">
      <w:pPr>
        <w:pStyle w:val="Bodyafterbullets"/>
      </w:pPr>
      <w:r w:rsidRPr="0038340A">
        <w:t>VACYPA and VACCA will:</w:t>
      </w:r>
    </w:p>
    <w:p w14:paraId="25B7C1EE" w14:textId="3717B6FE" w:rsidR="0015286A" w:rsidRPr="0038340A" w:rsidRDefault="0015286A" w:rsidP="005B6AE5">
      <w:pPr>
        <w:pStyle w:val="Bullet1"/>
      </w:pPr>
      <w:r w:rsidRPr="0038340A">
        <w:t>promote this policy across ACCOs and provide ongoing implementation support</w:t>
      </w:r>
    </w:p>
    <w:p w14:paraId="1597880D" w14:textId="56CE61FC" w:rsidR="0015286A" w:rsidRPr="0038340A" w:rsidRDefault="0015286A" w:rsidP="005B6AE5">
      <w:pPr>
        <w:pStyle w:val="Bullet1"/>
      </w:pPr>
      <w:r w:rsidRPr="0038340A">
        <w:t xml:space="preserve">support ACCOs and CSOs to escalate matters to WEC for consideration as required. </w:t>
      </w:r>
    </w:p>
    <w:p w14:paraId="714B243A" w14:textId="5F91DD5D" w:rsidR="0015286A" w:rsidRPr="0038340A" w:rsidRDefault="0015286A" w:rsidP="00E924AD">
      <w:pPr>
        <w:pStyle w:val="Heading2"/>
      </w:pPr>
      <w:bookmarkStart w:id="49" w:name="_Toc219710547"/>
      <w:r w:rsidRPr="0038340A">
        <w:t xml:space="preserve">Community </w:t>
      </w:r>
      <w:r w:rsidR="00A70466" w:rsidRPr="0038340A">
        <w:t>s</w:t>
      </w:r>
      <w:r w:rsidRPr="0038340A">
        <w:t xml:space="preserve">ervice </w:t>
      </w:r>
      <w:r w:rsidR="00A70466" w:rsidRPr="0038340A">
        <w:t>o</w:t>
      </w:r>
      <w:r w:rsidRPr="0038340A">
        <w:t>rganisations</w:t>
      </w:r>
      <w:bookmarkEnd w:id="49"/>
      <w:r w:rsidRPr="0038340A">
        <w:t xml:space="preserve"> </w:t>
      </w:r>
    </w:p>
    <w:p w14:paraId="53BBE689" w14:textId="567A8590" w:rsidR="00A70466" w:rsidRPr="0038340A" w:rsidRDefault="00A70466" w:rsidP="0012626C">
      <w:pPr>
        <w:pStyle w:val="Body"/>
      </w:pPr>
      <w:r w:rsidRPr="0038340A">
        <w:t>CSOs will:</w:t>
      </w:r>
    </w:p>
    <w:p w14:paraId="40DCB188" w14:textId="01A6F13B" w:rsidR="00005633" w:rsidRPr="0038340A" w:rsidRDefault="00005633" w:rsidP="005B6AE5">
      <w:pPr>
        <w:pStyle w:val="Bullet1"/>
      </w:pPr>
      <w:r w:rsidRPr="0038340A">
        <w:t xml:space="preserve">Understand </w:t>
      </w:r>
      <w:r w:rsidR="00AC7AF5" w:rsidRPr="0038340A">
        <w:t>where they are delivering services to Aboriginal children and families</w:t>
      </w:r>
      <w:r w:rsidR="008F4F28" w:rsidRPr="0038340A">
        <w:t xml:space="preserve">, and </w:t>
      </w:r>
      <w:r w:rsidRPr="0038340A">
        <w:t>identify opportunities to transfer targets for Aboriginal children and families to ACCOs</w:t>
      </w:r>
    </w:p>
    <w:p w14:paraId="6AB9A62D" w14:textId="30571872" w:rsidR="0015286A" w:rsidRPr="0038340A" w:rsidRDefault="00A70466" w:rsidP="005B6AE5">
      <w:pPr>
        <w:pStyle w:val="Bullet1"/>
      </w:pPr>
      <w:r w:rsidRPr="0038340A">
        <w:t>e</w:t>
      </w:r>
      <w:r w:rsidR="0015286A" w:rsidRPr="0038340A">
        <w:t>ngage with ACCOs to understand their readiness for transition</w:t>
      </w:r>
    </w:p>
    <w:p w14:paraId="11697636" w14:textId="30C3E2A5" w:rsidR="0015286A" w:rsidRPr="0038340A" w:rsidRDefault="00A70466" w:rsidP="005B6AE5">
      <w:pPr>
        <w:pStyle w:val="Bullet1"/>
      </w:pPr>
      <w:r w:rsidRPr="0038340A">
        <w:t>e</w:t>
      </w:r>
      <w:r w:rsidR="0015286A" w:rsidRPr="0038340A">
        <w:t>ngage in transition planning with an ACCO or multiple ACCOs</w:t>
      </w:r>
      <w:r w:rsidR="0032241B" w:rsidRPr="0038340A">
        <w:t xml:space="preserve"> (as required under the Service Agreement </w:t>
      </w:r>
      <w:r w:rsidR="00E748FB" w:rsidRPr="0038340A">
        <w:t>R</w:t>
      </w:r>
      <w:r w:rsidR="0032241B" w:rsidRPr="0038340A">
        <w:t>equirements, see ‘Related policies and procedures’ section)</w:t>
      </w:r>
      <w:r w:rsidR="0015286A" w:rsidRPr="0038340A">
        <w:t>, and ensure information is shared to support decision</w:t>
      </w:r>
      <w:r w:rsidR="00EB65A2" w:rsidRPr="0038340A">
        <w:t>-</w:t>
      </w:r>
      <w:r w:rsidR="0015286A" w:rsidRPr="0038340A">
        <w:t>making</w:t>
      </w:r>
    </w:p>
    <w:p w14:paraId="15E8C1D2" w14:textId="423E487A" w:rsidR="0015286A" w:rsidRPr="0038340A" w:rsidRDefault="00A70466" w:rsidP="005B6AE5">
      <w:pPr>
        <w:pStyle w:val="Bullet1"/>
      </w:pPr>
      <w:r w:rsidRPr="0038340A">
        <w:lastRenderedPageBreak/>
        <w:t xml:space="preserve">share </w:t>
      </w:r>
      <w:r w:rsidR="0015286A" w:rsidRPr="0038340A">
        <w:t xml:space="preserve">relevant service data with ACCOs in a timely manner, alongside </w:t>
      </w:r>
      <w:r w:rsidRPr="0038340A">
        <w:t>department-</w:t>
      </w:r>
      <w:r w:rsidR="0015286A" w:rsidRPr="0038340A">
        <w:t xml:space="preserve">held data, to inform proposal planning </w:t>
      </w:r>
    </w:p>
    <w:p w14:paraId="1D6064B7" w14:textId="5CC9BFBC" w:rsidR="0015286A" w:rsidRPr="0038340A" w:rsidRDefault="00A70466" w:rsidP="005B6AE5">
      <w:pPr>
        <w:pStyle w:val="Bullet1"/>
      </w:pPr>
      <w:r w:rsidRPr="0038340A">
        <w:t>e</w:t>
      </w:r>
      <w:r w:rsidR="0015286A" w:rsidRPr="0038340A">
        <w:t>nsure transition planning reflects autonomy of choice and possible service gaps. While ACCOs are often the preferred provider for services to Aboriginal children and families, some Aboriginal children and families may choose to receive services from a CSO</w:t>
      </w:r>
    </w:p>
    <w:p w14:paraId="160488A4" w14:textId="7DB04C23" w:rsidR="0015286A" w:rsidRPr="0038340A" w:rsidRDefault="006E4A7C" w:rsidP="005B6AE5">
      <w:pPr>
        <w:pStyle w:val="Bodyafterbullets"/>
      </w:pPr>
      <w:r w:rsidRPr="0038340A">
        <w:t>T</w:t>
      </w:r>
      <w:r w:rsidR="0015286A" w:rsidRPr="0038340A">
        <w:t xml:space="preserve">he Centre for Excellence in Child and Family Welfare, as the peak body for CSOs in Victoria, will promote this policy </w:t>
      </w:r>
      <w:r w:rsidR="00864230" w:rsidRPr="0038340A">
        <w:t xml:space="preserve">to </w:t>
      </w:r>
      <w:r w:rsidR="0015286A" w:rsidRPr="0038340A">
        <w:t>CSOs</w:t>
      </w:r>
      <w:r w:rsidR="003C6FDA" w:rsidRPr="0038340A">
        <w:t xml:space="preserve"> and provide ongoing implementation support</w:t>
      </w:r>
      <w:r w:rsidR="00F17EDE" w:rsidRPr="0038340A">
        <w:t>.</w:t>
      </w:r>
    </w:p>
    <w:p w14:paraId="46FAABFB" w14:textId="77777777" w:rsidR="0015286A" w:rsidRPr="0038340A" w:rsidRDefault="0015286A" w:rsidP="00927EA1">
      <w:pPr>
        <w:pStyle w:val="Heading2"/>
      </w:pPr>
      <w:bookmarkStart w:id="50" w:name="_Toc219710548"/>
      <w:proofErr w:type="spellStart"/>
      <w:r w:rsidRPr="0038340A">
        <w:t>Wungurilwil</w:t>
      </w:r>
      <w:proofErr w:type="spellEnd"/>
      <w:r w:rsidRPr="0038340A">
        <w:t xml:space="preserve"> </w:t>
      </w:r>
      <w:proofErr w:type="spellStart"/>
      <w:r w:rsidRPr="0038340A">
        <w:t>Gapgapduir</w:t>
      </w:r>
      <w:proofErr w:type="spellEnd"/>
      <w:r w:rsidRPr="0038340A">
        <w:t xml:space="preserve"> Executive Committee</w:t>
      </w:r>
      <w:bookmarkEnd w:id="50"/>
    </w:p>
    <w:p w14:paraId="19A4A310" w14:textId="7598CEA7" w:rsidR="0015286A" w:rsidRPr="0038340A" w:rsidRDefault="0015286A" w:rsidP="0015286A">
      <w:pPr>
        <w:pStyle w:val="Body"/>
      </w:pPr>
      <w:r w:rsidRPr="0038340A">
        <w:t xml:space="preserve">The WEC is made up </w:t>
      </w:r>
      <w:r w:rsidR="00625517" w:rsidRPr="0038340A">
        <w:t xml:space="preserve">of </w:t>
      </w:r>
      <w:r w:rsidRPr="0038340A">
        <w:t>departmental and ACCO leaders</w:t>
      </w:r>
      <w:r w:rsidR="00864230" w:rsidRPr="0038340A">
        <w:t xml:space="preserve">. It </w:t>
      </w:r>
      <w:r w:rsidRPr="0038340A">
        <w:t>provid</w:t>
      </w:r>
      <w:r w:rsidR="00864230" w:rsidRPr="0038340A">
        <w:t>es</w:t>
      </w:r>
      <w:r w:rsidRPr="0038340A">
        <w:t xml:space="preserve"> a mechanism for shared decision</w:t>
      </w:r>
      <w:r w:rsidR="00EB65A2" w:rsidRPr="0038340A">
        <w:t>-</w:t>
      </w:r>
      <w:r w:rsidRPr="0038340A">
        <w:t xml:space="preserve">making between government representatives and the Victorian Aboriginal community. </w:t>
      </w:r>
    </w:p>
    <w:p w14:paraId="20D66C5D" w14:textId="77777777" w:rsidR="00FD6943" w:rsidRPr="0038340A" w:rsidRDefault="0015286A" w:rsidP="0015286A">
      <w:pPr>
        <w:pStyle w:val="Body"/>
        <w:spacing w:after="60"/>
      </w:pPr>
      <w:r w:rsidRPr="0038340A">
        <w:t xml:space="preserve">The </w:t>
      </w:r>
      <w:r w:rsidR="00E73D7C" w:rsidRPr="0038340A">
        <w:t xml:space="preserve">WEC’s key function is to provide strategic advice and oversight of programs </w:t>
      </w:r>
      <w:r w:rsidR="00A87E3D" w:rsidRPr="0038340A">
        <w:t>across the Aboriginal children and families service system</w:t>
      </w:r>
      <w:r w:rsidR="00FD6943" w:rsidRPr="0038340A">
        <w:t xml:space="preserve">, respond to critical issues or barriers, and ensure a self-determined approach. </w:t>
      </w:r>
    </w:p>
    <w:p w14:paraId="5C105F59" w14:textId="39CC2FF6" w:rsidR="0015286A" w:rsidRPr="0038340A" w:rsidRDefault="00762C4E" w:rsidP="0015286A">
      <w:pPr>
        <w:pStyle w:val="Body"/>
        <w:spacing w:after="60"/>
      </w:pPr>
      <w:r w:rsidRPr="0038340A">
        <w:t xml:space="preserve">Accordingly, the </w:t>
      </w:r>
      <w:r w:rsidR="0015286A" w:rsidRPr="0038340A">
        <w:t xml:space="preserve">WEC </w:t>
      </w:r>
      <w:r w:rsidR="00FD6943" w:rsidRPr="0038340A">
        <w:t>will</w:t>
      </w:r>
      <w:r w:rsidR="0015286A" w:rsidRPr="0038340A">
        <w:t xml:space="preserve"> </w:t>
      </w:r>
      <w:r w:rsidRPr="0038340A">
        <w:t>oversee the policy’s implementation</w:t>
      </w:r>
      <w:r w:rsidR="00164940" w:rsidRPr="0038340A">
        <w:t xml:space="preserve"> including </w:t>
      </w:r>
      <w:r w:rsidR="0015286A" w:rsidRPr="0038340A">
        <w:t>complex and large</w:t>
      </w:r>
      <w:r w:rsidR="00864230" w:rsidRPr="0038340A">
        <w:t>-</w:t>
      </w:r>
      <w:r w:rsidR="0015286A" w:rsidRPr="0038340A">
        <w:t>scale transition proposals</w:t>
      </w:r>
      <w:r w:rsidR="00864230" w:rsidRPr="0038340A">
        <w:t xml:space="preserve"> that </w:t>
      </w:r>
      <w:r w:rsidR="0015286A" w:rsidRPr="0038340A">
        <w:t xml:space="preserve">require more in-depth deliberation at a senior level. </w:t>
      </w:r>
      <w:r w:rsidR="002A2EAB" w:rsidRPr="0038340A">
        <w:t xml:space="preserve">Consistent with </w:t>
      </w:r>
      <w:r w:rsidR="000128FF" w:rsidRPr="0038340A">
        <w:t>its</w:t>
      </w:r>
      <w:r w:rsidR="002A2EAB" w:rsidRPr="0038340A">
        <w:t xml:space="preserve"> Terms of Reference, the WEC will also be responsible for </w:t>
      </w:r>
      <w:r w:rsidR="0C337172" w:rsidRPr="0038340A">
        <w:t>reaching consensus where there are</w:t>
      </w:r>
      <w:r w:rsidR="009F13C6" w:rsidRPr="0038340A">
        <w:t xml:space="preserve"> </w:t>
      </w:r>
      <w:r w:rsidR="0015286A" w:rsidRPr="0038340A">
        <w:t>disputes about transfer proposals</w:t>
      </w:r>
      <w:r w:rsidR="0015286A" w:rsidRPr="0038340A" w:rsidDel="00A20C05">
        <w:t>,</w:t>
      </w:r>
      <w:r w:rsidR="0015286A" w:rsidRPr="0038340A">
        <w:t xml:space="preserve"> as required.</w:t>
      </w:r>
    </w:p>
    <w:p w14:paraId="7B26BE8F" w14:textId="4F454571" w:rsidR="0015286A" w:rsidRPr="0038340A" w:rsidRDefault="0015286A" w:rsidP="0015286A">
      <w:pPr>
        <w:pStyle w:val="Body"/>
        <w:spacing w:after="60"/>
      </w:pPr>
      <w:r w:rsidRPr="0038340A">
        <w:t xml:space="preserve">VACYPA, VACCA and </w:t>
      </w:r>
      <w:r w:rsidR="00864230" w:rsidRPr="0038340A">
        <w:t xml:space="preserve">the department </w:t>
      </w:r>
      <w:r w:rsidRPr="0038340A">
        <w:t xml:space="preserve">will work collaboratively to provide WEC with quarterly reports on </w:t>
      </w:r>
      <w:r w:rsidR="00864230" w:rsidRPr="0038340A">
        <w:t xml:space="preserve">the </w:t>
      </w:r>
      <w:r w:rsidRPr="0038340A">
        <w:t xml:space="preserve">implementation of this </w:t>
      </w:r>
      <w:r w:rsidR="00864230" w:rsidRPr="0038340A">
        <w:t>policy</w:t>
      </w:r>
      <w:r w:rsidRPr="0038340A">
        <w:t xml:space="preserve">. </w:t>
      </w:r>
    </w:p>
    <w:p w14:paraId="18695D00" w14:textId="77777777" w:rsidR="0015286A" w:rsidRPr="0038340A" w:rsidRDefault="0015286A" w:rsidP="008911B3">
      <w:pPr>
        <w:pStyle w:val="Heading2"/>
      </w:pPr>
      <w:bookmarkStart w:id="51" w:name="_Toc219710549"/>
      <w:r w:rsidRPr="0038340A">
        <w:t>Aboriginal Children’s Forum</w:t>
      </w:r>
      <w:bookmarkEnd w:id="51"/>
      <w:r w:rsidRPr="0038340A">
        <w:t xml:space="preserve"> </w:t>
      </w:r>
    </w:p>
    <w:p w14:paraId="1D2195CE" w14:textId="2FA4FE0C" w:rsidR="0015286A" w:rsidRPr="0038340A" w:rsidRDefault="0015286A" w:rsidP="0015286A">
      <w:pPr>
        <w:pStyle w:val="Body"/>
        <w:spacing w:after="60"/>
      </w:pPr>
      <w:r w:rsidRPr="0038340A">
        <w:t xml:space="preserve">The WEC reports to the ACF on progress against </w:t>
      </w:r>
      <w:r w:rsidR="008911B3" w:rsidRPr="0038340A">
        <w:t xml:space="preserve">the </w:t>
      </w:r>
      <w:proofErr w:type="spellStart"/>
      <w:r w:rsidRPr="0038340A">
        <w:rPr>
          <w:i/>
          <w:iCs/>
        </w:rPr>
        <w:t>Wungurilwil</w:t>
      </w:r>
      <w:proofErr w:type="spellEnd"/>
      <w:r w:rsidRPr="0038340A">
        <w:rPr>
          <w:i/>
          <w:iCs/>
        </w:rPr>
        <w:t xml:space="preserve"> </w:t>
      </w:r>
      <w:proofErr w:type="spellStart"/>
      <w:r w:rsidRPr="0038340A">
        <w:rPr>
          <w:i/>
          <w:iCs/>
        </w:rPr>
        <w:t>Gapgapduir</w:t>
      </w:r>
      <w:proofErr w:type="spellEnd"/>
      <w:r w:rsidRPr="0038340A">
        <w:rPr>
          <w:i/>
          <w:iCs/>
        </w:rPr>
        <w:t xml:space="preserve"> Agreement</w:t>
      </w:r>
      <w:r w:rsidRPr="0038340A">
        <w:t>. ACF will provide broader strategic oversight of the transition process at a system level.</w:t>
      </w:r>
    </w:p>
    <w:p w14:paraId="2C7CBA48" w14:textId="30C7352B" w:rsidR="0015286A" w:rsidRPr="0038340A" w:rsidRDefault="0015286A" w:rsidP="0015286A">
      <w:pPr>
        <w:pStyle w:val="Heading1"/>
      </w:pPr>
      <w:bookmarkStart w:id="52" w:name="_Toc204004660"/>
      <w:bookmarkStart w:id="53" w:name="_Toc204345388"/>
      <w:bookmarkStart w:id="54" w:name="_Toc211509480"/>
      <w:bookmarkStart w:id="55" w:name="_Toc219710550"/>
      <w:bookmarkStart w:id="56" w:name="_Toc183422618"/>
      <w:bookmarkStart w:id="57" w:name="_Toc186713264"/>
      <w:bookmarkEnd w:id="46"/>
      <w:r w:rsidRPr="0038340A">
        <w:t xml:space="preserve">Related policies and </w:t>
      </w:r>
      <w:bookmarkEnd w:id="52"/>
      <w:bookmarkEnd w:id="53"/>
      <w:r w:rsidRPr="0038340A">
        <w:t>resources</w:t>
      </w:r>
      <w:bookmarkEnd w:id="54"/>
      <w:bookmarkEnd w:id="55"/>
    </w:p>
    <w:p w14:paraId="7ECB206D" w14:textId="6D966E83" w:rsidR="00861763" w:rsidRPr="0038340A" w:rsidRDefault="002C1CAC" w:rsidP="0015286A">
      <w:pPr>
        <w:pStyle w:val="Bullet1"/>
      </w:pPr>
      <w:hyperlink r:id="rId17" w:history="1">
        <w:proofErr w:type="spellStart"/>
        <w:r w:rsidRPr="0038340A">
          <w:rPr>
            <w:rStyle w:val="Hyperlink"/>
          </w:rPr>
          <w:t>Wungurilwil</w:t>
        </w:r>
        <w:proofErr w:type="spellEnd"/>
        <w:r w:rsidRPr="0038340A">
          <w:rPr>
            <w:rStyle w:val="Hyperlink"/>
          </w:rPr>
          <w:t xml:space="preserve"> </w:t>
        </w:r>
        <w:proofErr w:type="spellStart"/>
        <w:r w:rsidRPr="0038340A">
          <w:rPr>
            <w:rStyle w:val="Hyperlink"/>
          </w:rPr>
          <w:t>Gapgapduir</w:t>
        </w:r>
        <w:proofErr w:type="spellEnd"/>
        <w:r w:rsidRPr="0038340A">
          <w:rPr>
            <w:rStyle w:val="Hyperlink"/>
          </w:rPr>
          <w:t xml:space="preserve"> Aboriginal Children and Families Agreement</w:t>
        </w:r>
      </w:hyperlink>
      <w:r w:rsidR="00993248">
        <w:rPr>
          <w:rStyle w:val="FootnoteReference"/>
        </w:rPr>
        <w:footnoteReference w:id="5"/>
      </w:r>
    </w:p>
    <w:p w14:paraId="3C63DE85" w14:textId="1D166270" w:rsidR="0015286A" w:rsidRPr="0038340A" w:rsidRDefault="007254C5" w:rsidP="0015286A">
      <w:pPr>
        <w:pStyle w:val="Bullet1"/>
      </w:pPr>
      <w:r w:rsidRPr="0038340A">
        <w:t xml:space="preserve">The </w:t>
      </w:r>
      <w:hyperlink r:id="rId18" w:history="1">
        <w:r w:rsidRPr="0038340A">
          <w:rPr>
            <w:rStyle w:val="Hyperlink"/>
          </w:rPr>
          <w:t>Department of Families, Fairness and Housing and the Department of Health Activity Index</w:t>
        </w:r>
      </w:hyperlink>
      <w:r w:rsidRPr="0038340A">
        <w:rPr>
          <w:rStyle w:val="FootnoteReference"/>
        </w:rPr>
        <w:footnoteReference w:id="6"/>
      </w:r>
      <w:r w:rsidRPr="0038340A">
        <w:t xml:space="preserve"> </w:t>
      </w:r>
      <w:r w:rsidR="0015286A" w:rsidRPr="0038340A">
        <w:t>list</w:t>
      </w:r>
      <w:r w:rsidRPr="0038340A">
        <w:t xml:space="preserve">s </w:t>
      </w:r>
      <w:r w:rsidR="0015286A" w:rsidRPr="0038340A">
        <w:t>the relevant activities funded under the Child Protection and Family services output group</w:t>
      </w:r>
      <w:r w:rsidR="00471D1E" w:rsidRPr="0038340A">
        <w:t>.</w:t>
      </w:r>
    </w:p>
    <w:p w14:paraId="5E5C5F05" w14:textId="1DEDE7AE" w:rsidR="0015286A" w:rsidRPr="0038340A" w:rsidRDefault="007254C5" w:rsidP="0015286A">
      <w:pPr>
        <w:pStyle w:val="Bullet1"/>
      </w:pPr>
      <w:r w:rsidRPr="0038340A">
        <w:t>T</w:t>
      </w:r>
      <w:r w:rsidR="0015286A" w:rsidRPr="0038340A">
        <w:t xml:space="preserve">he ‘Continuity of </w:t>
      </w:r>
      <w:r w:rsidRPr="0038340A">
        <w:t>service d</w:t>
      </w:r>
      <w:r w:rsidR="0015286A" w:rsidRPr="0038340A">
        <w:t>elivery’ section (</w:t>
      </w:r>
      <w:r w:rsidRPr="0038340A">
        <w:t>c</w:t>
      </w:r>
      <w:r w:rsidR="0015286A" w:rsidRPr="0038340A">
        <w:t>lauses 3.3</w:t>
      </w:r>
      <w:r w:rsidRPr="0038340A">
        <w:t>–</w:t>
      </w:r>
      <w:r w:rsidR="0015286A" w:rsidRPr="0038340A">
        <w:t>3.8) of the Service Agreement (</w:t>
      </w:r>
      <w:r w:rsidRPr="0038340A">
        <w:t xml:space="preserve">in use until </w:t>
      </w:r>
      <w:r w:rsidR="0015286A" w:rsidRPr="0038340A">
        <w:t>to 30 June 2028</w:t>
      </w:r>
      <w:r w:rsidRPr="0038340A">
        <w:t xml:space="preserve">) states that </w:t>
      </w:r>
      <w:r w:rsidR="0015286A" w:rsidRPr="0038340A">
        <w:t xml:space="preserve">organisations </w:t>
      </w:r>
      <w:r w:rsidRPr="0038340A">
        <w:t>must</w:t>
      </w:r>
      <w:r w:rsidR="0015286A" w:rsidRPr="0038340A">
        <w:t xml:space="preserve"> </w:t>
      </w:r>
      <w:r w:rsidRPr="0038340A">
        <w:t xml:space="preserve">give </w:t>
      </w:r>
      <w:r w:rsidR="0015286A" w:rsidRPr="0038340A">
        <w:t xml:space="preserve">the department at least </w:t>
      </w:r>
      <w:r w:rsidRPr="0038340A">
        <w:t xml:space="preserve">3 </w:t>
      </w:r>
      <w:r w:rsidR="0015286A" w:rsidRPr="0038340A">
        <w:t>months</w:t>
      </w:r>
      <w:r w:rsidR="00BD39A6" w:rsidRPr="0038340A">
        <w:t>’</w:t>
      </w:r>
      <w:r w:rsidR="0015286A" w:rsidRPr="0038340A">
        <w:t xml:space="preserve"> notice </w:t>
      </w:r>
      <w:r w:rsidRPr="0038340A">
        <w:t>if all or part of a service is suspended or ceases</w:t>
      </w:r>
      <w:r w:rsidR="0015286A" w:rsidRPr="0038340A">
        <w:t>.</w:t>
      </w:r>
    </w:p>
    <w:p w14:paraId="18B62054" w14:textId="041FB607" w:rsidR="0015286A" w:rsidRPr="0038340A" w:rsidRDefault="0015286A" w:rsidP="0015286A">
      <w:pPr>
        <w:pStyle w:val="Bullet1"/>
      </w:pPr>
      <w:r w:rsidRPr="0038340A">
        <w:t>Clause 10 of the Service Agreement also outlines that subcontracting cannot occur without the department’s prior written consent</w:t>
      </w:r>
      <w:r w:rsidR="007254C5" w:rsidRPr="0038340A">
        <w:t xml:space="preserve">. This consent </w:t>
      </w:r>
      <w:r w:rsidRPr="0038340A">
        <w:t>must not be unreasonably withheld.</w:t>
      </w:r>
    </w:p>
    <w:p w14:paraId="1E03045E" w14:textId="20D9405A" w:rsidR="0015286A" w:rsidRPr="0038340A" w:rsidRDefault="007254C5" w:rsidP="0015286A">
      <w:pPr>
        <w:pStyle w:val="Bullet1"/>
      </w:pPr>
      <w:r w:rsidRPr="0038340A">
        <w:t xml:space="preserve">The </w:t>
      </w:r>
      <w:hyperlink r:id="rId19" w:history="1">
        <w:r w:rsidRPr="0038340A">
          <w:rPr>
            <w:rStyle w:val="Hyperlink"/>
          </w:rPr>
          <w:t>Due diligence checklist for organisations</w:t>
        </w:r>
      </w:hyperlink>
      <w:r w:rsidRPr="0038340A">
        <w:rPr>
          <w:rStyle w:val="FootnoteReference"/>
        </w:rPr>
        <w:footnoteReference w:id="7"/>
      </w:r>
      <w:r w:rsidRPr="0038340A">
        <w:t xml:space="preserve"> sets out how to manage changes related to </w:t>
      </w:r>
      <w:r w:rsidR="0015286A" w:rsidRPr="0038340A">
        <w:t>consortium members under a Service Agreement</w:t>
      </w:r>
      <w:r w:rsidRPr="0038340A">
        <w:t>.</w:t>
      </w:r>
    </w:p>
    <w:p w14:paraId="74CB596B" w14:textId="7035107B" w:rsidR="0015286A" w:rsidRPr="0038340A" w:rsidRDefault="007254C5" w:rsidP="0015286A">
      <w:pPr>
        <w:pStyle w:val="Bullet1"/>
      </w:pPr>
      <w:hyperlink r:id="rId20" w:history="1">
        <w:r w:rsidRPr="0038340A">
          <w:rPr>
            <w:rStyle w:val="Hyperlink"/>
          </w:rPr>
          <w:t>Subcontracting proposal attestation form</w:t>
        </w:r>
      </w:hyperlink>
      <w:r w:rsidRPr="0038340A">
        <w:rPr>
          <w:rStyle w:val="FootnoteReference"/>
        </w:rPr>
        <w:footnoteReference w:id="8"/>
      </w:r>
      <w:r w:rsidRPr="0038340A">
        <w:t xml:space="preserve"> </w:t>
      </w:r>
      <w:r w:rsidR="00D8292C" w:rsidRPr="0038340A">
        <w:t xml:space="preserve">can be used </w:t>
      </w:r>
      <w:r w:rsidRPr="0038340A">
        <w:t>to record due diligence in relation to</w:t>
      </w:r>
      <w:r w:rsidR="0015286A" w:rsidRPr="0038340A">
        <w:t xml:space="preserve"> a subcontracting arrangement</w:t>
      </w:r>
      <w:r w:rsidRPr="0038340A">
        <w:t>.</w:t>
      </w:r>
    </w:p>
    <w:p w14:paraId="383264D1" w14:textId="2807751F" w:rsidR="0015286A" w:rsidRPr="0038340A" w:rsidRDefault="007254C5" w:rsidP="0015286A">
      <w:pPr>
        <w:pStyle w:val="Bullet1"/>
      </w:pPr>
      <w:r w:rsidRPr="0038340A">
        <w:lastRenderedPageBreak/>
        <w:t xml:space="preserve">The </w:t>
      </w:r>
      <w:hyperlink r:id="rId21" w:history="1">
        <w:r w:rsidRPr="0038340A">
          <w:rPr>
            <w:rStyle w:val="Hyperlink"/>
          </w:rPr>
          <w:t>Service Agreement requirements</w:t>
        </w:r>
      </w:hyperlink>
      <w:r w:rsidRPr="0038340A">
        <w:rPr>
          <w:rStyle w:val="FootnoteReference"/>
        </w:rPr>
        <w:footnoteReference w:id="9"/>
      </w:r>
      <w:r w:rsidRPr="0038340A">
        <w:t xml:space="preserve"> set out the</w:t>
      </w:r>
      <w:r w:rsidR="0015286A" w:rsidRPr="0038340A">
        <w:t xml:space="preserve"> responsibilities, policies and obligations that all funded organisations with a Service Agreement must comply with</w:t>
      </w:r>
      <w:r w:rsidRPr="0038340A">
        <w:t>.</w:t>
      </w:r>
      <w:r w:rsidR="004759D5" w:rsidRPr="0038340A">
        <w:t xml:space="preserve"> The document outlines the obligation that mainstream services (CSOs) retaining </w:t>
      </w:r>
      <w:r w:rsidR="000C47D2" w:rsidRPr="0038340A">
        <w:t>Aboriginal specific funding are required to have a transition plan with Aboriginal organisations.</w:t>
      </w:r>
    </w:p>
    <w:p w14:paraId="14C600BF" w14:textId="627291EA" w:rsidR="00946754" w:rsidRPr="0038340A" w:rsidRDefault="00946754" w:rsidP="0015286A">
      <w:pPr>
        <w:pStyle w:val="Bullet1"/>
        <w:rPr>
          <w:color w:val="004C97"/>
          <w:u w:val="dotted"/>
        </w:rPr>
      </w:pPr>
      <w:r w:rsidRPr="0038340A">
        <w:t>The</w:t>
      </w:r>
      <w:r w:rsidR="0015286A" w:rsidRPr="0038340A">
        <w:t xml:space="preserve"> department </w:t>
      </w:r>
      <w:r w:rsidRPr="0038340A">
        <w:t xml:space="preserve">must </w:t>
      </w:r>
      <w:r w:rsidR="0015286A" w:rsidRPr="0038340A">
        <w:t xml:space="preserve">consider </w:t>
      </w:r>
      <w:r w:rsidRPr="0038340A">
        <w:t xml:space="preserve">the </w:t>
      </w:r>
      <w:hyperlink r:id="rId22" w:history="1">
        <w:r w:rsidR="0015286A" w:rsidRPr="0038340A">
          <w:rPr>
            <w:rStyle w:val="Hyperlink"/>
          </w:rPr>
          <w:t xml:space="preserve">Resource </w:t>
        </w:r>
        <w:r w:rsidRPr="0038340A">
          <w:rPr>
            <w:rStyle w:val="Hyperlink"/>
          </w:rPr>
          <w:t>ma</w:t>
        </w:r>
        <w:r w:rsidR="0015286A" w:rsidRPr="0038340A">
          <w:rPr>
            <w:rStyle w:val="Hyperlink"/>
          </w:rPr>
          <w:t xml:space="preserve">nagement </w:t>
        </w:r>
        <w:r w:rsidRPr="0038340A">
          <w:rPr>
            <w:rStyle w:val="Hyperlink"/>
          </w:rPr>
          <w:t>f</w:t>
        </w:r>
        <w:r w:rsidR="0015286A" w:rsidRPr="0038340A">
          <w:rPr>
            <w:rStyle w:val="Hyperlink"/>
          </w:rPr>
          <w:t>ramework</w:t>
        </w:r>
      </w:hyperlink>
      <w:r w:rsidRPr="0038340A">
        <w:rPr>
          <w:rStyle w:val="FootnoteReference"/>
        </w:rPr>
        <w:footnoteReference w:id="10"/>
      </w:r>
      <w:r w:rsidR="0015286A" w:rsidRPr="0038340A">
        <w:t xml:space="preserve"> issued by the Department of Treasury and Finance when allocating public resources</w:t>
      </w:r>
      <w:r w:rsidRPr="0038340A">
        <w:t>.</w:t>
      </w:r>
      <w:r w:rsidR="0015286A" w:rsidRPr="0038340A">
        <w:t xml:space="preserve"> </w:t>
      </w:r>
    </w:p>
    <w:p w14:paraId="00528504" w14:textId="4B6FACE5" w:rsidR="0015286A" w:rsidRPr="0038340A" w:rsidRDefault="0015286A" w:rsidP="0015286A">
      <w:pPr>
        <w:pStyle w:val="Bullet1"/>
        <w:rPr>
          <w:color w:val="004C97"/>
          <w:u w:val="dotted"/>
        </w:rPr>
      </w:pPr>
      <w:r w:rsidRPr="0038340A">
        <w:t>The department must also consider the Department of Treasury and Finance</w:t>
      </w:r>
      <w:r w:rsidR="00946754" w:rsidRPr="0038340A">
        <w:t>’s</w:t>
      </w:r>
      <w:r w:rsidRPr="0038340A">
        <w:t xml:space="preserve"> </w:t>
      </w:r>
      <w:hyperlink r:id="rId23" w:history="1">
        <w:r w:rsidRPr="0038340A">
          <w:rPr>
            <w:rStyle w:val="Hyperlink"/>
          </w:rPr>
          <w:t xml:space="preserve">Standing Directions under the </w:t>
        </w:r>
        <w:r w:rsidRPr="0038340A">
          <w:rPr>
            <w:rStyle w:val="Hyperlink"/>
            <w:i/>
            <w:iCs/>
          </w:rPr>
          <w:t>Financial Management Act 1994</w:t>
        </w:r>
        <w:bookmarkStart w:id="58" w:name="_Toc204004661"/>
        <w:bookmarkStart w:id="59" w:name="_Toc204345389"/>
      </w:hyperlink>
      <w:r w:rsidR="00946754" w:rsidRPr="0038340A">
        <w:t>.</w:t>
      </w:r>
      <w:r w:rsidR="00946754" w:rsidRPr="0038340A">
        <w:rPr>
          <w:rStyle w:val="FootnoteReference"/>
        </w:rPr>
        <w:footnoteReference w:id="11"/>
      </w:r>
    </w:p>
    <w:p w14:paraId="78C58AD2" w14:textId="77777777" w:rsidR="0015286A" w:rsidRPr="0038340A" w:rsidRDefault="0015286A" w:rsidP="0015286A">
      <w:pPr>
        <w:pStyle w:val="Heading1"/>
      </w:pPr>
      <w:bookmarkStart w:id="60" w:name="_Toc211509481"/>
      <w:bookmarkStart w:id="61" w:name="_Toc219710551"/>
      <w:r w:rsidRPr="0038340A">
        <w:t>Further information</w:t>
      </w:r>
      <w:bookmarkEnd w:id="56"/>
      <w:bookmarkEnd w:id="57"/>
      <w:bookmarkEnd w:id="58"/>
      <w:bookmarkEnd w:id="59"/>
      <w:bookmarkEnd w:id="60"/>
      <w:bookmarkEnd w:id="61"/>
    </w:p>
    <w:p w14:paraId="4D6B861D" w14:textId="77777777" w:rsidR="0015286A" w:rsidRPr="0038340A" w:rsidRDefault="0015286A" w:rsidP="0015286A">
      <w:pPr>
        <w:pStyle w:val="Body"/>
      </w:pPr>
      <w:r w:rsidRPr="0038340A">
        <w:t>Funded organisations (ACCOs and CSOs) should contact their relevant departmental contract manager for questions regarding an existing agreement and potential transition of resources to ACCOs.</w:t>
      </w:r>
    </w:p>
    <w:p w14:paraId="3104D6EF" w14:textId="62BAD119" w:rsidR="0015286A" w:rsidRPr="0038340A" w:rsidRDefault="00946754" w:rsidP="0015286A">
      <w:pPr>
        <w:pStyle w:val="Body"/>
      </w:pPr>
      <w:r w:rsidRPr="0038340A">
        <w:t>D</w:t>
      </w:r>
      <w:r w:rsidR="0015286A" w:rsidRPr="0038340A">
        <w:t xml:space="preserve">epartmental staff </w:t>
      </w:r>
      <w:r w:rsidRPr="0038340A">
        <w:t xml:space="preserve">can </w:t>
      </w:r>
      <w:r w:rsidR="0015286A" w:rsidRPr="0038340A">
        <w:t xml:space="preserve">seek further information from Aboriginal Initiatives </w:t>
      </w:r>
      <w:r w:rsidR="003F258E">
        <w:t>Branch</w:t>
      </w:r>
      <w:r w:rsidR="0015286A" w:rsidRPr="0038340A">
        <w:t xml:space="preserve">, Children and Families Division at </w:t>
      </w:r>
      <w:hyperlink r:id="rId24" w:history="1">
        <w:r w:rsidR="0015286A" w:rsidRPr="0038340A">
          <w:rPr>
            <w:rStyle w:val="Hyperlink"/>
          </w:rPr>
          <w:t>aboriginalinitiatives@dffh.vic.gov.au</w:t>
        </w:r>
      </w:hyperlink>
      <w:r w:rsidR="0015286A" w:rsidRPr="0038340A">
        <w:t>.</w:t>
      </w:r>
    </w:p>
    <w:bookmarkEnd w:id="6"/>
    <w:p w14:paraId="2EDACCAB" w14:textId="77777777" w:rsidR="003B1BDC" w:rsidRPr="0038340A" w:rsidRDefault="003B1BDC" w:rsidP="003B1BDC">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55119B" w:rsidRPr="0038340A" w14:paraId="696A6191" w14:textId="77777777" w:rsidTr="2B1ED233">
        <w:tc>
          <w:tcPr>
            <w:tcW w:w="10194" w:type="dxa"/>
          </w:tcPr>
          <w:p w14:paraId="2EA28341" w14:textId="46C0BFB5" w:rsidR="001B1A98" w:rsidRPr="0038340A" w:rsidRDefault="001B1A98" w:rsidP="001B1A98">
            <w:pPr>
              <w:pStyle w:val="Accessibilitypara"/>
              <w:rPr>
                <w:color w:val="87189D"/>
              </w:rPr>
            </w:pPr>
            <w:bookmarkStart w:id="62" w:name="_Hlk37240926"/>
            <w:r>
              <w:t xml:space="preserve">To receive this document in another format, email </w:t>
            </w:r>
            <w:hyperlink r:id="rId25">
              <w:r w:rsidR="00946754" w:rsidRPr="10DFDF1C">
                <w:rPr>
                  <w:rStyle w:val="Hyperlink"/>
                </w:rPr>
                <w:t>aboriginalinitiatives@dffh.vic.gov.au</w:t>
              </w:r>
            </w:hyperlink>
            <w:r w:rsidR="00946754">
              <w:t>.</w:t>
            </w:r>
          </w:p>
          <w:p w14:paraId="2B9227A3" w14:textId="77777777" w:rsidR="001B1A98" w:rsidRPr="0038340A" w:rsidRDefault="001B1A98" w:rsidP="001B1A98">
            <w:pPr>
              <w:pStyle w:val="Accessibilitypara"/>
              <w:rPr>
                <w:b/>
                <w:bCs/>
              </w:rPr>
            </w:pPr>
            <w:r w:rsidRPr="0038340A">
              <w:rPr>
                <w:b/>
                <w:bCs/>
              </w:rPr>
              <w:t>Help for people with hearing or speech communication difficulties</w:t>
            </w:r>
          </w:p>
          <w:p w14:paraId="21075595" w14:textId="77777777" w:rsidR="001B1A98" w:rsidRPr="0038340A" w:rsidRDefault="001B1A98" w:rsidP="001B1A98">
            <w:pPr>
              <w:pStyle w:val="Accessibilitypara"/>
            </w:pPr>
            <w:r w:rsidRPr="0038340A">
              <w:t xml:space="preserve">Contact us through the National Relay Service (NRS). For more information about the NRS visit </w:t>
            </w:r>
            <w:hyperlink r:id="rId26" w:history="1">
              <w:r w:rsidRPr="0038340A">
                <w:rPr>
                  <w:rStyle w:val="Hyperlink"/>
                </w:rPr>
                <w:t>National Relay Service</w:t>
              </w:r>
            </w:hyperlink>
            <w:r w:rsidRPr="0038340A">
              <w:t xml:space="preserve"> </w:t>
            </w:r>
            <w:proofErr w:type="gramStart"/>
            <w:r w:rsidRPr="0038340A">
              <w:t>https://www.accesshub.gov.au/about-the-nrs, or</w:t>
            </w:r>
            <w:proofErr w:type="gramEnd"/>
            <w:r w:rsidRPr="0038340A">
              <w:t xml:space="preserve"> call the NRS Helpdesk on 1800 555 660.</w:t>
            </w:r>
          </w:p>
          <w:p w14:paraId="316B05E7" w14:textId="77777777" w:rsidR="001B1A98" w:rsidRPr="0038340A" w:rsidRDefault="001B1A98" w:rsidP="001B1A98">
            <w:pPr>
              <w:pStyle w:val="Imprint"/>
            </w:pPr>
            <w:r w:rsidRPr="0038340A">
              <w:t>Authorised and published by the Victorian Government, 1 Treasury Place, Melbourne.</w:t>
            </w:r>
          </w:p>
          <w:p w14:paraId="10B058D3" w14:textId="740BC970" w:rsidR="001B1A98" w:rsidRPr="0038340A" w:rsidRDefault="001B1A98" w:rsidP="001B1A98">
            <w:pPr>
              <w:pStyle w:val="Imprint"/>
              <w:rPr>
                <w:color w:val="87189D"/>
              </w:rPr>
            </w:pPr>
            <w:r>
              <w:t>© State of Victoria, Australia, Department of Families, Fairness and Housing,</w:t>
            </w:r>
            <w:r w:rsidR="00946754">
              <w:t xml:space="preserve"> </w:t>
            </w:r>
            <w:r w:rsidR="54B1728D">
              <w:t>January 2026</w:t>
            </w:r>
          </w:p>
          <w:p w14:paraId="04BB8386" w14:textId="77777777" w:rsidR="001B1A98" w:rsidRPr="0038340A" w:rsidRDefault="001B1A98" w:rsidP="001B1A98">
            <w:pPr>
              <w:pStyle w:val="Imprint"/>
              <w:rPr>
                <w:color w:val="000000" w:themeColor="text1"/>
              </w:rPr>
            </w:pPr>
            <w:r w:rsidRPr="0038340A">
              <w:rPr>
                <w:color w:val="000000" w:themeColor="text1"/>
              </w:rPr>
              <w:t>In this document, ‘Aboriginal’ refers to both Aboriginal and Torres Strait Islander people. ‘Indigenous’ or ‘Koori/Koorie’ is retained when part of the title of a report, program or quotation.</w:t>
            </w:r>
          </w:p>
          <w:p w14:paraId="28B150EC" w14:textId="2A00F83B" w:rsidR="001B1A98" w:rsidRPr="0038340A" w:rsidRDefault="001B1A98" w:rsidP="001B1A98">
            <w:pPr>
              <w:pStyle w:val="Imprint"/>
            </w:pPr>
            <w:r>
              <w:t xml:space="preserve">ISBN </w:t>
            </w:r>
            <w:r w:rsidR="4E333B16" w:rsidRPr="228F8EBB">
              <w:rPr>
                <w:rFonts w:eastAsia="Arial" w:cs="Arial"/>
                <w:color w:val="000000" w:themeColor="text1"/>
              </w:rPr>
              <w:t>978-1-76130-930-4</w:t>
            </w:r>
            <w:r w:rsidRPr="228F8EBB">
              <w:rPr>
                <w:color w:val="004C97"/>
              </w:rPr>
              <w:t xml:space="preserve"> </w:t>
            </w:r>
            <w:r>
              <w:t>(online/</w:t>
            </w:r>
            <w:r w:rsidR="6A724978">
              <w:t xml:space="preserve">MS </w:t>
            </w:r>
            <w:r>
              <w:t>Word)</w:t>
            </w:r>
          </w:p>
          <w:p w14:paraId="0C92739F" w14:textId="4889D75A" w:rsidR="0055119B" w:rsidRPr="0038340A" w:rsidRDefault="001B1A98" w:rsidP="2B1ED233">
            <w:pPr>
              <w:pStyle w:val="Imprint"/>
            </w:pPr>
            <w:r>
              <w:t xml:space="preserve">Available at </w:t>
            </w:r>
            <w:hyperlink r:id="rId27">
              <w:r w:rsidR="10DF08C7" w:rsidRPr="2B1ED233">
                <w:rPr>
                  <w:rStyle w:val="Hyperlink"/>
                </w:rPr>
                <w:t>Strengthening Aboriginal Community Controlled Organisations</w:t>
              </w:r>
            </w:hyperlink>
            <w:r w:rsidR="10DF08C7">
              <w:t xml:space="preserve">, </w:t>
            </w:r>
            <w:r w:rsidR="10DF08C7" w:rsidRPr="00C6323F">
              <w:t>https://providers.dffh.vic.gov.au/strengthening-aboriginal-community-controlled-organisations.</w:t>
            </w:r>
          </w:p>
        </w:tc>
      </w:tr>
      <w:bookmarkEnd w:id="62"/>
    </w:tbl>
    <w:p w14:paraId="06097FE9" w14:textId="77777777" w:rsidR="0015286A" w:rsidRPr="0038340A" w:rsidRDefault="0015286A" w:rsidP="00162CA9">
      <w:pPr>
        <w:pStyle w:val="Body"/>
        <w:sectPr w:rsidR="0015286A" w:rsidRPr="0038340A" w:rsidSect="0015286A">
          <w:pgSz w:w="11906" w:h="16838" w:code="9"/>
          <w:pgMar w:top="1418" w:right="851" w:bottom="851" w:left="851" w:header="680" w:footer="567" w:gutter="0"/>
          <w:cols w:space="340"/>
          <w:docGrid w:linePitch="360"/>
        </w:sectPr>
      </w:pPr>
    </w:p>
    <w:p w14:paraId="2FC3091B" w14:textId="23A294AB" w:rsidR="00946754" w:rsidRPr="0038340A" w:rsidRDefault="00946754" w:rsidP="00946754">
      <w:pPr>
        <w:pStyle w:val="Heading1"/>
      </w:pPr>
      <w:bookmarkStart w:id="63" w:name="_Toc211509482"/>
      <w:bookmarkStart w:id="64" w:name="_Toc219710552"/>
      <w:r w:rsidRPr="0038340A">
        <w:lastRenderedPageBreak/>
        <w:t xml:space="preserve">Attachment A: Transfer proposal </w:t>
      </w:r>
      <w:bookmarkEnd w:id="63"/>
      <w:r w:rsidRPr="0038340A">
        <w:t>checklist</w:t>
      </w:r>
      <w:bookmarkEnd w:id="64"/>
    </w:p>
    <w:p w14:paraId="6841240D" w14:textId="06322B81" w:rsidR="00946754" w:rsidRPr="0038340A" w:rsidRDefault="00946754" w:rsidP="00946754">
      <w:pPr>
        <w:pStyle w:val="Body"/>
      </w:pPr>
      <w:r w:rsidRPr="0038340A">
        <w:t>This checklist is for ACCOs and CSOs who are developing a transfer proposal that supports ACCO-led service delivery for Aboriginal children</w:t>
      </w:r>
      <w:r w:rsidR="0018688A" w:rsidRPr="0038340A">
        <w:t xml:space="preserve"> and families</w:t>
      </w:r>
      <w:r w:rsidRPr="0038340A">
        <w:t xml:space="preserve">. At a minimum, fill out the transfer information and checklist below. This will allow the department to consider the proposal. For </w:t>
      </w:r>
      <w:r w:rsidR="00293911" w:rsidRPr="0038340A">
        <w:t xml:space="preserve">larger-scale </w:t>
      </w:r>
      <w:r w:rsidRPr="0038340A">
        <w:t>proposals</w:t>
      </w:r>
      <w:r w:rsidR="00293911" w:rsidRPr="0038340A">
        <w:t>,</w:t>
      </w:r>
      <w:r w:rsidRPr="0038340A">
        <w:t xml:space="preserve"> </w:t>
      </w:r>
      <w:r w:rsidR="00293911" w:rsidRPr="0038340A">
        <w:t>organisations may need to provide</w:t>
      </w:r>
      <w:r w:rsidRPr="0038340A">
        <w:t xml:space="preserve"> further </w:t>
      </w:r>
      <w:r w:rsidR="00293911" w:rsidRPr="0038340A">
        <w:t>documentation</w:t>
      </w:r>
      <w:r w:rsidR="00944D4C" w:rsidRPr="0038340A">
        <w:t>,</w:t>
      </w:r>
      <w:r w:rsidRPr="0038340A">
        <w:t xml:space="preserve"> which can be agreed between the department and organisations</w:t>
      </w:r>
      <w:r w:rsidR="00B0676A" w:rsidRPr="0038340A">
        <w:t xml:space="preserve"> during the Planning stage of a proposal</w:t>
      </w:r>
      <w:r w:rsidRPr="0038340A">
        <w:t xml:space="preserve">. </w:t>
      </w:r>
    </w:p>
    <w:p w14:paraId="2610FF5C" w14:textId="5B138520" w:rsidR="00946754" w:rsidRPr="0038340A" w:rsidRDefault="00946754" w:rsidP="00946754">
      <w:pPr>
        <w:pStyle w:val="Tablecaption"/>
      </w:pPr>
      <w:r w:rsidRPr="0038340A">
        <w:t>Table 1: Transfer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9"/>
        <w:gridCol w:w="7280"/>
      </w:tblGrid>
      <w:tr w:rsidR="00946754" w:rsidRPr="0038340A" w14:paraId="6626E1BF" w14:textId="77777777" w:rsidTr="00382FBA">
        <w:trPr>
          <w:tblHeader/>
        </w:trPr>
        <w:tc>
          <w:tcPr>
            <w:tcW w:w="7279" w:type="dxa"/>
            <w:shd w:val="clear" w:color="auto" w:fill="DDD9C3" w:themeFill="background2" w:themeFillShade="E6"/>
          </w:tcPr>
          <w:p w14:paraId="752130D4" w14:textId="77777777" w:rsidR="00946754" w:rsidRPr="0038340A" w:rsidRDefault="00946754">
            <w:pPr>
              <w:pStyle w:val="Body"/>
              <w:rPr>
                <w:b/>
                <w:bCs/>
              </w:rPr>
            </w:pPr>
            <w:r w:rsidRPr="0038340A">
              <w:rPr>
                <w:b/>
                <w:bCs/>
              </w:rPr>
              <w:t>Requested information</w:t>
            </w:r>
          </w:p>
        </w:tc>
        <w:tc>
          <w:tcPr>
            <w:tcW w:w="7280" w:type="dxa"/>
            <w:shd w:val="clear" w:color="auto" w:fill="DDD9C3" w:themeFill="background2" w:themeFillShade="E6"/>
          </w:tcPr>
          <w:p w14:paraId="155B2F00" w14:textId="77777777" w:rsidR="00946754" w:rsidRPr="0038340A" w:rsidRDefault="00946754">
            <w:pPr>
              <w:pStyle w:val="Body"/>
              <w:rPr>
                <w:b/>
                <w:bCs/>
              </w:rPr>
            </w:pPr>
            <w:r w:rsidRPr="0038340A">
              <w:rPr>
                <w:b/>
                <w:bCs/>
              </w:rPr>
              <w:t>Response</w:t>
            </w:r>
          </w:p>
        </w:tc>
      </w:tr>
      <w:tr w:rsidR="00946754" w:rsidRPr="0038340A" w14:paraId="1F0E75DE" w14:textId="77777777" w:rsidTr="00382FBA">
        <w:tc>
          <w:tcPr>
            <w:tcW w:w="7279" w:type="dxa"/>
          </w:tcPr>
          <w:p w14:paraId="7CAF58EA" w14:textId="77777777" w:rsidR="00946754" w:rsidRPr="0038340A" w:rsidRDefault="00946754">
            <w:pPr>
              <w:pStyle w:val="Body"/>
            </w:pPr>
            <w:r w:rsidRPr="0038340A">
              <w:t>Name of organisation/s transferring service responsibility (i.e. CSO) and relevant contact person, with contact details</w:t>
            </w:r>
          </w:p>
        </w:tc>
        <w:tc>
          <w:tcPr>
            <w:tcW w:w="7280" w:type="dxa"/>
          </w:tcPr>
          <w:p w14:paraId="6DF304DD" w14:textId="77777777" w:rsidR="00946754" w:rsidRPr="0038340A" w:rsidRDefault="00946754">
            <w:pPr>
              <w:pStyle w:val="Body"/>
            </w:pPr>
          </w:p>
        </w:tc>
      </w:tr>
      <w:tr w:rsidR="00946754" w:rsidRPr="0038340A" w14:paraId="6F557C79" w14:textId="77777777" w:rsidTr="00382FBA">
        <w:tc>
          <w:tcPr>
            <w:tcW w:w="7279" w:type="dxa"/>
          </w:tcPr>
          <w:p w14:paraId="08CC8890" w14:textId="77777777" w:rsidR="00946754" w:rsidRPr="0038340A" w:rsidRDefault="00946754">
            <w:pPr>
              <w:pStyle w:val="Body"/>
            </w:pPr>
            <w:r w:rsidRPr="0038340A">
              <w:t>Name of organisation/s taking on service responsibility (i.e. ACCO) and relevant contact person, with contact details</w:t>
            </w:r>
          </w:p>
        </w:tc>
        <w:tc>
          <w:tcPr>
            <w:tcW w:w="7280" w:type="dxa"/>
          </w:tcPr>
          <w:p w14:paraId="299FB7A8" w14:textId="77777777" w:rsidR="00946754" w:rsidRPr="0038340A" w:rsidRDefault="00946754">
            <w:pPr>
              <w:pStyle w:val="Body"/>
            </w:pPr>
          </w:p>
        </w:tc>
      </w:tr>
      <w:tr w:rsidR="00946754" w:rsidRPr="0038340A" w14:paraId="61A56E5B" w14:textId="77777777" w:rsidTr="00382FBA">
        <w:tc>
          <w:tcPr>
            <w:tcW w:w="7279" w:type="dxa"/>
          </w:tcPr>
          <w:p w14:paraId="3D9522FF" w14:textId="61C39F8C" w:rsidR="00946754" w:rsidRPr="0038340A" w:rsidRDefault="00946754">
            <w:pPr>
              <w:pStyle w:val="Body"/>
            </w:pPr>
            <w:r w:rsidRPr="0038340A">
              <w:t>Type of service</w:t>
            </w:r>
            <w:r w:rsidR="00233742" w:rsidRPr="0038340A">
              <w:t>(s)</w:t>
            </w:r>
            <w:r w:rsidRPr="0038340A">
              <w:t xml:space="preserve"> (please refer to Activity Index)</w:t>
            </w:r>
          </w:p>
        </w:tc>
        <w:tc>
          <w:tcPr>
            <w:tcW w:w="7280" w:type="dxa"/>
          </w:tcPr>
          <w:p w14:paraId="1D6C5FD7" w14:textId="77777777" w:rsidR="00946754" w:rsidRPr="0038340A" w:rsidRDefault="00946754">
            <w:pPr>
              <w:pStyle w:val="Body"/>
            </w:pPr>
          </w:p>
        </w:tc>
      </w:tr>
      <w:tr w:rsidR="00946754" w:rsidRPr="0038340A" w14:paraId="13B6DBE8" w14:textId="77777777" w:rsidTr="00382FBA">
        <w:tc>
          <w:tcPr>
            <w:tcW w:w="7279" w:type="dxa"/>
          </w:tcPr>
          <w:p w14:paraId="22877C31" w14:textId="2114C551" w:rsidR="00946754" w:rsidRPr="0038340A" w:rsidRDefault="00946754">
            <w:pPr>
              <w:pStyle w:val="Body"/>
            </w:pPr>
            <w:r w:rsidRPr="0038340A">
              <w:t>Name of service</w:t>
            </w:r>
            <w:r w:rsidR="00233742" w:rsidRPr="0038340A">
              <w:t>(s)</w:t>
            </w:r>
            <w:r w:rsidRPr="0038340A">
              <w:t xml:space="preserve"> / program</w:t>
            </w:r>
            <w:r w:rsidR="00233742" w:rsidRPr="0038340A">
              <w:t>(s)</w:t>
            </w:r>
            <w:r w:rsidRPr="0038340A">
              <w:t xml:space="preserve"> (if applicable)</w:t>
            </w:r>
          </w:p>
        </w:tc>
        <w:tc>
          <w:tcPr>
            <w:tcW w:w="7280" w:type="dxa"/>
          </w:tcPr>
          <w:p w14:paraId="42B42331" w14:textId="77777777" w:rsidR="00946754" w:rsidRPr="0038340A" w:rsidRDefault="00946754">
            <w:pPr>
              <w:pStyle w:val="Body"/>
            </w:pPr>
          </w:p>
        </w:tc>
      </w:tr>
      <w:tr w:rsidR="00946754" w:rsidRPr="0038340A" w14:paraId="5CFEA455" w14:textId="77777777" w:rsidTr="00382FBA">
        <w:tc>
          <w:tcPr>
            <w:tcW w:w="7279" w:type="dxa"/>
          </w:tcPr>
          <w:p w14:paraId="691F033C" w14:textId="4DBBBA5F" w:rsidR="00946754" w:rsidRPr="0038340A" w:rsidRDefault="00293911">
            <w:pPr>
              <w:pStyle w:val="Body"/>
            </w:pPr>
            <w:r w:rsidRPr="0038340A">
              <w:t>Departmental d</w:t>
            </w:r>
            <w:r w:rsidR="00946754" w:rsidRPr="0038340A">
              <w:t xml:space="preserve">ivision and </w:t>
            </w:r>
            <w:r w:rsidRPr="0038340A">
              <w:t>A</w:t>
            </w:r>
            <w:r w:rsidR="00946754" w:rsidRPr="0038340A">
              <w:t>rea/s where service</w:t>
            </w:r>
            <w:r w:rsidR="005B56DF" w:rsidRPr="0038340A">
              <w:t>(s)/programs(s)</w:t>
            </w:r>
            <w:r w:rsidR="00946754" w:rsidRPr="0038340A">
              <w:t xml:space="preserve"> </w:t>
            </w:r>
            <w:r w:rsidR="005B56DF" w:rsidRPr="0038340A">
              <w:t>are</w:t>
            </w:r>
            <w:r w:rsidR="00946754" w:rsidRPr="0038340A">
              <w:t xml:space="preserve"> provided</w:t>
            </w:r>
          </w:p>
        </w:tc>
        <w:tc>
          <w:tcPr>
            <w:tcW w:w="7280" w:type="dxa"/>
          </w:tcPr>
          <w:p w14:paraId="65CBF83A" w14:textId="77777777" w:rsidR="00946754" w:rsidRPr="0038340A" w:rsidRDefault="00946754">
            <w:pPr>
              <w:pStyle w:val="Body"/>
            </w:pPr>
          </w:p>
        </w:tc>
      </w:tr>
      <w:tr w:rsidR="00946754" w:rsidRPr="0038340A" w14:paraId="07216602" w14:textId="77777777" w:rsidTr="00382FBA">
        <w:tc>
          <w:tcPr>
            <w:tcW w:w="7279" w:type="dxa"/>
          </w:tcPr>
          <w:p w14:paraId="2FF333DC" w14:textId="4E6749E7" w:rsidR="00946754" w:rsidRPr="0038340A" w:rsidRDefault="00946754">
            <w:pPr>
              <w:pStyle w:val="Body"/>
              <w:rPr>
                <w:u w:val="single"/>
              </w:rPr>
            </w:pPr>
            <w:r w:rsidRPr="0038340A">
              <w:rPr>
                <w:b/>
                <w:bCs/>
              </w:rPr>
              <w:t>Brief description of proposed transfer:</w:t>
            </w:r>
            <w:r w:rsidRPr="0038340A">
              <w:t xml:space="preserve"> </w:t>
            </w:r>
            <w:r w:rsidR="00293911" w:rsidRPr="0038340A">
              <w:t>State the</w:t>
            </w:r>
            <w:r w:rsidRPr="0038340A">
              <w:t xml:space="preserve"> targets and resources (e.g. FTE) being transferred</w:t>
            </w:r>
          </w:p>
        </w:tc>
        <w:tc>
          <w:tcPr>
            <w:tcW w:w="7280" w:type="dxa"/>
          </w:tcPr>
          <w:p w14:paraId="201956BD" w14:textId="77777777" w:rsidR="00946754" w:rsidRPr="0038340A" w:rsidRDefault="00946754">
            <w:pPr>
              <w:pStyle w:val="Body"/>
            </w:pPr>
          </w:p>
        </w:tc>
      </w:tr>
      <w:tr w:rsidR="00946754" w:rsidRPr="0038340A" w14:paraId="16A583F0" w14:textId="77777777" w:rsidTr="00382FBA">
        <w:tc>
          <w:tcPr>
            <w:tcW w:w="7279" w:type="dxa"/>
          </w:tcPr>
          <w:p w14:paraId="275309EF" w14:textId="78AA5C22" w:rsidR="00946754" w:rsidRPr="0038340A" w:rsidRDefault="00946754">
            <w:pPr>
              <w:pStyle w:val="Body"/>
            </w:pPr>
            <w:r w:rsidRPr="0038340A">
              <w:rPr>
                <w:b/>
                <w:bCs/>
              </w:rPr>
              <w:t>Target dates:</w:t>
            </w:r>
            <w:r w:rsidRPr="0038340A">
              <w:t xml:space="preserve"> </w:t>
            </w:r>
            <w:r w:rsidR="00293911" w:rsidRPr="0038340A">
              <w:t xml:space="preserve">State </w:t>
            </w:r>
            <w:r w:rsidRPr="0038340A">
              <w:t>anticipated dates for transfer and any deadlines the department should be aware of</w:t>
            </w:r>
          </w:p>
        </w:tc>
        <w:tc>
          <w:tcPr>
            <w:tcW w:w="7280" w:type="dxa"/>
          </w:tcPr>
          <w:p w14:paraId="37B0D9EF" w14:textId="77777777" w:rsidR="00946754" w:rsidRPr="0038340A" w:rsidRDefault="00946754">
            <w:pPr>
              <w:pStyle w:val="Body"/>
            </w:pPr>
          </w:p>
        </w:tc>
      </w:tr>
    </w:tbl>
    <w:p w14:paraId="6C89DF1E" w14:textId="35E9A56E" w:rsidR="00946754" w:rsidRPr="0038340A" w:rsidRDefault="00946754" w:rsidP="00342203">
      <w:pPr>
        <w:pStyle w:val="Bodyaftertablefigure"/>
      </w:pPr>
      <w:r w:rsidRPr="0038340A">
        <w:t>Table 2</w:t>
      </w:r>
      <w:r w:rsidR="00293911" w:rsidRPr="0038340A">
        <w:t xml:space="preserve"> provides </w:t>
      </w:r>
      <w:r w:rsidR="00170B93" w:rsidRPr="0038340A">
        <w:t>a checklist of</w:t>
      </w:r>
      <w:r w:rsidRPr="0038340A">
        <w:t xml:space="preserve"> activities as a prompt to ensure the transfer process </w:t>
      </w:r>
      <w:r w:rsidR="00293911" w:rsidRPr="0038340A">
        <w:t>aligns</w:t>
      </w:r>
      <w:r w:rsidRPr="0038340A">
        <w:t xml:space="preserve"> with the </w:t>
      </w:r>
      <w:r w:rsidR="00293911" w:rsidRPr="0038340A">
        <w:t xml:space="preserve">principles </w:t>
      </w:r>
      <w:r w:rsidRPr="0038340A">
        <w:t>of this policy. Activities listed are not exhaustive</w:t>
      </w:r>
      <w:r w:rsidR="00293911" w:rsidRPr="0038340A">
        <w:t>.</w:t>
      </w:r>
      <w:r w:rsidRPr="0038340A">
        <w:t xml:space="preserve"> </w:t>
      </w:r>
      <w:r w:rsidR="00293911" w:rsidRPr="0038340A">
        <w:t>O</w:t>
      </w:r>
      <w:r w:rsidRPr="0038340A">
        <w:t xml:space="preserve">rganisations </w:t>
      </w:r>
      <w:r w:rsidR="00293911" w:rsidRPr="0038340A">
        <w:t>should</w:t>
      </w:r>
      <w:r w:rsidRPr="0038340A">
        <w:t xml:space="preserve"> develop their own approaches to ensuring a robust process. The </w:t>
      </w:r>
      <w:r w:rsidR="00293911" w:rsidRPr="0038340A">
        <w:t>department will use this checklist to</w:t>
      </w:r>
      <w:r w:rsidRPr="0038340A">
        <w:t xml:space="preserve"> assess the proposal and decid</w:t>
      </w:r>
      <w:r w:rsidR="00293911" w:rsidRPr="0038340A">
        <w:t>e</w:t>
      </w:r>
      <w:r w:rsidRPr="0038340A">
        <w:t xml:space="preserve"> on next steps.</w:t>
      </w:r>
    </w:p>
    <w:p w14:paraId="0041657B" w14:textId="5F7C3B69" w:rsidR="00946754" w:rsidRPr="0038340A" w:rsidRDefault="00946754" w:rsidP="00946754">
      <w:pPr>
        <w:pStyle w:val="Tablecaption"/>
      </w:pPr>
      <w:r w:rsidRPr="0038340A">
        <w:lastRenderedPageBreak/>
        <w:t>Table 2</w:t>
      </w:r>
      <w:r w:rsidR="00293911" w:rsidRPr="0038340A">
        <w:t xml:space="preserve">: </w:t>
      </w:r>
      <w:r w:rsidR="00810DD8" w:rsidRPr="0038340A">
        <w:t xml:space="preserve">Transfer </w:t>
      </w:r>
      <w:r w:rsidRPr="0038340A">
        <w:t>checklist</w:t>
      </w:r>
    </w:p>
    <w:tbl>
      <w:tblPr>
        <w:tblStyle w:val="TableGrid"/>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1651"/>
        <w:gridCol w:w="3710"/>
        <w:gridCol w:w="4665"/>
      </w:tblGrid>
      <w:tr w:rsidR="00946754" w:rsidRPr="0038340A" w14:paraId="7013CB22" w14:textId="77777777" w:rsidTr="00BD28DC">
        <w:trPr>
          <w:trHeight w:val="567"/>
          <w:tblHeader/>
        </w:trPr>
        <w:tc>
          <w:tcPr>
            <w:tcW w:w="1557" w:type="pct"/>
            <w:shd w:val="clear" w:color="auto" w:fill="DDD9C3" w:themeFill="background2" w:themeFillShade="E6"/>
          </w:tcPr>
          <w:p w14:paraId="67DEE298" w14:textId="77777777" w:rsidR="00946754" w:rsidRPr="0038340A" w:rsidRDefault="00946754">
            <w:pPr>
              <w:pStyle w:val="Body"/>
              <w:rPr>
                <w:b/>
                <w:bCs/>
              </w:rPr>
            </w:pPr>
            <w:r w:rsidRPr="0038340A">
              <w:rPr>
                <w:b/>
                <w:bCs/>
              </w:rPr>
              <w:t>Activity</w:t>
            </w:r>
          </w:p>
        </w:tc>
        <w:tc>
          <w:tcPr>
            <w:tcW w:w="567" w:type="pct"/>
            <w:shd w:val="clear" w:color="auto" w:fill="DDD9C3" w:themeFill="background2" w:themeFillShade="E6"/>
          </w:tcPr>
          <w:p w14:paraId="6CA7C2ED" w14:textId="29D31C59" w:rsidR="00946754" w:rsidRPr="0038340A" w:rsidRDefault="00946754">
            <w:pPr>
              <w:pStyle w:val="Body"/>
            </w:pPr>
            <w:r w:rsidRPr="0038340A">
              <w:rPr>
                <w:b/>
                <w:bCs/>
              </w:rPr>
              <w:t>Status</w:t>
            </w:r>
            <w:r w:rsidRPr="0038340A">
              <w:t xml:space="preserve"> (</w:t>
            </w:r>
            <w:r w:rsidR="00293911" w:rsidRPr="0038340A">
              <w:t>e</w:t>
            </w:r>
            <w:r w:rsidRPr="0038340A">
              <w:t xml:space="preserve">.g. </w:t>
            </w:r>
            <w:r w:rsidR="00293911" w:rsidRPr="0038340A">
              <w:t>c</w:t>
            </w:r>
            <w:r w:rsidRPr="0038340A">
              <w:t xml:space="preserve">omplete, </w:t>
            </w:r>
            <w:r w:rsidR="00293911" w:rsidRPr="0038340A">
              <w:t xml:space="preserve">in </w:t>
            </w:r>
            <w:r w:rsidRPr="0038340A">
              <w:t>progress, N/A)</w:t>
            </w:r>
          </w:p>
        </w:tc>
        <w:tc>
          <w:tcPr>
            <w:tcW w:w="1274" w:type="pct"/>
            <w:shd w:val="clear" w:color="auto" w:fill="DDD9C3" w:themeFill="background2" w:themeFillShade="E6"/>
          </w:tcPr>
          <w:p w14:paraId="7AEDE0ED" w14:textId="77777777" w:rsidR="00946754" w:rsidRPr="0038340A" w:rsidRDefault="00946754">
            <w:pPr>
              <w:pStyle w:val="Body"/>
              <w:rPr>
                <w:b/>
                <w:bCs/>
              </w:rPr>
            </w:pPr>
            <w:r w:rsidRPr="0038340A">
              <w:rPr>
                <w:b/>
                <w:bCs/>
              </w:rPr>
              <w:t>Organisational comments (ACCOs and CSOs)</w:t>
            </w:r>
          </w:p>
        </w:tc>
        <w:tc>
          <w:tcPr>
            <w:tcW w:w="1602" w:type="pct"/>
            <w:shd w:val="clear" w:color="auto" w:fill="DDD9C3" w:themeFill="background2" w:themeFillShade="E6"/>
          </w:tcPr>
          <w:p w14:paraId="12DAD46B" w14:textId="77777777" w:rsidR="00946754" w:rsidRPr="0038340A" w:rsidRDefault="00946754">
            <w:pPr>
              <w:pStyle w:val="Body"/>
              <w:rPr>
                <w:b/>
                <w:bCs/>
              </w:rPr>
            </w:pPr>
            <w:r w:rsidRPr="0038340A">
              <w:rPr>
                <w:b/>
                <w:bCs/>
              </w:rPr>
              <w:t>Department comments</w:t>
            </w:r>
          </w:p>
        </w:tc>
      </w:tr>
      <w:tr w:rsidR="00946754" w:rsidRPr="0038340A" w14:paraId="3FF2372E" w14:textId="77777777" w:rsidTr="00BD28DC">
        <w:trPr>
          <w:trHeight w:val="567"/>
        </w:trPr>
        <w:tc>
          <w:tcPr>
            <w:tcW w:w="1557" w:type="pct"/>
          </w:tcPr>
          <w:p w14:paraId="4264D562" w14:textId="2294F24F" w:rsidR="00946754" w:rsidRPr="0038340A" w:rsidRDefault="00946754">
            <w:pPr>
              <w:pStyle w:val="Body"/>
              <w:rPr>
                <w:sz w:val="20"/>
              </w:rPr>
            </w:pPr>
            <w:r w:rsidRPr="0038340A">
              <w:rPr>
                <w:sz w:val="20"/>
              </w:rPr>
              <w:t xml:space="preserve">The proposal has been informed by local community engagement (e.g. through a </w:t>
            </w:r>
            <w:r w:rsidR="00293911" w:rsidRPr="0038340A">
              <w:rPr>
                <w:sz w:val="20"/>
              </w:rPr>
              <w:t>local transition plan</w:t>
            </w:r>
            <w:r w:rsidRPr="0038340A">
              <w:rPr>
                <w:sz w:val="20"/>
              </w:rPr>
              <w:t>). Communication with community post transfer has been planned.</w:t>
            </w:r>
          </w:p>
        </w:tc>
        <w:tc>
          <w:tcPr>
            <w:tcW w:w="567" w:type="pct"/>
          </w:tcPr>
          <w:p w14:paraId="315AD802" w14:textId="77777777" w:rsidR="00946754" w:rsidRPr="0038340A" w:rsidRDefault="00946754">
            <w:pPr>
              <w:pStyle w:val="Body"/>
              <w:rPr>
                <w:sz w:val="20"/>
              </w:rPr>
            </w:pPr>
          </w:p>
        </w:tc>
        <w:tc>
          <w:tcPr>
            <w:tcW w:w="1274" w:type="pct"/>
          </w:tcPr>
          <w:p w14:paraId="051DA28A" w14:textId="69034BC0" w:rsidR="00946754" w:rsidRPr="0038340A" w:rsidRDefault="00946754">
            <w:pPr>
              <w:pStyle w:val="Body"/>
              <w:rPr>
                <w:i/>
                <w:iCs/>
                <w:sz w:val="20"/>
              </w:rPr>
            </w:pPr>
            <w:r w:rsidRPr="0038340A">
              <w:rPr>
                <w:i/>
                <w:iCs/>
                <w:sz w:val="20"/>
              </w:rPr>
              <w:t xml:space="preserve">Briefly explain background behind the </w:t>
            </w:r>
            <w:r w:rsidR="00293911" w:rsidRPr="0038340A">
              <w:rPr>
                <w:i/>
                <w:iCs/>
                <w:sz w:val="20"/>
              </w:rPr>
              <w:t>s</w:t>
            </w:r>
            <w:r w:rsidRPr="0038340A">
              <w:rPr>
                <w:i/>
                <w:iCs/>
                <w:sz w:val="20"/>
              </w:rPr>
              <w:t>tatus (e.g. how it has been completed)</w:t>
            </w:r>
            <w:r w:rsidR="00293911" w:rsidRPr="0038340A">
              <w:rPr>
                <w:i/>
                <w:iCs/>
                <w:sz w:val="20"/>
              </w:rPr>
              <w:t>.</w:t>
            </w:r>
          </w:p>
          <w:p w14:paraId="5CF14B7E" w14:textId="40946934" w:rsidR="00946754" w:rsidRPr="0038340A" w:rsidRDefault="00946754">
            <w:pPr>
              <w:pStyle w:val="Body"/>
              <w:rPr>
                <w:sz w:val="20"/>
              </w:rPr>
            </w:pPr>
            <w:r w:rsidRPr="0038340A">
              <w:rPr>
                <w:i/>
                <w:iCs/>
                <w:sz w:val="20"/>
              </w:rPr>
              <w:t xml:space="preserve">Please refer to relevant documents the </w:t>
            </w:r>
            <w:r w:rsidR="00293911" w:rsidRPr="0038340A">
              <w:rPr>
                <w:i/>
                <w:iCs/>
                <w:sz w:val="20"/>
              </w:rPr>
              <w:t>d</w:t>
            </w:r>
            <w:r w:rsidRPr="0038340A">
              <w:rPr>
                <w:i/>
                <w:iCs/>
                <w:sz w:val="20"/>
              </w:rPr>
              <w:t>epartment should consider and attach to this completed form</w:t>
            </w:r>
            <w:r w:rsidR="00293911" w:rsidRPr="0038340A">
              <w:rPr>
                <w:i/>
                <w:iCs/>
                <w:sz w:val="20"/>
              </w:rPr>
              <w:t>.</w:t>
            </w:r>
          </w:p>
        </w:tc>
        <w:tc>
          <w:tcPr>
            <w:tcW w:w="1602" w:type="pct"/>
          </w:tcPr>
          <w:p w14:paraId="2FEA05EE" w14:textId="77777777" w:rsidR="00946754" w:rsidRPr="0038340A" w:rsidRDefault="00946754">
            <w:pPr>
              <w:pStyle w:val="Body"/>
              <w:rPr>
                <w:sz w:val="20"/>
              </w:rPr>
            </w:pPr>
          </w:p>
        </w:tc>
      </w:tr>
      <w:tr w:rsidR="00946754" w:rsidRPr="0038340A" w14:paraId="5E1A68E6" w14:textId="77777777" w:rsidTr="00BD28DC">
        <w:trPr>
          <w:trHeight w:val="567"/>
        </w:trPr>
        <w:tc>
          <w:tcPr>
            <w:tcW w:w="1557" w:type="pct"/>
          </w:tcPr>
          <w:p w14:paraId="4A3BB0A2" w14:textId="3C000BCD" w:rsidR="00946754" w:rsidRPr="0038340A" w:rsidRDefault="003548D1">
            <w:pPr>
              <w:pStyle w:val="Body"/>
              <w:rPr>
                <w:sz w:val="20"/>
              </w:rPr>
            </w:pPr>
            <w:r w:rsidRPr="0038340A">
              <w:rPr>
                <w:sz w:val="20"/>
              </w:rPr>
              <w:t>Transfer p</w:t>
            </w:r>
            <w:r w:rsidR="00946754" w:rsidRPr="0038340A">
              <w:rPr>
                <w:sz w:val="20"/>
              </w:rPr>
              <w:t>roject governance between organisations</w:t>
            </w:r>
            <w:r w:rsidR="00A204D8" w:rsidRPr="0038340A">
              <w:rPr>
                <w:sz w:val="20"/>
              </w:rPr>
              <w:t xml:space="preserve"> and the department</w:t>
            </w:r>
            <w:r w:rsidR="00946754" w:rsidRPr="0038340A">
              <w:rPr>
                <w:sz w:val="20"/>
              </w:rPr>
              <w:t xml:space="preserve"> has been </w:t>
            </w:r>
            <w:r w:rsidR="004F697B" w:rsidRPr="0038340A">
              <w:rPr>
                <w:sz w:val="20"/>
              </w:rPr>
              <w:t xml:space="preserve">considered or </w:t>
            </w:r>
            <w:r w:rsidR="00946754" w:rsidRPr="0038340A">
              <w:rPr>
                <w:sz w:val="20"/>
              </w:rPr>
              <w:t xml:space="preserve">established (such as a </w:t>
            </w:r>
            <w:r w:rsidR="00293911" w:rsidRPr="0038340A">
              <w:rPr>
                <w:sz w:val="20"/>
              </w:rPr>
              <w:t>project control group</w:t>
            </w:r>
            <w:r w:rsidR="00946754" w:rsidRPr="0038340A">
              <w:rPr>
                <w:sz w:val="20"/>
              </w:rPr>
              <w:t>)</w:t>
            </w:r>
            <w:r w:rsidR="00293911" w:rsidRPr="0038340A">
              <w:rPr>
                <w:sz w:val="20"/>
              </w:rPr>
              <w:t>.</w:t>
            </w:r>
          </w:p>
        </w:tc>
        <w:tc>
          <w:tcPr>
            <w:tcW w:w="567" w:type="pct"/>
          </w:tcPr>
          <w:p w14:paraId="6EF41748" w14:textId="77777777" w:rsidR="00946754" w:rsidRPr="0038340A" w:rsidRDefault="00946754">
            <w:pPr>
              <w:pStyle w:val="Body"/>
              <w:rPr>
                <w:sz w:val="20"/>
              </w:rPr>
            </w:pPr>
          </w:p>
        </w:tc>
        <w:tc>
          <w:tcPr>
            <w:tcW w:w="1274" w:type="pct"/>
          </w:tcPr>
          <w:p w14:paraId="252E1C98" w14:textId="77777777" w:rsidR="00946754" w:rsidRPr="0038340A" w:rsidRDefault="00946754">
            <w:pPr>
              <w:pStyle w:val="Body"/>
              <w:rPr>
                <w:sz w:val="20"/>
              </w:rPr>
            </w:pPr>
          </w:p>
        </w:tc>
        <w:tc>
          <w:tcPr>
            <w:tcW w:w="1602" w:type="pct"/>
          </w:tcPr>
          <w:p w14:paraId="750BBB39" w14:textId="77777777" w:rsidR="00946754" w:rsidRPr="0038340A" w:rsidRDefault="00946754">
            <w:pPr>
              <w:pStyle w:val="Body"/>
              <w:rPr>
                <w:sz w:val="20"/>
              </w:rPr>
            </w:pPr>
          </w:p>
        </w:tc>
      </w:tr>
      <w:tr w:rsidR="00946754" w:rsidRPr="0038340A" w14:paraId="401979D2" w14:textId="77777777" w:rsidTr="00BD28DC">
        <w:trPr>
          <w:trHeight w:val="567"/>
        </w:trPr>
        <w:tc>
          <w:tcPr>
            <w:tcW w:w="1557" w:type="pct"/>
          </w:tcPr>
          <w:p w14:paraId="36372EAD" w14:textId="07447053" w:rsidR="00946754" w:rsidRPr="0038340A" w:rsidRDefault="00946754">
            <w:pPr>
              <w:pStyle w:val="Body"/>
              <w:rPr>
                <w:sz w:val="20"/>
              </w:rPr>
            </w:pPr>
            <w:r w:rsidRPr="0038340A">
              <w:rPr>
                <w:sz w:val="20"/>
              </w:rPr>
              <w:t xml:space="preserve">Risks and mitigation strategies have been considered (e.g. through a </w:t>
            </w:r>
            <w:r w:rsidR="00293911" w:rsidRPr="0038340A">
              <w:rPr>
                <w:sz w:val="20"/>
              </w:rPr>
              <w:t>risk management plan</w:t>
            </w:r>
            <w:r w:rsidRPr="0038340A">
              <w:rPr>
                <w:sz w:val="20"/>
              </w:rPr>
              <w:t>)</w:t>
            </w:r>
            <w:r w:rsidR="00293911" w:rsidRPr="0038340A">
              <w:rPr>
                <w:sz w:val="20"/>
              </w:rPr>
              <w:t>.</w:t>
            </w:r>
          </w:p>
        </w:tc>
        <w:tc>
          <w:tcPr>
            <w:tcW w:w="567" w:type="pct"/>
          </w:tcPr>
          <w:p w14:paraId="7E0664A2" w14:textId="77777777" w:rsidR="00946754" w:rsidRPr="0038340A" w:rsidRDefault="00946754">
            <w:pPr>
              <w:pStyle w:val="Body"/>
              <w:rPr>
                <w:sz w:val="20"/>
              </w:rPr>
            </w:pPr>
          </w:p>
        </w:tc>
        <w:tc>
          <w:tcPr>
            <w:tcW w:w="1274" w:type="pct"/>
          </w:tcPr>
          <w:p w14:paraId="564F871F" w14:textId="77777777" w:rsidR="00946754" w:rsidRPr="0038340A" w:rsidRDefault="00946754">
            <w:pPr>
              <w:pStyle w:val="Body"/>
              <w:rPr>
                <w:sz w:val="20"/>
              </w:rPr>
            </w:pPr>
          </w:p>
        </w:tc>
        <w:tc>
          <w:tcPr>
            <w:tcW w:w="1602" w:type="pct"/>
          </w:tcPr>
          <w:p w14:paraId="43FF9C3C" w14:textId="77777777" w:rsidR="00946754" w:rsidRPr="0038340A" w:rsidRDefault="00946754">
            <w:pPr>
              <w:pStyle w:val="Body"/>
              <w:rPr>
                <w:sz w:val="20"/>
              </w:rPr>
            </w:pPr>
          </w:p>
        </w:tc>
      </w:tr>
      <w:tr w:rsidR="00946754" w:rsidRPr="0038340A" w14:paraId="411F2A1C" w14:textId="77777777" w:rsidTr="00BD28DC">
        <w:trPr>
          <w:trHeight w:val="567"/>
        </w:trPr>
        <w:tc>
          <w:tcPr>
            <w:tcW w:w="1557" w:type="pct"/>
          </w:tcPr>
          <w:p w14:paraId="2C6346D4" w14:textId="636B2703" w:rsidR="00946754" w:rsidRPr="0038340A" w:rsidRDefault="00946754">
            <w:pPr>
              <w:pStyle w:val="Body"/>
              <w:rPr>
                <w:sz w:val="20"/>
              </w:rPr>
            </w:pPr>
            <w:r w:rsidRPr="0038340A">
              <w:rPr>
                <w:sz w:val="20"/>
              </w:rPr>
              <w:t xml:space="preserve">The proposal considers longer-term </w:t>
            </w:r>
            <w:r w:rsidR="00D10CBB" w:rsidRPr="0038340A">
              <w:rPr>
                <w:sz w:val="20"/>
              </w:rPr>
              <w:t xml:space="preserve">goals and </w:t>
            </w:r>
            <w:r w:rsidRPr="0038340A">
              <w:rPr>
                <w:sz w:val="20"/>
              </w:rPr>
              <w:t>aspirations of the ACCO</w:t>
            </w:r>
            <w:r w:rsidR="00456C7A" w:rsidRPr="0038340A">
              <w:rPr>
                <w:sz w:val="20"/>
              </w:rPr>
              <w:t>,</w:t>
            </w:r>
            <w:r w:rsidRPr="0038340A">
              <w:rPr>
                <w:sz w:val="20"/>
              </w:rPr>
              <w:t xml:space="preserve"> and how the transfer process builds towards that (e.g. partial delivery of a program, working towards full delivery once the ACCO is ready)</w:t>
            </w:r>
            <w:r w:rsidR="00293911" w:rsidRPr="0038340A">
              <w:rPr>
                <w:sz w:val="20"/>
              </w:rPr>
              <w:t>.</w:t>
            </w:r>
          </w:p>
        </w:tc>
        <w:tc>
          <w:tcPr>
            <w:tcW w:w="567" w:type="pct"/>
          </w:tcPr>
          <w:p w14:paraId="77A10F2D" w14:textId="77777777" w:rsidR="00946754" w:rsidRPr="0038340A" w:rsidRDefault="00946754">
            <w:pPr>
              <w:pStyle w:val="Body"/>
              <w:rPr>
                <w:sz w:val="20"/>
              </w:rPr>
            </w:pPr>
          </w:p>
        </w:tc>
        <w:tc>
          <w:tcPr>
            <w:tcW w:w="1274" w:type="pct"/>
          </w:tcPr>
          <w:p w14:paraId="78D01B38" w14:textId="77777777" w:rsidR="00946754" w:rsidRPr="0038340A" w:rsidRDefault="00946754">
            <w:pPr>
              <w:pStyle w:val="Body"/>
              <w:rPr>
                <w:sz w:val="20"/>
              </w:rPr>
            </w:pPr>
          </w:p>
        </w:tc>
        <w:tc>
          <w:tcPr>
            <w:tcW w:w="1602" w:type="pct"/>
          </w:tcPr>
          <w:p w14:paraId="62B12682" w14:textId="77777777" w:rsidR="00946754" w:rsidRPr="0038340A" w:rsidRDefault="00946754">
            <w:pPr>
              <w:pStyle w:val="Body"/>
              <w:rPr>
                <w:sz w:val="20"/>
              </w:rPr>
            </w:pPr>
          </w:p>
        </w:tc>
      </w:tr>
      <w:tr w:rsidR="00946754" w:rsidRPr="0038340A" w14:paraId="410A78F3" w14:textId="77777777" w:rsidTr="00BD28DC">
        <w:trPr>
          <w:trHeight w:val="567"/>
        </w:trPr>
        <w:tc>
          <w:tcPr>
            <w:tcW w:w="1557" w:type="pct"/>
          </w:tcPr>
          <w:p w14:paraId="639F48B0" w14:textId="62C9660A" w:rsidR="00946754" w:rsidRPr="0038340A" w:rsidRDefault="00946754">
            <w:pPr>
              <w:pStyle w:val="Body"/>
              <w:rPr>
                <w:sz w:val="20"/>
              </w:rPr>
            </w:pPr>
            <w:r w:rsidRPr="0038340A">
              <w:rPr>
                <w:sz w:val="20"/>
              </w:rPr>
              <w:t xml:space="preserve">The ACCO has an existing Service Agreement with the department and is registered to deliver child and family services under the Social Services Regulator. </w:t>
            </w:r>
            <w:r w:rsidR="00DD122F" w:rsidRPr="0038340A">
              <w:rPr>
                <w:sz w:val="20"/>
              </w:rPr>
              <w:t>If this is not the case, steps to achieve this so the ACCO can be allocated targets have been considered.</w:t>
            </w:r>
          </w:p>
        </w:tc>
        <w:tc>
          <w:tcPr>
            <w:tcW w:w="567" w:type="pct"/>
          </w:tcPr>
          <w:p w14:paraId="70B483F1" w14:textId="77777777" w:rsidR="00946754" w:rsidRPr="0038340A" w:rsidRDefault="00946754">
            <w:pPr>
              <w:pStyle w:val="Body"/>
              <w:rPr>
                <w:sz w:val="20"/>
              </w:rPr>
            </w:pPr>
          </w:p>
        </w:tc>
        <w:tc>
          <w:tcPr>
            <w:tcW w:w="1274" w:type="pct"/>
          </w:tcPr>
          <w:p w14:paraId="5836A5FE" w14:textId="77777777" w:rsidR="00946754" w:rsidRPr="0038340A" w:rsidRDefault="00946754">
            <w:pPr>
              <w:pStyle w:val="Body"/>
              <w:rPr>
                <w:sz w:val="20"/>
              </w:rPr>
            </w:pPr>
          </w:p>
        </w:tc>
        <w:tc>
          <w:tcPr>
            <w:tcW w:w="1602" w:type="pct"/>
          </w:tcPr>
          <w:p w14:paraId="438ADB43" w14:textId="77777777" w:rsidR="00946754" w:rsidRPr="0038340A" w:rsidRDefault="00946754">
            <w:pPr>
              <w:pStyle w:val="Body"/>
              <w:rPr>
                <w:sz w:val="20"/>
              </w:rPr>
            </w:pPr>
          </w:p>
        </w:tc>
      </w:tr>
      <w:tr w:rsidR="00946754" w:rsidRPr="0038340A" w14:paraId="7EA47E62" w14:textId="77777777" w:rsidTr="00BD28DC">
        <w:trPr>
          <w:cantSplit/>
          <w:trHeight w:val="567"/>
        </w:trPr>
        <w:tc>
          <w:tcPr>
            <w:tcW w:w="1557" w:type="pct"/>
          </w:tcPr>
          <w:p w14:paraId="49CED36D" w14:textId="75C813FB" w:rsidR="00946754" w:rsidRPr="0038340A" w:rsidRDefault="00946754">
            <w:pPr>
              <w:pStyle w:val="Body"/>
              <w:rPr>
                <w:sz w:val="20"/>
              </w:rPr>
            </w:pPr>
            <w:r w:rsidRPr="0038340A">
              <w:rPr>
                <w:sz w:val="20"/>
              </w:rPr>
              <w:lastRenderedPageBreak/>
              <w:t>If other ACCOs (other than the proposed recipient of transferred resources) operate in the relevant Area, they have been given an opportunity to express interest in service provision</w:t>
            </w:r>
            <w:r w:rsidR="003D0290" w:rsidRPr="0038340A">
              <w:rPr>
                <w:sz w:val="20"/>
              </w:rPr>
              <w:t xml:space="preserve">. </w:t>
            </w:r>
            <w:r w:rsidR="00456514" w:rsidRPr="0038340A">
              <w:rPr>
                <w:sz w:val="20"/>
              </w:rPr>
              <w:t xml:space="preserve">Engagement processes and the position of other ACCOs </w:t>
            </w:r>
            <w:r w:rsidR="00927EA1" w:rsidRPr="0038340A">
              <w:rPr>
                <w:sz w:val="20"/>
              </w:rPr>
              <w:t>have</w:t>
            </w:r>
            <w:r w:rsidR="00456514" w:rsidRPr="0038340A">
              <w:rPr>
                <w:sz w:val="20"/>
              </w:rPr>
              <w:t xml:space="preserve"> been clearly recorded (e.g. an official letter)</w:t>
            </w:r>
          </w:p>
        </w:tc>
        <w:tc>
          <w:tcPr>
            <w:tcW w:w="567" w:type="pct"/>
          </w:tcPr>
          <w:p w14:paraId="1E91CB93" w14:textId="77777777" w:rsidR="00946754" w:rsidRPr="0038340A" w:rsidRDefault="00946754">
            <w:pPr>
              <w:pStyle w:val="Body"/>
              <w:rPr>
                <w:sz w:val="20"/>
              </w:rPr>
            </w:pPr>
          </w:p>
        </w:tc>
        <w:tc>
          <w:tcPr>
            <w:tcW w:w="1274" w:type="pct"/>
          </w:tcPr>
          <w:p w14:paraId="5A3B8B1C" w14:textId="77777777" w:rsidR="00946754" w:rsidRPr="0038340A" w:rsidRDefault="00946754">
            <w:pPr>
              <w:pStyle w:val="Body"/>
              <w:rPr>
                <w:sz w:val="20"/>
              </w:rPr>
            </w:pPr>
          </w:p>
        </w:tc>
        <w:tc>
          <w:tcPr>
            <w:tcW w:w="1602" w:type="pct"/>
          </w:tcPr>
          <w:p w14:paraId="3954A0AA" w14:textId="77777777" w:rsidR="00946754" w:rsidRPr="0038340A" w:rsidRDefault="00946754">
            <w:pPr>
              <w:pStyle w:val="Body"/>
              <w:rPr>
                <w:sz w:val="20"/>
              </w:rPr>
            </w:pPr>
          </w:p>
        </w:tc>
      </w:tr>
      <w:tr w:rsidR="00946754" w:rsidRPr="0038340A" w14:paraId="0502F82E" w14:textId="77777777" w:rsidTr="00BD28DC">
        <w:trPr>
          <w:trHeight w:val="1173"/>
        </w:trPr>
        <w:tc>
          <w:tcPr>
            <w:tcW w:w="1557" w:type="pct"/>
          </w:tcPr>
          <w:p w14:paraId="079173A2" w14:textId="4126A65E" w:rsidR="00946754" w:rsidRPr="0038340A" w:rsidRDefault="00946754">
            <w:pPr>
              <w:pStyle w:val="Body"/>
              <w:rPr>
                <w:sz w:val="20"/>
              </w:rPr>
            </w:pPr>
            <w:r w:rsidRPr="0038340A">
              <w:rPr>
                <w:sz w:val="20"/>
              </w:rPr>
              <w:t>Consideration has also been given to other ACCOs who do not operate in the Area but may be impacted by the transfer (e.g. an ACCO operating in a neighbouring Area or Division, or an ACCO providing a statewide service)</w:t>
            </w:r>
            <w:r w:rsidR="00945D2E" w:rsidRPr="0038340A">
              <w:rPr>
                <w:sz w:val="20"/>
              </w:rPr>
              <w:t>. If potential impacts are identified, engagement with relevant ACCOs has taken place to discuss</w:t>
            </w:r>
            <w:r w:rsidR="000E10B8" w:rsidRPr="0038340A">
              <w:rPr>
                <w:sz w:val="20"/>
              </w:rPr>
              <w:t xml:space="preserve"> how impacts will be managed.</w:t>
            </w:r>
          </w:p>
        </w:tc>
        <w:tc>
          <w:tcPr>
            <w:tcW w:w="567" w:type="pct"/>
          </w:tcPr>
          <w:p w14:paraId="720DD541" w14:textId="77777777" w:rsidR="00946754" w:rsidRPr="0038340A" w:rsidRDefault="00946754">
            <w:pPr>
              <w:pStyle w:val="Body"/>
              <w:rPr>
                <w:sz w:val="20"/>
              </w:rPr>
            </w:pPr>
          </w:p>
        </w:tc>
        <w:tc>
          <w:tcPr>
            <w:tcW w:w="1274" w:type="pct"/>
          </w:tcPr>
          <w:p w14:paraId="17BB22CA" w14:textId="77777777" w:rsidR="00946754" w:rsidRPr="0038340A" w:rsidRDefault="00946754">
            <w:pPr>
              <w:pStyle w:val="Body"/>
              <w:rPr>
                <w:sz w:val="20"/>
              </w:rPr>
            </w:pPr>
          </w:p>
        </w:tc>
        <w:tc>
          <w:tcPr>
            <w:tcW w:w="1602" w:type="pct"/>
          </w:tcPr>
          <w:p w14:paraId="013262BF" w14:textId="77777777" w:rsidR="00946754" w:rsidRPr="0038340A" w:rsidRDefault="00946754">
            <w:pPr>
              <w:pStyle w:val="Body"/>
              <w:rPr>
                <w:sz w:val="20"/>
              </w:rPr>
            </w:pPr>
          </w:p>
        </w:tc>
      </w:tr>
      <w:tr w:rsidR="00946754" w:rsidRPr="0038340A" w14:paraId="706958E9" w14:textId="77777777" w:rsidTr="00BD28DC">
        <w:trPr>
          <w:trHeight w:val="567"/>
        </w:trPr>
        <w:tc>
          <w:tcPr>
            <w:tcW w:w="1557" w:type="pct"/>
          </w:tcPr>
          <w:p w14:paraId="08B55C66" w14:textId="77777777" w:rsidR="00946754" w:rsidRPr="0038340A" w:rsidRDefault="00946754">
            <w:pPr>
              <w:pStyle w:val="Body"/>
              <w:rPr>
                <w:sz w:val="20"/>
              </w:rPr>
            </w:pPr>
            <w:r w:rsidRPr="0038340A">
              <w:rPr>
                <w:sz w:val="20"/>
              </w:rPr>
              <w:t>An assessment of current local demand and how existing targets are being met has been conducted, to inform transfer of targets</w:t>
            </w:r>
          </w:p>
        </w:tc>
        <w:tc>
          <w:tcPr>
            <w:tcW w:w="567" w:type="pct"/>
          </w:tcPr>
          <w:p w14:paraId="30A657BF" w14:textId="77777777" w:rsidR="00946754" w:rsidRPr="0038340A" w:rsidRDefault="00946754">
            <w:pPr>
              <w:pStyle w:val="Body"/>
              <w:rPr>
                <w:sz w:val="20"/>
              </w:rPr>
            </w:pPr>
          </w:p>
        </w:tc>
        <w:tc>
          <w:tcPr>
            <w:tcW w:w="1274" w:type="pct"/>
          </w:tcPr>
          <w:p w14:paraId="7881180B" w14:textId="77777777" w:rsidR="00946754" w:rsidRPr="0038340A" w:rsidRDefault="00946754">
            <w:pPr>
              <w:pStyle w:val="Body"/>
              <w:rPr>
                <w:sz w:val="20"/>
              </w:rPr>
            </w:pPr>
          </w:p>
        </w:tc>
        <w:tc>
          <w:tcPr>
            <w:tcW w:w="1602" w:type="pct"/>
          </w:tcPr>
          <w:p w14:paraId="0B846026" w14:textId="77777777" w:rsidR="00946754" w:rsidRPr="0038340A" w:rsidRDefault="00946754">
            <w:pPr>
              <w:pStyle w:val="Body"/>
              <w:rPr>
                <w:sz w:val="20"/>
              </w:rPr>
            </w:pPr>
          </w:p>
        </w:tc>
      </w:tr>
      <w:tr w:rsidR="00946754" w:rsidRPr="0038340A" w14:paraId="354A7226" w14:textId="77777777" w:rsidTr="00BD28DC">
        <w:trPr>
          <w:trHeight w:val="1175"/>
        </w:trPr>
        <w:tc>
          <w:tcPr>
            <w:tcW w:w="1557" w:type="pct"/>
          </w:tcPr>
          <w:p w14:paraId="1484CAF3" w14:textId="77777777" w:rsidR="00946754" w:rsidRPr="0038340A" w:rsidRDefault="00946754">
            <w:pPr>
              <w:pStyle w:val="Body"/>
            </w:pPr>
            <w:r w:rsidRPr="0038340A">
              <w:rPr>
                <w:sz w:val="20"/>
              </w:rPr>
              <w:t xml:space="preserve">Consideration has been given to how a CSO can continue some service provision for Aboriginal children and families who in future may wish to receive services from them </w:t>
            </w:r>
          </w:p>
        </w:tc>
        <w:tc>
          <w:tcPr>
            <w:tcW w:w="567" w:type="pct"/>
          </w:tcPr>
          <w:p w14:paraId="456A79C2" w14:textId="77777777" w:rsidR="00946754" w:rsidRPr="0038340A" w:rsidRDefault="00946754">
            <w:pPr>
              <w:pStyle w:val="Body"/>
              <w:rPr>
                <w:sz w:val="20"/>
              </w:rPr>
            </w:pPr>
          </w:p>
        </w:tc>
        <w:tc>
          <w:tcPr>
            <w:tcW w:w="1274" w:type="pct"/>
          </w:tcPr>
          <w:p w14:paraId="20CDEB22" w14:textId="77777777" w:rsidR="00946754" w:rsidRPr="0038340A" w:rsidRDefault="00946754">
            <w:pPr>
              <w:pStyle w:val="Body"/>
              <w:rPr>
                <w:sz w:val="20"/>
              </w:rPr>
            </w:pPr>
          </w:p>
        </w:tc>
        <w:tc>
          <w:tcPr>
            <w:tcW w:w="1602" w:type="pct"/>
          </w:tcPr>
          <w:p w14:paraId="16C24129" w14:textId="77777777" w:rsidR="00946754" w:rsidRPr="0038340A" w:rsidRDefault="00946754">
            <w:pPr>
              <w:pStyle w:val="Body"/>
              <w:rPr>
                <w:sz w:val="20"/>
              </w:rPr>
            </w:pPr>
          </w:p>
        </w:tc>
      </w:tr>
      <w:tr w:rsidR="00946754" w:rsidRPr="0038340A" w14:paraId="1DE124FB" w14:textId="77777777" w:rsidTr="00BD28DC">
        <w:trPr>
          <w:trHeight w:val="567"/>
        </w:trPr>
        <w:tc>
          <w:tcPr>
            <w:tcW w:w="1557" w:type="pct"/>
          </w:tcPr>
          <w:p w14:paraId="0409F4C0" w14:textId="77777777" w:rsidR="00946754" w:rsidRPr="0038340A" w:rsidRDefault="00946754">
            <w:pPr>
              <w:pStyle w:val="Body"/>
              <w:rPr>
                <w:sz w:val="20"/>
              </w:rPr>
            </w:pPr>
            <w:r w:rsidRPr="0038340A">
              <w:rPr>
                <w:sz w:val="20"/>
              </w:rPr>
              <w:t>If splitting of a service/program between ACCO and CSO is being proposed, service viability (i.e. ability to meet targets with resources) has been considered</w:t>
            </w:r>
          </w:p>
        </w:tc>
        <w:tc>
          <w:tcPr>
            <w:tcW w:w="567" w:type="pct"/>
          </w:tcPr>
          <w:p w14:paraId="0CFF0E2B" w14:textId="77777777" w:rsidR="00946754" w:rsidRPr="0038340A" w:rsidRDefault="00946754">
            <w:pPr>
              <w:pStyle w:val="Body"/>
              <w:rPr>
                <w:sz w:val="20"/>
              </w:rPr>
            </w:pPr>
          </w:p>
        </w:tc>
        <w:tc>
          <w:tcPr>
            <w:tcW w:w="1274" w:type="pct"/>
          </w:tcPr>
          <w:p w14:paraId="2FCF45BD" w14:textId="77777777" w:rsidR="00946754" w:rsidRPr="0038340A" w:rsidRDefault="00946754">
            <w:pPr>
              <w:pStyle w:val="Body"/>
              <w:rPr>
                <w:sz w:val="20"/>
              </w:rPr>
            </w:pPr>
          </w:p>
        </w:tc>
        <w:tc>
          <w:tcPr>
            <w:tcW w:w="1602" w:type="pct"/>
          </w:tcPr>
          <w:p w14:paraId="3DB32D64" w14:textId="77777777" w:rsidR="00946754" w:rsidRPr="0038340A" w:rsidRDefault="00946754">
            <w:pPr>
              <w:pStyle w:val="Body"/>
              <w:rPr>
                <w:sz w:val="20"/>
              </w:rPr>
            </w:pPr>
          </w:p>
        </w:tc>
      </w:tr>
      <w:tr w:rsidR="00946754" w:rsidRPr="0038340A" w14:paraId="695EA89C" w14:textId="77777777" w:rsidTr="00BD28DC">
        <w:trPr>
          <w:trHeight w:val="567"/>
        </w:trPr>
        <w:tc>
          <w:tcPr>
            <w:tcW w:w="1557" w:type="pct"/>
          </w:tcPr>
          <w:p w14:paraId="615467E1" w14:textId="77777777" w:rsidR="00946754" w:rsidRPr="0038340A" w:rsidRDefault="00946754">
            <w:pPr>
              <w:pStyle w:val="Body"/>
              <w:rPr>
                <w:sz w:val="20"/>
              </w:rPr>
            </w:pPr>
            <w:r w:rsidRPr="0038340A">
              <w:rPr>
                <w:sz w:val="20"/>
              </w:rPr>
              <w:t xml:space="preserve">If there are types of services that could be transferred but an ACCO either chooses not to </w:t>
            </w:r>
            <w:r w:rsidRPr="0038340A">
              <w:rPr>
                <w:sz w:val="20"/>
              </w:rPr>
              <w:lastRenderedPageBreak/>
              <w:t>or cannot deliver it, alternative service models have been explored</w:t>
            </w:r>
          </w:p>
        </w:tc>
        <w:tc>
          <w:tcPr>
            <w:tcW w:w="567" w:type="pct"/>
          </w:tcPr>
          <w:p w14:paraId="7E221380" w14:textId="77777777" w:rsidR="00946754" w:rsidRPr="0038340A" w:rsidRDefault="00946754">
            <w:pPr>
              <w:pStyle w:val="Body"/>
              <w:rPr>
                <w:sz w:val="20"/>
              </w:rPr>
            </w:pPr>
          </w:p>
        </w:tc>
        <w:tc>
          <w:tcPr>
            <w:tcW w:w="1274" w:type="pct"/>
          </w:tcPr>
          <w:p w14:paraId="7C5323DC" w14:textId="77777777" w:rsidR="00946754" w:rsidRPr="0038340A" w:rsidRDefault="00946754">
            <w:pPr>
              <w:pStyle w:val="Body"/>
              <w:rPr>
                <w:sz w:val="20"/>
              </w:rPr>
            </w:pPr>
          </w:p>
        </w:tc>
        <w:tc>
          <w:tcPr>
            <w:tcW w:w="1602" w:type="pct"/>
          </w:tcPr>
          <w:p w14:paraId="1C93B39F" w14:textId="77777777" w:rsidR="00946754" w:rsidRPr="0038340A" w:rsidRDefault="00946754">
            <w:pPr>
              <w:pStyle w:val="Body"/>
              <w:rPr>
                <w:sz w:val="20"/>
              </w:rPr>
            </w:pPr>
          </w:p>
        </w:tc>
      </w:tr>
      <w:tr w:rsidR="00946754" w:rsidRPr="0038340A" w14:paraId="7FB2D86E" w14:textId="77777777" w:rsidTr="00BD28DC">
        <w:trPr>
          <w:trHeight w:val="567"/>
        </w:trPr>
        <w:tc>
          <w:tcPr>
            <w:tcW w:w="1557" w:type="pct"/>
          </w:tcPr>
          <w:p w14:paraId="6F775E4F" w14:textId="1DE6B6FA" w:rsidR="00946754" w:rsidRPr="0038340A" w:rsidRDefault="00FA1222">
            <w:pPr>
              <w:pStyle w:val="Body"/>
              <w:rPr>
                <w:sz w:val="20"/>
              </w:rPr>
            </w:pPr>
            <w:r w:rsidRPr="0038340A">
              <w:rPr>
                <w:sz w:val="20"/>
              </w:rPr>
              <w:t>How staff</w:t>
            </w:r>
            <w:r w:rsidR="00946754" w:rsidRPr="0038340A">
              <w:rPr>
                <w:sz w:val="20"/>
              </w:rPr>
              <w:t xml:space="preserve"> at both the CSO and ACCO</w:t>
            </w:r>
            <w:r w:rsidR="00C81128" w:rsidRPr="0038340A">
              <w:rPr>
                <w:sz w:val="20"/>
              </w:rPr>
              <w:t xml:space="preserve"> will be impacted by a transfer</w:t>
            </w:r>
            <w:r w:rsidR="00946754" w:rsidRPr="0038340A">
              <w:rPr>
                <w:sz w:val="20"/>
              </w:rPr>
              <w:t xml:space="preserve"> has been </w:t>
            </w:r>
            <w:r w:rsidR="00C81128" w:rsidRPr="0038340A">
              <w:rPr>
                <w:sz w:val="20"/>
              </w:rPr>
              <w:t xml:space="preserve">considered and planned for (e.g. human resource </w:t>
            </w:r>
            <w:r w:rsidR="00E246AF" w:rsidRPr="0038340A">
              <w:rPr>
                <w:sz w:val="20"/>
              </w:rPr>
              <w:t>management</w:t>
            </w:r>
            <w:r w:rsidR="00C81128" w:rsidRPr="0038340A">
              <w:rPr>
                <w:sz w:val="20"/>
              </w:rPr>
              <w:t>, support and communication)</w:t>
            </w:r>
          </w:p>
        </w:tc>
        <w:tc>
          <w:tcPr>
            <w:tcW w:w="567" w:type="pct"/>
          </w:tcPr>
          <w:p w14:paraId="5169DD48" w14:textId="77777777" w:rsidR="00946754" w:rsidRPr="0038340A" w:rsidRDefault="00946754">
            <w:pPr>
              <w:pStyle w:val="Body"/>
              <w:rPr>
                <w:sz w:val="20"/>
              </w:rPr>
            </w:pPr>
          </w:p>
        </w:tc>
        <w:tc>
          <w:tcPr>
            <w:tcW w:w="1274" w:type="pct"/>
          </w:tcPr>
          <w:p w14:paraId="655AF23D" w14:textId="77777777" w:rsidR="00946754" w:rsidRPr="0038340A" w:rsidRDefault="00946754">
            <w:pPr>
              <w:pStyle w:val="Body"/>
              <w:rPr>
                <w:sz w:val="20"/>
              </w:rPr>
            </w:pPr>
          </w:p>
        </w:tc>
        <w:tc>
          <w:tcPr>
            <w:tcW w:w="1602" w:type="pct"/>
          </w:tcPr>
          <w:p w14:paraId="6D0BFB41" w14:textId="77777777" w:rsidR="00946754" w:rsidRPr="0038340A" w:rsidRDefault="00946754">
            <w:pPr>
              <w:pStyle w:val="Body"/>
              <w:rPr>
                <w:sz w:val="20"/>
              </w:rPr>
            </w:pPr>
          </w:p>
        </w:tc>
      </w:tr>
      <w:tr w:rsidR="00946754" w:rsidRPr="0038340A" w14:paraId="203EBF84" w14:textId="77777777" w:rsidTr="00BD28DC">
        <w:trPr>
          <w:trHeight w:val="567"/>
        </w:trPr>
        <w:tc>
          <w:tcPr>
            <w:tcW w:w="1557" w:type="pct"/>
          </w:tcPr>
          <w:p w14:paraId="0B2602DA" w14:textId="5EE29375" w:rsidR="00946754" w:rsidRPr="0038340A" w:rsidRDefault="00946754">
            <w:pPr>
              <w:pStyle w:val="Body"/>
              <w:rPr>
                <w:sz w:val="20"/>
              </w:rPr>
            </w:pPr>
            <w:r w:rsidRPr="0038340A">
              <w:rPr>
                <w:sz w:val="20"/>
              </w:rPr>
              <w:t>A communication approach to existing clients of the relevant service</w:t>
            </w:r>
            <w:r w:rsidR="00917E22" w:rsidRPr="0038340A">
              <w:rPr>
                <w:sz w:val="20"/>
              </w:rPr>
              <w:t xml:space="preserve"> has been developed</w:t>
            </w:r>
            <w:r w:rsidRPr="0038340A">
              <w:rPr>
                <w:sz w:val="20"/>
              </w:rPr>
              <w:t>, explaining how the transfer is occurring</w:t>
            </w:r>
            <w:r w:rsidR="00917E22" w:rsidRPr="0038340A">
              <w:rPr>
                <w:sz w:val="20"/>
              </w:rPr>
              <w:t xml:space="preserve"> </w:t>
            </w:r>
            <w:r w:rsidRPr="0038340A">
              <w:rPr>
                <w:sz w:val="20"/>
              </w:rPr>
              <w:t>(noting that current client consent is not needed for transfer to occur)</w:t>
            </w:r>
          </w:p>
        </w:tc>
        <w:tc>
          <w:tcPr>
            <w:tcW w:w="567" w:type="pct"/>
          </w:tcPr>
          <w:p w14:paraId="4C4827A8" w14:textId="77777777" w:rsidR="00946754" w:rsidRPr="0038340A" w:rsidRDefault="00946754">
            <w:pPr>
              <w:pStyle w:val="Body"/>
              <w:rPr>
                <w:sz w:val="20"/>
              </w:rPr>
            </w:pPr>
          </w:p>
        </w:tc>
        <w:tc>
          <w:tcPr>
            <w:tcW w:w="1274" w:type="pct"/>
          </w:tcPr>
          <w:p w14:paraId="0726364B" w14:textId="77777777" w:rsidR="00946754" w:rsidRPr="0038340A" w:rsidRDefault="00946754">
            <w:pPr>
              <w:pStyle w:val="Body"/>
              <w:rPr>
                <w:sz w:val="20"/>
              </w:rPr>
            </w:pPr>
          </w:p>
        </w:tc>
        <w:tc>
          <w:tcPr>
            <w:tcW w:w="1602" w:type="pct"/>
          </w:tcPr>
          <w:p w14:paraId="5FFDA20D" w14:textId="77777777" w:rsidR="00946754" w:rsidRPr="0038340A" w:rsidRDefault="00946754">
            <w:pPr>
              <w:pStyle w:val="Body"/>
              <w:rPr>
                <w:sz w:val="20"/>
              </w:rPr>
            </w:pPr>
          </w:p>
        </w:tc>
      </w:tr>
      <w:tr w:rsidR="00946754" w:rsidRPr="0038340A" w14:paraId="2C95D009" w14:textId="77777777" w:rsidTr="00BD28DC">
        <w:trPr>
          <w:trHeight w:val="567"/>
        </w:trPr>
        <w:tc>
          <w:tcPr>
            <w:tcW w:w="1557" w:type="pct"/>
          </w:tcPr>
          <w:p w14:paraId="2245E8EC" w14:textId="77777777" w:rsidR="00946754" w:rsidRPr="0038340A" w:rsidRDefault="00946754">
            <w:pPr>
              <w:pStyle w:val="Body"/>
              <w:rPr>
                <w:sz w:val="20"/>
              </w:rPr>
            </w:pPr>
            <w:r w:rsidRPr="0038340A">
              <w:rPr>
                <w:sz w:val="20"/>
              </w:rPr>
              <w:t>Handover of client management has been planned for, with consideration of risks to client wellbeing and safety, as well as the secure sharing of confidential client information</w:t>
            </w:r>
          </w:p>
        </w:tc>
        <w:tc>
          <w:tcPr>
            <w:tcW w:w="567" w:type="pct"/>
          </w:tcPr>
          <w:p w14:paraId="6F056186" w14:textId="77777777" w:rsidR="00946754" w:rsidRPr="0038340A" w:rsidRDefault="00946754">
            <w:pPr>
              <w:pStyle w:val="Body"/>
              <w:rPr>
                <w:sz w:val="20"/>
              </w:rPr>
            </w:pPr>
          </w:p>
        </w:tc>
        <w:tc>
          <w:tcPr>
            <w:tcW w:w="1274" w:type="pct"/>
          </w:tcPr>
          <w:p w14:paraId="3C7B4FEF" w14:textId="77777777" w:rsidR="00946754" w:rsidRPr="0038340A" w:rsidRDefault="00946754">
            <w:pPr>
              <w:pStyle w:val="Body"/>
              <w:rPr>
                <w:sz w:val="20"/>
              </w:rPr>
            </w:pPr>
          </w:p>
        </w:tc>
        <w:tc>
          <w:tcPr>
            <w:tcW w:w="1602" w:type="pct"/>
          </w:tcPr>
          <w:p w14:paraId="61B66036" w14:textId="77777777" w:rsidR="00946754" w:rsidRPr="0038340A" w:rsidRDefault="00946754">
            <w:pPr>
              <w:pStyle w:val="Body"/>
              <w:rPr>
                <w:sz w:val="20"/>
              </w:rPr>
            </w:pPr>
          </w:p>
        </w:tc>
      </w:tr>
      <w:tr w:rsidR="00946754" w:rsidRPr="0038340A" w14:paraId="5CCFD319" w14:textId="77777777" w:rsidTr="00BD28DC">
        <w:trPr>
          <w:trHeight w:val="567"/>
        </w:trPr>
        <w:tc>
          <w:tcPr>
            <w:tcW w:w="1557" w:type="pct"/>
          </w:tcPr>
          <w:p w14:paraId="0A5AA9A3" w14:textId="77777777" w:rsidR="00946754" w:rsidRPr="0038340A" w:rsidRDefault="00946754">
            <w:pPr>
              <w:pStyle w:val="Body"/>
              <w:rPr>
                <w:sz w:val="20"/>
              </w:rPr>
            </w:pPr>
            <w:r w:rsidRPr="0038340A">
              <w:rPr>
                <w:sz w:val="20"/>
              </w:rPr>
              <w:t>Consideration has been given to how referral pathways for new clients will be managed when transfer occurs</w:t>
            </w:r>
          </w:p>
        </w:tc>
        <w:tc>
          <w:tcPr>
            <w:tcW w:w="567" w:type="pct"/>
          </w:tcPr>
          <w:p w14:paraId="532A86D0" w14:textId="77777777" w:rsidR="00946754" w:rsidRPr="0038340A" w:rsidRDefault="00946754">
            <w:pPr>
              <w:pStyle w:val="Body"/>
              <w:rPr>
                <w:sz w:val="20"/>
              </w:rPr>
            </w:pPr>
          </w:p>
        </w:tc>
        <w:tc>
          <w:tcPr>
            <w:tcW w:w="1274" w:type="pct"/>
          </w:tcPr>
          <w:p w14:paraId="2182C709" w14:textId="77777777" w:rsidR="00946754" w:rsidRPr="0038340A" w:rsidRDefault="00946754">
            <w:pPr>
              <w:pStyle w:val="Body"/>
              <w:rPr>
                <w:sz w:val="20"/>
              </w:rPr>
            </w:pPr>
          </w:p>
        </w:tc>
        <w:tc>
          <w:tcPr>
            <w:tcW w:w="1602" w:type="pct"/>
          </w:tcPr>
          <w:p w14:paraId="311A6635" w14:textId="77777777" w:rsidR="00946754" w:rsidRPr="0038340A" w:rsidRDefault="00946754">
            <w:pPr>
              <w:pStyle w:val="Body"/>
              <w:rPr>
                <w:sz w:val="20"/>
              </w:rPr>
            </w:pPr>
          </w:p>
        </w:tc>
      </w:tr>
      <w:tr w:rsidR="00946754" w:rsidRPr="0038340A" w14:paraId="7390A7B5" w14:textId="77777777" w:rsidTr="00BD28DC">
        <w:trPr>
          <w:trHeight w:val="577"/>
        </w:trPr>
        <w:tc>
          <w:tcPr>
            <w:tcW w:w="1557" w:type="pct"/>
          </w:tcPr>
          <w:p w14:paraId="2BE249BD" w14:textId="77777777" w:rsidR="00946754" w:rsidRPr="0038340A" w:rsidRDefault="00946754">
            <w:pPr>
              <w:pStyle w:val="Body"/>
              <w:rPr>
                <w:sz w:val="20"/>
              </w:rPr>
            </w:pPr>
            <w:r w:rsidRPr="0038340A">
              <w:rPr>
                <w:sz w:val="20"/>
              </w:rPr>
              <w:t>Handover regarding relevant external partnerships and relationships has been planned</w:t>
            </w:r>
          </w:p>
        </w:tc>
        <w:tc>
          <w:tcPr>
            <w:tcW w:w="567" w:type="pct"/>
          </w:tcPr>
          <w:p w14:paraId="2333A177" w14:textId="77777777" w:rsidR="00946754" w:rsidRPr="0038340A" w:rsidRDefault="00946754">
            <w:pPr>
              <w:pStyle w:val="Body"/>
              <w:rPr>
                <w:sz w:val="20"/>
              </w:rPr>
            </w:pPr>
          </w:p>
        </w:tc>
        <w:tc>
          <w:tcPr>
            <w:tcW w:w="1274" w:type="pct"/>
          </w:tcPr>
          <w:p w14:paraId="0EC628DA" w14:textId="77777777" w:rsidR="00946754" w:rsidRPr="0038340A" w:rsidRDefault="00946754">
            <w:pPr>
              <w:pStyle w:val="Body"/>
              <w:rPr>
                <w:sz w:val="20"/>
              </w:rPr>
            </w:pPr>
          </w:p>
        </w:tc>
        <w:tc>
          <w:tcPr>
            <w:tcW w:w="1602" w:type="pct"/>
          </w:tcPr>
          <w:p w14:paraId="6319E5C5" w14:textId="77777777" w:rsidR="00946754" w:rsidRPr="0038340A" w:rsidRDefault="00946754">
            <w:pPr>
              <w:pStyle w:val="Body"/>
              <w:rPr>
                <w:sz w:val="20"/>
              </w:rPr>
            </w:pPr>
          </w:p>
        </w:tc>
      </w:tr>
      <w:tr w:rsidR="00946754" w:rsidRPr="0038340A" w14:paraId="0A759D78" w14:textId="77777777" w:rsidTr="00BD28DC">
        <w:trPr>
          <w:trHeight w:val="577"/>
        </w:trPr>
        <w:tc>
          <w:tcPr>
            <w:tcW w:w="1557" w:type="pct"/>
          </w:tcPr>
          <w:p w14:paraId="0F7EAF3C" w14:textId="77777777" w:rsidR="00946754" w:rsidRPr="0038340A" w:rsidRDefault="00946754">
            <w:pPr>
              <w:pStyle w:val="Body"/>
              <w:rPr>
                <w:sz w:val="20"/>
              </w:rPr>
            </w:pPr>
            <w:r w:rsidRPr="0038340A">
              <w:rPr>
                <w:sz w:val="20"/>
              </w:rPr>
              <w:t>Relevant assets impacted by a transfer have been considered (e.g. any vehicles, equipment and property are captured in an Asset Register)</w:t>
            </w:r>
          </w:p>
        </w:tc>
        <w:tc>
          <w:tcPr>
            <w:tcW w:w="567" w:type="pct"/>
          </w:tcPr>
          <w:p w14:paraId="0A155A9B" w14:textId="77777777" w:rsidR="00946754" w:rsidRPr="0038340A" w:rsidRDefault="00946754">
            <w:pPr>
              <w:pStyle w:val="Body"/>
              <w:rPr>
                <w:sz w:val="20"/>
              </w:rPr>
            </w:pPr>
          </w:p>
        </w:tc>
        <w:tc>
          <w:tcPr>
            <w:tcW w:w="1274" w:type="pct"/>
          </w:tcPr>
          <w:p w14:paraId="70419C8F" w14:textId="77777777" w:rsidR="00946754" w:rsidRPr="0038340A" w:rsidRDefault="00946754">
            <w:pPr>
              <w:pStyle w:val="Body"/>
              <w:rPr>
                <w:sz w:val="20"/>
              </w:rPr>
            </w:pPr>
          </w:p>
        </w:tc>
        <w:tc>
          <w:tcPr>
            <w:tcW w:w="1602" w:type="pct"/>
          </w:tcPr>
          <w:p w14:paraId="20201941" w14:textId="77777777" w:rsidR="00946754" w:rsidRPr="0038340A" w:rsidRDefault="00946754">
            <w:pPr>
              <w:pStyle w:val="Body"/>
              <w:rPr>
                <w:sz w:val="20"/>
              </w:rPr>
            </w:pPr>
          </w:p>
        </w:tc>
      </w:tr>
      <w:tr w:rsidR="00946754" w:rsidRPr="0038340A" w14:paraId="11E5872F" w14:textId="77777777" w:rsidTr="00BD28DC">
        <w:trPr>
          <w:trHeight w:val="577"/>
        </w:trPr>
        <w:tc>
          <w:tcPr>
            <w:tcW w:w="1557" w:type="pct"/>
          </w:tcPr>
          <w:p w14:paraId="5D26C9AD" w14:textId="150613A1" w:rsidR="00946754" w:rsidRPr="0038340A" w:rsidRDefault="00946754">
            <w:pPr>
              <w:pStyle w:val="Body"/>
              <w:rPr>
                <w:sz w:val="20"/>
              </w:rPr>
            </w:pPr>
            <w:r w:rsidRPr="0038340A">
              <w:rPr>
                <w:sz w:val="20"/>
              </w:rPr>
              <w:t>Data relevant to the transfer has been shared between ACCOs and CSOs to ensure informed decision</w:t>
            </w:r>
            <w:r w:rsidR="00EB65A2" w:rsidRPr="0038340A">
              <w:rPr>
                <w:sz w:val="20"/>
              </w:rPr>
              <w:t>-</w:t>
            </w:r>
            <w:r w:rsidRPr="0038340A">
              <w:rPr>
                <w:sz w:val="20"/>
              </w:rPr>
              <w:t>making</w:t>
            </w:r>
          </w:p>
        </w:tc>
        <w:tc>
          <w:tcPr>
            <w:tcW w:w="567" w:type="pct"/>
          </w:tcPr>
          <w:p w14:paraId="3413DDD2" w14:textId="77777777" w:rsidR="00946754" w:rsidRPr="0038340A" w:rsidRDefault="00946754">
            <w:pPr>
              <w:pStyle w:val="Body"/>
              <w:rPr>
                <w:sz w:val="20"/>
              </w:rPr>
            </w:pPr>
          </w:p>
        </w:tc>
        <w:tc>
          <w:tcPr>
            <w:tcW w:w="1274" w:type="pct"/>
          </w:tcPr>
          <w:p w14:paraId="7931914F" w14:textId="77777777" w:rsidR="00946754" w:rsidRPr="0038340A" w:rsidRDefault="00946754">
            <w:pPr>
              <w:pStyle w:val="Body"/>
              <w:rPr>
                <w:sz w:val="20"/>
              </w:rPr>
            </w:pPr>
          </w:p>
        </w:tc>
        <w:tc>
          <w:tcPr>
            <w:tcW w:w="1602" w:type="pct"/>
          </w:tcPr>
          <w:p w14:paraId="7DA08399" w14:textId="77777777" w:rsidR="00946754" w:rsidRPr="0038340A" w:rsidRDefault="00946754">
            <w:pPr>
              <w:pStyle w:val="Body"/>
              <w:rPr>
                <w:sz w:val="20"/>
              </w:rPr>
            </w:pPr>
          </w:p>
        </w:tc>
      </w:tr>
    </w:tbl>
    <w:p w14:paraId="2D7FE0A1" w14:textId="77777777" w:rsidR="00946754" w:rsidRPr="0038340A" w:rsidRDefault="00946754" w:rsidP="00946754">
      <w:pPr>
        <w:pStyle w:val="Body"/>
      </w:pPr>
    </w:p>
    <w:p w14:paraId="1DD95011" w14:textId="77777777" w:rsidR="00946754" w:rsidRPr="0038340A" w:rsidRDefault="00946754" w:rsidP="00946754">
      <w:pPr>
        <w:pStyle w:val="Heading2"/>
      </w:pPr>
      <w:bookmarkStart w:id="65" w:name="_Toc211509483"/>
      <w:bookmarkStart w:id="66" w:name="_Toc219710553"/>
      <w:r w:rsidRPr="0038340A">
        <w:lastRenderedPageBreak/>
        <w:t>Organisational signatures</w:t>
      </w:r>
      <w:bookmarkEnd w:id="65"/>
      <w:bookmarkEnd w:id="66"/>
    </w:p>
    <w:p w14:paraId="34E14BE8" w14:textId="77777777" w:rsidR="00946754" w:rsidRPr="0038340A" w:rsidRDefault="00946754" w:rsidP="00946754">
      <w:pPr>
        <w:pStyle w:val="Body"/>
      </w:pPr>
      <w:r w:rsidRPr="0038340A">
        <w:t>Please include sign off from the appropriate delegate in each organisation. It is also appropriate to provide this in a formal cover letter to the department.</w:t>
      </w:r>
    </w:p>
    <w:p w14:paraId="5962B376" w14:textId="77777777" w:rsidR="00946754" w:rsidRPr="0038340A" w:rsidRDefault="00946754" w:rsidP="00946754">
      <w:pPr>
        <w:pStyle w:val="Heading2"/>
      </w:pPr>
      <w:bookmarkStart w:id="67" w:name="_Toc211509484"/>
      <w:bookmarkStart w:id="68" w:name="_Toc219710554"/>
      <w:r w:rsidRPr="0038340A">
        <w:t>Departmental response</w:t>
      </w:r>
      <w:bookmarkEnd w:id="67"/>
      <w:bookmarkEnd w:id="68"/>
    </w:p>
    <w:p w14:paraId="3A8B97B9" w14:textId="348B9C6F" w:rsidR="00946754" w:rsidRPr="0038340A" w:rsidRDefault="00293911" w:rsidP="00946754">
      <w:pPr>
        <w:pStyle w:val="Body"/>
        <w:spacing w:after="240"/>
      </w:pPr>
      <w:r w:rsidRPr="0038340A">
        <w:t>The relevant</w:t>
      </w:r>
      <w:r w:rsidR="00946754" w:rsidRPr="0038340A">
        <w:t xml:space="preserve"> departmental officer </w:t>
      </w:r>
      <w:r w:rsidRPr="0038340A">
        <w:t xml:space="preserve">will complete this section </w:t>
      </w:r>
      <w:r w:rsidR="00946754" w:rsidRPr="0038340A">
        <w:t>as a record of how the proposal was assessed. This assessment then informs follow</w:t>
      </w:r>
      <w:r w:rsidRPr="0038340A">
        <w:t>-</w:t>
      </w:r>
      <w:r w:rsidR="00946754" w:rsidRPr="0038340A">
        <w:t>up communication with organisations and next steps for the proposal.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9"/>
        <w:gridCol w:w="7280"/>
      </w:tblGrid>
      <w:tr w:rsidR="00946754" w14:paraId="72CB7475" w14:textId="77777777" w:rsidTr="00C32074">
        <w:trPr>
          <w:trHeight w:val="1833"/>
        </w:trPr>
        <w:tc>
          <w:tcPr>
            <w:tcW w:w="7279" w:type="dxa"/>
          </w:tcPr>
          <w:p w14:paraId="18487697" w14:textId="77777777" w:rsidR="00946754" w:rsidRPr="0038340A" w:rsidRDefault="00946754">
            <w:pPr>
              <w:pStyle w:val="Body"/>
              <w:rPr>
                <w:b/>
                <w:bCs/>
              </w:rPr>
            </w:pPr>
            <w:r w:rsidRPr="0038340A">
              <w:rPr>
                <w:b/>
                <w:bCs/>
              </w:rPr>
              <w:t>Department attestation</w:t>
            </w:r>
          </w:p>
          <w:p w14:paraId="2EFA454A" w14:textId="77777777" w:rsidR="00946754" w:rsidRPr="0038340A" w:rsidRDefault="00946754">
            <w:pPr>
              <w:pStyle w:val="Body"/>
            </w:pPr>
            <w:r w:rsidRPr="0038340A">
              <w:t>Name:</w:t>
            </w:r>
          </w:p>
          <w:p w14:paraId="5240F7D5" w14:textId="77777777" w:rsidR="00946754" w:rsidRPr="0038340A" w:rsidRDefault="00946754">
            <w:pPr>
              <w:pStyle w:val="Body"/>
            </w:pPr>
            <w:r w:rsidRPr="0038340A">
              <w:t>Title:</w:t>
            </w:r>
          </w:p>
          <w:p w14:paraId="217078F4" w14:textId="77777777" w:rsidR="00946754" w:rsidRPr="0038340A" w:rsidRDefault="00946754">
            <w:pPr>
              <w:pStyle w:val="Body"/>
            </w:pPr>
            <w:r w:rsidRPr="0038340A">
              <w:t>Signature:</w:t>
            </w:r>
          </w:p>
          <w:p w14:paraId="72DCE28F" w14:textId="77777777" w:rsidR="00946754" w:rsidRPr="0038340A" w:rsidRDefault="00946754">
            <w:pPr>
              <w:pStyle w:val="Body"/>
            </w:pPr>
            <w:r w:rsidRPr="0038340A">
              <w:t>Date:</w:t>
            </w:r>
          </w:p>
        </w:tc>
        <w:tc>
          <w:tcPr>
            <w:tcW w:w="7280" w:type="dxa"/>
          </w:tcPr>
          <w:p w14:paraId="1EEC7173" w14:textId="372430DA" w:rsidR="00946754" w:rsidRPr="0038340A" w:rsidRDefault="00946754">
            <w:pPr>
              <w:pStyle w:val="Body"/>
            </w:pPr>
            <w:r w:rsidRPr="0038340A">
              <w:t xml:space="preserve">I confirm that I have consulted appropriately with all branches or Areas in </w:t>
            </w:r>
            <w:r w:rsidR="00293911" w:rsidRPr="0038340A">
              <w:t xml:space="preserve">the department </w:t>
            </w:r>
            <w:r w:rsidRPr="0038340A">
              <w:t xml:space="preserve">that are relevant to this proposal. </w:t>
            </w:r>
          </w:p>
          <w:p w14:paraId="6FC91906" w14:textId="77777777" w:rsidR="00946754" w:rsidRPr="0038340A" w:rsidRDefault="00946754">
            <w:pPr>
              <w:pStyle w:val="Body"/>
            </w:pPr>
            <w:r w:rsidRPr="0038340A">
              <w:t>I am satisfied that sufficient information has been provided in the proposal and make the below recommendation.</w:t>
            </w:r>
          </w:p>
          <w:p w14:paraId="10D1E9A1" w14:textId="77777777" w:rsidR="00946754" w:rsidRPr="0038340A" w:rsidRDefault="00946754">
            <w:pPr>
              <w:pStyle w:val="Body"/>
              <w:rPr>
                <w:b/>
                <w:bCs/>
                <w:i/>
                <w:iCs/>
              </w:rPr>
            </w:pPr>
            <w:r w:rsidRPr="0038340A">
              <w:rPr>
                <w:b/>
                <w:bCs/>
              </w:rPr>
              <w:t xml:space="preserve">Recommendation: </w:t>
            </w:r>
            <w:r w:rsidRPr="0038340A">
              <w:rPr>
                <w:i/>
                <w:iCs/>
              </w:rPr>
              <w:t>(only leave relevant recommendation and delete other – text can also be altered where needed)</w:t>
            </w:r>
          </w:p>
          <w:p w14:paraId="5FFC6EEC" w14:textId="3E2B612A" w:rsidR="00946754" w:rsidRPr="0038340A" w:rsidRDefault="00946754" w:rsidP="00946754">
            <w:pPr>
              <w:pStyle w:val="Body"/>
              <w:numPr>
                <w:ilvl w:val="0"/>
                <w:numId w:val="54"/>
              </w:numPr>
            </w:pPr>
            <w:r w:rsidRPr="0038340A">
              <w:t xml:space="preserve">The transition proposal is consistent with the </w:t>
            </w:r>
            <w:r w:rsidR="00293911" w:rsidRPr="0038340A">
              <w:t xml:space="preserve">policy </w:t>
            </w:r>
            <w:r w:rsidRPr="0038340A">
              <w:t xml:space="preserve">and should proceed to </w:t>
            </w:r>
            <w:r w:rsidR="00293911" w:rsidRPr="0038340A">
              <w:t xml:space="preserve">approval </w:t>
            </w:r>
            <w:r w:rsidRPr="0038340A">
              <w:t>stage and final negotiations</w:t>
            </w:r>
            <w:r w:rsidR="00293911" w:rsidRPr="0038340A">
              <w:t>.</w:t>
            </w:r>
          </w:p>
          <w:p w14:paraId="72383EBB" w14:textId="5E1D1682" w:rsidR="00946754" w:rsidRPr="0038340A" w:rsidRDefault="00946754" w:rsidP="00946754">
            <w:pPr>
              <w:pStyle w:val="Body"/>
              <w:numPr>
                <w:ilvl w:val="0"/>
                <w:numId w:val="54"/>
              </w:numPr>
            </w:pPr>
            <w:r w:rsidRPr="0038340A">
              <w:t xml:space="preserve">The transition proposal is not consistent with the </w:t>
            </w:r>
            <w:r w:rsidR="00293911" w:rsidRPr="0038340A">
              <w:t>policy</w:t>
            </w:r>
            <w:r w:rsidRPr="0038340A">
              <w:t>, as per departmental comments in th</w:t>
            </w:r>
            <w:r w:rsidR="00293911" w:rsidRPr="0038340A">
              <w:t>is c</w:t>
            </w:r>
            <w:r w:rsidRPr="0038340A">
              <w:t>hecklist. The department should consider the following options as a response to the organisations involved</w:t>
            </w:r>
            <w:r w:rsidR="00293911" w:rsidRPr="0038340A">
              <w:t>.</w:t>
            </w:r>
            <w:r w:rsidRPr="0038340A">
              <w:t xml:space="preserve"> </w:t>
            </w:r>
            <w:r w:rsidRPr="0038340A">
              <w:rPr>
                <w:i/>
                <w:iCs/>
              </w:rPr>
              <w:t>(</w:t>
            </w:r>
            <w:r w:rsidR="00293911" w:rsidRPr="0038340A">
              <w:rPr>
                <w:i/>
                <w:iCs/>
              </w:rPr>
              <w:t>L</w:t>
            </w:r>
            <w:r w:rsidRPr="0038340A">
              <w:rPr>
                <w:i/>
                <w:iCs/>
              </w:rPr>
              <w:t xml:space="preserve">ist </w:t>
            </w:r>
            <w:r w:rsidR="00293911" w:rsidRPr="0038340A">
              <w:rPr>
                <w:i/>
                <w:iCs/>
              </w:rPr>
              <w:t xml:space="preserve">these </w:t>
            </w:r>
            <w:r w:rsidRPr="0038340A">
              <w:rPr>
                <w:i/>
                <w:iCs/>
              </w:rPr>
              <w:t xml:space="preserve">in a separate </w:t>
            </w:r>
            <w:r w:rsidR="00293911" w:rsidRPr="0038340A">
              <w:rPr>
                <w:i/>
                <w:iCs/>
              </w:rPr>
              <w:t>document.</w:t>
            </w:r>
            <w:r w:rsidRPr="0038340A">
              <w:rPr>
                <w:i/>
                <w:iCs/>
              </w:rPr>
              <w:t>)</w:t>
            </w:r>
          </w:p>
        </w:tc>
      </w:tr>
    </w:tbl>
    <w:p w14:paraId="023F9555" w14:textId="77777777" w:rsidR="00946754" w:rsidRDefault="00946754" w:rsidP="00946754">
      <w:pPr>
        <w:pStyle w:val="Body"/>
      </w:pPr>
    </w:p>
    <w:p w14:paraId="312DEA78" w14:textId="77777777" w:rsidR="00162CA9" w:rsidRDefault="00162CA9" w:rsidP="00162CA9">
      <w:pPr>
        <w:pStyle w:val="Body"/>
      </w:pPr>
    </w:p>
    <w:sectPr w:rsidR="00162CA9" w:rsidSect="00946754">
      <w:pgSz w:w="16838" w:h="11906" w:orient="landscape" w:code="9"/>
      <w:pgMar w:top="993" w:right="1418"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601A" w14:textId="77777777" w:rsidR="0004124A" w:rsidRDefault="0004124A">
      <w:r>
        <w:separator/>
      </w:r>
    </w:p>
    <w:p w14:paraId="6603AA72" w14:textId="77777777" w:rsidR="0004124A" w:rsidRDefault="0004124A"/>
  </w:endnote>
  <w:endnote w:type="continuationSeparator" w:id="0">
    <w:p w14:paraId="0EB823E7" w14:textId="77777777" w:rsidR="0004124A" w:rsidRDefault="0004124A">
      <w:r>
        <w:continuationSeparator/>
      </w:r>
    </w:p>
    <w:p w14:paraId="49460E3D" w14:textId="77777777" w:rsidR="0004124A" w:rsidRDefault="0004124A"/>
  </w:endnote>
  <w:endnote w:type="continuationNotice" w:id="1">
    <w:p w14:paraId="67D2F8A5" w14:textId="77777777" w:rsidR="0004124A" w:rsidRDefault="000412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15B0" w14:textId="77777777" w:rsidR="0004124A" w:rsidRDefault="0004124A" w:rsidP="00207717">
      <w:pPr>
        <w:spacing w:before="120"/>
      </w:pPr>
      <w:r>
        <w:separator/>
      </w:r>
    </w:p>
  </w:footnote>
  <w:footnote w:type="continuationSeparator" w:id="0">
    <w:p w14:paraId="4C9F6D4D" w14:textId="77777777" w:rsidR="0004124A" w:rsidRDefault="0004124A">
      <w:r>
        <w:continuationSeparator/>
      </w:r>
    </w:p>
    <w:p w14:paraId="1B30F4CC" w14:textId="77777777" w:rsidR="0004124A" w:rsidRDefault="0004124A"/>
  </w:footnote>
  <w:footnote w:type="continuationNotice" w:id="1">
    <w:p w14:paraId="71B259E2" w14:textId="77777777" w:rsidR="0004124A" w:rsidRDefault="0004124A">
      <w:pPr>
        <w:spacing w:after="0" w:line="240" w:lineRule="auto"/>
      </w:pPr>
    </w:p>
  </w:footnote>
  <w:footnote w:id="2">
    <w:p w14:paraId="124240A3" w14:textId="08F74D8A" w:rsidR="009348F8" w:rsidRDefault="009348F8" w:rsidP="009348F8">
      <w:pPr>
        <w:pStyle w:val="FootnoteText"/>
      </w:pPr>
      <w:r w:rsidRPr="3CFB8BEE">
        <w:rPr>
          <w:rStyle w:val="FootnoteReference"/>
        </w:rPr>
        <w:footnoteRef/>
      </w:r>
      <w:r>
        <w:t xml:space="preserve"> </w:t>
      </w:r>
      <w:r w:rsidR="00890F97">
        <w:t xml:space="preserve">From data presented by the department to the Aboriginal Children’s Forum. </w:t>
      </w:r>
      <w:r>
        <w:t>Proportionality of funding differs across the continuum of child protection and family services. In 2025–26, 19% of funding for family and parenting services went to ACCOs, while 10% of funding for care services went to ACCOs.</w:t>
      </w:r>
    </w:p>
  </w:footnote>
  <w:footnote w:id="3">
    <w:p w14:paraId="1C31A33E" w14:textId="61783DB7" w:rsidR="00A864E9" w:rsidRDefault="00A864E9">
      <w:pPr>
        <w:pStyle w:val="FootnoteText"/>
      </w:pPr>
      <w:r>
        <w:rPr>
          <w:rStyle w:val="FootnoteReference"/>
        </w:rPr>
        <w:footnoteRef/>
      </w:r>
      <w:r w:rsidR="002C4BF2">
        <w:t xml:space="preserve"> At an international level, Indigenous cultural rights are also outlined in the United Nations Declaration on the Rights of Indigenous Peoples and the United Nations Convention on the Rights of the Child</w:t>
      </w:r>
    </w:p>
  </w:footnote>
  <w:footnote w:id="4">
    <w:p w14:paraId="57D710F9" w14:textId="25A89E13" w:rsidR="00B02E9C" w:rsidRDefault="00B02E9C">
      <w:pPr>
        <w:pStyle w:val="FootnoteText"/>
      </w:pPr>
      <w:r>
        <w:rPr>
          <w:rStyle w:val="FootnoteReference"/>
        </w:rPr>
        <w:footnoteRef/>
      </w:r>
      <w:r>
        <w:t xml:space="preserve"> </w:t>
      </w:r>
      <w:r w:rsidR="003D53AE">
        <w:t xml:space="preserve">See </w:t>
      </w:r>
      <w:r w:rsidR="00773D0B" w:rsidRPr="00927EA1">
        <w:rPr>
          <w:i/>
          <w:iCs/>
        </w:rPr>
        <w:t>Transition of Aboriginal Children to ACCOs: Rights and Aspirations</w:t>
      </w:r>
      <w:r w:rsidR="00773D0B">
        <w:t xml:space="preserve"> report</w:t>
      </w:r>
      <w:r w:rsidR="001D7EF0">
        <w:t xml:space="preserve"> (</w:t>
      </w:r>
      <w:r w:rsidR="00004E2F">
        <w:t>un</w:t>
      </w:r>
      <w:r w:rsidR="001D7EF0">
        <w:t>published)</w:t>
      </w:r>
    </w:p>
  </w:footnote>
  <w:footnote w:id="5">
    <w:p w14:paraId="3F1A8D61" w14:textId="438C1602" w:rsidR="00993248" w:rsidRPr="00993248" w:rsidRDefault="00993248">
      <w:pPr>
        <w:pStyle w:val="FootnoteText"/>
        <w:rPr>
          <w:lang w:val="en-US"/>
        </w:rPr>
      </w:pPr>
      <w:r>
        <w:rPr>
          <w:rStyle w:val="FootnoteReference"/>
        </w:rPr>
        <w:footnoteRef/>
      </w:r>
      <w:r>
        <w:t xml:space="preserve"> </w:t>
      </w:r>
      <w:r w:rsidRPr="00993248">
        <w:t>https://www.dffh.vic.gov.au/publications/wungurilwil-gapgapduir-aboriginal-children-and-families-agreement</w:t>
      </w:r>
    </w:p>
  </w:footnote>
  <w:footnote w:id="6">
    <w:p w14:paraId="386996C1" w14:textId="4ADEDFAC" w:rsidR="007254C5" w:rsidRDefault="007254C5">
      <w:pPr>
        <w:pStyle w:val="FootnoteText"/>
      </w:pPr>
      <w:r>
        <w:rPr>
          <w:rStyle w:val="FootnoteReference"/>
        </w:rPr>
        <w:footnoteRef/>
      </w:r>
      <w:r>
        <w:t xml:space="preserve"> </w:t>
      </w:r>
      <w:r w:rsidRPr="007254C5">
        <w:t>https://fac.dffh.vic.gov.au/dffh-and-dh-activity-index</w:t>
      </w:r>
    </w:p>
  </w:footnote>
  <w:footnote w:id="7">
    <w:p w14:paraId="4DA31481" w14:textId="52A054C9" w:rsidR="007254C5" w:rsidRDefault="007254C5">
      <w:pPr>
        <w:pStyle w:val="FootnoteText"/>
      </w:pPr>
      <w:r>
        <w:rPr>
          <w:rStyle w:val="FootnoteReference"/>
        </w:rPr>
        <w:footnoteRef/>
      </w:r>
      <w:r>
        <w:t xml:space="preserve"> </w:t>
      </w:r>
      <w:r w:rsidRPr="007254C5">
        <w:t>https://fac.dffh.vic.gov.au/due-diligence-checklist-organisations-change-control-merger-acquisition-change-consortium-member</w:t>
      </w:r>
    </w:p>
  </w:footnote>
  <w:footnote w:id="8">
    <w:p w14:paraId="468510BD" w14:textId="34C87CE2" w:rsidR="007254C5" w:rsidRDefault="007254C5">
      <w:pPr>
        <w:pStyle w:val="FootnoteText"/>
      </w:pPr>
      <w:r>
        <w:rPr>
          <w:rStyle w:val="FootnoteReference"/>
        </w:rPr>
        <w:footnoteRef/>
      </w:r>
      <w:r>
        <w:t xml:space="preserve"> </w:t>
      </w:r>
      <w:r w:rsidRPr="007254C5">
        <w:t>https://fac.dffh.vic.gov.au/subcontracting-proposal-attestation-form</w:t>
      </w:r>
    </w:p>
  </w:footnote>
  <w:footnote w:id="9">
    <w:p w14:paraId="11FA3C0B" w14:textId="049C04FF" w:rsidR="007254C5" w:rsidRDefault="007254C5">
      <w:pPr>
        <w:pStyle w:val="FootnoteText"/>
      </w:pPr>
      <w:r>
        <w:rPr>
          <w:rStyle w:val="FootnoteReference"/>
        </w:rPr>
        <w:footnoteRef/>
      </w:r>
      <w:r>
        <w:t xml:space="preserve"> </w:t>
      </w:r>
      <w:r w:rsidRPr="007254C5">
        <w:t>https://fac.dffh.vic.gov.au/service-agreement-requirements-dffh-and-dh</w:t>
      </w:r>
    </w:p>
  </w:footnote>
  <w:footnote w:id="10">
    <w:p w14:paraId="6509FE89" w14:textId="11B5859C" w:rsidR="00946754" w:rsidRDefault="00946754">
      <w:pPr>
        <w:pStyle w:val="FootnoteText"/>
      </w:pPr>
      <w:r>
        <w:rPr>
          <w:rStyle w:val="FootnoteReference"/>
        </w:rPr>
        <w:footnoteRef/>
      </w:r>
      <w:r>
        <w:t xml:space="preserve"> </w:t>
      </w:r>
      <w:r w:rsidRPr="00946754">
        <w:t>https://www.dtf.vic.gov.au/resource-management-framework</w:t>
      </w:r>
    </w:p>
  </w:footnote>
  <w:footnote w:id="11">
    <w:p w14:paraId="112C669B" w14:textId="692E66BE" w:rsidR="00946754" w:rsidRDefault="00946754">
      <w:pPr>
        <w:pStyle w:val="FootnoteText"/>
      </w:pPr>
      <w:r>
        <w:rPr>
          <w:rStyle w:val="FootnoteReference"/>
        </w:rPr>
        <w:footnoteRef/>
      </w:r>
      <w:r>
        <w:t xml:space="preserve"> </w:t>
      </w:r>
      <w:r w:rsidRPr="00946754">
        <w:t>https://www.dtf.vic.gov.au/standing-directions-2018-under-financial-management-act-1994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848FD8E" w:rsidR="00E261B3" w:rsidRPr="0051568D" w:rsidRDefault="00BD7E9C" w:rsidP="0017674D">
    <w:pPr>
      <w:pStyle w:val="Header"/>
    </w:pPr>
    <w:r>
      <w:t>Child and family services transfer to ACCOs</w:t>
    </w:r>
    <w:r w:rsidR="00FF36B2">
      <w:t xml:space="preserve"> -</w:t>
    </w:r>
    <w:r w:rsidR="00686759">
      <w:t xml:space="preserve"> interim policy</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C35977"/>
    <w:multiLevelType w:val="hybridMultilevel"/>
    <w:tmpl w:val="B7CA4BF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593156"/>
    <w:multiLevelType w:val="hybridMultilevel"/>
    <w:tmpl w:val="1C7E8A2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B85806"/>
    <w:multiLevelType w:val="hybridMultilevel"/>
    <w:tmpl w:val="45EE0CBE"/>
    <w:lvl w:ilvl="0" w:tplc="422AA2A2">
      <w:start w:val="1"/>
      <w:numFmt w:val="decimal"/>
      <w:lvlText w:val="%1."/>
      <w:lvlJc w:val="left"/>
      <w:pPr>
        <w:ind w:left="1020" w:hanging="360"/>
      </w:pPr>
    </w:lvl>
    <w:lvl w:ilvl="1" w:tplc="AAC0F940">
      <w:start w:val="1"/>
      <w:numFmt w:val="decimal"/>
      <w:lvlText w:val="%2."/>
      <w:lvlJc w:val="left"/>
      <w:pPr>
        <w:ind w:left="1020" w:hanging="360"/>
      </w:pPr>
    </w:lvl>
    <w:lvl w:ilvl="2" w:tplc="8F206934">
      <w:start w:val="1"/>
      <w:numFmt w:val="decimal"/>
      <w:lvlText w:val="%3."/>
      <w:lvlJc w:val="left"/>
      <w:pPr>
        <w:ind w:left="1020" w:hanging="360"/>
      </w:pPr>
    </w:lvl>
    <w:lvl w:ilvl="3" w:tplc="7D36F30E">
      <w:start w:val="1"/>
      <w:numFmt w:val="decimal"/>
      <w:lvlText w:val="%4."/>
      <w:lvlJc w:val="left"/>
      <w:pPr>
        <w:ind w:left="1020" w:hanging="360"/>
      </w:pPr>
    </w:lvl>
    <w:lvl w:ilvl="4" w:tplc="258E03DA">
      <w:start w:val="1"/>
      <w:numFmt w:val="decimal"/>
      <w:lvlText w:val="%5."/>
      <w:lvlJc w:val="left"/>
      <w:pPr>
        <w:ind w:left="1020" w:hanging="360"/>
      </w:pPr>
    </w:lvl>
    <w:lvl w:ilvl="5" w:tplc="337EF02E">
      <w:start w:val="1"/>
      <w:numFmt w:val="decimal"/>
      <w:lvlText w:val="%6."/>
      <w:lvlJc w:val="left"/>
      <w:pPr>
        <w:ind w:left="1020" w:hanging="360"/>
      </w:pPr>
    </w:lvl>
    <w:lvl w:ilvl="6" w:tplc="9AC60B52">
      <w:start w:val="1"/>
      <w:numFmt w:val="decimal"/>
      <w:lvlText w:val="%7."/>
      <w:lvlJc w:val="left"/>
      <w:pPr>
        <w:ind w:left="1020" w:hanging="360"/>
      </w:pPr>
    </w:lvl>
    <w:lvl w:ilvl="7" w:tplc="9676C014">
      <w:start w:val="1"/>
      <w:numFmt w:val="decimal"/>
      <w:lvlText w:val="%8."/>
      <w:lvlJc w:val="left"/>
      <w:pPr>
        <w:ind w:left="1020" w:hanging="360"/>
      </w:pPr>
    </w:lvl>
    <w:lvl w:ilvl="8" w:tplc="33EC4486">
      <w:start w:val="1"/>
      <w:numFmt w:val="decimal"/>
      <w:lvlText w:val="%9."/>
      <w:lvlJc w:val="left"/>
      <w:pPr>
        <w:ind w:left="1020" w:hanging="360"/>
      </w:pPr>
    </w:lvl>
  </w:abstractNum>
  <w:abstractNum w:abstractNumId="19" w15:restartNumberingAfterBreak="0">
    <w:nsid w:val="21E87374"/>
    <w:multiLevelType w:val="hybridMultilevel"/>
    <w:tmpl w:val="E2BE3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AB22D76"/>
    <w:multiLevelType w:val="hybridMultilevel"/>
    <w:tmpl w:val="9A3EB6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7E04F66"/>
    <w:multiLevelType w:val="hybridMultilevel"/>
    <w:tmpl w:val="957E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F53FEB"/>
    <w:multiLevelType w:val="hybridMultilevel"/>
    <w:tmpl w:val="0A06C7A8"/>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522594A"/>
    <w:multiLevelType w:val="hybridMultilevel"/>
    <w:tmpl w:val="B7D4D80E"/>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94EEF5CE"/>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CC94FB8"/>
    <w:multiLevelType w:val="hybridMultilevel"/>
    <w:tmpl w:val="0FEE7D36"/>
    <w:lvl w:ilvl="0" w:tplc="0E9E14B2">
      <w:start w:val="1"/>
      <w:numFmt w:val="bullet"/>
      <w:lvlText w:val=""/>
      <w:lvlJc w:val="left"/>
      <w:pPr>
        <w:ind w:left="720" w:hanging="360"/>
      </w:pPr>
      <w:rPr>
        <w:rFonts w:ascii="Symbol" w:hAnsi="Symbol"/>
      </w:rPr>
    </w:lvl>
    <w:lvl w:ilvl="1" w:tplc="498007A8">
      <w:start w:val="1"/>
      <w:numFmt w:val="bullet"/>
      <w:lvlText w:val=""/>
      <w:lvlJc w:val="left"/>
      <w:pPr>
        <w:ind w:left="720" w:hanging="360"/>
      </w:pPr>
      <w:rPr>
        <w:rFonts w:ascii="Symbol" w:hAnsi="Symbol"/>
      </w:rPr>
    </w:lvl>
    <w:lvl w:ilvl="2" w:tplc="174C0A68">
      <w:start w:val="1"/>
      <w:numFmt w:val="bullet"/>
      <w:lvlText w:val=""/>
      <w:lvlJc w:val="left"/>
      <w:pPr>
        <w:ind w:left="720" w:hanging="360"/>
      </w:pPr>
      <w:rPr>
        <w:rFonts w:ascii="Symbol" w:hAnsi="Symbol"/>
      </w:rPr>
    </w:lvl>
    <w:lvl w:ilvl="3" w:tplc="B91856D2">
      <w:start w:val="1"/>
      <w:numFmt w:val="bullet"/>
      <w:lvlText w:val=""/>
      <w:lvlJc w:val="left"/>
      <w:pPr>
        <w:ind w:left="720" w:hanging="360"/>
      </w:pPr>
      <w:rPr>
        <w:rFonts w:ascii="Symbol" w:hAnsi="Symbol"/>
      </w:rPr>
    </w:lvl>
    <w:lvl w:ilvl="4" w:tplc="0FF81380">
      <w:start w:val="1"/>
      <w:numFmt w:val="bullet"/>
      <w:lvlText w:val=""/>
      <w:lvlJc w:val="left"/>
      <w:pPr>
        <w:ind w:left="720" w:hanging="360"/>
      </w:pPr>
      <w:rPr>
        <w:rFonts w:ascii="Symbol" w:hAnsi="Symbol"/>
      </w:rPr>
    </w:lvl>
    <w:lvl w:ilvl="5" w:tplc="7A4AD078">
      <w:start w:val="1"/>
      <w:numFmt w:val="bullet"/>
      <w:lvlText w:val=""/>
      <w:lvlJc w:val="left"/>
      <w:pPr>
        <w:ind w:left="720" w:hanging="360"/>
      </w:pPr>
      <w:rPr>
        <w:rFonts w:ascii="Symbol" w:hAnsi="Symbol"/>
      </w:rPr>
    </w:lvl>
    <w:lvl w:ilvl="6" w:tplc="27787902">
      <w:start w:val="1"/>
      <w:numFmt w:val="bullet"/>
      <w:lvlText w:val=""/>
      <w:lvlJc w:val="left"/>
      <w:pPr>
        <w:ind w:left="720" w:hanging="360"/>
      </w:pPr>
      <w:rPr>
        <w:rFonts w:ascii="Symbol" w:hAnsi="Symbol"/>
      </w:rPr>
    </w:lvl>
    <w:lvl w:ilvl="7" w:tplc="A2C84D00">
      <w:start w:val="1"/>
      <w:numFmt w:val="bullet"/>
      <w:lvlText w:val=""/>
      <w:lvlJc w:val="left"/>
      <w:pPr>
        <w:ind w:left="720" w:hanging="360"/>
      </w:pPr>
      <w:rPr>
        <w:rFonts w:ascii="Symbol" w:hAnsi="Symbol"/>
      </w:rPr>
    </w:lvl>
    <w:lvl w:ilvl="8" w:tplc="501E28CE">
      <w:start w:val="1"/>
      <w:numFmt w:val="bullet"/>
      <w:lvlText w:val=""/>
      <w:lvlJc w:val="left"/>
      <w:pPr>
        <w:ind w:left="720" w:hanging="360"/>
      </w:pPr>
      <w:rPr>
        <w:rFonts w:ascii="Symbol" w:hAnsi="Symbol"/>
      </w:rPr>
    </w:lvl>
  </w:abstractNum>
  <w:abstractNum w:abstractNumId="31" w15:restartNumberingAfterBreak="0">
    <w:nsid w:val="60B537F2"/>
    <w:multiLevelType w:val="hybridMultilevel"/>
    <w:tmpl w:val="09600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C0709A"/>
    <w:multiLevelType w:val="hybridMultilevel"/>
    <w:tmpl w:val="1C7E8A2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9A0D92"/>
    <w:multiLevelType w:val="hybridMultilevel"/>
    <w:tmpl w:val="81FCFE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FAD6BC4"/>
    <w:multiLevelType w:val="hybridMultilevel"/>
    <w:tmpl w:val="37C00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9278872">
    <w:abstractNumId w:val="10"/>
  </w:num>
  <w:num w:numId="2" w16cid:durableId="1589266887">
    <w:abstractNumId w:val="24"/>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9"/>
  </w:num>
  <w:num w:numId="8" w16cid:durableId="1978801422">
    <w:abstractNumId w:val="21"/>
  </w:num>
  <w:num w:numId="9" w16cid:durableId="2113083680">
    <w:abstractNumId w:val="28"/>
  </w:num>
  <w:num w:numId="10" w16cid:durableId="16707146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33"/>
  </w:num>
  <w:num w:numId="12" w16cid:durableId="19670001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25"/>
  </w:num>
  <w:num w:numId="14" w16cid:durableId="13197708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35"/>
  </w:num>
  <w:num w:numId="19" w16cid:durableId="12383244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36"/>
  </w:num>
  <w:num w:numId="25" w16cid:durableId="1679652250">
    <w:abstractNumId w:val="34"/>
  </w:num>
  <w:num w:numId="26" w16cid:durableId="1435905434">
    <w:abstractNumId w:val="27"/>
  </w:num>
  <w:num w:numId="27" w16cid:durableId="1999532308">
    <w:abstractNumId w:val="11"/>
  </w:num>
  <w:num w:numId="28" w16cid:durableId="753430641">
    <w:abstractNumId w:val="38"/>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9"/>
  </w:num>
  <w:num w:numId="41" w16cid:durableId="2088839045">
    <w:abstractNumId w:val="29"/>
  </w:num>
  <w:num w:numId="42" w16cid:durableId="1692532892">
    <w:abstractNumId w:val="29"/>
  </w:num>
  <w:num w:numId="43" w16cid:durableId="5060973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7737486">
    <w:abstractNumId w:val="31"/>
  </w:num>
  <w:num w:numId="45" w16cid:durableId="1361398796">
    <w:abstractNumId w:val="22"/>
  </w:num>
  <w:num w:numId="46" w16cid:durableId="394473708">
    <w:abstractNumId w:val="39"/>
  </w:num>
  <w:num w:numId="47" w16cid:durableId="1480226703">
    <w:abstractNumId w:val="37"/>
  </w:num>
  <w:num w:numId="48" w16cid:durableId="1922833586">
    <w:abstractNumId w:val="19"/>
  </w:num>
  <w:num w:numId="49" w16cid:durableId="695886272">
    <w:abstractNumId w:val="26"/>
  </w:num>
  <w:num w:numId="50" w16cid:durableId="1953130049">
    <w:abstractNumId w:val="17"/>
  </w:num>
  <w:num w:numId="51" w16cid:durableId="1517187346">
    <w:abstractNumId w:val="23"/>
  </w:num>
  <w:num w:numId="52" w16cid:durableId="2045212378">
    <w:abstractNumId w:val="16"/>
  </w:num>
  <w:num w:numId="53" w16cid:durableId="435293963">
    <w:abstractNumId w:val="32"/>
  </w:num>
  <w:num w:numId="54" w16cid:durableId="211121177">
    <w:abstractNumId w:val="20"/>
  </w:num>
  <w:num w:numId="55" w16cid:durableId="636910415">
    <w:abstractNumId w:val="18"/>
  </w:num>
  <w:num w:numId="56" w16cid:durableId="1919092578">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250"/>
    <w:rsid w:val="00000719"/>
    <w:rsid w:val="00002D68"/>
    <w:rsid w:val="00003403"/>
    <w:rsid w:val="00004475"/>
    <w:rsid w:val="00004A7A"/>
    <w:rsid w:val="00004E2F"/>
    <w:rsid w:val="00005347"/>
    <w:rsid w:val="00005633"/>
    <w:rsid w:val="000072B6"/>
    <w:rsid w:val="00007660"/>
    <w:rsid w:val="0001021B"/>
    <w:rsid w:val="00011D89"/>
    <w:rsid w:val="000128FF"/>
    <w:rsid w:val="000154FD"/>
    <w:rsid w:val="00022271"/>
    <w:rsid w:val="000232D9"/>
    <w:rsid w:val="000235E8"/>
    <w:rsid w:val="00024D89"/>
    <w:rsid w:val="000250B6"/>
    <w:rsid w:val="00031BAF"/>
    <w:rsid w:val="00033D81"/>
    <w:rsid w:val="00037366"/>
    <w:rsid w:val="000376D9"/>
    <w:rsid w:val="00040011"/>
    <w:rsid w:val="0004124A"/>
    <w:rsid w:val="00041BF0"/>
    <w:rsid w:val="000424C0"/>
    <w:rsid w:val="00042C8A"/>
    <w:rsid w:val="00043C9A"/>
    <w:rsid w:val="0004536B"/>
    <w:rsid w:val="00046911"/>
    <w:rsid w:val="00046B68"/>
    <w:rsid w:val="00047E67"/>
    <w:rsid w:val="000527DD"/>
    <w:rsid w:val="00053D32"/>
    <w:rsid w:val="00055A8F"/>
    <w:rsid w:val="000565A2"/>
    <w:rsid w:val="000573F0"/>
    <w:rsid w:val="000578B2"/>
    <w:rsid w:val="0006007A"/>
    <w:rsid w:val="00060959"/>
    <w:rsid w:val="00060C8F"/>
    <w:rsid w:val="0006298A"/>
    <w:rsid w:val="000643BD"/>
    <w:rsid w:val="000663CD"/>
    <w:rsid w:val="00067486"/>
    <w:rsid w:val="00071472"/>
    <w:rsid w:val="000733FE"/>
    <w:rsid w:val="00074219"/>
    <w:rsid w:val="00074ED5"/>
    <w:rsid w:val="000772F3"/>
    <w:rsid w:val="00080199"/>
    <w:rsid w:val="00084373"/>
    <w:rsid w:val="000845FA"/>
    <w:rsid w:val="0008508E"/>
    <w:rsid w:val="00085B81"/>
    <w:rsid w:val="00086557"/>
    <w:rsid w:val="00087951"/>
    <w:rsid w:val="0009050A"/>
    <w:rsid w:val="0009113B"/>
    <w:rsid w:val="00093402"/>
    <w:rsid w:val="00094DA3"/>
    <w:rsid w:val="00095A90"/>
    <w:rsid w:val="00096CD1"/>
    <w:rsid w:val="000A012C"/>
    <w:rsid w:val="000A0EB9"/>
    <w:rsid w:val="000A186C"/>
    <w:rsid w:val="000A1EA4"/>
    <w:rsid w:val="000A2476"/>
    <w:rsid w:val="000A641A"/>
    <w:rsid w:val="000A65B8"/>
    <w:rsid w:val="000A673C"/>
    <w:rsid w:val="000A732F"/>
    <w:rsid w:val="000B2117"/>
    <w:rsid w:val="000B3B97"/>
    <w:rsid w:val="000B3EB5"/>
    <w:rsid w:val="000B3EDB"/>
    <w:rsid w:val="000B543D"/>
    <w:rsid w:val="000B55F9"/>
    <w:rsid w:val="000B5BF7"/>
    <w:rsid w:val="000B6BC8"/>
    <w:rsid w:val="000B78EA"/>
    <w:rsid w:val="000C0303"/>
    <w:rsid w:val="000C2B24"/>
    <w:rsid w:val="000C3469"/>
    <w:rsid w:val="000C42EA"/>
    <w:rsid w:val="000C4546"/>
    <w:rsid w:val="000C47D2"/>
    <w:rsid w:val="000C4993"/>
    <w:rsid w:val="000C4AC9"/>
    <w:rsid w:val="000C6884"/>
    <w:rsid w:val="000D0BE2"/>
    <w:rsid w:val="000D1242"/>
    <w:rsid w:val="000D3D02"/>
    <w:rsid w:val="000D48E4"/>
    <w:rsid w:val="000D682B"/>
    <w:rsid w:val="000E0970"/>
    <w:rsid w:val="000E0BE2"/>
    <w:rsid w:val="000E10B8"/>
    <w:rsid w:val="000E3CC7"/>
    <w:rsid w:val="000E4C36"/>
    <w:rsid w:val="000E6BD4"/>
    <w:rsid w:val="000E6D6D"/>
    <w:rsid w:val="000E6E48"/>
    <w:rsid w:val="000E79F5"/>
    <w:rsid w:val="000F0587"/>
    <w:rsid w:val="000F1F1E"/>
    <w:rsid w:val="000F2259"/>
    <w:rsid w:val="000F2DDA"/>
    <w:rsid w:val="000F2EA0"/>
    <w:rsid w:val="000F3629"/>
    <w:rsid w:val="000F5213"/>
    <w:rsid w:val="000F6BA3"/>
    <w:rsid w:val="000F7653"/>
    <w:rsid w:val="000F7C15"/>
    <w:rsid w:val="00101001"/>
    <w:rsid w:val="001017B4"/>
    <w:rsid w:val="00103276"/>
    <w:rsid w:val="0010392D"/>
    <w:rsid w:val="0010427D"/>
    <w:rsid w:val="0010447F"/>
    <w:rsid w:val="00104837"/>
    <w:rsid w:val="00104FE3"/>
    <w:rsid w:val="00105291"/>
    <w:rsid w:val="001069AC"/>
    <w:rsid w:val="0010714F"/>
    <w:rsid w:val="001105E1"/>
    <w:rsid w:val="00110F67"/>
    <w:rsid w:val="00111D31"/>
    <w:rsid w:val="001120C5"/>
    <w:rsid w:val="00114130"/>
    <w:rsid w:val="0011616A"/>
    <w:rsid w:val="001206C7"/>
    <w:rsid w:val="00120BD3"/>
    <w:rsid w:val="00122FEA"/>
    <w:rsid w:val="001232BD"/>
    <w:rsid w:val="001235C0"/>
    <w:rsid w:val="00124ED5"/>
    <w:rsid w:val="001259B6"/>
    <w:rsid w:val="0012626C"/>
    <w:rsid w:val="001276FA"/>
    <w:rsid w:val="0013187C"/>
    <w:rsid w:val="001350F5"/>
    <w:rsid w:val="001404AA"/>
    <w:rsid w:val="0014448E"/>
    <w:rsid w:val="001447B3"/>
    <w:rsid w:val="00144AE1"/>
    <w:rsid w:val="001458D6"/>
    <w:rsid w:val="00152073"/>
    <w:rsid w:val="0015286A"/>
    <w:rsid w:val="00154D97"/>
    <w:rsid w:val="00156598"/>
    <w:rsid w:val="00156ECC"/>
    <w:rsid w:val="0016037B"/>
    <w:rsid w:val="00161939"/>
    <w:rsid w:val="00161AA0"/>
    <w:rsid w:val="00161D2E"/>
    <w:rsid w:val="00161F3E"/>
    <w:rsid w:val="00162093"/>
    <w:rsid w:val="001629AB"/>
    <w:rsid w:val="00162CA9"/>
    <w:rsid w:val="00164940"/>
    <w:rsid w:val="00165459"/>
    <w:rsid w:val="00165A57"/>
    <w:rsid w:val="00167C8D"/>
    <w:rsid w:val="00170B93"/>
    <w:rsid w:val="001712C2"/>
    <w:rsid w:val="00172BAF"/>
    <w:rsid w:val="00175444"/>
    <w:rsid w:val="0017674D"/>
    <w:rsid w:val="001771DD"/>
    <w:rsid w:val="00177995"/>
    <w:rsid w:val="00177A8C"/>
    <w:rsid w:val="0018280B"/>
    <w:rsid w:val="00182B7E"/>
    <w:rsid w:val="0018688A"/>
    <w:rsid w:val="00186B33"/>
    <w:rsid w:val="00190397"/>
    <w:rsid w:val="00192468"/>
    <w:rsid w:val="00192F9D"/>
    <w:rsid w:val="00193388"/>
    <w:rsid w:val="00195322"/>
    <w:rsid w:val="00196EB8"/>
    <w:rsid w:val="00196EFB"/>
    <w:rsid w:val="001979FF"/>
    <w:rsid w:val="00197B17"/>
    <w:rsid w:val="001A181F"/>
    <w:rsid w:val="001A1950"/>
    <w:rsid w:val="001A1C54"/>
    <w:rsid w:val="001A202A"/>
    <w:rsid w:val="001A2E58"/>
    <w:rsid w:val="001A3ACE"/>
    <w:rsid w:val="001A4F0E"/>
    <w:rsid w:val="001B01CB"/>
    <w:rsid w:val="001B058F"/>
    <w:rsid w:val="001B1A98"/>
    <w:rsid w:val="001B485E"/>
    <w:rsid w:val="001B5DDE"/>
    <w:rsid w:val="001B6B96"/>
    <w:rsid w:val="001B7228"/>
    <w:rsid w:val="001B738B"/>
    <w:rsid w:val="001C09DB"/>
    <w:rsid w:val="001C2639"/>
    <w:rsid w:val="001C277E"/>
    <w:rsid w:val="001C2A72"/>
    <w:rsid w:val="001C31B7"/>
    <w:rsid w:val="001C4650"/>
    <w:rsid w:val="001C526C"/>
    <w:rsid w:val="001D0B75"/>
    <w:rsid w:val="001D144F"/>
    <w:rsid w:val="001D2F3B"/>
    <w:rsid w:val="001D39A5"/>
    <w:rsid w:val="001D3C09"/>
    <w:rsid w:val="001D44E8"/>
    <w:rsid w:val="001D5BAD"/>
    <w:rsid w:val="001D5FF7"/>
    <w:rsid w:val="001D60EC"/>
    <w:rsid w:val="001D6F59"/>
    <w:rsid w:val="001D7DF8"/>
    <w:rsid w:val="001D7EF0"/>
    <w:rsid w:val="001E260C"/>
    <w:rsid w:val="001E2C3C"/>
    <w:rsid w:val="001E44DF"/>
    <w:rsid w:val="001E68A5"/>
    <w:rsid w:val="001E6BB0"/>
    <w:rsid w:val="001E7282"/>
    <w:rsid w:val="001F1D07"/>
    <w:rsid w:val="001F3826"/>
    <w:rsid w:val="001F4694"/>
    <w:rsid w:val="001F5705"/>
    <w:rsid w:val="001F5C6B"/>
    <w:rsid w:val="001F6E46"/>
    <w:rsid w:val="001F7C91"/>
    <w:rsid w:val="002033B7"/>
    <w:rsid w:val="00205C5D"/>
    <w:rsid w:val="00206463"/>
    <w:rsid w:val="00206F2F"/>
    <w:rsid w:val="00207717"/>
    <w:rsid w:val="00207913"/>
    <w:rsid w:val="0021053D"/>
    <w:rsid w:val="002105C6"/>
    <w:rsid w:val="002106BE"/>
    <w:rsid w:val="00210A92"/>
    <w:rsid w:val="002122A8"/>
    <w:rsid w:val="00212EB8"/>
    <w:rsid w:val="00213EA0"/>
    <w:rsid w:val="00214029"/>
    <w:rsid w:val="00214475"/>
    <w:rsid w:val="00215F7E"/>
    <w:rsid w:val="00216C03"/>
    <w:rsid w:val="00220C04"/>
    <w:rsid w:val="0022106D"/>
    <w:rsid w:val="0022278D"/>
    <w:rsid w:val="0022701F"/>
    <w:rsid w:val="00227C68"/>
    <w:rsid w:val="00233311"/>
    <w:rsid w:val="002333F5"/>
    <w:rsid w:val="00233724"/>
    <w:rsid w:val="00233742"/>
    <w:rsid w:val="002365B4"/>
    <w:rsid w:val="00236B2C"/>
    <w:rsid w:val="00236FAF"/>
    <w:rsid w:val="00237CA3"/>
    <w:rsid w:val="00242378"/>
    <w:rsid w:val="002432E1"/>
    <w:rsid w:val="002434FE"/>
    <w:rsid w:val="00243C11"/>
    <w:rsid w:val="00246207"/>
    <w:rsid w:val="00246C5E"/>
    <w:rsid w:val="00250960"/>
    <w:rsid w:val="00250DC4"/>
    <w:rsid w:val="00251343"/>
    <w:rsid w:val="002536A4"/>
    <w:rsid w:val="0025445C"/>
    <w:rsid w:val="00254F58"/>
    <w:rsid w:val="00255A2F"/>
    <w:rsid w:val="00261075"/>
    <w:rsid w:val="002620BC"/>
    <w:rsid w:val="00262802"/>
    <w:rsid w:val="00263A90"/>
    <w:rsid w:val="00263ABB"/>
    <w:rsid w:val="0026408B"/>
    <w:rsid w:val="00264543"/>
    <w:rsid w:val="00264657"/>
    <w:rsid w:val="00266DDC"/>
    <w:rsid w:val="00267C3E"/>
    <w:rsid w:val="002709BB"/>
    <w:rsid w:val="0027131C"/>
    <w:rsid w:val="00272F96"/>
    <w:rsid w:val="00273BAC"/>
    <w:rsid w:val="002761A3"/>
    <w:rsid w:val="002763B3"/>
    <w:rsid w:val="002802E3"/>
    <w:rsid w:val="00280C4B"/>
    <w:rsid w:val="0028213D"/>
    <w:rsid w:val="0028264B"/>
    <w:rsid w:val="00282C53"/>
    <w:rsid w:val="002832EF"/>
    <w:rsid w:val="002841AA"/>
    <w:rsid w:val="00285BFE"/>
    <w:rsid w:val="002862F1"/>
    <w:rsid w:val="00291373"/>
    <w:rsid w:val="00293911"/>
    <w:rsid w:val="0029597D"/>
    <w:rsid w:val="002962C3"/>
    <w:rsid w:val="0029752B"/>
    <w:rsid w:val="002A009F"/>
    <w:rsid w:val="002A0A9C"/>
    <w:rsid w:val="002A2EAB"/>
    <w:rsid w:val="002A3DC8"/>
    <w:rsid w:val="002A483C"/>
    <w:rsid w:val="002A6B05"/>
    <w:rsid w:val="002B0C7C"/>
    <w:rsid w:val="002B1729"/>
    <w:rsid w:val="002B36C7"/>
    <w:rsid w:val="002B4DD4"/>
    <w:rsid w:val="002B5277"/>
    <w:rsid w:val="002B5375"/>
    <w:rsid w:val="002B71E9"/>
    <w:rsid w:val="002B77C1"/>
    <w:rsid w:val="002C0ED7"/>
    <w:rsid w:val="002C11E5"/>
    <w:rsid w:val="002C1CAC"/>
    <w:rsid w:val="002C2728"/>
    <w:rsid w:val="002C3BCC"/>
    <w:rsid w:val="002C4BF2"/>
    <w:rsid w:val="002D1E0D"/>
    <w:rsid w:val="002D5006"/>
    <w:rsid w:val="002E01D0"/>
    <w:rsid w:val="002E0B5E"/>
    <w:rsid w:val="002E161D"/>
    <w:rsid w:val="002E196C"/>
    <w:rsid w:val="002E3100"/>
    <w:rsid w:val="002E35BE"/>
    <w:rsid w:val="002E6C95"/>
    <w:rsid w:val="002E7C36"/>
    <w:rsid w:val="002F0572"/>
    <w:rsid w:val="002F1653"/>
    <w:rsid w:val="002F2A3F"/>
    <w:rsid w:val="002F3519"/>
    <w:rsid w:val="002F3ADF"/>
    <w:rsid w:val="002F3D32"/>
    <w:rsid w:val="002F5822"/>
    <w:rsid w:val="002F5F31"/>
    <w:rsid w:val="002F5F46"/>
    <w:rsid w:val="002F74F1"/>
    <w:rsid w:val="00302216"/>
    <w:rsid w:val="00303E53"/>
    <w:rsid w:val="00305CC1"/>
    <w:rsid w:val="0030624B"/>
    <w:rsid w:val="00306E5F"/>
    <w:rsid w:val="00307E14"/>
    <w:rsid w:val="003124A4"/>
    <w:rsid w:val="00314054"/>
    <w:rsid w:val="0031460F"/>
    <w:rsid w:val="00316F27"/>
    <w:rsid w:val="003214F1"/>
    <w:rsid w:val="0032180B"/>
    <w:rsid w:val="00322238"/>
    <w:rsid w:val="0032241B"/>
    <w:rsid w:val="00322C96"/>
    <w:rsid w:val="00322E4B"/>
    <w:rsid w:val="00324FDB"/>
    <w:rsid w:val="003252EE"/>
    <w:rsid w:val="00327870"/>
    <w:rsid w:val="00327B57"/>
    <w:rsid w:val="0033259D"/>
    <w:rsid w:val="003333D2"/>
    <w:rsid w:val="003372C5"/>
    <w:rsid w:val="00337339"/>
    <w:rsid w:val="003406C6"/>
    <w:rsid w:val="003418CC"/>
    <w:rsid w:val="00342203"/>
    <w:rsid w:val="00342706"/>
    <w:rsid w:val="003459BD"/>
    <w:rsid w:val="003479E2"/>
    <w:rsid w:val="00350529"/>
    <w:rsid w:val="00350D38"/>
    <w:rsid w:val="00351405"/>
    <w:rsid w:val="00351B36"/>
    <w:rsid w:val="0035412E"/>
    <w:rsid w:val="003548D1"/>
    <w:rsid w:val="0035577C"/>
    <w:rsid w:val="00355D09"/>
    <w:rsid w:val="00357B4E"/>
    <w:rsid w:val="00361F88"/>
    <w:rsid w:val="00363C8C"/>
    <w:rsid w:val="00364D41"/>
    <w:rsid w:val="003716FD"/>
    <w:rsid w:val="0037204B"/>
    <w:rsid w:val="00373B5F"/>
    <w:rsid w:val="003744CF"/>
    <w:rsid w:val="00374717"/>
    <w:rsid w:val="0037657C"/>
    <w:rsid w:val="0037676C"/>
    <w:rsid w:val="00377A1A"/>
    <w:rsid w:val="00381043"/>
    <w:rsid w:val="003829E5"/>
    <w:rsid w:val="00382FBA"/>
    <w:rsid w:val="0038340A"/>
    <w:rsid w:val="003848D2"/>
    <w:rsid w:val="00386109"/>
    <w:rsid w:val="003867B8"/>
    <w:rsid w:val="00386944"/>
    <w:rsid w:val="0038699F"/>
    <w:rsid w:val="003956CC"/>
    <w:rsid w:val="00395C9A"/>
    <w:rsid w:val="00396028"/>
    <w:rsid w:val="00396168"/>
    <w:rsid w:val="00396D17"/>
    <w:rsid w:val="00396DAD"/>
    <w:rsid w:val="00397D8D"/>
    <w:rsid w:val="003A04E1"/>
    <w:rsid w:val="003A0853"/>
    <w:rsid w:val="003A17CE"/>
    <w:rsid w:val="003A2102"/>
    <w:rsid w:val="003A6B67"/>
    <w:rsid w:val="003A7D8A"/>
    <w:rsid w:val="003B13B6"/>
    <w:rsid w:val="003B14C3"/>
    <w:rsid w:val="003B15E6"/>
    <w:rsid w:val="003B1BDC"/>
    <w:rsid w:val="003B3F20"/>
    <w:rsid w:val="003B408A"/>
    <w:rsid w:val="003B5D4F"/>
    <w:rsid w:val="003C03B3"/>
    <w:rsid w:val="003C08A2"/>
    <w:rsid w:val="003C2045"/>
    <w:rsid w:val="003C43A1"/>
    <w:rsid w:val="003C4FC0"/>
    <w:rsid w:val="003C55F4"/>
    <w:rsid w:val="003C6FDA"/>
    <w:rsid w:val="003C7132"/>
    <w:rsid w:val="003C72DF"/>
    <w:rsid w:val="003C7897"/>
    <w:rsid w:val="003C7A3F"/>
    <w:rsid w:val="003D0290"/>
    <w:rsid w:val="003D0425"/>
    <w:rsid w:val="003D0BA2"/>
    <w:rsid w:val="003D2766"/>
    <w:rsid w:val="003D2A74"/>
    <w:rsid w:val="003D3E8F"/>
    <w:rsid w:val="003D53AE"/>
    <w:rsid w:val="003D5A36"/>
    <w:rsid w:val="003D6475"/>
    <w:rsid w:val="003D6EE6"/>
    <w:rsid w:val="003D7000"/>
    <w:rsid w:val="003D7E30"/>
    <w:rsid w:val="003E1707"/>
    <w:rsid w:val="003E375C"/>
    <w:rsid w:val="003E4086"/>
    <w:rsid w:val="003E5292"/>
    <w:rsid w:val="003E639E"/>
    <w:rsid w:val="003E71E5"/>
    <w:rsid w:val="003F0445"/>
    <w:rsid w:val="003F0CF0"/>
    <w:rsid w:val="003F14B1"/>
    <w:rsid w:val="003F1836"/>
    <w:rsid w:val="003F1DFB"/>
    <w:rsid w:val="003F258E"/>
    <w:rsid w:val="003F2B20"/>
    <w:rsid w:val="003F3289"/>
    <w:rsid w:val="003F3C62"/>
    <w:rsid w:val="003F545C"/>
    <w:rsid w:val="003F5CB9"/>
    <w:rsid w:val="0040069A"/>
    <w:rsid w:val="004013C7"/>
    <w:rsid w:val="00401FCF"/>
    <w:rsid w:val="00403FBF"/>
    <w:rsid w:val="00405988"/>
    <w:rsid w:val="00406157"/>
    <w:rsid w:val="00406285"/>
    <w:rsid w:val="00406EE2"/>
    <w:rsid w:val="00412A63"/>
    <w:rsid w:val="004148F9"/>
    <w:rsid w:val="0041736F"/>
    <w:rsid w:val="004176F1"/>
    <w:rsid w:val="0042084E"/>
    <w:rsid w:val="00421017"/>
    <w:rsid w:val="00421EEF"/>
    <w:rsid w:val="004224F0"/>
    <w:rsid w:val="00424D65"/>
    <w:rsid w:val="00430393"/>
    <w:rsid w:val="00431806"/>
    <w:rsid w:val="004336CC"/>
    <w:rsid w:val="00433E43"/>
    <w:rsid w:val="00433FDB"/>
    <w:rsid w:val="00434268"/>
    <w:rsid w:val="0043472F"/>
    <w:rsid w:val="004350F9"/>
    <w:rsid w:val="00437429"/>
    <w:rsid w:val="00437AC5"/>
    <w:rsid w:val="00437BEE"/>
    <w:rsid w:val="00440408"/>
    <w:rsid w:val="004408B2"/>
    <w:rsid w:val="00442C6C"/>
    <w:rsid w:val="00443ADF"/>
    <w:rsid w:val="00443CBE"/>
    <w:rsid w:val="00443E8A"/>
    <w:rsid w:val="004441BC"/>
    <w:rsid w:val="004468B4"/>
    <w:rsid w:val="0045230A"/>
    <w:rsid w:val="0045297B"/>
    <w:rsid w:val="00452EC5"/>
    <w:rsid w:val="00454AD0"/>
    <w:rsid w:val="00456514"/>
    <w:rsid w:val="00456C7A"/>
    <w:rsid w:val="00457337"/>
    <w:rsid w:val="00457D2E"/>
    <w:rsid w:val="0046092E"/>
    <w:rsid w:val="00462E3D"/>
    <w:rsid w:val="00463AEE"/>
    <w:rsid w:val="0046440A"/>
    <w:rsid w:val="00466E79"/>
    <w:rsid w:val="00470D7D"/>
    <w:rsid w:val="00471D1E"/>
    <w:rsid w:val="00472B69"/>
    <w:rsid w:val="0047372D"/>
    <w:rsid w:val="00473BA3"/>
    <w:rsid w:val="004743DD"/>
    <w:rsid w:val="00474CEA"/>
    <w:rsid w:val="004759D5"/>
    <w:rsid w:val="0047754F"/>
    <w:rsid w:val="00481E79"/>
    <w:rsid w:val="00483968"/>
    <w:rsid w:val="004841BE"/>
    <w:rsid w:val="00484F86"/>
    <w:rsid w:val="0049007D"/>
    <w:rsid w:val="00490746"/>
    <w:rsid w:val="00490852"/>
    <w:rsid w:val="00491C9C"/>
    <w:rsid w:val="00492F30"/>
    <w:rsid w:val="004946F4"/>
    <w:rsid w:val="0049487E"/>
    <w:rsid w:val="00494F1A"/>
    <w:rsid w:val="00495FC7"/>
    <w:rsid w:val="00495FE1"/>
    <w:rsid w:val="0049761A"/>
    <w:rsid w:val="004A05A7"/>
    <w:rsid w:val="004A160D"/>
    <w:rsid w:val="004A18C0"/>
    <w:rsid w:val="004A3011"/>
    <w:rsid w:val="004A3E81"/>
    <w:rsid w:val="004A4195"/>
    <w:rsid w:val="004A5C62"/>
    <w:rsid w:val="004A5CE5"/>
    <w:rsid w:val="004A707D"/>
    <w:rsid w:val="004B0108"/>
    <w:rsid w:val="004B4185"/>
    <w:rsid w:val="004B6D4E"/>
    <w:rsid w:val="004B7B73"/>
    <w:rsid w:val="004C3390"/>
    <w:rsid w:val="004C5541"/>
    <w:rsid w:val="004C6054"/>
    <w:rsid w:val="004C60DC"/>
    <w:rsid w:val="004C6EEE"/>
    <w:rsid w:val="004C702B"/>
    <w:rsid w:val="004D0033"/>
    <w:rsid w:val="004D016B"/>
    <w:rsid w:val="004D0472"/>
    <w:rsid w:val="004D1B22"/>
    <w:rsid w:val="004D23CC"/>
    <w:rsid w:val="004D36F2"/>
    <w:rsid w:val="004E1106"/>
    <w:rsid w:val="004E138F"/>
    <w:rsid w:val="004E2363"/>
    <w:rsid w:val="004E4649"/>
    <w:rsid w:val="004E55BE"/>
    <w:rsid w:val="004E5C2B"/>
    <w:rsid w:val="004E6A2E"/>
    <w:rsid w:val="004F00DD"/>
    <w:rsid w:val="004F2133"/>
    <w:rsid w:val="004F40A7"/>
    <w:rsid w:val="004F44EC"/>
    <w:rsid w:val="004F5398"/>
    <w:rsid w:val="004F55F1"/>
    <w:rsid w:val="004F6936"/>
    <w:rsid w:val="004F697B"/>
    <w:rsid w:val="004F6BDC"/>
    <w:rsid w:val="004F7B35"/>
    <w:rsid w:val="005008D3"/>
    <w:rsid w:val="00500A11"/>
    <w:rsid w:val="00500A58"/>
    <w:rsid w:val="00502F25"/>
    <w:rsid w:val="00503DC6"/>
    <w:rsid w:val="0050413D"/>
    <w:rsid w:val="00506F5D"/>
    <w:rsid w:val="00507EED"/>
    <w:rsid w:val="00510C37"/>
    <w:rsid w:val="005113EB"/>
    <w:rsid w:val="00511D99"/>
    <w:rsid w:val="005126D0"/>
    <w:rsid w:val="00512CA5"/>
    <w:rsid w:val="00512D1A"/>
    <w:rsid w:val="00513109"/>
    <w:rsid w:val="00514667"/>
    <w:rsid w:val="0051568D"/>
    <w:rsid w:val="005166B2"/>
    <w:rsid w:val="00521F58"/>
    <w:rsid w:val="00522EC5"/>
    <w:rsid w:val="00526640"/>
    <w:rsid w:val="00526AC7"/>
    <w:rsid w:val="00526C15"/>
    <w:rsid w:val="005273E3"/>
    <w:rsid w:val="005336E2"/>
    <w:rsid w:val="005361A0"/>
    <w:rsid w:val="00536499"/>
    <w:rsid w:val="00542758"/>
    <w:rsid w:val="00542A03"/>
    <w:rsid w:val="00542B68"/>
    <w:rsid w:val="00543903"/>
    <w:rsid w:val="00543F11"/>
    <w:rsid w:val="00546305"/>
    <w:rsid w:val="00547A95"/>
    <w:rsid w:val="0055119B"/>
    <w:rsid w:val="00552714"/>
    <w:rsid w:val="00552A3D"/>
    <w:rsid w:val="00556B82"/>
    <w:rsid w:val="00561202"/>
    <w:rsid w:val="00563CD4"/>
    <w:rsid w:val="00567517"/>
    <w:rsid w:val="00567B61"/>
    <w:rsid w:val="00571446"/>
    <w:rsid w:val="00572031"/>
    <w:rsid w:val="00572282"/>
    <w:rsid w:val="00573CE3"/>
    <w:rsid w:val="00576E84"/>
    <w:rsid w:val="00580394"/>
    <w:rsid w:val="005809CD"/>
    <w:rsid w:val="00582B8C"/>
    <w:rsid w:val="0058757E"/>
    <w:rsid w:val="00592C34"/>
    <w:rsid w:val="00593A99"/>
    <w:rsid w:val="0059455E"/>
    <w:rsid w:val="00596A4B"/>
    <w:rsid w:val="00596B25"/>
    <w:rsid w:val="00596D6A"/>
    <w:rsid w:val="00597507"/>
    <w:rsid w:val="005A2050"/>
    <w:rsid w:val="005A234D"/>
    <w:rsid w:val="005A2AF8"/>
    <w:rsid w:val="005A2BF8"/>
    <w:rsid w:val="005A479D"/>
    <w:rsid w:val="005A734C"/>
    <w:rsid w:val="005B1C6D"/>
    <w:rsid w:val="005B208E"/>
    <w:rsid w:val="005B21B6"/>
    <w:rsid w:val="005B3A08"/>
    <w:rsid w:val="005B56DF"/>
    <w:rsid w:val="005B6412"/>
    <w:rsid w:val="005B6AE5"/>
    <w:rsid w:val="005B7A63"/>
    <w:rsid w:val="005C0627"/>
    <w:rsid w:val="005C0955"/>
    <w:rsid w:val="005C2E7F"/>
    <w:rsid w:val="005C49DA"/>
    <w:rsid w:val="005C50F3"/>
    <w:rsid w:val="005C54B5"/>
    <w:rsid w:val="005C5D80"/>
    <w:rsid w:val="005C5D91"/>
    <w:rsid w:val="005C7088"/>
    <w:rsid w:val="005D05AB"/>
    <w:rsid w:val="005D07B8"/>
    <w:rsid w:val="005D1125"/>
    <w:rsid w:val="005D6597"/>
    <w:rsid w:val="005E0B77"/>
    <w:rsid w:val="005E14E7"/>
    <w:rsid w:val="005E26A3"/>
    <w:rsid w:val="005E2ECB"/>
    <w:rsid w:val="005E447E"/>
    <w:rsid w:val="005E4FD1"/>
    <w:rsid w:val="005E51B4"/>
    <w:rsid w:val="005E6CE5"/>
    <w:rsid w:val="005F0775"/>
    <w:rsid w:val="005F0900"/>
    <w:rsid w:val="005F0CF5"/>
    <w:rsid w:val="005F21EB"/>
    <w:rsid w:val="005F2D4F"/>
    <w:rsid w:val="005F4B75"/>
    <w:rsid w:val="005F64CF"/>
    <w:rsid w:val="005F7D08"/>
    <w:rsid w:val="0060156A"/>
    <w:rsid w:val="00603AC6"/>
    <w:rsid w:val="00603F6D"/>
    <w:rsid w:val="006041AD"/>
    <w:rsid w:val="00605908"/>
    <w:rsid w:val="006060AD"/>
    <w:rsid w:val="006066D5"/>
    <w:rsid w:val="00607850"/>
    <w:rsid w:val="00610D7C"/>
    <w:rsid w:val="00610E3A"/>
    <w:rsid w:val="006110E4"/>
    <w:rsid w:val="00611CC0"/>
    <w:rsid w:val="00613414"/>
    <w:rsid w:val="00613991"/>
    <w:rsid w:val="00620154"/>
    <w:rsid w:val="0062271C"/>
    <w:rsid w:val="00622F1A"/>
    <w:rsid w:val="0062408D"/>
    <w:rsid w:val="006240CC"/>
    <w:rsid w:val="00624940"/>
    <w:rsid w:val="006254F8"/>
    <w:rsid w:val="00625517"/>
    <w:rsid w:val="00626430"/>
    <w:rsid w:val="0062665F"/>
    <w:rsid w:val="00627DA7"/>
    <w:rsid w:val="00630DA4"/>
    <w:rsid w:val="00631CD4"/>
    <w:rsid w:val="00631D0F"/>
    <w:rsid w:val="006324C3"/>
    <w:rsid w:val="00632597"/>
    <w:rsid w:val="006339FF"/>
    <w:rsid w:val="00634D13"/>
    <w:rsid w:val="00635113"/>
    <w:rsid w:val="006358B4"/>
    <w:rsid w:val="00641724"/>
    <w:rsid w:val="006419AA"/>
    <w:rsid w:val="00644B1F"/>
    <w:rsid w:val="00644B7E"/>
    <w:rsid w:val="006454E6"/>
    <w:rsid w:val="00646235"/>
    <w:rsid w:val="00646492"/>
    <w:rsid w:val="00646A68"/>
    <w:rsid w:val="006473BE"/>
    <w:rsid w:val="0065053B"/>
    <w:rsid w:val="006505BD"/>
    <w:rsid w:val="00650884"/>
    <w:rsid w:val="006508EA"/>
    <w:rsid w:val="0065092E"/>
    <w:rsid w:val="00650AE7"/>
    <w:rsid w:val="00650E25"/>
    <w:rsid w:val="006526C2"/>
    <w:rsid w:val="00652AEF"/>
    <w:rsid w:val="006557A7"/>
    <w:rsid w:val="00656290"/>
    <w:rsid w:val="00656F23"/>
    <w:rsid w:val="006601C9"/>
    <w:rsid w:val="006608D8"/>
    <w:rsid w:val="006621D7"/>
    <w:rsid w:val="0066264B"/>
    <w:rsid w:val="0066302A"/>
    <w:rsid w:val="00663B79"/>
    <w:rsid w:val="00667770"/>
    <w:rsid w:val="00670597"/>
    <w:rsid w:val="006706D0"/>
    <w:rsid w:val="00672233"/>
    <w:rsid w:val="006724B9"/>
    <w:rsid w:val="006727E3"/>
    <w:rsid w:val="00675787"/>
    <w:rsid w:val="00677574"/>
    <w:rsid w:val="006820DE"/>
    <w:rsid w:val="006824A4"/>
    <w:rsid w:val="00683878"/>
    <w:rsid w:val="0068454C"/>
    <w:rsid w:val="00686759"/>
    <w:rsid w:val="00691B62"/>
    <w:rsid w:val="006933B5"/>
    <w:rsid w:val="00693D14"/>
    <w:rsid w:val="00693D81"/>
    <w:rsid w:val="00695A93"/>
    <w:rsid w:val="00696F27"/>
    <w:rsid w:val="006A10A1"/>
    <w:rsid w:val="006A18C2"/>
    <w:rsid w:val="006A1E35"/>
    <w:rsid w:val="006A3383"/>
    <w:rsid w:val="006A57E3"/>
    <w:rsid w:val="006B077C"/>
    <w:rsid w:val="006B16AF"/>
    <w:rsid w:val="006B18D9"/>
    <w:rsid w:val="006B45F2"/>
    <w:rsid w:val="006B6803"/>
    <w:rsid w:val="006B78DA"/>
    <w:rsid w:val="006C3058"/>
    <w:rsid w:val="006C591D"/>
    <w:rsid w:val="006C5EDF"/>
    <w:rsid w:val="006D0F16"/>
    <w:rsid w:val="006D1495"/>
    <w:rsid w:val="006D2A3F"/>
    <w:rsid w:val="006D2FBC"/>
    <w:rsid w:val="006D30EC"/>
    <w:rsid w:val="006D35C8"/>
    <w:rsid w:val="006E138B"/>
    <w:rsid w:val="006E1867"/>
    <w:rsid w:val="006E4A7C"/>
    <w:rsid w:val="006E511D"/>
    <w:rsid w:val="006F0330"/>
    <w:rsid w:val="006F1FDC"/>
    <w:rsid w:val="006F480E"/>
    <w:rsid w:val="006F6B8C"/>
    <w:rsid w:val="007013EF"/>
    <w:rsid w:val="00701E8B"/>
    <w:rsid w:val="00701F4C"/>
    <w:rsid w:val="007048FF"/>
    <w:rsid w:val="007055BD"/>
    <w:rsid w:val="00705B41"/>
    <w:rsid w:val="00710617"/>
    <w:rsid w:val="00710797"/>
    <w:rsid w:val="0071312C"/>
    <w:rsid w:val="0071365B"/>
    <w:rsid w:val="0071408C"/>
    <w:rsid w:val="00714275"/>
    <w:rsid w:val="0071517E"/>
    <w:rsid w:val="00716849"/>
    <w:rsid w:val="007173CA"/>
    <w:rsid w:val="00717BEA"/>
    <w:rsid w:val="007208C0"/>
    <w:rsid w:val="00720EA5"/>
    <w:rsid w:val="007216AA"/>
    <w:rsid w:val="00721AB5"/>
    <w:rsid w:val="00721CFB"/>
    <w:rsid w:val="00721DEF"/>
    <w:rsid w:val="00722573"/>
    <w:rsid w:val="00723CE5"/>
    <w:rsid w:val="00724A43"/>
    <w:rsid w:val="00724E3B"/>
    <w:rsid w:val="007254C5"/>
    <w:rsid w:val="00726B42"/>
    <w:rsid w:val="007273AC"/>
    <w:rsid w:val="007311CF"/>
    <w:rsid w:val="00731AD4"/>
    <w:rsid w:val="007346E4"/>
    <w:rsid w:val="00740F22"/>
    <w:rsid w:val="00741977"/>
    <w:rsid w:val="00741CF0"/>
    <w:rsid w:val="00741F1A"/>
    <w:rsid w:val="00741F55"/>
    <w:rsid w:val="00743A2C"/>
    <w:rsid w:val="007447DA"/>
    <w:rsid w:val="00744AD9"/>
    <w:rsid w:val="007450F8"/>
    <w:rsid w:val="00745A91"/>
    <w:rsid w:val="0074696E"/>
    <w:rsid w:val="0074757A"/>
    <w:rsid w:val="00750135"/>
    <w:rsid w:val="00750EC2"/>
    <w:rsid w:val="00752B28"/>
    <w:rsid w:val="007538DF"/>
    <w:rsid w:val="007539C5"/>
    <w:rsid w:val="007541A9"/>
    <w:rsid w:val="00754E36"/>
    <w:rsid w:val="007628A4"/>
    <w:rsid w:val="00762C4E"/>
    <w:rsid w:val="00763139"/>
    <w:rsid w:val="00766512"/>
    <w:rsid w:val="0076691B"/>
    <w:rsid w:val="00766F80"/>
    <w:rsid w:val="0077036C"/>
    <w:rsid w:val="00770F37"/>
    <w:rsid w:val="007711A0"/>
    <w:rsid w:val="00771395"/>
    <w:rsid w:val="0077274D"/>
    <w:rsid w:val="00772D5E"/>
    <w:rsid w:val="00773D0B"/>
    <w:rsid w:val="0077463E"/>
    <w:rsid w:val="00776884"/>
    <w:rsid w:val="00776928"/>
    <w:rsid w:val="00776E0F"/>
    <w:rsid w:val="007774B1"/>
    <w:rsid w:val="00777BE1"/>
    <w:rsid w:val="007833D8"/>
    <w:rsid w:val="00783AEB"/>
    <w:rsid w:val="00785677"/>
    <w:rsid w:val="00786F16"/>
    <w:rsid w:val="007915D4"/>
    <w:rsid w:val="00791BD7"/>
    <w:rsid w:val="007933F7"/>
    <w:rsid w:val="007954D8"/>
    <w:rsid w:val="00796E20"/>
    <w:rsid w:val="00797C32"/>
    <w:rsid w:val="007A11E8"/>
    <w:rsid w:val="007A5B2A"/>
    <w:rsid w:val="007B0914"/>
    <w:rsid w:val="007B1374"/>
    <w:rsid w:val="007B1750"/>
    <w:rsid w:val="007B32E5"/>
    <w:rsid w:val="007B3DB9"/>
    <w:rsid w:val="007B3FCB"/>
    <w:rsid w:val="007B5186"/>
    <w:rsid w:val="007B551B"/>
    <w:rsid w:val="007B589F"/>
    <w:rsid w:val="007B6186"/>
    <w:rsid w:val="007B73BC"/>
    <w:rsid w:val="007C0A31"/>
    <w:rsid w:val="007C1838"/>
    <w:rsid w:val="007C20B9"/>
    <w:rsid w:val="007C7301"/>
    <w:rsid w:val="007C7859"/>
    <w:rsid w:val="007C7F28"/>
    <w:rsid w:val="007D04D0"/>
    <w:rsid w:val="007D0E47"/>
    <w:rsid w:val="007D1466"/>
    <w:rsid w:val="007D21F1"/>
    <w:rsid w:val="007D2BDE"/>
    <w:rsid w:val="007D2FB6"/>
    <w:rsid w:val="007D49EB"/>
    <w:rsid w:val="007D5E1C"/>
    <w:rsid w:val="007D7D26"/>
    <w:rsid w:val="007E0DE2"/>
    <w:rsid w:val="007E3B98"/>
    <w:rsid w:val="007E417A"/>
    <w:rsid w:val="007E4D68"/>
    <w:rsid w:val="007E5F6F"/>
    <w:rsid w:val="007F0721"/>
    <w:rsid w:val="007F0C24"/>
    <w:rsid w:val="007F31B6"/>
    <w:rsid w:val="007F3C0F"/>
    <w:rsid w:val="007F46B8"/>
    <w:rsid w:val="007F546C"/>
    <w:rsid w:val="007F568D"/>
    <w:rsid w:val="007F57A4"/>
    <w:rsid w:val="007F625F"/>
    <w:rsid w:val="007F665E"/>
    <w:rsid w:val="00800412"/>
    <w:rsid w:val="00800AF2"/>
    <w:rsid w:val="0080587B"/>
    <w:rsid w:val="00805EFC"/>
    <w:rsid w:val="00806468"/>
    <w:rsid w:val="00810DD8"/>
    <w:rsid w:val="008119CA"/>
    <w:rsid w:val="00811BBF"/>
    <w:rsid w:val="00812935"/>
    <w:rsid w:val="008130C4"/>
    <w:rsid w:val="00813CF5"/>
    <w:rsid w:val="00814AE2"/>
    <w:rsid w:val="008155F0"/>
    <w:rsid w:val="00816735"/>
    <w:rsid w:val="00816AF0"/>
    <w:rsid w:val="00816F76"/>
    <w:rsid w:val="00817188"/>
    <w:rsid w:val="00817719"/>
    <w:rsid w:val="00817CF4"/>
    <w:rsid w:val="00817DED"/>
    <w:rsid w:val="00820141"/>
    <w:rsid w:val="00820E0C"/>
    <w:rsid w:val="008221CE"/>
    <w:rsid w:val="00823275"/>
    <w:rsid w:val="0082350B"/>
    <w:rsid w:val="0082366F"/>
    <w:rsid w:val="00824842"/>
    <w:rsid w:val="00830AE0"/>
    <w:rsid w:val="00832AF1"/>
    <w:rsid w:val="008338A2"/>
    <w:rsid w:val="008351E4"/>
    <w:rsid w:val="00836326"/>
    <w:rsid w:val="00836982"/>
    <w:rsid w:val="00841AA9"/>
    <w:rsid w:val="00843B06"/>
    <w:rsid w:val="008474FE"/>
    <w:rsid w:val="0085182F"/>
    <w:rsid w:val="0085232E"/>
    <w:rsid w:val="00853EE4"/>
    <w:rsid w:val="00855535"/>
    <w:rsid w:val="00856594"/>
    <w:rsid w:val="00857C5A"/>
    <w:rsid w:val="00861763"/>
    <w:rsid w:val="0086255E"/>
    <w:rsid w:val="008633F0"/>
    <w:rsid w:val="00864230"/>
    <w:rsid w:val="00865015"/>
    <w:rsid w:val="00866FA0"/>
    <w:rsid w:val="00867D9D"/>
    <w:rsid w:val="00872C54"/>
    <w:rsid w:val="00872E0A"/>
    <w:rsid w:val="00873594"/>
    <w:rsid w:val="00875285"/>
    <w:rsid w:val="0088018F"/>
    <w:rsid w:val="00880667"/>
    <w:rsid w:val="008848C7"/>
    <w:rsid w:val="00884B62"/>
    <w:rsid w:val="0088529C"/>
    <w:rsid w:val="00885A0F"/>
    <w:rsid w:val="00887903"/>
    <w:rsid w:val="00890A5B"/>
    <w:rsid w:val="00890F97"/>
    <w:rsid w:val="008911B3"/>
    <w:rsid w:val="00891495"/>
    <w:rsid w:val="00892262"/>
    <w:rsid w:val="0089254F"/>
    <w:rsid w:val="0089270A"/>
    <w:rsid w:val="00893AF6"/>
    <w:rsid w:val="00894BC4"/>
    <w:rsid w:val="008A1240"/>
    <w:rsid w:val="008A1E23"/>
    <w:rsid w:val="008A20A7"/>
    <w:rsid w:val="008A28A8"/>
    <w:rsid w:val="008A5B32"/>
    <w:rsid w:val="008A5D60"/>
    <w:rsid w:val="008B2029"/>
    <w:rsid w:val="008B2EE4"/>
    <w:rsid w:val="008B3821"/>
    <w:rsid w:val="008B4D3D"/>
    <w:rsid w:val="008B57C7"/>
    <w:rsid w:val="008B6479"/>
    <w:rsid w:val="008B7E20"/>
    <w:rsid w:val="008C224E"/>
    <w:rsid w:val="008C2F92"/>
    <w:rsid w:val="008C3B4E"/>
    <w:rsid w:val="008C589D"/>
    <w:rsid w:val="008C6804"/>
    <w:rsid w:val="008C6D51"/>
    <w:rsid w:val="008D2846"/>
    <w:rsid w:val="008D31E3"/>
    <w:rsid w:val="008D4236"/>
    <w:rsid w:val="008D462F"/>
    <w:rsid w:val="008D5C45"/>
    <w:rsid w:val="008D6DCF"/>
    <w:rsid w:val="008E4112"/>
    <w:rsid w:val="008E4376"/>
    <w:rsid w:val="008E441E"/>
    <w:rsid w:val="008E5411"/>
    <w:rsid w:val="008E6962"/>
    <w:rsid w:val="008E6BA3"/>
    <w:rsid w:val="008E7A0A"/>
    <w:rsid w:val="008E7B49"/>
    <w:rsid w:val="008F4F28"/>
    <w:rsid w:val="008F59F6"/>
    <w:rsid w:val="00900719"/>
    <w:rsid w:val="0090071C"/>
    <w:rsid w:val="0090135D"/>
    <w:rsid w:val="009017AC"/>
    <w:rsid w:val="00901D5C"/>
    <w:rsid w:val="0090296A"/>
    <w:rsid w:val="00902A9A"/>
    <w:rsid w:val="00904A1C"/>
    <w:rsid w:val="00904CD2"/>
    <w:rsid w:val="00905030"/>
    <w:rsid w:val="00906490"/>
    <w:rsid w:val="009111B2"/>
    <w:rsid w:val="0091150D"/>
    <w:rsid w:val="00915137"/>
    <w:rsid w:val="009151F5"/>
    <w:rsid w:val="00917E22"/>
    <w:rsid w:val="009210D2"/>
    <w:rsid w:val="00924AE1"/>
    <w:rsid w:val="009257ED"/>
    <w:rsid w:val="009269B1"/>
    <w:rsid w:val="00927161"/>
    <w:rsid w:val="0092724D"/>
    <w:rsid w:val="009272B3"/>
    <w:rsid w:val="00927EA1"/>
    <w:rsid w:val="009315BE"/>
    <w:rsid w:val="00932909"/>
    <w:rsid w:val="00932F4E"/>
    <w:rsid w:val="0093338F"/>
    <w:rsid w:val="009348F8"/>
    <w:rsid w:val="00935B27"/>
    <w:rsid w:val="00936A28"/>
    <w:rsid w:val="00937BD9"/>
    <w:rsid w:val="00941DA5"/>
    <w:rsid w:val="00944D4C"/>
    <w:rsid w:val="00945BC3"/>
    <w:rsid w:val="00945D2E"/>
    <w:rsid w:val="00946754"/>
    <w:rsid w:val="00950E2C"/>
    <w:rsid w:val="00951D50"/>
    <w:rsid w:val="009525EB"/>
    <w:rsid w:val="009544EC"/>
    <w:rsid w:val="0095470B"/>
    <w:rsid w:val="00954874"/>
    <w:rsid w:val="00954D01"/>
    <w:rsid w:val="0095615A"/>
    <w:rsid w:val="00956828"/>
    <w:rsid w:val="009572D0"/>
    <w:rsid w:val="00961400"/>
    <w:rsid w:val="00961533"/>
    <w:rsid w:val="00961ADB"/>
    <w:rsid w:val="00963646"/>
    <w:rsid w:val="0096632D"/>
    <w:rsid w:val="00967124"/>
    <w:rsid w:val="00967335"/>
    <w:rsid w:val="009718C7"/>
    <w:rsid w:val="00971F8B"/>
    <w:rsid w:val="00974F73"/>
    <w:rsid w:val="0097559F"/>
    <w:rsid w:val="009761EA"/>
    <w:rsid w:val="00976A0E"/>
    <w:rsid w:val="0097761E"/>
    <w:rsid w:val="00981104"/>
    <w:rsid w:val="00981FEB"/>
    <w:rsid w:val="00982454"/>
    <w:rsid w:val="00982CF0"/>
    <w:rsid w:val="009853E1"/>
    <w:rsid w:val="00986E6B"/>
    <w:rsid w:val="00990032"/>
    <w:rsid w:val="009900B0"/>
    <w:rsid w:val="00990B19"/>
    <w:rsid w:val="0099153B"/>
    <w:rsid w:val="00991769"/>
    <w:rsid w:val="00991E5A"/>
    <w:rsid w:val="0099232C"/>
    <w:rsid w:val="00993248"/>
    <w:rsid w:val="00994386"/>
    <w:rsid w:val="00994791"/>
    <w:rsid w:val="009A0328"/>
    <w:rsid w:val="009A13D8"/>
    <w:rsid w:val="009A279E"/>
    <w:rsid w:val="009A3015"/>
    <w:rsid w:val="009A3490"/>
    <w:rsid w:val="009A4074"/>
    <w:rsid w:val="009B0A6F"/>
    <w:rsid w:val="009B0A94"/>
    <w:rsid w:val="009B2AE8"/>
    <w:rsid w:val="009B2C91"/>
    <w:rsid w:val="009B5622"/>
    <w:rsid w:val="009B59E9"/>
    <w:rsid w:val="009B5E8F"/>
    <w:rsid w:val="009B70AA"/>
    <w:rsid w:val="009C123F"/>
    <w:rsid w:val="009C1A3D"/>
    <w:rsid w:val="009C1CB1"/>
    <w:rsid w:val="009C1FCE"/>
    <w:rsid w:val="009C2CD3"/>
    <w:rsid w:val="009C335C"/>
    <w:rsid w:val="009C5E77"/>
    <w:rsid w:val="009C608D"/>
    <w:rsid w:val="009C62FE"/>
    <w:rsid w:val="009C6C68"/>
    <w:rsid w:val="009C7A7E"/>
    <w:rsid w:val="009D02E8"/>
    <w:rsid w:val="009D1728"/>
    <w:rsid w:val="009D26ED"/>
    <w:rsid w:val="009D4410"/>
    <w:rsid w:val="009D51D0"/>
    <w:rsid w:val="009D56E0"/>
    <w:rsid w:val="009D70A4"/>
    <w:rsid w:val="009D72A8"/>
    <w:rsid w:val="009D7A52"/>
    <w:rsid w:val="009D7B14"/>
    <w:rsid w:val="009E08D1"/>
    <w:rsid w:val="009E1B95"/>
    <w:rsid w:val="009E3C74"/>
    <w:rsid w:val="009E496F"/>
    <w:rsid w:val="009E4B0D"/>
    <w:rsid w:val="009E5250"/>
    <w:rsid w:val="009E7A69"/>
    <w:rsid w:val="009E7F92"/>
    <w:rsid w:val="009F02A3"/>
    <w:rsid w:val="009F13C6"/>
    <w:rsid w:val="009F2F27"/>
    <w:rsid w:val="009F34AA"/>
    <w:rsid w:val="009F6BCB"/>
    <w:rsid w:val="009F7B78"/>
    <w:rsid w:val="00A0057A"/>
    <w:rsid w:val="00A00DE7"/>
    <w:rsid w:val="00A01121"/>
    <w:rsid w:val="00A022F4"/>
    <w:rsid w:val="00A02FA1"/>
    <w:rsid w:val="00A04CCE"/>
    <w:rsid w:val="00A07421"/>
    <w:rsid w:val="00A0776B"/>
    <w:rsid w:val="00A10F0A"/>
    <w:rsid w:val="00A10FB9"/>
    <w:rsid w:val="00A11421"/>
    <w:rsid w:val="00A11FD8"/>
    <w:rsid w:val="00A1389F"/>
    <w:rsid w:val="00A14996"/>
    <w:rsid w:val="00A157B1"/>
    <w:rsid w:val="00A204D8"/>
    <w:rsid w:val="00A21FA2"/>
    <w:rsid w:val="00A22229"/>
    <w:rsid w:val="00A23189"/>
    <w:rsid w:val="00A24442"/>
    <w:rsid w:val="00A252B9"/>
    <w:rsid w:val="00A278AC"/>
    <w:rsid w:val="00A318C3"/>
    <w:rsid w:val="00A319C8"/>
    <w:rsid w:val="00A32577"/>
    <w:rsid w:val="00A330BB"/>
    <w:rsid w:val="00A34ACD"/>
    <w:rsid w:val="00A34EF9"/>
    <w:rsid w:val="00A3771E"/>
    <w:rsid w:val="00A428D4"/>
    <w:rsid w:val="00A43569"/>
    <w:rsid w:val="00A44882"/>
    <w:rsid w:val="00A45125"/>
    <w:rsid w:val="00A46878"/>
    <w:rsid w:val="00A513A9"/>
    <w:rsid w:val="00A526B1"/>
    <w:rsid w:val="00A544B7"/>
    <w:rsid w:val="00A54715"/>
    <w:rsid w:val="00A557B4"/>
    <w:rsid w:val="00A55DD2"/>
    <w:rsid w:val="00A601EE"/>
    <w:rsid w:val="00A6061C"/>
    <w:rsid w:val="00A62D44"/>
    <w:rsid w:val="00A65B7A"/>
    <w:rsid w:val="00A67263"/>
    <w:rsid w:val="00A70466"/>
    <w:rsid w:val="00A7161C"/>
    <w:rsid w:val="00A73C77"/>
    <w:rsid w:val="00A76BCB"/>
    <w:rsid w:val="00A77AA3"/>
    <w:rsid w:val="00A8236D"/>
    <w:rsid w:val="00A83A30"/>
    <w:rsid w:val="00A854EB"/>
    <w:rsid w:val="00A864E9"/>
    <w:rsid w:val="00A872E5"/>
    <w:rsid w:val="00A87E3D"/>
    <w:rsid w:val="00A91406"/>
    <w:rsid w:val="00A92E0F"/>
    <w:rsid w:val="00A93B5B"/>
    <w:rsid w:val="00A965AF"/>
    <w:rsid w:val="00A96E65"/>
    <w:rsid w:val="00A96ECE"/>
    <w:rsid w:val="00A977AA"/>
    <w:rsid w:val="00A97C72"/>
    <w:rsid w:val="00AA2CB2"/>
    <w:rsid w:val="00AA2F4E"/>
    <w:rsid w:val="00AA310B"/>
    <w:rsid w:val="00AA6235"/>
    <w:rsid w:val="00AA63D4"/>
    <w:rsid w:val="00AB06E8"/>
    <w:rsid w:val="00AB1A4F"/>
    <w:rsid w:val="00AB1CD3"/>
    <w:rsid w:val="00AB352F"/>
    <w:rsid w:val="00AB5CC6"/>
    <w:rsid w:val="00AB748C"/>
    <w:rsid w:val="00AC0BB4"/>
    <w:rsid w:val="00AC274B"/>
    <w:rsid w:val="00AC4764"/>
    <w:rsid w:val="00AC6D36"/>
    <w:rsid w:val="00AC7AF5"/>
    <w:rsid w:val="00AD0CBA"/>
    <w:rsid w:val="00AD26E2"/>
    <w:rsid w:val="00AD4614"/>
    <w:rsid w:val="00AD784C"/>
    <w:rsid w:val="00AE126A"/>
    <w:rsid w:val="00AE1BAE"/>
    <w:rsid w:val="00AE3005"/>
    <w:rsid w:val="00AE3BD5"/>
    <w:rsid w:val="00AE59A0"/>
    <w:rsid w:val="00AE7145"/>
    <w:rsid w:val="00AE7602"/>
    <w:rsid w:val="00AF0C11"/>
    <w:rsid w:val="00AF0C57"/>
    <w:rsid w:val="00AF26F3"/>
    <w:rsid w:val="00AF5F04"/>
    <w:rsid w:val="00B00347"/>
    <w:rsid w:val="00B00672"/>
    <w:rsid w:val="00B01B4D"/>
    <w:rsid w:val="00B02658"/>
    <w:rsid w:val="00B02E9C"/>
    <w:rsid w:val="00B0312D"/>
    <w:rsid w:val="00B04489"/>
    <w:rsid w:val="00B04BBF"/>
    <w:rsid w:val="00B04F10"/>
    <w:rsid w:val="00B054BF"/>
    <w:rsid w:val="00B06571"/>
    <w:rsid w:val="00B0676A"/>
    <w:rsid w:val="00B068BA"/>
    <w:rsid w:val="00B07217"/>
    <w:rsid w:val="00B077D2"/>
    <w:rsid w:val="00B13851"/>
    <w:rsid w:val="00B13B1C"/>
    <w:rsid w:val="00B14215"/>
    <w:rsid w:val="00B14B5F"/>
    <w:rsid w:val="00B151EC"/>
    <w:rsid w:val="00B158BB"/>
    <w:rsid w:val="00B17B73"/>
    <w:rsid w:val="00B2055F"/>
    <w:rsid w:val="00B21F2C"/>
    <w:rsid w:val="00B21F90"/>
    <w:rsid w:val="00B22291"/>
    <w:rsid w:val="00B23F9A"/>
    <w:rsid w:val="00B2417B"/>
    <w:rsid w:val="00B24E6F"/>
    <w:rsid w:val="00B24E9D"/>
    <w:rsid w:val="00B26CB5"/>
    <w:rsid w:val="00B2752E"/>
    <w:rsid w:val="00B30110"/>
    <w:rsid w:val="00B307CC"/>
    <w:rsid w:val="00B326B7"/>
    <w:rsid w:val="00B3437C"/>
    <w:rsid w:val="00B3588E"/>
    <w:rsid w:val="00B4198F"/>
    <w:rsid w:val="00B41F3D"/>
    <w:rsid w:val="00B431E8"/>
    <w:rsid w:val="00B45141"/>
    <w:rsid w:val="00B46930"/>
    <w:rsid w:val="00B47E44"/>
    <w:rsid w:val="00B519CD"/>
    <w:rsid w:val="00B5273A"/>
    <w:rsid w:val="00B53910"/>
    <w:rsid w:val="00B54715"/>
    <w:rsid w:val="00B57329"/>
    <w:rsid w:val="00B60E61"/>
    <w:rsid w:val="00B62B50"/>
    <w:rsid w:val="00B635B7"/>
    <w:rsid w:val="00B63779"/>
    <w:rsid w:val="00B63AE8"/>
    <w:rsid w:val="00B64184"/>
    <w:rsid w:val="00B65950"/>
    <w:rsid w:val="00B660CA"/>
    <w:rsid w:val="00B668AD"/>
    <w:rsid w:val="00B66D83"/>
    <w:rsid w:val="00B672C0"/>
    <w:rsid w:val="00B676FD"/>
    <w:rsid w:val="00B678B6"/>
    <w:rsid w:val="00B706E8"/>
    <w:rsid w:val="00B75455"/>
    <w:rsid w:val="00B75646"/>
    <w:rsid w:val="00B7629E"/>
    <w:rsid w:val="00B77176"/>
    <w:rsid w:val="00B809DE"/>
    <w:rsid w:val="00B81179"/>
    <w:rsid w:val="00B8308D"/>
    <w:rsid w:val="00B866BE"/>
    <w:rsid w:val="00B90034"/>
    <w:rsid w:val="00B90729"/>
    <w:rsid w:val="00B907DA"/>
    <w:rsid w:val="00B91FFE"/>
    <w:rsid w:val="00B950BC"/>
    <w:rsid w:val="00B95AB9"/>
    <w:rsid w:val="00B9714C"/>
    <w:rsid w:val="00BA29AD"/>
    <w:rsid w:val="00BA33CF"/>
    <w:rsid w:val="00BA3F8D"/>
    <w:rsid w:val="00BA5B07"/>
    <w:rsid w:val="00BA6613"/>
    <w:rsid w:val="00BB7A10"/>
    <w:rsid w:val="00BC0E97"/>
    <w:rsid w:val="00BC12BD"/>
    <w:rsid w:val="00BC25A0"/>
    <w:rsid w:val="00BC26CE"/>
    <w:rsid w:val="00BC375D"/>
    <w:rsid w:val="00BC47B6"/>
    <w:rsid w:val="00BC47F6"/>
    <w:rsid w:val="00BC60BE"/>
    <w:rsid w:val="00BC6B6F"/>
    <w:rsid w:val="00BC7468"/>
    <w:rsid w:val="00BC7D4F"/>
    <w:rsid w:val="00BC7ED7"/>
    <w:rsid w:val="00BD1656"/>
    <w:rsid w:val="00BD1F7A"/>
    <w:rsid w:val="00BD2850"/>
    <w:rsid w:val="00BD28DC"/>
    <w:rsid w:val="00BD39A6"/>
    <w:rsid w:val="00BD5883"/>
    <w:rsid w:val="00BD6049"/>
    <w:rsid w:val="00BD7E9C"/>
    <w:rsid w:val="00BE01FF"/>
    <w:rsid w:val="00BE28D2"/>
    <w:rsid w:val="00BE436E"/>
    <w:rsid w:val="00BE4A64"/>
    <w:rsid w:val="00BE5E43"/>
    <w:rsid w:val="00BF03E4"/>
    <w:rsid w:val="00BF45AD"/>
    <w:rsid w:val="00BF557D"/>
    <w:rsid w:val="00BF5B01"/>
    <w:rsid w:val="00BF621E"/>
    <w:rsid w:val="00BF7F58"/>
    <w:rsid w:val="00C01381"/>
    <w:rsid w:val="00C01AB1"/>
    <w:rsid w:val="00C026A0"/>
    <w:rsid w:val="00C03EA4"/>
    <w:rsid w:val="00C04F42"/>
    <w:rsid w:val="00C05ED7"/>
    <w:rsid w:val="00C06137"/>
    <w:rsid w:val="00C066CC"/>
    <w:rsid w:val="00C06929"/>
    <w:rsid w:val="00C079B8"/>
    <w:rsid w:val="00C10037"/>
    <w:rsid w:val="00C11FFF"/>
    <w:rsid w:val="00C123EA"/>
    <w:rsid w:val="00C12A49"/>
    <w:rsid w:val="00C133EE"/>
    <w:rsid w:val="00C139C3"/>
    <w:rsid w:val="00C149D0"/>
    <w:rsid w:val="00C151ED"/>
    <w:rsid w:val="00C17C62"/>
    <w:rsid w:val="00C21460"/>
    <w:rsid w:val="00C231A0"/>
    <w:rsid w:val="00C250AF"/>
    <w:rsid w:val="00C26588"/>
    <w:rsid w:val="00C26719"/>
    <w:rsid w:val="00C27DE9"/>
    <w:rsid w:val="00C30B78"/>
    <w:rsid w:val="00C30CBE"/>
    <w:rsid w:val="00C32074"/>
    <w:rsid w:val="00C32989"/>
    <w:rsid w:val="00C33388"/>
    <w:rsid w:val="00C34A13"/>
    <w:rsid w:val="00C35484"/>
    <w:rsid w:val="00C35EEE"/>
    <w:rsid w:val="00C4169A"/>
    <w:rsid w:val="00C4173A"/>
    <w:rsid w:val="00C45584"/>
    <w:rsid w:val="00C469F1"/>
    <w:rsid w:val="00C47399"/>
    <w:rsid w:val="00C50DED"/>
    <w:rsid w:val="00C510F4"/>
    <w:rsid w:val="00C5150E"/>
    <w:rsid w:val="00C52217"/>
    <w:rsid w:val="00C5413F"/>
    <w:rsid w:val="00C55704"/>
    <w:rsid w:val="00C602FF"/>
    <w:rsid w:val="00C61174"/>
    <w:rsid w:val="00C6148F"/>
    <w:rsid w:val="00C621B1"/>
    <w:rsid w:val="00C62F7A"/>
    <w:rsid w:val="00C6323F"/>
    <w:rsid w:val="00C63B9C"/>
    <w:rsid w:val="00C6450C"/>
    <w:rsid w:val="00C6489C"/>
    <w:rsid w:val="00C6641C"/>
    <w:rsid w:val="00C6682F"/>
    <w:rsid w:val="00C66E3D"/>
    <w:rsid w:val="00C6758A"/>
    <w:rsid w:val="00C67BF4"/>
    <w:rsid w:val="00C70C48"/>
    <w:rsid w:val="00C7275E"/>
    <w:rsid w:val="00C7347F"/>
    <w:rsid w:val="00C74C5D"/>
    <w:rsid w:val="00C80306"/>
    <w:rsid w:val="00C81128"/>
    <w:rsid w:val="00C842AC"/>
    <w:rsid w:val="00C863C4"/>
    <w:rsid w:val="00C86790"/>
    <w:rsid w:val="00C87FAD"/>
    <w:rsid w:val="00C90B3B"/>
    <w:rsid w:val="00C920EA"/>
    <w:rsid w:val="00C93486"/>
    <w:rsid w:val="00C93C3E"/>
    <w:rsid w:val="00CA12E3"/>
    <w:rsid w:val="00CA1476"/>
    <w:rsid w:val="00CA162E"/>
    <w:rsid w:val="00CA3FF5"/>
    <w:rsid w:val="00CA4149"/>
    <w:rsid w:val="00CA6611"/>
    <w:rsid w:val="00CA6AE6"/>
    <w:rsid w:val="00CA782F"/>
    <w:rsid w:val="00CB0828"/>
    <w:rsid w:val="00CB187B"/>
    <w:rsid w:val="00CB2835"/>
    <w:rsid w:val="00CB3285"/>
    <w:rsid w:val="00CB4500"/>
    <w:rsid w:val="00CB754C"/>
    <w:rsid w:val="00CC0BED"/>
    <w:rsid w:val="00CC0C72"/>
    <w:rsid w:val="00CC2BFD"/>
    <w:rsid w:val="00CC601B"/>
    <w:rsid w:val="00CC7765"/>
    <w:rsid w:val="00CD19D1"/>
    <w:rsid w:val="00CD1A9A"/>
    <w:rsid w:val="00CD1ABF"/>
    <w:rsid w:val="00CD3476"/>
    <w:rsid w:val="00CD4DD5"/>
    <w:rsid w:val="00CD64DF"/>
    <w:rsid w:val="00CE21B1"/>
    <w:rsid w:val="00CE225F"/>
    <w:rsid w:val="00CE28E4"/>
    <w:rsid w:val="00CF2F50"/>
    <w:rsid w:val="00CF4148"/>
    <w:rsid w:val="00CF6198"/>
    <w:rsid w:val="00CF6FE4"/>
    <w:rsid w:val="00D02919"/>
    <w:rsid w:val="00D030C7"/>
    <w:rsid w:val="00D031C7"/>
    <w:rsid w:val="00D039AD"/>
    <w:rsid w:val="00D041E1"/>
    <w:rsid w:val="00D04C61"/>
    <w:rsid w:val="00D05B8D"/>
    <w:rsid w:val="00D05B9B"/>
    <w:rsid w:val="00D065A2"/>
    <w:rsid w:val="00D079AA"/>
    <w:rsid w:val="00D07F00"/>
    <w:rsid w:val="00D10CBB"/>
    <w:rsid w:val="00D1130F"/>
    <w:rsid w:val="00D1195C"/>
    <w:rsid w:val="00D12F7C"/>
    <w:rsid w:val="00D17B72"/>
    <w:rsid w:val="00D208DE"/>
    <w:rsid w:val="00D243C1"/>
    <w:rsid w:val="00D3161C"/>
    <w:rsid w:val="00D3185C"/>
    <w:rsid w:val="00D3205F"/>
    <w:rsid w:val="00D32825"/>
    <w:rsid w:val="00D3318E"/>
    <w:rsid w:val="00D33E72"/>
    <w:rsid w:val="00D35BD6"/>
    <w:rsid w:val="00D361B5"/>
    <w:rsid w:val="00D402DB"/>
    <w:rsid w:val="00D411A2"/>
    <w:rsid w:val="00D44F8D"/>
    <w:rsid w:val="00D453AD"/>
    <w:rsid w:val="00D4606D"/>
    <w:rsid w:val="00D50B9C"/>
    <w:rsid w:val="00D52D73"/>
    <w:rsid w:val="00D52E58"/>
    <w:rsid w:val="00D52E92"/>
    <w:rsid w:val="00D56B20"/>
    <w:rsid w:val="00D56F81"/>
    <w:rsid w:val="00D5757C"/>
    <w:rsid w:val="00D578B3"/>
    <w:rsid w:val="00D6010B"/>
    <w:rsid w:val="00D60AAA"/>
    <w:rsid w:val="00D618F4"/>
    <w:rsid w:val="00D61CF8"/>
    <w:rsid w:val="00D62347"/>
    <w:rsid w:val="00D627E5"/>
    <w:rsid w:val="00D63B58"/>
    <w:rsid w:val="00D63CAF"/>
    <w:rsid w:val="00D673CF"/>
    <w:rsid w:val="00D709CC"/>
    <w:rsid w:val="00D714CC"/>
    <w:rsid w:val="00D75EA7"/>
    <w:rsid w:val="00D81ADF"/>
    <w:rsid w:val="00D81F21"/>
    <w:rsid w:val="00D8292C"/>
    <w:rsid w:val="00D82E5C"/>
    <w:rsid w:val="00D82F6B"/>
    <w:rsid w:val="00D8423D"/>
    <w:rsid w:val="00D84658"/>
    <w:rsid w:val="00D864F2"/>
    <w:rsid w:val="00D90543"/>
    <w:rsid w:val="00D92195"/>
    <w:rsid w:val="00D943F8"/>
    <w:rsid w:val="00D94E42"/>
    <w:rsid w:val="00D95470"/>
    <w:rsid w:val="00D96B55"/>
    <w:rsid w:val="00D97175"/>
    <w:rsid w:val="00D97487"/>
    <w:rsid w:val="00DA17B6"/>
    <w:rsid w:val="00DA2619"/>
    <w:rsid w:val="00DA2E57"/>
    <w:rsid w:val="00DA4239"/>
    <w:rsid w:val="00DA4B87"/>
    <w:rsid w:val="00DA65DE"/>
    <w:rsid w:val="00DB0B61"/>
    <w:rsid w:val="00DB1474"/>
    <w:rsid w:val="00DB1A5D"/>
    <w:rsid w:val="00DB2962"/>
    <w:rsid w:val="00DB52FB"/>
    <w:rsid w:val="00DC013B"/>
    <w:rsid w:val="00DC090B"/>
    <w:rsid w:val="00DC1679"/>
    <w:rsid w:val="00DC219B"/>
    <w:rsid w:val="00DC2CF1"/>
    <w:rsid w:val="00DC3A7C"/>
    <w:rsid w:val="00DC4FCF"/>
    <w:rsid w:val="00DC50E0"/>
    <w:rsid w:val="00DC599B"/>
    <w:rsid w:val="00DC6386"/>
    <w:rsid w:val="00DD1130"/>
    <w:rsid w:val="00DD122F"/>
    <w:rsid w:val="00DD12F1"/>
    <w:rsid w:val="00DD1951"/>
    <w:rsid w:val="00DD19E7"/>
    <w:rsid w:val="00DD1E36"/>
    <w:rsid w:val="00DD487D"/>
    <w:rsid w:val="00DD4E83"/>
    <w:rsid w:val="00DD626D"/>
    <w:rsid w:val="00DD6628"/>
    <w:rsid w:val="00DD6945"/>
    <w:rsid w:val="00DE2D04"/>
    <w:rsid w:val="00DE3250"/>
    <w:rsid w:val="00DE3F23"/>
    <w:rsid w:val="00DE4D75"/>
    <w:rsid w:val="00DE5833"/>
    <w:rsid w:val="00DE6028"/>
    <w:rsid w:val="00DE6574"/>
    <w:rsid w:val="00DE6996"/>
    <w:rsid w:val="00DE6C85"/>
    <w:rsid w:val="00DE722F"/>
    <w:rsid w:val="00DE78A3"/>
    <w:rsid w:val="00DF1A71"/>
    <w:rsid w:val="00DF50FC"/>
    <w:rsid w:val="00DF60B9"/>
    <w:rsid w:val="00DF6405"/>
    <w:rsid w:val="00DF68C7"/>
    <w:rsid w:val="00DF731A"/>
    <w:rsid w:val="00E003FE"/>
    <w:rsid w:val="00E00722"/>
    <w:rsid w:val="00E03D01"/>
    <w:rsid w:val="00E04920"/>
    <w:rsid w:val="00E055AC"/>
    <w:rsid w:val="00E05C6E"/>
    <w:rsid w:val="00E06B75"/>
    <w:rsid w:val="00E11332"/>
    <w:rsid w:val="00E11352"/>
    <w:rsid w:val="00E16FEA"/>
    <w:rsid w:val="00E170DC"/>
    <w:rsid w:val="00E17546"/>
    <w:rsid w:val="00E2006A"/>
    <w:rsid w:val="00E210B5"/>
    <w:rsid w:val="00E23E68"/>
    <w:rsid w:val="00E246AF"/>
    <w:rsid w:val="00E261B3"/>
    <w:rsid w:val="00E26818"/>
    <w:rsid w:val="00E27FFC"/>
    <w:rsid w:val="00E30B15"/>
    <w:rsid w:val="00E314AE"/>
    <w:rsid w:val="00E32CC9"/>
    <w:rsid w:val="00E33237"/>
    <w:rsid w:val="00E3691A"/>
    <w:rsid w:val="00E40181"/>
    <w:rsid w:val="00E508D1"/>
    <w:rsid w:val="00E536AE"/>
    <w:rsid w:val="00E543A3"/>
    <w:rsid w:val="00E54950"/>
    <w:rsid w:val="00E55FB3"/>
    <w:rsid w:val="00E56A01"/>
    <w:rsid w:val="00E5710C"/>
    <w:rsid w:val="00E6039F"/>
    <w:rsid w:val="00E618A1"/>
    <w:rsid w:val="00E62995"/>
    <w:rsid w:val="00E629A1"/>
    <w:rsid w:val="00E6546C"/>
    <w:rsid w:val="00E66A95"/>
    <w:rsid w:val="00E6794C"/>
    <w:rsid w:val="00E7122A"/>
    <w:rsid w:val="00E71591"/>
    <w:rsid w:val="00E71CEB"/>
    <w:rsid w:val="00E71F9E"/>
    <w:rsid w:val="00E73D7C"/>
    <w:rsid w:val="00E7474F"/>
    <w:rsid w:val="00E748FB"/>
    <w:rsid w:val="00E77901"/>
    <w:rsid w:val="00E80DE3"/>
    <w:rsid w:val="00E81173"/>
    <w:rsid w:val="00E82A72"/>
    <w:rsid w:val="00E82C55"/>
    <w:rsid w:val="00E84288"/>
    <w:rsid w:val="00E8787E"/>
    <w:rsid w:val="00E91D97"/>
    <w:rsid w:val="00E924AD"/>
    <w:rsid w:val="00E92AC3"/>
    <w:rsid w:val="00E93358"/>
    <w:rsid w:val="00E954F8"/>
    <w:rsid w:val="00E96FDB"/>
    <w:rsid w:val="00E97CD3"/>
    <w:rsid w:val="00EA2F6A"/>
    <w:rsid w:val="00EA42E3"/>
    <w:rsid w:val="00EA6162"/>
    <w:rsid w:val="00EB00E0"/>
    <w:rsid w:val="00EB01FD"/>
    <w:rsid w:val="00EB05D5"/>
    <w:rsid w:val="00EB1931"/>
    <w:rsid w:val="00EB4426"/>
    <w:rsid w:val="00EB47AD"/>
    <w:rsid w:val="00EB65A2"/>
    <w:rsid w:val="00EB7227"/>
    <w:rsid w:val="00EB79B1"/>
    <w:rsid w:val="00EC059F"/>
    <w:rsid w:val="00EC1F24"/>
    <w:rsid w:val="00EC20FF"/>
    <w:rsid w:val="00EC22F6"/>
    <w:rsid w:val="00EC25AF"/>
    <w:rsid w:val="00EC4DCF"/>
    <w:rsid w:val="00EC531C"/>
    <w:rsid w:val="00EC5A16"/>
    <w:rsid w:val="00EC6BD8"/>
    <w:rsid w:val="00ED195F"/>
    <w:rsid w:val="00ED5B9B"/>
    <w:rsid w:val="00ED6886"/>
    <w:rsid w:val="00ED6BAD"/>
    <w:rsid w:val="00ED7447"/>
    <w:rsid w:val="00EE00D6"/>
    <w:rsid w:val="00EE11E7"/>
    <w:rsid w:val="00EE1488"/>
    <w:rsid w:val="00EE1730"/>
    <w:rsid w:val="00EE29AD"/>
    <w:rsid w:val="00EE3E24"/>
    <w:rsid w:val="00EE4D5D"/>
    <w:rsid w:val="00EE5131"/>
    <w:rsid w:val="00EE594D"/>
    <w:rsid w:val="00EE77C4"/>
    <w:rsid w:val="00EF109B"/>
    <w:rsid w:val="00EF201C"/>
    <w:rsid w:val="00EF2C72"/>
    <w:rsid w:val="00EF36AF"/>
    <w:rsid w:val="00EF54BC"/>
    <w:rsid w:val="00EF59A3"/>
    <w:rsid w:val="00EF5FB3"/>
    <w:rsid w:val="00EF5FC2"/>
    <w:rsid w:val="00EF6675"/>
    <w:rsid w:val="00EF7568"/>
    <w:rsid w:val="00F0063D"/>
    <w:rsid w:val="00F00F9C"/>
    <w:rsid w:val="00F0102C"/>
    <w:rsid w:val="00F01E5F"/>
    <w:rsid w:val="00F024F3"/>
    <w:rsid w:val="00F029DC"/>
    <w:rsid w:val="00F02ABA"/>
    <w:rsid w:val="00F03701"/>
    <w:rsid w:val="00F0437A"/>
    <w:rsid w:val="00F07596"/>
    <w:rsid w:val="00F078F3"/>
    <w:rsid w:val="00F101B8"/>
    <w:rsid w:val="00F104EF"/>
    <w:rsid w:val="00F10C7D"/>
    <w:rsid w:val="00F11037"/>
    <w:rsid w:val="00F11BCD"/>
    <w:rsid w:val="00F133D1"/>
    <w:rsid w:val="00F14759"/>
    <w:rsid w:val="00F16F1B"/>
    <w:rsid w:val="00F17EDE"/>
    <w:rsid w:val="00F23761"/>
    <w:rsid w:val="00F250A9"/>
    <w:rsid w:val="00F267AF"/>
    <w:rsid w:val="00F30FF4"/>
    <w:rsid w:val="00F3122E"/>
    <w:rsid w:val="00F32368"/>
    <w:rsid w:val="00F331AD"/>
    <w:rsid w:val="00F35287"/>
    <w:rsid w:val="00F362C8"/>
    <w:rsid w:val="00F40A70"/>
    <w:rsid w:val="00F43A37"/>
    <w:rsid w:val="00F4641B"/>
    <w:rsid w:val="00F46EB8"/>
    <w:rsid w:val="00F476B8"/>
    <w:rsid w:val="00F507F1"/>
    <w:rsid w:val="00F50CD1"/>
    <w:rsid w:val="00F511E4"/>
    <w:rsid w:val="00F51A9D"/>
    <w:rsid w:val="00F52D09"/>
    <w:rsid w:val="00F52E08"/>
    <w:rsid w:val="00F53A66"/>
    <w:rsid w:val="00F5462D"/>
    <w:rsid w:val="00F55B21"/>
    <w:rsid w:val="00F56EF6"/>
    <w:rsid w:val="00F60082"/>
    <w:rsid w:val="00F61A9F"/>
    <w:rsid w:val="00F61B5F"/>
    <w:rsid w:val="00F6415A"/>
    <w:rsid w:val="00F64696"/>
    <w:rsid w:val="00F65AA9"/>
    <w:rsid w:val="00F67445"/>
    <w:rsid w:val="00F6768F"/>
    <w:rsid w:val="00F70794"/>
    <w:rsid w:val="00F72115"/>
    <w:rsid w:val="00F72C2C"/>
    <w:rsid w:val="00F72DE5"/>
    <w:rsid w:val="00F741F2"/>
    <w:rsid w:val="00F76BC7"/>
    <w:rsid w:val="00F76CAB"/>
    <w:rsid w:val="00F772C6"/>
    <w:rsid w:val="00F77F59"/>
    <w:rsid w:val="00F815B5"/>
    <w:rsid w:val="00F81D42"/>
    <w:rsid w:val="00F81ED6"/>
    <w:rsid w:val="00F82E96"/>
    <w:rsid w:val="00F845D4"/>
    <w:rsid w:val="00F85195"/>
    <w:rsid w:val="00F868E3"/>
    <w:rsid w:val="00F938BA"/>
    <w:rsid w:val="00F972B1"/>
    <w:rsid w:val="00F97919"/>
    <w:rsid w:val="00FA1222"/>
    <w:rsid w:val="00FA2C46"/>
    <w:rsid w:val="00FA3525"/>
    <w:rsid w:val="00FA5A53"/>
    <w:rsid w:val="00FA5B9C"/>
    <w:rsid w:val="00FB21D6"/>
    <w:rsid w:val="00FB3501"/>
    <w:rsid w:val="00FB46C1"/>
    <w:rsid w:val="00FB4769"/>
    <w:rsid w:val="00FB4CDA"/>
    <w:rsid w:val="00FB57BE"/>
    <w:rsid w:val="00FB5B4E"/>
    <w:rsid w:val="00FB6481"/>
    <w:rsid w:val="00FB6D36"/>
    <w:rsid w:val="00FC0965"/>
    <w:rsid w:val="00FC0F81"/>
    <w:rsid w:val="00FC252F"/>
    <w:rsid w:val="00FC32B3"/>
    <w:rsid w:val="00FC395C"/>
    <w:rsid w:val="00FC5702"/>
    <w:rsid w:val="00FC5E8E"/>
    <w:rsid w:val="00FC73F3"/>
    <w:rsid w:val="00FD1A5A"/>
    <w:rsid w:val="00FD3766"/>
    <w:rsid w:val="00FD47C4"/>
    <w:rsid w:val="00FD6943"/>
    <w:rsid w:val="00FE1C22"/>
    <w:rsid w:val="00FE1D55"/>
    <w:rsid w:val="00FE2DCF"/>
    <w:rsid w:val="00FE3FA7"/>
    <w:rsid w:val="00FE4746"/>
    <w:rsid w:val="00FF2A4E"/>
    <w:rsid w:val="00FF2F14"/>
    <w:rsid w:val="00FF2FCE"/>
    <w:rsid w:val="00FF326C"/>
    <w:rsid w:val="00FF36B2"/>
    <w:rsid w:val="00FF4F7D"/>
    <w:rsid w:val="00FF5930"/>
    <w:rsid w:val="00FF6D9D"/>
    <w:rsid w:val="00FF7DD5"/>
    <w:rsid w:val="0C337172"/>
    <w:rsid w:val="0CA13D18"/>
    <w:rsid w:val="10DF08C7"/>
    <w:rsid w:val="10DFDF1C"/>
    <w:rsid w:val="19F53647"/>
    <w:rsid w:val="228F8EBB"/>
    <w:rsid w:val="23DF8B46"/>
    <w:rsid w:val="2431F31A"/>
    <w:rsid w:val="2534725A"/>
    <w:rsid w:val="2B1ED233"/>
    <w:rsid w:val="30C43EE6"/>
    <w:rsid w:val="3A6FB770"/>
    <w:rsid w:val="40105971"/>
    <w:rsid w:val="48F9DB91"/>
    <w:rsid w:val="4E333B16"/>
    <w:rsid w:val="4E4C71AD"/>
    <w:rsid w:val="524D9096"/>
    <w:rsid w:val="54B1728D"/>
    <w:rsid w:val="54F914AC"/>
    <w:rsid w:val="5D93C4BA"/>
    <w:rsid w:val="611694E0"/>
    <w:rsid w:val="6324B8CA"/>
    <w:rsid w:val="6A724978"/>
    <w:rsid w:val="6AF9803B"/>
    <w:rsid w:val="6E43BDCD"/>
    <w:rsid w:val="74B06AB2"/>
    <w:rsid w:val="7AA817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DA772CA8-9FE8-47A0-B650-0A0DF047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5B6AE5"/>
    <w:pPr>
      <w:numPr>
        <w:numId w:val="7"/>
      </w:numPr>
      <w:spacing w:after="40"/>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qFormat/>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Mention">
    <w:name w:val="Mention"/>
    <w:basedOn w:val="DefaultParagraphFont"/>
    <w:uiPriority w:val="99"/>
    <w:unhideWhenUsed/>
    <w:rsid w:val="007713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fac.dffh.vic.gov.au/dffh-and-dh-activity-index" TargetMode="External"/><Relationship Id="rId26" Type="http://schemas.openxmlformats.org/officeDocument/2006/relationships/hyperlink" Target="https://www.accesshub.gov.au/about-the-nrs" TargetMode="External"/><Relationship Id="rId3" Type="http://schemas.openxmlformats.org/officeDocument/2006/relationships/customXml" Target="../customXml/item3.xml"/><Relationship Id="rId21" Type="http://schemas.openxmlformats.org/officeDocument/2006/relationships/hyperlink" Target="https://fac.dffh.vic.gov.au/service-agreement-requirements-dffh-and-dh"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publications/wungurilwil-gapgapduir-aboriginal-children-and-families-agreement" TargetMode="External"/><Relationship Id="rId25" Type="http://schemas.openxmlformats.org/officeDocument/2006/relationships/hyperlink" Target="mailto:aboriginalinitiatives@dffh.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fac.dffh.vic.gov.au/subcontracting-proposal-attestation-fo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boriginalinitiatives@dffh.vic.gov.a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dtf.vic.gov.au/standing-directions-2018-under-financial-management-act-199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ac.dffh.vic.gov.au/due-diligence-checklist-organisations-change-control-merger-acquisition-change-consortium-memb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tf.vic.gov.au/resource-management-framework" TargetMode="External"/><Relationship Id="rId27" Type="http://schemas.openxmlformats.org/officeDocument/2006/relationships/hyperlink" Target="https://providers.dffh.vic.gov.au/strengthening-aboriginal-community-controlled-organis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2" ma:contentTypeDescription="Create a new document." ma:contentTypeScope="" ma:versionID="00494c3b9f2901e2c03b2bd203492fb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c5ba9b75797fea60188da1f03eb2b8a1"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etingDate" minOccurs="0"/>
                <xsd:element ref="ns2:MediaServiceObjectDetectorVersions" minOccurs="0"/>
                <xsd:element ref="ns2:MediaServiceSearchProperties" minOccurs="0"/>
                <xsd:element ref="ns2:Reviewedbylegal" minOccurs="0"/>
                <xsd:element ref="ns2:ListOrde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etingDate" ma:index="23" nillable="true" ma:displayName="Meeting Date" ma:format="DateOnly" ma:internalName="MeetingDat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ewedbylegal" ma:index="26" nillable="true" ma:displayName="Reviewed by legal" ma:format="Dropdown" ma:internalName="Reviewedbylegal">
      <xsd:simpleType>
        <xsd:restriction base="dms:Text">
          <xsd:maxLength value="255"/>
        </xsd:restriction>
      </xsd:simpleType>
    </xsd:element>
    <xsd:element name="ListOrder" ma:index="27" nillable="true" ma:displayName="List Order" ma:decimals="1" ma:description="Order of attachments in Acquittal Table" ma:format="Dropdown" ma:internalName="ListOrder" ma:percentage="FALSE">
      <xsd:simpleType>
        <xsd:restriction base="dms:Number"/>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a0fbd57-70ac-491c-b74c-88440654378e}"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ListOrder xmlns="31b2e4f9-c376-4e2f-bd2e-796d1bcd5746" xsi:nil="true"/>
    <Reviewedbylegal xmlns="31b2e4f9-c376-4e2f-bd2e-796d1bcd5746" xsi:nil="true"/>
    <MeetingDate xmlns="31b2e4f9-c376-4e2f-bd2e-796d1bcd57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79D10-336F-4F31-AD26-5F53408FA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6009</Words>
  <Characters>34256</Characters>
  <Application>Microsoft Office Word</Application>
  <DocSecurity>2</DocSecurity>
  <Lines>285</Lines>
  <Paragraphs>80</Paragraphs>
  <ScaleCrop>false</ScaleCrop>
  <Manager/>
  <Company>Victoria State Government, Department of Families, Fairness and Housing</Company>
  <LinksUpToDate>false</LinksUpToDate>
  <CharactersWithSpaces>40185</CharactersWithSpaces>
  <SharedDoc>false</SharedDoc>
  <HyperlinkBase/>
  <HLinks>
    <vt:vector size="234" baseType="variant">
      <vt:variant>
        <vt:i4>196618</vt:i4>
      </vt:variant>
      <vt:variant>
        <vt:i4>201</vt:i4>
      </vt:variant>
      <vt:variant>
        <vt:i4>0</vt:i4>
      </vt:variant>
      <vt:variant>
        <vt:i4>5</vt:i4>
      </vt:variant>
      <vt:variant>
        <vt:lpwstr>https://providers.dffh.vic.gov.au/strengthening-aboriginal-community-controlled-organisations</vt:lpwstr>
      </vt:variant>
      <vt:variant>
        <vt:lpwstr/>
      </vt:variant>
      <vt:variant>
        <vt:i4>196618</vt:i4>
      </vt:variant>
      <vt:variant>
        <vt:i4>198</vt:i4>
      </vt:variant>
      <vt:variant>
        <vt:i4>0</vt:i4>
      </vt:variant>
      <vt:variant>
        <vt:i4>5</vt:i4>
      </vt:variant>
      <vt:variant>
        <vt:lpwstr>https://providers.dffh.vic.gov.au/strengthening-aboriginal-community-controlled-organisations</vt:lpwstr>
      </vt:variant>
      <vt:variant>
        <vt:lpwstr/>
      </vt:variant>
      <vt:variant>
        <vt:i4>2359401</vt:i4>
      </vt:variant>
      <vt:variant>
        <vt:i4>195</vt:i4>
      </vt:variant>
      <vt:variant>
        <vt:i4>0</vt:i4>
      </vt:variant>
      <vt:variant>
        <vt:i4>5</vt:i4>
      </vt:variant>
      <vt:variant>
        <vt:lpwstr>https://www.accesshub.gov.au/about-the-nrs</vt:lpwstr>
      </vt:variant>
      <vt:variant>
        <vt:lpwstr/>
      </vt:variant>
      <vt:variant>
        <vt:i4>4849763</vt:i4>
      </vt:variant>
      <vt:variant>
        <vt:i4>192</vt:i4>
      </vt:variant>
      <vt:variant>
        <vt:i4>0</vt:i4>
      </vt:variant>
      <vt:variant>
        <vt:i4>5</vt:i4>
      </vt:variant>
      <vt:variant>
        <vt:lpwstr>mailto:aboriginalinitiatives@dffh.vic.gov.au</vt:lpwstr>
      </vt:variant>
      <vt:variant>
        <vt:lpwstr/>
      </vt:variant>
      <vt:variant>
        <vt:i4>4849763</vt:i4>
      </vt:variant>
      <vt:variant>
        <vt:i4>189</vt:i4>
      </vt:variant>
      <vt:variant>
        <vt:i4>0</vt:i4>
      </vt:variant>
      <vt:variant>
        <vt:i4>5</vt:i4>
      </vt:variant>
      <vt:variant>
        <vt:lpwstr>mailto:aboriginalinitiatives@dffh.vic.gov.au</vt:lpwstr>
      </vt:variant>
      <vt:variant>
        <vt:lpwstr/>
      </vt:variant>
      <vt:variant>
        <vt:i4>7733366</vt:i4>
      </vt:variant>
      <vt:variant>
        <vt:i4>186</vt:i4>
      </vt:variant>
      <vt:variant>
        <vt:i4>0</vt:i4>
      </vt:variant>
      <vt:variant>
        <vt:i4>5</vt:i4>
      </vt:variant>
      <vt:variant>
        <vt:lpwstr>https://www.dtf.vic.gov.au/standing-directions-2018-under-financial-management-act-1994</vt:lpwstr>
      </vt:variant>
      <vt:variant>
        <vt:lpwstr/>
      </vt:variant>
      <vt:variant>
        <vt:i4>4784197</vt:i4>
      </vt:variant>
      <vt:variant>
        <vt:i4>183</vt:i4>
      </vt:variant>
      <vt:variant>
        <vt:i4>0</vt:i4>
      </vt:variant>
      <vt:variant>
        <vt:i4>5</vt:i4>
      </vt:variant>
      <vt:variant>
        <vt:lpwstr>https://www.dtf.vic.gov.au/resource-management-framework</vt:lpwstr>
      </vt:variant>
      <vt:variant>
        <vt:lpwstr/>
      </vt:variant>
      <vt:variant>
        <vt:i4>8192044</vt:i4>
      </vt:variant>
      <vt:variant>
        <vt:i4>180</vt:i4>
      </vt:variant>
      <vt:variant>
        <vt:i4>0</vt:i4>
      </vt:variant>
      <vt:variant>
        <vt:i4>5</vt:i4>
      </vt:variant>
      <vt:variant>
        <vt:lpwstr>https://fac.dffh.vic.gov.au/service-agreement-requirements-dffh-and-dh</vt:lpwstr>
      </vt:variant>
      <vt:variant>
        <vt:lpwstr/>
      </vt:variant>
      <vt:variant>
        <vt:i4>1048655</vt:i4>
      </vt:variant>
      <vt:variant>
        <vt:i4>177</vt:i4>
      </vt:variant>
      <vt:variant>
        <vt:i4>0</vt:i4>
      </vt:variant>
      <vt:variant>
        <vt:i4>5</vt:i4>
      </vt:variant>
      <vt:variant>
        <vt:lpwstr>https://fac.dffh.vic.gov.au/subcontracting-proposal-attestation-form</vt:lpwstr>
      </vt:variant>
      <vt:variant>
        <vt:lpwstr/>
      </vt:variant>
      <vt:variant>
        <vt:i4>5046339</vt:i4>
      </vt:variant>
      <vt:variant>
        <vt:i4>174</vt:i4>
      </vt:variant>
      <vt:variant>
        <vt:i4>0</vt:i4>
      </vt:variant>
      <vt:variant>
        <vt:i4>5</vt:i4>
      </vt:variant>
      <vt:variant>
        <vt:lpwstr>https://fac.dffh.vic.gov.au/due-diligence-checklist-organisations-change-control-merger-acquisition-change-consortium-member</vt:lpwstr>
      </vt:variant>
      <vt:variant>
        <vt:lpwstr/>
      </vt:variant>
      <vt:variant>
        <vt:i4>3604527</vt:i4>
      </vt:variant>
      <vt:variant>
        <vt:i4>171</vt:i4>
      </vt:variant>
      <vt:variant>
        <vt:i4>0</vt:i4>
      </vt:variant>
      <vt:variant>
        <vt:i4>5</vt:i4>
      </vt:variant>
      <vt:variant>
        <vt:lpwstr>https://fac.dffh.vic.gov.au/dffh-and-dh-activity-index</vt:lpwstr>
      </vt:variant>
      <vt:variant>
        <vt:lpwstr/>
      </vt:variant>
      <vt:variant>
        <vt:i4>3342437</vt:i4>
      </vt:variant>
      <vt:variant>
        <vt:i4>168</vt:i4>
      </vt:variant>
      <vt:variant>
        <vt:i4>0</vt:i4>
      </vt:variant>
      <vt:variant>
        <vt:i4>5</vt:i4>
      </vt:variant>
      <vt:variant>
        <vt:lpwstr>https://www.dffh.vic.gov.au/publications/wungurilwil-gapgapduir-aboriginal-children-and-families-agreement</vt:lpwstr>
      </vt:variant>
      <vt:variant>
        <vt:lpwstr/>
      </vt:variant>
      <vt:variant>
        <vt:i4>1310781</vt:i4>
      </vt:variant>
      <vt:variant>
        <vt:i4>161</vt:i4>
      </vt:variant>
      <vt:variant>
        <vt:i4>0</vt:i4>
      </vt:variant>
      <vt:variant>
        <vt:i4>5</vt:i4>
      </vt:variant>
      <vt:variant>
        <vt:lpwstr/>
      </vt:variant>
      <vt:variant>
        <vt:lpwstr>_Toc219102615</vt:lpwstr>
      </vt:variant>
      <vt:variant>
        <vt:i4>1310781</vt:i4>
      </vt:variant>
      <vt:variant>
        <vt:i4>155</vt:i4>
      </vt:variant>
      <vt:variant>
        <vt:i4>0</vt:i4>
      </vt:variant>
      <vt:variant>
        <vt:i4>5</vt:i4>
      </vt:variant>
      <vt:variant>
        <vt:lpwstr/>
      </vt:variant>
      <vt:variant>
        <vt:lpwstr>_Toc219102614</vt:lpwstr>
      </vt:variant>
      <vt:variant>
        <vt:i4>1310781</vt:i4>
      </vt:variant>
      <vt:variant>
        <vt:i4>149</vt:i4>
      </vt:variant>
      <vt:variant>
        <vt:i4>0</vt:i4>
      </vt:variant>
      <vt:variant>
        <vt:i4>5</vt:i4>
      </vt:variant>
      <vt:variant>
        <vt:lpwstr/>
      </vt:variant>
      <vt:variant>
        <vt:lpwstr>_Toc219102613</vt:lpwstr>
      </vt:variant>
      <vt:variant>
        <vt:i4>1310781</vt:i4>
      </vt:variant>
      <vt:variant>
        <vt:i4>143</vt:i4>
      </vt:variant>
      <vt:variant>
        <vt:i4>0</vt:i4>
      </vt:variant>
      <vt:variant>
        <vt:i4>5</vt:i4>
      </vt:variant>
      <vt:variant>
        <vt:lpwstr/>
      </vt:variant>
      <vt:variant>
        <vt:lpwstr>_Toc219102612</vt:lpwstr>
      </vt:variant>
      <vt:variant>
        <vt:i4>1310781</vt:i4>
      </vt:variant>
      <vt:variant>
        <vt:i4>137</vt:i4>
      </vt:variant>
      <vt:variant>
        <vt:i4>0</vt:i4>
      </vt:variant>
      <vt:variant>
        <vt:i4>5</vt:i4>
      </vt:variant>
      <vt:variant>
        <vt:lpwstr/>
      </vt:variant>
      <vt:variant>
        <vt:lpwstr>_Toc219102611</vt:lpwstr>
      </vt:variant>
      <vt:variant>
        <vt:i4>1310781</vt:i4>
      </vt:variant>
      <vt:variant>
        <vt:i4>131</vt:i4>
      </vt:variant>
      <vt:variant>
        <vt:i4>0</vt:i4>
      </vt:variant>
      <vt:variant>
        <vt:i4>5</vt:i4>
      </vt:variant>
      <vt:variant>
        <vt:lpwstr/>
      </vt:variant>
      <vt:variant>
        <vt:lpwstr>_Toc219102610</vt:lpwstr>
      </vt:variant>
      <vt:variant>
        <vt:i4>1376317</vt:i4>
      </vt:variant>
      <vt:variant>
        <vt:i4>125</vt:i4>
      </vt:variant>
      <vt:variant>
        <vt:i4>0</vt:i4>
      </vt:variant>
      <vt:variant>
        <vt:i4>5</vt:i4>
      </vt:variant>
      <vt:variant>
        <vt:lpwstr/>
      </vt:variant>
      <vt:variant>
        <vt:lpwstr>_Toc219102609</vt:lpwstr>
      </vt:variant>
      <vt:variant>
        <vt:i4>1376317</vt:i4>
      </vt:variant>
      <vt:variant>
        <vt:i4>119</vt:i4>
      </vt:variant>
      <vt:variant>
        <vt:i4>0</vt:i4>
      </vt:variant>
      <vt:variant>
        <vt:i4>5</vt:i4>
      </vt:variant>
      <vt:variant>
        <vt:lpwstr/>
      </vt:variant>
      <vt:variant>
        <vt:lpwstr>_Toc219102608</vt:lpwstr>
      </vt:variant>
      <vt:variant>
        <vt:i4>1376317</vt:i4>
      </vt:variant>
      <vt:variant>
        <vt:i4>113</vt:i4>
      </vt:variant>
      <vt:variant>
        <vt:i4>0</vt:i4>
      </vt:variant>
      <vt:variant>
        <vt:i4>5</vt:i4>
      </vt:variant>
      <vt:variant>
        <vt:lpwstr/>
      </vt:variant>
      <vt:variant>
        <vt:lpwstr>_Toc219102607</vt:lpwstr>
      </vt:variant>
      <vt:variant>
        <vt:i4>1376317</vt:i4>
      </vt:variant>
      <vt:variant>
        <vt:i4>107</vt:i4>
      </vt:variant>
      <vt:variant>
        <vt:i4>0</vt:i4>
      </vt:variant>
      <vt:variant>
        <vt:i4>5</vt:i4>
      </vt:variant>
      <vt:variant>
        <vt:lpwstr/>
      </vt:variant>
      <vt:variant>
        <vt:lpwstr>_Toc219102606</vt:lpwstr>
      </vt:variant>
      <vt:variant>
        <vt:i4>1376317</vt:i4>
      </vt:variant>
      <vt:variant>
        <vt:i4>101</vt:i4>
      </vt:variant>
      <vt:variant>
        <vt:i4>0</vt:i4>
      </vt:variant>
      <vt:variant>
        <vt:i4>5</vt:i4>
      </vt:variant>
      <vt:variant>
        <vt:lpwstr/>
      </vt:variant>
      <vt:variant>
        <vt:lpwstr>_Toc219102605</vt:lpwstr>
      </vt:variant>
      <vt:variant>
        <vt:i4>1376317</vt:i4>
      </vt:variant>
      <vt:variant>
        <vt:i4>95</vt:i4>
      </vt:variant>
      <vt:variant>
        <vt:i4>0</vt:i4>
      </vt:variant>
      <vt:variant>
        <vt:i4>5</vt:i4>
      </vt:variant>
      <vt:variant>
        <vt:lpwstr/>
      </vt:variant>
      <vt:variant>
        <vt:lpwstr>_Toc219102604</vt:lpwstr>
      </vt:variant>
      <vt:variant>
        <vt:i4>1376317</vt:i4>
      </vt:variant>
      <vt:variant>
        <vt:i4>89</vt:i4>
      </vt:variant>
      <vt:variant>
        <vt:i4>0</vt:i4>
      </vt:variant>
      <vt:variant>
        <vt:i4>5</vt:i4>
      </vt:variant>
      <vt:variant>
        <vt:lpwstr/>
      </vt:variant>
      <vt:variant>
        <vt:lpwstr>_Toc219102603</vt:lpwstr>
      </vt:variant>
      <vt:variant>
        <vt:i4>1376317</vt:i4>
      </vt:variant>
      <vt:variant>
        <vt:i4>83</vt:i4>
      </vt:variant>
      <vt:variant>
        <vt:i4>0</vt:i4>
      </vt:variant>
      <vt:variant>
        <vt:i4>5</vt:i4>
      </vt:variant>
      <vt:variant>
        <vt:lpwstr/>
      </vt:variant>
      <vt:variant>
        <vt:lpwstr>_Toc219102602</vt:lpwstr>
      </vt:variant>
      <vt:variant>
        <vt:i4>1376317</vt:i4>
      </vt:variant>
      <vt:variant>
        <vt:i4>77</vt:i4>
      </vt:variant>
      <vt:variant>
        <vt:i4>0</vt:i4>
      </vt:variant>
      <vt:variant>
        <vt:i4>5</vt:i4>
      </vt:variant>
      <vt:variant>
        <vt:lpwstr/>
      </vt:variant>
      <vt:variant>
        <vt:lpwstr>_Toc219102601</vt:lpwstr>
      </vt:variant>
      <vt:variant>
        <vt:i4>1376317</vt:i4>
      </vt:variant>
      <vt:variant>
        <vt:i4>71</vt:i4>
      </vt:variant>
      <vt:variant>
        <vt:i4>0</vt:i4>
      </vt:variant>
      <vt:variant>
        <vt:i4>5</vt:i4>
      </vt:variant>
      <vt:variant>
        <vt:lpwstr/>
      </vt:variant>
      <vt:variant>
        <vt:lpwstr>_Toc219102600</vt:lpwstr>
      </vt:variant>
      <vt:variant>
        <vt:i4>1835070</vt:i4>
      </vt:variant>
      <vt:variant>
        <vt:i4>65</vt:i4>
      </vt:variant>
      <vt:variant>
        <vt:i4>0</vt:i4>
      </vt:variant>
      <vt:variant>
        <vt:i4>5</vt:i4>
      </vt:variant>
      <vt:variant>
        <vt:lpwstr/>
      </vt:variant>
      <vt:variant>
        <vt:lpwstr>_Toc219102599</vt:lpwstr>
      </vt:variant>
      <vt:variant>
        <vt:i4>1835070</vt:i4>
      </vt:variant>
      <vt:variant>
        <vt:i4>59</vt:i4>
      </vt:variant>
      <vt:variant>
        <vt:i4>0</vt:i4>
      </vt:variant>
      <vt:variant>
        <vt:i4>5</vt:i4>
      </vt:variant>
      <vt:variant>
        <vt:lpwstr/>
      </vt:variant>
      <vt:variant>
        <vt:lpwstr>_Toc219102598</vt:lpwstr>
      </vt:variant>
      <vt:variant>
        <vt:i4>1835070</vt:i4>
      </vt:variant>
      <vt:variant>
        <vt:i4>53</vt:i4>
      </vt:variant>
      <vt:variant>
        <vt:i4>0</vt:i4>
      </vt:variant>
      <vt:variant>
        <vt:i4>5</vt:i4>
      </vt:variant>
      <vt:variant>
        <vt:lpwstr/>
      </vt:variant>
      <vt:variant>
        <vt:lpwstr>_Toc219102597</vt:lpwstr>
      </vt:variant>
      <vt:variant>
        <vt:i4>1835070</vt:i4>
      </vt:variant>
      <vt:variant>
        <vt:i4>47</vt:i4>
      </vt:variant>
      <vt:variant>
        <vt:i4>0</vt:i4>
      </vt:variant>
      <vt:variant>
        <vt:i4>5</vt:i4>
      </vt:variant>
      <vt:variant>
        <vt:lpwstr/>
      </vt:variant>
      <vt:variant>
        <vt:lpwstr>_Toc219102596</vt:lpwstr>
      </vt:variant>
      <vt:variant>
        <vt:i4>1835070</vt:i4>
      </vt:variant>
      <vt:variant>
        <vt:i4>41</vt:i4>
      </vt:variant>
      <vt:variant>
        <vt:i4>0</vt:i4>
      </vt:variant>
      <vt:variant>
        <vt:i4>5</vt:i4>
      </vt:variant>
      <vt:variant>
        <vt:lpwstr/>
      </vt:variant>
      <vt:variant>
        <vt:lpwstr>_Toc219102595</vt:lpwstr>
      </vt:variant>
      <vt:variant>
        <vt:i4>1835070</vt:i4>
      </vt:variant>
      <vt:variant>
        <vt:i4>35</vt:i4>
      </vt:variant>
      <vt:variant>
        <vt:i4>0</vt:i4>
      </vt:variant>
      <vt:variant>
        <vt:i4>5</vt:i4>
      </vt:variant>
      <vt:variant>
        <vt:lpwstr/>
      </vt:variant>
      <vt:variant>
        <vt:lpwstr>_Toc219102594</vt:lpwstr>
      </vt:variant>
      <vt:variant>
        <vt:i4>1835070</vt:i4>
      </vt:variant>
      <vt:variant>
        <vt:i4>29</vt:i4>
      </vt:variant>
      <vt:variant>
        <vt:i4>0</vt:i4>
      </vt:variant>
      <vt:variant>
        <vt:i4>5</vt:i4>
      </vt:variant>
      <vt:variant>
        <vt:lpwstr/>
      </vt:variant>
      <vt:variant>
        <vt:lpwstr>_Toc219102593</vt:lpwstr>
      </vt:variant>
      <vt:variant>
        <vt:i4>1835070</vt:i4>
      </vt:variant>
      <vt:variant>
        <vt:i4>23</vt:i4>
      </vt:variant>
      <vt:variant>
        <vt:i4>0</vt:i4>
      </vt:variant>
      <vt:variant>
        <vt:i4>5</vt:i4>
      </vt:variant>
      <vt:variant>
        <vt:lpwstr/>
      </vt:variant>
      <vt:variant>
        <vt:lpwstr>_Toc219102592</vt:lpwstr>
      </vt:variant>
      <vt:variant>
        <vt:i4>1835070</vt:i4>
      </vt:variant>
      <vt:variant>
        <vt:i4>17</vt:i4>
      </vt:variant>
      <vt:variant>
        <vt:i4>0</vt:i4>
      </vt:variant>
      <vt:variant>
        <vt:i4>5</vt:i4>
      </vt:variant>
      <vt:variant>
        <vt:lpwstr/>
      </vt:variant>
      <vt:variant>
        <vt:lpwstr>_Toc219102591</vt:lpwstr>
      </vt:variant>
      <vt:variant>
        <vt:i4>1835070</vt:i4>
      </vt:variant>
      <vt:variant>
        <vt:i4>11</vt:i4>
      </vt:variant>
      <vt:variant>
        <vt:i4>0</vt:i4>
      </vt:variant>
      <vt:variant>
        <vt:i4>5</vt:i4>
      </vt:variant>
      <vt:variant>
        <vt:lpwstr/>
      </vt:variant>
      <vt:variant>
        <vt:lpwstr>_Toc219102590</vt:lpwstr>
      </vt:variant>
      <vt:variant>
        <vt:i4>1900606</vt:i4>
      </vt:variant>
      <vt:variant>
        <vt:i4>5</vt:i4>
      </vt:variant>
      <vt:variant>
        <vt:i4>0</vt:i4>
      </vt:variant>
      <vt:variant>
        <vt:i4>5</vt:i4>
      </vt:variant>
      <vt:variant>
        <vt:lpwstr/>
      </vt:variant>
      <vt:variant>
        <vt:lpwstr>_Toc219102589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child and family services transfer</dc:title>
  <dc:subject>Interim policy</dc:subject>
  <dc:creator>Children and Families Division</dc:creator>
  <cp:keywords>Aboriginal child and family services, transfer policy</cp:keywords>
  <dc:description/>
  <cp:revision>2</cp:revision>
  <cp:lastPrinted>2021-01-31T14:27:00Z</cp:lastPrinted>
  <dcterms:created xsi:type="dcterms:W3CDTF">2026-01-27T02:40:00Z</dcterms:created>
  <dcterms:modified xsi:type="dcterms:W3CDTF">2026-01-27T02:40:00Z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i4>365</vt:i4>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0x01010026D179483B3A4E458E2DA955233B6DD4</vt:lpwstr>
  </property>
  <property fmtid="{D5CDD505-2E9C-101B-9397-08002B2CF9AE}" pid="24" name="MediaServiceImageTags">
    <vt:lpwstr/>
  </property>
</Properties>
</file>