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0C861C3D" w:rsidR="002B7F49" w:rsidRPr="00DE4E5C" w:rsidRDefault="002B7F49" w:rsidP="001D1DCF">
            <w:pPr>
              <w:pStyle w:val="DHHSmainheading"/>
              <w:spacing w:line="270" w:lineRule="atLeast"/>
              <w:rPr>
                <w:sz w:val="44"/>
                <w:szCs w:val="44"/>
              </w:rPr>
            </w:pPr>
            <w:r w:rsidRPr="00FB50F1">
              <w:rPr>
                <w:noProof/>
                <w:color w:val="FFFFFF" w:themeColor="background1"/>
                <w:sz w:val="44"/>
                <w:lang w:eastAsia="en-AU"/>
              </w:rPr>
              <w:drawing>
                <wp:anchor distT="0" distB="0" distL="114300" distR="114300" simplePos="0" relativeHeight="251767808" behindDoc="1" locked="1" layoutInCell="0" allowOverlap="1" wp14:anchorId="12489017" wp14:editId="04CC78D5">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2E172D" w:rsidRPr="00FB50F1">
              <w:rPr>
                <w:noProof/>
                <w:color w:val="FFFFFF" w:themeColor="background1"/>
                <w:sz w:val="44"/>
                <w:lang w:eastAsia="en-AU"/>
              </w:rPr>
              <w:t>Centrally Funded Support</w:t>
            </w:r>
            <w:r w:rsidRPr="00FB50F1">
              <w:rPr>
                <w:rFonts w:cs="Arial"/>
                <w:sz w:val="36"/>
                <w:szCs w:val="44"/>
              </w:rPr>
              <w:t xml:space="preserve"> </w:t>
            </w:r>
            <w:r w:rsidRPr="00A619BF">
              <w:rPr>
                <w:rFonts w:cs="Arial"/>
                <w:sz w:val="40"/>
                <w:szCs w:val="44"/>
              </w:rPr>
              <w:br/>
            </w:r>
            <w:r w:rsidRPr="00FB50F1">
              <w:rPr>
                <w:rFonts w:cs="Arial"/>
                <w:noProof/>
                <w:sz w:val="44"/>
                <w:szCs w:val="44"/>
              </w:rPr>
              <w:t>150</w:t>
            </w:r>
            <w:r w:rsidR="002E172D" w:rsidRPr="00FB50F1">
              <w:rPr>
                <w:rFonts w:cs="Arial"/>
                <w:noProof/>
                <w:sz w:val="44"/>
                <w:szCs w:val="44"/>
              </w:rPr>
              <w:t>76</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FB50F1">
      <w:pPr>
        <w:pStyle w:val="Heading1"/>
      </w:pPr>
      <w:r>
        <w:br w:type="textWrapping" w:clear="all"/>
      </w:r>
      <w:r w:rsidR="002B7F49" w:rsidRPr="00B70F76">
        <w:t>1.</w:t>
      </w:r>
      <w:r w:rsidR="002B7F49">
        <w:t xml:space="preserve"> Service Objective </w:t>
      </w:r>
    </w:p>
    <w:p w14:paraId="73B03CF8" w14:textId="63CB8F66" w:rsidR="002B7F49" w:rsidRPr="00D92EDF" w:rsidRDefault="009B4EBD" w:rsidP="006C7A1F">
      <w:pPr>
        <w:pStyle w:val="DHHSbody"/>
        <w:spacing w:beforeLines="40" w:before="96"/>
        <w:rPr>
          <w:rFonts w:eastAsia="MS Gothic"/>
          <w:b/>
          <w:bCs/>
          <w:sz w:val="24"/>
          <w:szCs w:val="26"/>
        </w:rPr>
      </w:pPr>
      <w:r>
        <w:rPr>
          <w:szCs w:val="18"/>
        </w:rPr>
        <w:t>To build capacity or address gaps in the MHCSS system.</w:t>
      </w:r>
    </w:p>
    <w:p w14:paraId="4B1FE19E" w14:textId="77777777" w:rsidR="002B7F49" w:rsidRDefault="002B7F49" w:rsidP="00FB50F1">
      <w:pPr>
        <w:pStyle w:val="Heading1"/>
      </w:pPr>
      <w:r>
        <w:t>2</w:t>
      </w:r>
      <w:r w:rsidRPr="00B70F76">
        <w:t xml:space="preserve">. </w:t>
      </w:r>
      <w:r>
        <w:t>Description of the service</w:t>
      </w:r>
    </w:p>
    <w:p w14:paraId="211F370D" w14:textId="26B3A938" w:rsidR="002B7F49" w:rsidRPr="00DF6BAF" w:rsidRDefault="009B4EBD" w:rsidP="00AA0F86">
      <w:pPr>
        <w:pStyle w:val="DHHSbody"/>
      </w:pPr>
      <w:r w:rsidRPr="00D44FE0">
        <w:rPr>
          <w:szCs w:val="18"/>
        </w:rPr>
        <w:t>Funding provided by central office for MHCSS services on a specific-purpose grant.</w:t>
      </w:r>
    </w:p>
    <w:p w14:paraId="458FC098" w14:textId="77777777" w:rsidR="002B7F49" w:rsidRPr="00B70F76" w:rsidRDefault="002B7F49" w:rsidP="00FB50F1">
      <w:pPr>
        <w:pStyle w:val="Heading1"/>
      </w:pPr>
      <w:r>
        <w:t xml:space="preserve">3. </w:t>
      </w:r>
      <w:r w:rsidRPr="00B70F76">
        <w:t>Client group</w:t>
      </w:r>
    </w:p>
    <w:p w14:paraId="36DC5D03" w14:textId="50F05600" w:rsidR="002B7F49" w:rsidRDefault="002B7F49" w:rsidP="008017E7">
      <w:pPr>
        <w:pStyle w:val="DHHSbody"/>
      </w:pPr>
      <w:r>
        <w:t xml:space="preserve">The client </w:t>
      </w:r>
      <w:proofErr w:type="gramStart"/>
      <w:r>
        <w:t>group</w:t>
      </w:r>
      <w:proofErr w:type="gramEnd"/>
      <w:r>
        <w:t xml:space="preserve"> this activity is targeted </w:t>
      </w:r>
      <w:r w:rsidR="00714F44">
        <w:t>towards is</w:t>
      </w:r>
      <w:r w:rsidR="00D92EDF">
        <w:t xml:space="preserve"> </w:t>
      </w:r>
      <w:r w:rsidR="009B4EBD">
        <w:t>defined for each grant.</w:t>
      </w:r>
    </w:p>
    <w:p w14:paraId="3EE9151B" w14:textId="77777777" w:rsidR="002B7F49" w:rsidRDefault="002B7F49" w:rsidP="00FB50F1">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FB50F1">
      <w:pPr>
        <w:pStyle w:val="Heading2"/>
      </w:pPr>
      <w:r w:rsidRPr="001F3DE2">
        <w:t xml:space="preserve">4a.  Registration and Accreditation </w:t>
      </w:r>
    </w:p>
    <w:p w14:paraId="04186052" w14:textId="77777777" w:rsidR="00AF5619" w:rsidRPr="00434F66" w:rsidRDefault="00AF5619" w:rsidP="008017E7">
      <w:pPr>
        <w:pStyle w:val="DHHSbullet1"/>
      </w:pPr>
      <w:bookmarkStart w:id="0" w:name="_Hlk9316556"/>
      <w:r w:rsidRPr="00434F66">
        <w:rPr>
          <w:rStyle w:val="DHHSbodyChar"/>
        </w:rPr>
        <w:t xml:space="preserve">Services should meet relevant </w:t>
      </w:r>
      <w:r w:rsidRPr="008017E7">
        <w:t>national</w:t>
      </w:r>
      <w:r w:rsidRPr="00434F66">
        <w:rPr>
          <w:rStyle w:val="DHHSbodyChar"/>
        </w:rPr>
        <w:t xml:space="preserve"> quality accreditation standards.</w:t>
      </w:r>
    </w:p>
    <w:bookmarkEnd w:id="0"/>
    <w:p w14:paraId="0048B6F3" w14:textId="77777777" w:rsidR="002B7F49" w:rsidRPr="001F3DE2" w:rsidRDefault="002B7F49" w:rsidP="00FB50F1">
      <w:pPr>
        <w:pStyle w:val="Heading2"/>
      </w:pPr>
      <w:r w:rsidRPr="001F3DE2">
        <w:t xml:space="preserve">4b. Program requirements and other policy guidelines </w:t>
      </w:r>
    </w:p>
    <w:p w14:paraId="702A89FC" w14:textId="77777777" w:rsidR="002A0F3D" w:rsidRPr="008017E7" w:rsidRDefault="002A0F3D" w:rsidP="008017E7">
      <w:pPr>
        <w:pStyle w:val="DHHSbullet1"/>
      </w:pPr>
      <w:bookmarkStart w:id="1" w:name="_Hlk4746139"/>
      <w:r w:rsidRPr="008017E7">
        <w:t xml:space="preserve">Program requirements are negotiated individually with each provider before program/project commencement. </w:t>
      </w:r>
    </w:p>
    <w:bookmarkEnd w:id="1"/>
    <w:p w14:paraId="06F107FB" w14:textId="77777777" w:rsidR="00AF5619" w:rsidRPr="00575BC9" w:rsidRDefault="005F6511" w:rsidP="00FB50F1">
      <w:pPr>
        <w:pStyle w:val="Heading1"/>
      </w:pPr>
      <w:r w:rsidRPr="005F6511">
        <w:rPr>
          <w:noProof/>
        </w:rPr>
        <w:t xml:space="preserve"> </w:t>
      </w:r>
      <w:r w:rsidR="00AF5619">
        <w:t>5. Performance</w:t>
      </w:r>
    </w:p>
    <w:p w14:paraId="67CBEAF1" w14:textId="77777777" w:rsidR="00AF5619" w:rsidRPr="00F859CC" w:rsidRDefault="00AF5619" w:rsidP="00AF5619">
      <w:pPr>
        <w:pStyle w:val="DHHSbody"/>
      </w:pPr>
      <w:r>
        <w:t>Performance is reported in an ongoing manner. The department undertakes reviews of this activity in line with service agreement requirements as negotiated with the department.</w:t>
      </w:r>
    </w:p>
    <w:p w14:paraId="150119B0" w14:textId="77777777" w:rsidR="00AF5619" w:rsidRPr="00575BC9" w:rsidRDefault="00AF5619" w:rsidP="00FB50F1">
      <w:pPr>
        <w:pStyle w:val="Heading1"/>
      </w:pPr>
      <w:r>
        <w:t>6. Data collection</w:t>
      </w:r>
    </w:p>
    <w:p w14:paraId="66432B42" w14:textId="77777777" w:rsidR="00AF5619" w:rsidRDefault="00AF5619" w:rsidP="008017E7">
      <w:pPr>
        <w:pStyle w:val="DHHSbody"/>
      </w:pPr>
      <w:r>
        <w:t>Data collection requirements are negotiated between the provider and the department as part of ongoing contract management arrangements and vary depending on the objectives and approach.</w:t>
      </w:r>
      <w:bookmarkStart w:id="2" w:name="_GoBack"/>
      <w:bookmarkEnd w:id="2"/>
    </w:p>
    <w:tbl>
      <w:tblPr>
        <w:tblpPr w:leftFromText="180" w:rightFromText="180" w:vertAnchor="text" w:horzAnchor="margin" w:tblpY="50"/>
        <w:tblW w:w="5000" w:type="pct"/>
        <w:tblCellMar>
          <w:top w:w="113" w:type="dxa"/>
          <w:bottom w:w="57" w:type="dxa"/>
        </w:tblCellMar>
        <w:tblLook w:val="00A0" w:firstRow="1" w:lastRow="0" w:firstColumn="1" w:lastColumn="0" w:noHBand="0" w:noVBand="0"/>
      </w:tblPr>
      <w:tblGrid>
        <w:gridCol w:w="10194"/>
      </w:tblGrid>
      <w:tr w:rsidR="00FB50F1" w:rsidRPr="002802E3" w14:paraId="1344265B" w14:textId="77777777" w:rsidTr="00FB50F1">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DB9FA73" w14:textId="77777777" w:rsidR="00FB50F1" w:rsidRDefault="00FB50F1" w:rsidP="00FB50F1">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22C9EB71" w14:textId="77777777" w:rsidR="00FB50F1" w:rsidRDefault="00FB50F1" w:rsidP="00FB50F1">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375A037A" w14:textId="77777777" w:rsidR="00FB50F1" w:rsidRPr="00CA4422" w:rsidRDefault="00FB50F1" w:rsidP="00FB50F1">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FB50F1">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77777777" w:rsidR="00FE4946" w:rsidRPr="00A11421" w:rsidRDefault="00E06429" w:rsidP="0051568D">
    <w:pPr>
      <w:pStyle w:val="DHHSfooter"/>
    </w:pPr>
    <w:r>
      <w:t xml:space="preserve">Activity Description - </w:t>
    </w:r>
    <w:r w:rsidR="001E644C">
      <w:t>15075</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328DB2D0" w:rsidR="00FE4946" w:rsidRDefault="00FE4946">
    <w:pPr>
      <w:pStyle w:val="Footer"/>
    </w:pPr>
    <w:r>
      <w:rPr>
        <w:noProof/>
        <w:lang w:eastAsia="en-AU"/>
      </w:rPr>
      <w:drawing>
        <wp:anchor distT="0" distB="0" distL="114300" distR="114300" simplePos="0" relativeHeight="251659264" behindDoc="1" locked="0" layoutInCell="0" allowOverlap="1" wp14:anchorId="665BDA1A" wp14:editId="5431A5C7">
          <wp:simplePos x="0" y="0"/>
          <wp:positionH relativeFrom="page">
            <wp:posOffset>0</wp:posOffset>
          </wp:positionH>
          <wp:positionV relativeFrom="page">
            <wp:posOffset>9896475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0F1">
      <w:t>Activity description (Health): Centrally funded support 15076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5A74"/>
    <w:rsid w:val="002962C3"/>
    <w:rsid w:val="0029752B"/>
    <w:rsid w:val="002A0F3D"/>
    <w:rsid w:val="002A483C"/>
    <w:rsid w:val="002B1729"/>
    <w:rsid w:val="002B3651"/>
    <w:rsid w:val="002B4DD4"/>
    <w:rsid w:val="002B5277"/>
    <w:rsid w:val="002B5375"/>
    <w:rsid w:val="002B77C1"/>
    <w:rsid w:val="002B7F49"/>
    <w:rsid w:val="002C2728"/>
    <w:rsid w:val="002D1AA5"/>
    <w:rsid w:val="002D5006"/>
    <w:rsid w:val="002E01D0"/>
    <w:rsid w:val="002E161D"/>
    <w:rsid w:val="002E172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75B1"/>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5F6511"/>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24"/>
    <w:rsid w:val="006D72EA"/>
    <w:rsid w:val="006E138B"/>
    <w:rsid w:val="006F0FB0"/>
    <w:rsid w:val="006F1FDC"/>
    <w:rsid w:val="006F6592"/>
    <w:rsid w:val="007013EF"/>
    <w:rsid w:val="00706E3A"/>
    <w:rsid w:val="00714F44"/>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17E7"/>
    <w:rsid w:val="008039D6"/>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4EBD"/>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619"/>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E1BFD"/>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B50F1"/>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FB50F1"/>
    <w:pPr>
      <w:keepNext/>
      <w:keepLines/>
      <w:spacing w:before="24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FB50F1"/>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50F1"/>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FB50F1"/>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756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B9C7A7E-B661-4F4E-B474-4FECF3D72FF4}">
  <ds:schemaRefs>
    <ds:schemaRef ds:uri="http://schemas.openxmlformats.org/officeDocument/2006/bibliography"/>
  </ds:schemaRefs>
</ds:datastoreItem>
</file>

<file path=customXml/itemProps2.xml><?xml version="1.0" encoding="utf-8"?>
<ds:datastoreItem xmlns:ds="http://schemas.openxmlformats.org/officeDocument/2006/customXml" ds:itemID="{076BBA1E-D8F9-4148-BDF8-BA5801579AC7}"/>
</file>

<file path=customXml/itemProps3.xml><?xml version="1.0" encoding="utf-8"?>
<ds:datastoreItem xmlns:ds="http://schemas.openxmlformats.org/officeDocument/2006/customXml" ds:itemID="{524E083A-8400-4FC1-8CB8-86FB00EFFBC8}"/>
</file>

<file path=customXml/itemProps4.xml><?xml version="1.0" encoding="utf-8"?>
<ds:datastoreItem xmlns:ds="http://schemas.openxmlformats.org/officeDocument/2006/customXml" ds:itemID="{338DC29D-8463-421B-A768-9F941492856D}"/>
</file>

<file path=docProps/app.xml><?xml version="1.0" encoding="utf-8"?>
<Properties xmlns="http://schemas.openxmlformats.org/officeDocument/2006/extended-properties" xmlns:vt="http://schemas.openxmlformats.org/officeDocument/2006/docPropsVTypes">
  <Template>DHHS Factsheet 01 Navy 2765.dot</Template>
  <TotalTime>2</TotalTime>
  <Pages>1</Pages>
  <Words>262</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Activity description health Centrally funded support 15076</vt:lpstr>
    </vt:vector>
  </TitlesOfParts>
  <Company>Department of Health and Human Services</Company>
  <LinksUpToDate>false</LinksUpToDate>
  <CharactersWithSpaces>2198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Centrally funded support 15076</dc:title>
  <dc:subject>service agreement activity descriptions</dc:subject>
  <dc:creator>Service Agreement Policy unit</dc:creator>
  <cp:keywords>service agreement; activity descriptions; health; mental health; Centrally funded support; 15076</cp:keywords>
  <cp:lastModifiedBy>Roxanne Manzie (DHHS)</cp:lastModifiedBy>
  <cp:revision>3</cp:revision>
  <cp:lastPrinted>2019-01-08T23:20:00Z</cp:lastPrinted>
  <dcterms:created xsi:type="dcterms:W3CDTF">2019-06-07T01:13:00Z</dcterms:created>
  <dcterms:modified xsi:type="dcterms:W3CDTF">2019-06-18T04:56:00Z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