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5955C" w14:textId="77777777" w:rsidR="00E707FC" w:rsidRDefault="00CF70D9">
      <w:pPr>
        <w:tabs>
          <w:tab w:val="left" w:pos="1728"/>
        </w:tabs>
        <w:spacing w:before="100" w:line="288" w:lineRule="auto"/>
        <w:ind w:left="-699"/>
      </w:pPr>
      <w:r>
        <w:rPr>
          <w:noProof/>
        </w:rPr>
        <w:drawing>
          <wp:inline distT="0" distB="0" distL="0" distR="0" wp14:anchorId="373132A6" wp14:editId="7570DFA5">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E707FC" w14:paraId="0C172333" w14:textId="77777777">
        <w:tc>
          <w:tcPr>
            <w:tcW w:w="10206" w:type="dxa"/>
            <w:shd w:val="clear" w:color="auto" w:fill="FFFFFF"/>
            <w:vAlign w:val="bottom"/>
          </w:tcPr>
          <w:p w14:paraId="608FB653" w14:textId="77777777" w:rsidR="00E707FC" w:rsidRDefault="00E707FC">
            <w:pPr>
              <w:spacing w:line="560" w:lineRule="atLeast"/>
              <w:jc w:val="center"/>
              <w:rPr>
                <w:rFonts w:ascii="Arial" w:eastAsia="Arial" w:hAnsi="Arial" w:cs="Arial"/>
                <w:color w:val="000000"/>
                <w:sz w:val="20"/>
              </w:rPr>
            </w:pPr>
          </w:p>
          <w:p w14:paraId="04526812" w14:textId="77777777" w:rsidR="00E707FC" w:rsidRDefault="00CF70D9">
            <w:pPr>
              <w:spacing w:line="560" w:lineRule="atLeast"/>
              <w:rPr>
                <w:rFonts w:ascii="Arial" w:eastAsia="Arial" w:hAnsi="Arial" w:cs="Arial"/>
                <w:color w:val="201547"/>
                <w:sz w:val="44"/>
              </w:rPr>
            </w:pPr>
            <w:r>
              <w:rPr>
                <w:rFonts w:ascii="Arial" w:eastAsia="Arial" w:hAnsi="Arial" w:cs="Arial"/>
                <w:color w:val="201547"/>
                <w:sz w:val="44"/>
              </w:rPr>
              <w:t>Catchment-Based Planning</w:t>
            </w:r>
          </w:p>
          <w:p w14:paraId="686F2CD0" w14:textId="77777777" w:rsidR="00E707FC" w:rsidRDefault="00CF70D9">
            <w:pPr>
              <w:spacing w:line="560" w:lineRule="atLeast"/>
              <w:rPr>
                <w:rFonts w:ascii="Arial" w:eastAsia="Arial" w:hAnsi="Arial" w:cs="Arial"/>
                <w:color w:val="201547"/>
                <w:sz w:val="44"/>
              </w:rPr>
            </w:pPr>
            <w:r>
              <w:rPr>
                <w:rFonts w:ascii="Arial" w:eastAsia="Arial" w:hAnsi="Arial" w:cs="Arial"/>
                <w:color w:val="201547"/>
                <w:sz w:val="44"/>
              </w:rPr>
              <w:t>34304</w:t>
            </w:r>
          </w:p>
        </w:tc>
      </w:tr>
      <w:tr w:rsidR="00E707FC" w14:paraId="76685034" w14:textId="77777777">
        <w:tc>
          <w:tcPr>
            <w:tcW w:w="10206" w:type="dxa"/>
            <w:shd w:val="clear" w:color="auto" w:fill="FFFFFF"/>
          </w:tcPr>
          <w:p w14:paraId="6EAE03C3" w14:textId="77777777" w:rsidR="00E707FC" w:rsidRDefault="00CF70D9">
            <w:pPr>
              <w:spacing w:after="120"/>
              <w:rPr>
                <w:rFonts w:ascii="Arial" w:eastAsia="Arial" w:hAnsi="Arial" w:cs="Arial"/>
                <w:color w:val="201547"/>
                <w:sz w:val="28"/>
              </w:rPr>
            </w:pPr>
            <w:r>
              <w:rPr>
                <w:rFonts w:ascii="Arial" w:eastAsia="Arial" w:hAnsi="Arial" w:cs="Arial"/>
                <w:color w:val="201547"/>
                <w:sz w:val="28"/>
              </w:rPr>
              <w:t>Outcome objective: Victorians are connected to culture and community</w:t>
            </w:r>
          </w:p>
          <w:p w14:paraId="24D33E70" w14:textId="77777777" w:rsidR="00E707FC" w:rsidRDefault="00CF70D9">
            <w:pPr>
              <w:spacing w:after="120"/>
              <w:rPr>
                <w:rFonts w:ascii="Arial" w:eastAsia="Arial" w:hAnsi="Arial" w:cs="Arial"/>
                <w:color w:val="201547"/>
                <w:sz w:val="28"/>
              </w:rPr>
            </w:pPr>
            <w:r>
              <w:rPr>
                <w:rFonts w:ascii="Arial" w:eastAsia="Arial" w:hAnsi="Arial" w:cs="Arial"/>
                <w:color w:val="201547"/>
                <w:sz w:val="28"/>
              </w:rPr>
              <w:t>Output group: Drug Services</w:t>
            </w:r>
          </w:p>
          <w:p w14:paraId="570F060F" w14:textId="77777777" w:rsidR="00E707FC" w:rsidRDefault="00CF70D9">
            <w:pPr>
              <w:spacing w:after="120"/>
              <w:rPr>
                <w:rFonts w:ascii="Arial" w:eastAsia="Arial" w:hAnsi="Arial" w:cs="Arial"/>
                <w:color w:val="201547"/>
                <w:sz w:val="28"/>
              </w:rPr>
            </w:pPr>
            <w:r>
              <w:rPr>
                <w:rFonts w:ascii="Arial" w:eastAsia="Arial" w:hAnsi="Arial" w:cs="Arial"/>
                <w:color w:val="201547"/>
                <w:sz w:val="28"/>
              </w:rPr>
              <w:t>Output: Drug Treatment And Rehabilitation</w:t>
            </w:r>
          </w:p>
        </w:tc>
      </w:tr>
    </w:tbl>
    <w:p w14:paraId="1AD9C42B" w14:textId="77777777" w:rsidR="00E707FC" w:rsidRDefault="00CF70D9">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2F47610A" w14:textId="77777777" w:rsidR="00E707FC" w:rsidRDefault="00CF70D9">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1. Service objective</w:t>
      </w:r>
    </w:p>
    <w:p w14:paraId="6062980B" w14:textId="77777777" w:rsidR="00E707FC" w:rsidRDefault="00CF70D9">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Organisations are funded to develop and </w:t>
      </w:r>
      <w:r>
        <w:rPr>
          <w:rFonts w:ascii="Arial" w:eastAsia="Arial" w:hAnsi="Arial" w:cs="Arial"/>
          <w:color w:val="000000"/>
          <w:sz w:val="20"/>
        </w:rPr>
        <w:t>implement an AOD area-based plan, on behalf of, and in partnership with all AOD services operating in that Department of Health and Human Services area and a range of relevant stakeholers.</w:t>
      </w:r>
    </w:p>
    <w:p w14:paraId="416FCEEA" w14:textId="77777777" w:rsidR="00E707FC" w:rsidRDefault="00CF70D9">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2. Description of the service</w:t>
      </w:r>
    </w:p>
    <w:p w14:paraId="7961B694" w14:textId="77777777" w:rsidR="00E707FC" w:rsidRDefault="00CF70D9">
      <w:pPr>
        <w:spacing w:line="270" w:lineRule="atLeast"/>
        <w:ind w:left="111" w:right="105"/>
        <w:rPr>
          <w:rFonts w:ascii="Arial" w:eastAsia="Arial" w:hAnsi="Arial" w:cs="Arial"/>
          <w:color w:val="000000"/>
          <w:sz w:val="20"/>
        </w:rPr>
      </w:pPr>
      <w:r>
        <w:rPr>
          <w:rFonts w:ascii="Arial" w:eastAsia="Arial" w:hAnsi="Arial" w:cs="Arial"/>
          <w:color w:val="000000"/>
          <w:sz w:val="20"/>
        </w:rPr>
        <w:t>Area-based planning assists alcohol a</w:t>
      </w:r>
      <w:r>
        <w:rPr>
          <w:rFonts w:ascii="Arial" w:eastAsia="Arial" w:hAnsi="Arial" w:cs="Arial"/>
          <w:color w:val="000000"/>
          <w:sz w:val="20"/>
        </w:rPr>
        <w:t>nd other drug (AOD) treatment providers operating in a given Department of Health and Human Services area to develop an evidence-based area plan which identifies critical service gaps and pressures and strategies to improve responsiveness to client and com</w:t>
      </w:r>
      <w:r>
        <w:rPr>
          <w:rFonts w:ascii="Arial" w:eastAsia="Arial" w:hAnsi="Arial" w:cs="Arial"/>
          <w:color w:val="000000"/>
          <w:sz w:val="20"/>
        </w:rPr>
        <w:t>munity need and population diversity, including disadvantaged population groups. Each plan provides the basis for improved cross-sector service coordination and by doing this achieve a more planned, joined-up approach to the needs of clients.</w:t>
      </w:r>
    </w:p>
    <w:p w14:paraId="34A64839" w14:textId="77777777" w:rsidR="00E707FC" w:rsidRDefault="00CF70D9">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 xml:space="preserve">3. </w:t>
      </w:r>
      <w:r>
        <w:rPr>
          <w:rFonts w:ascii="Arial" w:eastAsia="Arial" w:hAnsi="Arial" w:cs="Arial"/>
          <w:b/>
          <w:bCs/>
          <w:color w:val="201547"/>
          <w:sz w:val="28"/>
        </w:rPr>
        <w:t>Client group</w:t>
      </w:r>
    </w:p>
    <w:p w14:paraId="6A2D814E" w14:textId="77777777" w:rsidR="00E707FC" w:rsidRDefault="00CF70D9">
      <w:pPr>
        <w:spacing w:line="288" w:lineRule="auto"/>
        <w:ind w:left="111" w:right="105"/>
        <w:rPr>
          <w:rFonts w:ascii="Arial" w:eastAsia="Arial" w:hAnsi="Arial" w:cs="Arial"/>
          <w:color w:val="000000"/>
          <w:sz w:val="20"/>
        </w:rPr>
      </w:pPr>
      <w:r>
        <w:rPr>
          <w:rFonts w:ascii="Arial" w:eastAsia="Arial" w:hAnsi="Arial" w:cs="Arial"/>
          <w:color w:val="000000"/>
          <w:sz w:val="20"/>
        </w:rPr>
        <w:t>Organisations funded for area based planning are responsible for leading the development and implementation of the area based plan on behalf of and in partnership with AOD services operating in that area. The area based plan is designed to sup</w:t>
      </w:r>
      <w:r>
        <w:rPr>
          <w:rFonts w:ascii="Arial" w:eastAsia="Arial" w:hAnsi="Arial" w:cs="Arial"/>
          <w:color w:val="000000"/>
          <w:sz w:val="20"/>
        </w:rPr>
        <w:t>port the AOD sector to respond to the needs of people with AOD issues in their community, particularly those facing disadvantage.</w:t>
      </w:r>
    </w:p>
    <w:p w14:paraId="6EC67BED" w14:textId="77777777" w:rsidR="00E707FC" w:rsidRDefault="00CF70D9">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4. Obligations specific to this activity</w:t>
      </w:r>
    </w:p>
    <w:p w14:paraId="4F8D3732" w14:textId="77777777" w:rsidR="00E707FC" w:rsidRDefault="00CF70D9">
      <w:pPr>
        <w:spacing w:line="288" w:lineRule="auto"/>
        <w:ind w:left="111" w:right="105"/>
        <w:rPr>
          <w:rFonts w:ascii="Arial" w:eastAsia="Arial" w:hAnsi="Arial" w:cs="Arial"/>
          <w:color w:val="000000"/>
          <w:sz w:val="20"/>
        </w:rPr>
      </w:pPr>
      <w:r>
        <w:rPr>
          <w:rFonts w:ascii="Arial" w:eastAsia="Arial" w:hAnsi="Arial" w:cs="Arial"/>
          <w:color w:val="000000"/>
          <w:sz w:val="20"/>
        </w:rPr>
        <w:t xml:space="preserve">In addition to the obligations listed in the Service Agreement, organisations funded </w:t>
      </w:r>
      <w:r>
        <w:rPr>
          <w:rFonts w:ascii="Arial" w:eastAsia="Arial" w:hAnsi="Arial" w:cs="Arial"/>
          <w:color w:val="000000"/>
          <w:sz w:val="20"/>
        </w:rPr>
        <w:t>to deliver this activity must comply with the following:</w:t>
      </w:r>
    </w:p>
    <w:p w14:paraId="778B5BFE" w14:textId="77777777" w:rsidR="00E707FC" w:rsidRDefault="00CF70D9">
      <w:pPr>
        <w:spacing w:before="240" w:after="90" w:line="320" w:lineRule="atLeast"/>
        <w:ind w:left="111" w:right="105"/>
        <w:rPr>
          <w:rFonts w:ascii="Arial" w:eastAsia="Arial" w:hAnsi="Arial" w:cs="Arial"/>
          <w:b/>
          <w:bCs/>
          <w:color w:val="201547"/>
        </w:rPr>
      </w:pPr>
      <w:r>
        <w:rPr>
          <w:rFonts w:ascii="Arial" w:eastAsia="Arial" w:hAnsi="Arial" w:cs="Arial"/>
          <w:b/>
          <w:bCs/>
          <w:color w:val="201547"/>
        </w:rPr>
        <w:t>4a. Registration and Accreditation</w:t>
      </w:r>
    </w:p>
    <w:p w14:paraId="38550F84" w14:textId="77777777" w:rsidR="00E707FC" w:rsidRDefault="00CF70D9">
      <w:pPr>
        <w:spacing w:after="40" w:line="270" w:lineRule="atLeast"/>
        <w:ind w:left="111" w:right="105"/>
        <w:rPr>
          <w:rFonts w:ascii="Arial" w:eastAsia="Arial" w:hAnsi="Arial" w:cs="Arial"/>
          <w:color w:val="000000"/>
          <w:sz w:val="20"/>
        </w:rPr>
      </w:pPr>
      <w:r>
        <w:rPr>
          <w:rFonts w:ascii="Arial" w:eastAsia="Arial" w:hAnsi="Arial" w:cs="Arial"/>
          <w:color w:val="000000"/>
          <w:sz w:val="20"/>
        </w:rPr>
        <w:lastRenderedPageBreak/>
        <w:t>N/A</w:t>
      </w:r>
    </w:p>
    <w:p w14:paraId="324118B1" w14:textId="77777777" w:rsidR="00E707FC" w:rsidRDefault="00CF70D9">
      <w:pPr>
        <w:spacing w:before="240" w:after="90" w:line="320" w:lineRule="atLeast"/>
        <w:ind w:left="111" w:right="105"/>
        <w:rPr>
          <w:rFonts w:ascii="Arial" w:eastAsia="Arial" w:hAnsi="Arial" w:cs="Arial"/>
          <w:color w:val="000000"/>
        </w:rPr>
      </w:pPr>
      <w:r>
        <w:rPr>
          <w:rFonts w:ascii="Arial" w:eastAsia="Arial" w:hAnsi="Arial" w:cs="Arial"/>
          <w:b/>
          <w:bCs/>
          <w:color w:val="201547"/>
        </w:rPr>
        <w:t>4b. Program requirements and other policy guidelines</w:t>
      </w:r>
    </w:p>
    <w:p w14:paraId="065CFAB2" w14:textId="77777777" w:rsidR="00E707FC" w:rsidRDefault="00CF70D9">
      <w:pPr>
        <w:numPr>
          <w:ilvl w:val="0"/>
          <w:numId w:val="13"/>
        </w:numPr>
        <w:spacing w:after="40" w:line="270" w:lineRule="atLeast"/>
        <w:rPr>
          <w:rFonts w:ascii="Arial" w:eastAsia="Arial" w:hAnsi="Arial" w:cs="Arial"/>
          <w:color w:val="3366FF"/>
          <w:sz w:val="20"/>
        </w:rPr>
      </w:pPr>
      <w:hyperlink r:id="rId8" w:tgtFrame="_blank" w:history="1">
        <w:r>
          <w:rPr>
            <w:rFonts w:ascii="Arial" w:eastAsia="Arial" w:hAnsi="Arial" w:cs="Arial"/>
            <w:color w:val="3366FF"/>
            <w:sz w:val="20"/>
          </w:rPr>
          <w:t>Alcohol &amp; Other Drug Program Guidelines</w:t>
        </w:r>
      </w:hyperlink>
    </w:p>
    <w:p w14:paraId="380A4193" w14:textId="77777777" w:rsidR="00E707FC" w:rsidRDefault="00CF70D9">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&lt;https://www2.health.vic.gov.au/alcohol-and-drugs/aod-service-standards-guidelines/aod-program-guidelines&gt;</w:t>
      </w:r>
    </w:p>
    <w:p w14:paraId="7C82861B" w14:textId="77777777" w:rsidR="00E707FC" w:rsidRDefault="00E707FC">
      <w:pPr>
        <w:spacing w:line="270" w:lineRule="atLeast"/>
        <w:ind w:left="111" w:right="105"/>
        <w:rPr>
          <w:rFonts w:ascii="Arial" w:eastAsia="Arial" w:hAnsi="Arial" w:cs="Arial"/>
          <w:color w:val="000000"/>
          <w:sz w:val="20"/>
        </w:rPr>
      </w:pPr>
    </w:p>
    <w:p w14:paraId="365FB49E" w14:textId="77777777" w:rsidR="00E707FC" w:rsidRDefault="00CF70D9">
      <w:pPr>
        <w:spacing w:before="320" w:after="200" w:line="440" w:lineRule="atLeast"/>
        <w:ind w:left="111" w:right="105"/>
        <w:rPr>
          <w:rFonts w:ascii="Arial" w:eastAsia="Arial" w:hAnsi="Arial" w:cs="Arial"/>
          <w:color w:val="000000"/>
          <w:sz w:val="20"/>
        </w:rPr>
      </w:pPr>
      <w:r>
        <w:rPr>
          <w:rFonts w:ascii="Arial" w:eastAsia="Arial" w:hAnsi="Arial" w:cs="Arial"/>
          <w:b/>
          <w:bCs/>
          <w:color w:val="201547"/>
          <w:sz w:val="28"/>
        </w:rPr>
        <w:t>5. Performance</w:t>
      </w:r>
    </w:p>
    <w:p w14:paraId="10A0E027" w14:textId="77777777" w:rsidR="00E707FC" w:rsidRDefault="00CF70D9">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06C3E7FA" w14:textId="77777777" w:rsidR="00E707FC" w:rsidRDefault="00CF70D9">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24A710F4" w14:textId="77777777" w:rsidR="00E707FC" w:rsidRDefault="00CF70D9">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1: Completed area based plan</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E707FC" w14:paraId="746DDA52"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8421DC8" w14:textId="77777777" w:rsidR="00E707FC" w:rsidRDefault="00CF70D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B7D63E3" w14:textId="77777777" w:rsidR="00E707FC" w:rsidRDefault="00CF70D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To report on the development and </w:t>
            </w:r>
            <w:r>
              <w:rPr>
                <w:rFonts w:ascii="Arial" w:eastAsia="Arial" w:hAnsi="Arial" w:cs="Arial"/>
                <w:color w:val="000000"/>
                <w:sz w:val="20"/>
              </w:rPr>
              <w:t>implementation an AOD area-based plan</w:t>
            </w:r>
          </w:p>
        </w:tc>
      </w:tr>
      <w:tr w:rsidR="00E707FC" w14:paraId="3F3D339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55D7A58" w14:textId="77777777" w:rsidR="00E707FC" w:rsidRDefault="00CF70D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E2B53DD" w14:textId="77777777" w:rsidR="00E707FC" w:rsidRDefault="00CF70D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 Organisations are required to develop a three-year strategic plan and report against the implementation of the plan annually. Plans and repor</w:t>
            </w:r>
            <w:r>
              <w:rPr>
                <w:rFonts w:ascii="Arial" w:eastAsia="Arial" w:hAnsi="Arial" w:cs="Arial"/>
                <w:color w:val="000000"/>
                <w:sz w:val="20"/>
              </w:rPr>
              <w:t>ts are submitted to the relevant Department of Health and Human Services area based office</w:t>
            </w:r>
          </w:p>
        </w:tc>
      </w:tr>
      <w:tr w:rsidR="00E707FC" w14:paraId="7E715E9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9F09CFE" w14:textId="77777777" w:rsidR="00E707FC" w:rsidRDefault="00CF70D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EC38927" w14:textId="77777777" w:rsidR="00E707FC" w:rsidRDefault="00CF70D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E707FC" w14:paraId="6ED5FC8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E46438F" w14:textId="77777777" w:rsidR="00E707FC" w:rsidRDefault="00CF70D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89A9F16" w14:textId="77777777" w:rsidR="00E707FC" w:rsidRDefault="00CF70D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annual plans</w:t>
            </w:r>
          </w:p>
        </w:tc>
      </w:tr>
      <w:tr w:rsidR="00E707FC" w14:paraId="653974F5"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246030A" w14:textId="77777777" w:rsidR="00E707FC" w:rsidRDefault="00CF70D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2EF666E" w14:textId="77777777" w:rsidR="00E707FC" w:rsidRDefault="00CF70D9">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 xml:space="preserve">Organisations are required to develop a three-year strategic plan and </w:t>
            </w:r>
            <w:r>
              <w:rPr>
                <w:rFonts w:ascii="Arial" w:eastAsia="Arial" w:hAnsi="Arial" w:cs="Arial"/>
                <w:color w:val="000000"/>
                <w:sz w:val="20"/>
              </w:rPr>
              <w:t>report against the implementation of the plan annually. Plans and reports are submitted to the relevant Department of Health and Human Services area based office.</w:t>
            </w:r>
          </w:p>
        </w:tc>
      </w:tr>
      <w:tr w:rsidR="00E707FC" w14:paraId="777F150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848C387" w14:textId="77777777" w:rsidR="00E707FC" w:rsidRDefault="00CF70D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A81FACB" w14:textId="77777777" w:rsidR="00E707FC" w:rsidRDefault="00CF70D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to develop a three-year strategic plan and report against the implementa</w:t>
            </w:r>
            <w:r>
              <w:rPr>
                <w:rFonts w:ascii="Arial" w:eastAsia="Arial" w:hAnsi="Arial" w:cs="Arial"/>
                <w:color w:val="000000"/>
                <w:sz w:val="20"/>
              </w:rPr>
              <w:t>tion of the plan</w:t>
            </w:r>
          </w:p>
        </w:tc>
      </w:tr>
    </w:tbl>
    <w:p w14:paraId="6156EB8F" w14:textId="77777777" w:rsidR="00E707FC" w:rsidRDefault="00CF70D9">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6. Data collection</w:t>
      </w:r>
    </w:p>
    <w:p w14:paraId="5E97BF5D" w14:textId="77777777" w:rsidR="00E707FC" w:rsidRDefault="00CF70D9">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E707FC" w14:paraId="26D5D938"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E953AA2" w14:textId="77777777" w:rsidR="00E707FC" w:rsidRDefault="00CF70D9">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DF74F9D" w14:textId="77777777" w:rsidR="00E707FC" w:rsidRDefault="00CF70D9">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3B61020" w14:textId="77777777" w:rsidR="00E707FC" w:rsidRDefault="00CF70D9">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0A959084" w14:textId="77777777" w:rsidR="00E707FC" w:rsidRDefault="00CF70D9">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E707FC" w14:paraId="7D389283"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4FAF4D5" w14:textId="77777777" w:rsidR="00E707FC" w:rsidRDefault="00CF70D9">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Organisations are required to develop a three-year strategic plan and report against the </w:t>
            </w:r>
            <w:r>
              <w:rPr>
                <w:rFonts w:ascii="Arial" w:eastAsia="Arial" w:hAnsi="Arial" w:cs="Arial"/>
                <w:color w:val="000000"/>
                <w:sz w:val="20"/>
              </w:rPr>
              <w:t>implementation of the plan annually. Plans and reports are submitted to the relevant Department of Health and Human Services area based office.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A8F981F" w14:textId="77777777" w:rsidR="00E707FC" w:rsidRDefault="00CF70D9">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1CBCA22" w14:textId="77777777" w:rsidR="00E707FC" w:rsidRDefault="00CF70D9">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12165146" w14:textId="77777777" w:rsidR="00E707FC" w:rsidRDefault="00CF70D9">
            <w:pPr>
              <w:spacing w:before="100" w:line="288" w:lineRule="auto"/>
              <w:ind w:left="108" w:right="108"/>
              <w:rPr>
                <w:rFonts w:ascii="Arial" w:eastAsia="Arial" w:hAnsi="Arial" w:cs="Arial"/>
                <w:color w:val="000000"/>
                <w:sz w:val="20"/>
              </w:rPr>
            </w:pPr>
            <w:r>
              <w:rPr>
                <w:rFonts w:ascii="Arial" w:eastAsia="Arial" w:hAnsi="Arial" w:cs="Arial"/>
                <w:color w:val="000000"/>
                <w:sz w:val="20"/>
              </w:rPr>
              <w:t>Annual</w:t>
            </w:r>
          </w:p>
        </w:tc>
      </w:tr>
    </w:tbl>
    <w:p w14:paraId="7E59B29B" w14:textId="77777777" w:rsidR="00E707FC" w:rsidRDefault="00E707FC">
      <w:pPr>
        <w:spacing w:before="100" w:line="288" w:lineRule="auto"/>
        <w:ind w:left="111" w:right="105"/>
        <w:rPr>
          <w:rFonts w:ascii="Arial" w:eastAsia="Arial" w:hAnsi="Arial" w:cs="Arial"/>
          <w:color w:val="000000"/>
          <w:sz w:val="18"/>
        </w:rPr>
      </w:pPr>
    </w:p>
    <w:tbl>
      <w:tblPr>
        <w:tblW w:w="0" w:type="auto"/>
        <w:tblInd w:w="3" w:type="dxa"/>
        <w:tblLayout w:type="fixed"/>
        <w:tblCellMar>
          <w:left w:w="0" w:type="dxa"/>
          <w:right w:w="0" w:type="dxa"/>
        </w:tblCellMar>
        <w:tblLook w:val="04A0" w:firstRow="1" w:lastRow="0" w:firstColumn="1" w:lastColumn="0" w:noHBand="0" w:noVBand="1"/>
      </w:tblPr>
      <w:tblGrid>
        <w:gridCol w:w="10312"/>
      </w:tblGrid>
      <w:tr w:rsidR="00E707FC" w14:paraId="3AAA6176" w14:textId="77777777">
        <w:trPr>
          <w:cantSplit/>
        </w:trPr>
        <w:tc>
          <w:tcPr>
            <w:tcW w:w="103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225F0CC" w14:textId="77777777" w:rsidR="00E707FC" w:rsidRDefault="00CF70D9">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lastRenderedPageBreak/>
              <w:t>To receive this publication in an accessible format, email</w:t>
            </w:r>
            <w:r>
              <w:rPr>
                <w:rFonts w:ascii="Arial" w:eastAsia="Arial" w:hAnsi="Arial" w:cs="Arial"/>
                <w:color w:val="3366FF"/>
                <w:sz w:val="24"/>
              </w:rPr>
              <w:t xml:space="preserve"> Monitoring Framework Helpdesk &lt;monitoringframework.helpdesk@dffh.vic.gov.au&gt;</w:t>
            </w:r>
          </w:p>
          <w:p w14:paraId="1493B221" w14:textId="77777777" w:rsidR="00E707FC" w:rsidRDefault="00CF70D9">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Authorised and published by the Victorian Government, 1 Treasury Place, Melbourne. © State of Victoria, Department of Health, July 2019. </w:t>
            </w:r>
          </w:p>
          <w:p w14:paraId="012564AC" w14:textId="77777777" w:rsidR="00E707FC" w:rsidRDefault="00CF70D9">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In this document, </w:t>
            </w:r>
            <w:r>
              <w:rPr>
                <w:rFonts w:ascii="Arial" w:eastAsia="Arial" w:hAnsi="Arial" w:cs="Arial"/>
                <w:color w:val="000000"/>
                <w:sz w:val="16"/>
              </w:rPr>
              <w:t>‘Aboriginal’ refers to both Aboriginal and Torres Strait Islander people. ‘Indigenous’ or ‘Koori/Koorie' is retained when part of the title of a report, program or quotation.</w:t>
            </w:r>
          </w:p>
          <w:p w14:paraId="1293D54E" w14:textId="77777777" w:rsidR="00E707FC" w:rsidRDefault="00CF70D9">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2653-0937 – Online (PDF/Word)</w:t>
            </w:r>
          </w:p>
          <w:p w14:paraId="4C6ADB5E" w14:textId="77777777" w:rsidR="00E707FC" w:rsidRDefault="00CF70D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w:t>
            </w:r>
            <w:r>
              <w:rPr>
                <w:rFonts w:ascii="Arial" w:eastAsia="Arial" w:hAnsi="Arial" w:cs="Arial"/>
                <w:color w:val="3366FF"/>
                <w:sz w:val="20"/>
              </w:rPr>
              <w:t xml:space="preserve">and Housing and Department of Health </w:t>
            </w:r>
            <w:r>
              <w:rPr>
                <w:rFonts w:ascii="Arial" w:eastAsia="Arial" w:hAnsi="Arial" w:cs="Arial"/>
                <w:color w:val="000000"/>
                <w:sz w:val="20"/>
              </w:rPr>
              <w:t>activity search</w:t>
            </w:r>
          </w:p>
          <w:p w14:paraId="3A6E75CF" w14:textId="77777777" w:rsidR="00E707FC" w:rsidRDefault="00CF70D9">
            <w:pPr>
              <w:keepLines/>
              <w:spacing w:before="100" w:line="288" w:lineRule="auto"/>
              <w:ind w:left="108" w:right="108"/>
              <w:rPr>
                <w:rFonts w:ascii="Arial" w:eastAsia="Arial" w:hAnsi="Arial" w:cs="Arial"/>
                <w:color w:val="000000"/>
                <w:sz w:val="20"/>
              </w:rPr>
            </w:pPr>
            <w:hyperlink r:id="rId9" w:tgtFrame="_blank" w:history="1">
              <w:r>
                <w:rPr>
                  <w:rFonts w:ascii="Arial" w:eastAsia="Arial" w:hAnsi="Arial" w:cs="Arial"/>
                  <w:color w:val="3366FF"/>
                  <w:sz w:val="20"/>
                </w:rPr>
                <w:t>&lt;http://providers.dffh.vic.gov.au/families-fairness-housing-health-activity-search</w:t>
              </w:r>
            </w:hyperlink>
            <w:r>
              <w:rPr>
                <w:rFonts w:ascii="Arial" w:eastAsia="Arial" w:hAnsi="Arial" w:cs="Arial"/>
                <w:color w:val="000000"/>
                <w:sz w:val="20"/>
              </w:rPr>
              <w:t>&gt;</w:t>
            </w:r>
          </w:p>
        </w:tc>
      </w:tr>
    </w:tbl>
    <w:p w14:paraId="3569CED9" w14:textId="77777777" w:rsidR="00E707FC" w:rsidRDefault="00E707FC">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E707FC">
      <w:headerReference w:type="even" r:id="rId10"/>
      <w:headerReference w:type="default" r:id="rId11"/>
      <w:footerReference w:type="even" r:id="rId12"/>
      <w:footerReference w:type="default" r:id="rId13"/>
      <w:headerReference w:type="first" r:id="rId14"/>
      <w:footerReference w:type="first" r:id="rId15"/>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70906" w14:textId="77777777" w:rsidR="00000000" w:rsidRDefault="00CF70D9">
      <w:r>
        <w:separator/>
      </w:r>
    </w:p>
  </w:endnote>
  <w:endnote w:type="continuationSeparator" w:id="0">
    <w:p w14:paraId="51D2EE46" w14:textId="77777777" w:rsidR="00000000" w:rsidRDefault="00CF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A23E" w14:textId="77777777" w:rsidR="00CF70D9" w:rsidRDefault="00CF7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B8BF" w14:textId="4AFB858E" w:rsidR="00E707FC" w:rsidRDefault="00CF70D9">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2E3F7413" wp14:editId="3C7A6E69">
              <wp:simplePos x="0" y="0"/>
              <wp:positionH relativeFrom="page">
                <wp:posOffset>0</wp:posOffset>
              </wp:positionH>
              <wp:positionV relativeFrom="page">
                <wp:posOffset>10177780</wp:posOffset>
              </wp:positionV>
              <wp:extent cx="7556500" cy="311785"/>
              <wp:effectExtent l="0" t="0" r="0" b="12065"/>
              <wp:wrapNone/>
              <wp:docPr id="4" name="MSIPCM39b74fd197a70e2600d3691f"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1D16F4" w14:textId="51E5C727" w:rsidR="00CF70D9" w:rsidRPr="00CF70D9" w:rsidRDefault="00CF70D9" w:rsidP="00CF70D9">
                          <w:pPr>
                            <w:jc w:val="center"/>
                            <w:rPr>
                              <w:rFonts w:ascii="Arial Black" w:hAnsi="Arial Black"/>
                              <w:color w:val="000000"/>
                              <w:sz w:val="20"/>
                            </w:rPr>
                          </w:pPr>
                          <w:r w:rsidRPr="00CF70D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3F7413" id="_x0000_t202" coordsize="21600,21600" o:spt="202" path="m,l,21600r21600,l21600,xe">
              <v:stroke joinstyle="miter"/>
              <v:path gradientshapeok="t" o:connecttype="rect"/>
            </v:shapetype>
            <v:shape id="MSIPCM39b74fd197a70e2600d3691f"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" o:allowincell="f" filled="f" stroked="f" strokeweight=".5pt">
              <v:fill o:detectmouseclick="t"/>
              <v:textbox inset=",0,,0">
                <w:txbxContent>
                  <w:p w14:paraId="371D16F4" w14:textId="51E5C727" w:rsidR="00CF70D9" w:rsidRPr="00CF70D9" w:rsidRDefault="00CF70D9" w:rsidP="00CF70D9">
                    <w:pPr>
                      <w:jc w:val="center"/>
                      <w:rPr>
                        <w:rFonts w:ascii="Arial Black" w:hAnsi="Arial Black"/>
                        <w:color w:val="000000"/>
                        <w:sz w:val="20"/>
                      </w:rPr>
                    </w:pPr>
                    <w:r w:rsidRPr="00CF70D9">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E707FC" w14:paraId="5339D7AB" w14:textId="77777777">
      <w:tc>
        <w:tcPr>
          <w:tcW w:w="3473" w:type="dxa"/>
          <w:shd w:val="clear" w:color="auto" w:fill="FFFFFF"/>
        </w:tcPr>
        <w:p w14:paraId="6D7435F3" w14:textId="77777777" w:rsidR="00E707FC" w:rsidRDefault="00CF70D9">
          <w:pPr>
            <w:tabs>
              <w:tab w:val="right" w:pos="10314"/>
            </w:tabs>
            <w:spacing w:before="240"/>
            <w:ind w:left="108" w:right="108"/>
          </w:pPr>
          <w:r>
            <w:rPr>
              <w:noProof/>
            </w:rPr>
            <w:drawing>
              <wp:inline distT="0" distB="0" distL="0" distR="0" wp14:anchorId="146CD8BA" wp14:editId="2EC301AE">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1E469ED2" w14:textId="77777777" w:rsidR="00E707FC" w:rsidRDefault="00CF70D9">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1647955D" w14:textId="77777777" w:rsidR="00E707FC" w:rsidRDefault="00CF70D9">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6D138E84" w14:textId="77777777" w:rsidR="00E707FC" w:rsidRDefault="00E707FC">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E707FC" w14:paraId="6F8881F5" w14:textId="77777777">
      <w:tc>
        <w:tcPr>
          <w:tcW w:w="3473" w:type="dxa"/>
          <w:shd w:val="clear" w:color="auto" w:fill="FFFFFF"/>
        </w:tcPr>
        <w:p w14:paraId="7DF78BCC" w14:textId="24B2AC97" w:rsidR="00E707FC" w:rsidRDefault="00CF70D9">
          <w:pPr>
            <w:tabs>
              <w:tab w:val="left" w:pos="318"/>
              <w:tab w:val="right" w:pos="10314"/>
            </w:tabs>
            <w:spacing w:before="240"/>
            <w:ind w:left="108" w:right="108"/>
          </w:pPr>
          <w:r>
            <w:rPr>
              <w:noProof/>
            </w:rPr>
            <mc:AlternateContent>
              <mc:Choice Requires="wps">
                <w:drawing>
                  <wp:anchor distT="0" distB="0" distL="114300" distR="114300" simplePos="0" relativeHeight="251660288" behindDoc="0" locked="0" layoutInCell="0" allowOverlap="1" wp14:anchorId="7593E948" wp14:editId="20BADEBC">
                    <wp:simplePos x="0" y="0"/>
                    <wp:positionH relativeFrom="page">
                      <wp:posOffset>0</wp:posOffset>
                    </wp:positionH>
                    <wp:positionV relativeFrom="page">
                      <wp:posOffset>10177780</wp:posOffset>
                    </wp:positionV>
                    <wp:extent cx="7556500" cy="311785"/>
                    <wp:effectExtent l="0" t="0" r="0" b="12065"/>
                    <wp:wrapNone/>
                    <wp:docPr id="5" name="MSIPCM073345038be9b9d64a69769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28E8A8" w14:textId="70A4198A" w:rsidR="00CF70D9" w:rsidRPr="00CF70D9" w:rsidRDefault="00CF70D9" w:rsidP="00CF70D9">
                                <w:pPr>
                                  <w:jc w:val="center"/>
                                  <w:rPr>
                                    <w:rFonts w:ascii="Arial Black" w:hAnsi="Arial Black"/>
                                    <w:color w:val="000000"/>
                                    <w:sz w:val="20"/>
                                  </w:rPr>
                                </w:pPr>
                                <w:r w:rsidRPr="00CF70D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93E948" id="_x0000_t202" coordsize="21600,21600" o:spt="202" path="m,l,21600r21600,l21600,xe">
                    <v:stroke joinstyle="miter"/>
                    <v:path gradientshapeok="t" o:connecttype="rect"/>
                  </v:shapetype>
                  <v:shape id="MSIPCM073345038be9b9d64a697699"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" o:allowincell="f" filled="f" stroked="f" strokeweight=".5pt">
                    <v:fill o:detectmouseclick="t"/>
                    <v:textbox inset=",0,,0">
                      <w:txbxContent>
                        <w:p w14:paraId="1928E8A8" w14:textId="70A4198A" w:rsidR="00CF70D9" w:rsidRPr="00CF70D9" w:rsidRDefault="00CF70D9" w:rsidP="00CF70D9">
                          <w:pPr>
                            <w:jc w:val="center"/>
                            <w:rPr>
                              <w:rFonts w:ascii="Arial Black" w:hAnsi="Arial Black"/>
                              <w:color w:val="000000"/>
                              <w:sz w:val="20"/>
                            </w:rPr>
                          </w:pPr>
                          <w:r w:rsidRPr="00CF70D9">
                            <w:rPr>
                              <w:rFonts w:ascii="Arial Black" w:hAnsi="Arial Black"/>
                              <w:color w:val="000000"/>
                              <w:sz w:val="20"/>
                            </w:rPr>
                            <w:t>OFFICIAL</w:t>
                          </w:r>
                        </w:p>
                      </w:txbxContent>
                    </v:textbox>
                    <w10:wrap anchorx="page" anchory="page"/>
                  </v:shape>
                </w:pict>
              </mc:Fallback>
            </mc:AlternateContent>
          </w:r>
          <w:r>
            <w:rPr>
              <w:noProof/>
            </w:rPr>
            <w:drawing>
              <wp:inline distT="0" distB="0" distL="0" distR="0" wp14:anchorId="0A244D33" wp14:editId="2DB260F7">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1CBB0ADF" w14:textId="77777777" w:rsidR="00E707FC" w:rsidRDefault="00CF70D9">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4E9CC6EE" w14:textId="77777777" w:rsidR="00E707FC" w:rsidRDefault="00CF70D9">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62EE8A9D" w14:textId="77777777" w:rsidR="00E707FC" w:rsidRDefault="00E707FC">
    <w:pPr>
      <w:tabs>
        <w:tab w:val="right" w:pos="10314"/>
      </w:tabs>
      <w:spacing w:before="240"/>
      <w:ind w:left="111" w:right="105"/>
      <w:rPr>
        <w:rFonts w:ascii="Arial" w:eastAsia="Arial" w:hAnsi="Arial" w:cs="Arial"/>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0B8E0" w14:textId="77777777" w:rsidR="00000000" w:rsidRDefault="00CF70D9">
      <w:r>
        <w:separator/>
      </w:r>
    </w:p>
  </w:footnote>
  <w:footnote w:type="continuationSeparator" w:id="0">
    <w:p w14:paraId="54408BE6" w14:textId="77777777" w:rsidR="00000000" w:rsidRDefault="00CF7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3091C" w14:textId="77777777" w:rsidR="00CF70D9" w:rsidRDefault="00CF7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FE0B" w14:textId="77777777" w:rsidR="00E707FC" w:rsidRDefault="00CF70D9">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Drug Services 34304 Catchment-Based Planning</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3D09D2E0" w14:textId="77777777" w:rsidR="00E707FC" w:rsidRDefault="00E707FC">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8D6D" w14:textId="77777777" w:rsidR="00E707FC" w:rsidRDefault="00E707FC">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798"/>
    <w:multiLevelType w:val="hybridMultilevel"/>
    <w:tmpl w:val="870AEBE4"/>
    <w:lvl w:ilvl="0" w:tplc="0FE6707E">
      <w:start w:val="1"/>
      <w:numFmt w:val="decimal"/>
      <w:lvlText w:val="%1."/>
      <w:lvlJc w:val="left"/>
      <w:pPr>
        <w:ind w:left="505" w:hanging="397"/>
      </w:pPr>
      <w:rPr>
        <w:rFonts w:ascii="Calibri" w:eastAsia="Calibri" w:hAnsi="Calibri" w:cs="Calibri" w:hint="default"/>
        <w:color w:val="000000"/>
        <w:sz w:val="24"/>
      </w:rPr>
    </w:lvl>
    <w:lvl w:ilvl="1" w:tplc="2A00AE84">
      <w:start w:val="1"/>
      <w:numFmt w:val="decimal"/>
      <w:lvlText w:val="%2."/>
      <w:lvlJc w:val="left"/>
      <w:pPr>
        <w:ind w:left="902" w:hanging="397"/>
      </w:pPr>
      <w:rPr>
        <w:rFonts w:ascii="Calibri" w:eastAsia="Calibri" w:hAnsi="Calibri" w:cs="Calibri" w:hint="default"/>
        <w:color w:val="000000"/>
        <w:sz w:val="24"/>
      </w:rPr>
    </w:lvl>
    <w:lvl w:ilvl="2" w:tplc="6E8EAC6A">
      <w:start w:val="1"/>
      <w:numFmt w:val="lowerLetter"/>
      <w:lvlText w:val="(%3)"/>
      <w:lvlJc w:val="left"/>
      <w:pPr>
        <w:ind w:left="505" w:hanging="397"/>
      </w:pPr>
      <w:rPr>
        <w:rFonts w:ascii="Calibri" w:eastAsia="Calibri" w:hAnsi="Calibri" w:cs="Calibri" w:hint="default"/>
        <w:color w:val="000000"/>
        <w:sz w:val="24"/>
      </w:rPr>
    </w:lvl>
    <w:lvl w:ilvl="3" w:tplc="CAFA9066">
      <w:start w:val="1"/>
      <w:numFmt w:val="lowerLetter"/>
      <w:lvlText w:val="(%4)"/>
      <w:lvlJc w:val="left"/>
      <w:pPr>
        <w:ind w:left="902" w:hanging="397"/>
      </w:pPr>
      <w:rPr>
        <w:rFonts w:ascii="Calibri" w:eastAsia="Calibri" w:hAnsi="Calibri" w:cs="Calibri" w:hint="default"/>
        <w:color w:val="000000"/>
        <w:sz w:val="24"/>
      </w:rPr>
    </w:lvl>
    <w:lvl w:ilvl="4" w:tplc="1230260E">
      <w:start w:val="1"/>
      <w:numFmt w:val="lowerRoman"/>
      <w:lvlText w:val="(%5)"/>
      <w:lvlJc w:val="left"/>
      <w:pPr>
        <w:ind w:left="505" w:hanging="397"/>
      </w:pPr>
      <w:rPr>
        <w:rFonts w:ascii="Calibri" w:eastAsia="Calibri" w:hAnsi="Calibri" w:cs="Calibri" w:hint="default"/>
        <w:color w:val="000000"/>
        <w:sz w:val="24"/>
      </w:rPr>
    </w:lvl>
    <w:lvl w:ilvl="5" w:tplc="44D2A21E">
      <w:start w:val="1"/>
      <w:numFmt w:val="lowerRoman"/>
      <w:lvlText w:val="(%6)"/>
      <w:lvlJc w:val="left"/>
      <w:pPr>
        <w:ind w:left="902" w:hanging="397"/>
      </w:pPr>
      <w:rPr>
        <w:rFonts w:ascii="Calibri" w:eastAsia="Calibri" w:hAnsi="Calibri" w:cs="Calibri" w:hint="default"/>
        <w:color w:val="000000"/>
        <w:sz w:val="24"/>
      </w:rPr>
    </w:lvl>
    <w:lvl w:ilvl="6" w:tplc="E1D8DC10">
      <w:start w:val="1"/>
      <w:numFmt w:val="none"/>
      <w:lvlText w:val=""/>
      <w:lvlJc w:val="left"/>
      <w:pPr>
        <w:ind w:left="108" w:firstLine="0"/>
      </w:pPr>
      <w:rPr>
        <w:rFonts w:ascii="Calibri" w:eastAsia="Calibri" w:hAnsi="Calibri" w:cs="Calibri" w:hint="default"/>
        <w:color w:val="000000"/>
        <w:sz w:val="24"/>
      </w:rPr>
    </w:lvl>
    <w:lvl w:ilvl="7" w:tplc="07E08D34">
      <w:start w:val="1"/>
      <w:numFmt w:val="none"/>
      <w:lvlText w:val=""/>
      <w:lvlJc w:val="left"/>
      <w:pPr>
        <w:ind w:left="108" w:firstLine="0"/>
      </w:pPr>
      <w:rPr>
        <w:rFonts w:ascii="Calibri" w:eastAsia="Calibri" w:hAnsi="Calibri" w:cs="Calibri" w:hint="default"/>
        <w:color w:val="000000"/>
        <w:sz w:val="24"/>
      </w:rPr>
    </w:lvl>
    <w:lvl w:ilvl="8" w:tplc="AA5AEA0C">
      <w:start w:val="1"/>
      <w:numFmt w:val="none"/>
      <w:lvlText w:val=""/>
      <w:lvlJc w:val="right"/>
      <w:pPr>
        <w:ind w:left="108" w:firstLine="0"/>
      </w:pPr>
      <w:rPr>
        <w:rFonts w:ascii="Calibri" w:eastAsia="Calibri" w:hAnsi="Calibri" w:cs="Calibri" w:hint="default"/>
        <w:color w:val="000000"/>
        <w:sz w:val="24"/>
      </w:rPr>
    </w:lvl>
  </w:abstractNum>
  <w:abstractNum w:abstractNumId="1" w15:restartNumberingAfterBreak="0">
    <w:nsid w:val="0EBE430C"/>
    <w:multiLevelType w:val="hybridMultilevel"/>
    <w:tmpl w:val="C9901A16"/>
    <w:lvl w:ilvl="0" w:tplc="3F5AE118">
      <w:start w:val="1"/>
      <w:numFmt w:val="bullet"/>
      <w:lvlText w:val="•"/>
      <w:lvlJc w:val="left"/>
      <w:pPr>
        <w:ind w:left="392" w:hanging="284"/>
      </w:pPr>
      <w:rPr>
        <w:rFonts w:ascii="Calibri" w:eastAsia="Calibri" w:hAnsi="Calibri" w:cs="Calibri" w:hint="default"/>
        <w:color w:val="000000"/>
        <w:sz w:val="20"/>
      </w:rPr>
    </w:lvl>
    <w:lvl w:ilvl="1" w:tplc="0ADE421C">
      <w:start w:val="1"/>
      <w:numFmt w:val="bullet"/>
      <w:lvlText w:val="•"/>
      <w:lvlJc w:val="left"/>
      <w:pPr>
        <w:ind w:left="392" w:hanging="284"/>
      </w:pPr>
      <w:rPr>
        <w:rFonts w:ascii="Calibri" w:eastAsia="Calibri" w:hAnsi="Calibri" w:cs="Calibri" w:hint="default"/>
        <w:color w:val="000000"/>
        <w:sz w:val="24"/>
      </w:rPr>
    </w:lvl>
    <w:lvl w:ilvl="2" w:tplc="9320CCC8">
      <w:start w:val="1"/>
      <w:numFmt w:val="bullet"/>
      <w:lvlText w:val="–"/>
      <w:lvlJc w:val="left"/>
      <w:pPr>
        <w:ind w:left="675" w:hanging="283"/>
      </w:pPr>
      <w:rPr>
        <w:rFonts w:ascii="Arial" w:eastAsia="Arial" w:hAnsi="Arial" w:cs="Arial" w:hint="default"/>
        <w:color w:val="000000"/>
        <w:sz w:val="24"/>
      </w:rPr>
    </w:lvl>
    <w:lvl w:ilvl="3" w:tplc="8B129536">
      <w:start w:val="1"/>
      <w:numFmt w:val="bullet"/>
      <w:lvlText w:val="–"/>
      <w:lvlJc w:val="left"/>
      <w:pPr>
        <w:ind w:left="675" w:hanging="283"/>
      </w:pPr>
      <w:rPr>
        <w:rFonts w:ascii="Arial" w:eastAsia="Arial" w:hAnsi="Arial" w:cs="Arial" w:hint="default"/>
        <w:color w:val="000000"/>
        <w:sz w:val="24"/>
      </w:rPr>
    </w:lvl>
    <w:lvl w:ilvl="4" w:tplc="C0BEBEAC">
      <w:start w:val="1"/>
      <w:numFmt w:val="bullet"/>
      <w:lvlText w:val="•"/>
      <w:lvlJc w:val="left"/>
      <w:pPr>
        <w:ind w:left="788" w:hanging="283"/>
      </w:pPr>
      <w:rPr>
        <w:rFonts w:ascii="Calibri" w:eastAsia="Calibri" w:hAnsi="Calibri" w:cs="Calibri" w:hint="default"/>
        <w:color w:val="000000"/>
        <w:sz w:val="24"/>
      </w:rPr>
    </w:lvl>
    <w:lvl w:ilvl="5" w:tplc="6072850C">
      <w:start w:val="1"/>
      <w:numFmt w:val="bullet"/>
      <w:lvlText w:val="•"/>
      <w:lvlJc w:val="left"/>
      <w:pPr>
        <w:ind w:left="788" w:hanging="283"/>
      </w:pPr>
      <w:rPr>
        <w:rFonts w:ascii="Calibri" w:eastAsia="Calibri" w:hAnsi="Calibri" w:cs="Calibri" w:hint="default"/>
        <w:color w:val="000000"/>
        <w:sz w:val="24"/>
      </w:rPr>
    </w:lvl>
    <w:lvl w:ilvl="6" w:tplc="95E60546">
      <w:start w:val="1"/>
      <w:numFmt w:val="bullet"/>
      <w:lvlText w:val="•"/>
      <w:lvlJc w:val="left"/>
      <w:pPr>
        <w:ind w:left="335" w:hanging="227"/>
      </w:pPr>
      <w:rPr>
        <w:rFonts w:ascii="Calibri" w:eastAsia="Calibri" w:hAnsi="Calibri" w:cs="Calibri" w:hint="default"/>
        <w:color w:val="000000"/>
        <w:sz w:val="24"/>
      </w:rPr>
    </w:lvl>
    <w:lvl w:ilvl="7" w:tplc="B60205D4">
      <w:start w:val="1"/>
      <w:numFmt w:val="none"/>
      <w:lvlText w:val=""/>
      <w:lvlJc w:val="left"/>
      <w:pPr>
        <w:ind w:left="108" w:firstLine="0"/>
      </w:pPr>
      <w:rPr>
        <w:rFonts w:ascii="Calibri" w:eastAsia="Calibri" w:hAnsi="Calibri" w:cs="Calibri" w:hint="default"/>
        <w:color w:val="000000"/>
        <w:sz w:val="24"/>
      </w:rPr>
    </w:lvl>
    <w:lvl w:ilvl="8" w:tplc="F18299EE">
      <w:start w:val="1"/>
      <w:numFmt w:val="none"/>
      <w:lvlText w:val=""/>
      <w:lvlJc w:val="left"/>
      <w:pPr>
        <w:ind w:left="108" w:firstLine="0"/>
      </w:pPr>
      <w:rPr>
        <w:rFonts w:ascii="Calibri" w:eastAsia="Calibri" w:hAnsi="Calibri" w:cs="Calibri" w:hint="default"/>
        <w:color w:val="000000"/>
        <w:sz w:val="24"/>
      </w:rPr>
    </w:lvl>
  </w:abstractNum>
  <w:abstractNum w:abstractNumId="2" w15:restartNumberingAfterBreak="0">
    <w:nsid w:val="1C4C4E15"/>
    <w:multiLevelType w:val="hybridMultilevel"/>
    <w:tmpl w:val="5CEEA9EE"/>
    <w:lvl w:ilvl="0" w:tplc="BC9E9458">
      <w:start w:val="1"/>
      <w:numFmt w:val="bullet"/>
      <w:lvlText w:val=""/>
      <w:lvlJc w:val="left"/>
      <w:pPr>
        <w:ind w:left="828" w:hanging="360"/>
      </w:pPr>
      <w:rPr>
        <w:rFonts w:ascii="Symbol" w:eastAsia="Symbol" w:hAnsi="Symbol" w:cs="Symbol" w:hint="default"/>
        <w:color w:val="000000"/>
        <w:sz w:val="24"/>
      </w:rPr>
    </w:lvl>
    <w:lvl w:ilvl="1" w:tplc="8C02994A">
      <w:start w:val="1"/>
      <w:numFmt w:val="bullet"/>
      <w:lvlText w:val="o"/>
      <w:lvlJc w:val="left"/>
      <w:pPr>
        <w:ind w:left="1548" w:hanging="360"/>
      </w:pPr>
      <w:rPr>
        <w:rFonts w:ascii="Courier New" w:eastAsia="Courier New" w:hAnsi="Courier New" w:cs="Courier New" w:hint="default"/>
        <w:color w:val="000000"/>
        <w:sz w:val="24"/>
      </w:rPr>
    </w:lvl>
    <w:lvl w:ilvl="2" w:tplc="49327FB2">
      <w:start w:val="1"/>
      <w:numFmt w:val="bullet"/>
      <w:lvlText w:val=""/>
      <w:lvlJc w:val="left"/>
      <w:pPr>
        <w:ind w:left="2268" w:hanging="360"/>
      </w:pPr>
      <w:rPr>
        <w:rFonts w:ascii="Wingdings" w:eastAsia="Wingdings" w:hAnsi="Wingdings" w:cs="Wingdings" w:hint="default"/>
        <w:color w:val="000000"/>
        <w:sz w:val="24"/>
      </w:rPr>
    </w:lvl>
    <w:lvl w:ilvl="3" w:tplc="418E3AEA">
      <w:start w:val="1"/>
      <w:numFmt w:val="bullet"/>
      <w:lvlText w:val=""/>
      <w:lvlJc w:val="left"/>
      <w:pPr>
        <w:ind w:left="2988" w:hanging="360"/>
      </w:pPr>
      <w:rPr>
        <w:rFonts w:ascii="Symbol" w:eastAsia="Symbol" w:hAnsi="Symbol" w:cs="Symbol" w:hint="default"/>
        <w:color w:val="000000"/>
        <w:sz w:val="24"/>
      </w:rPr>
    </w:lvl>
    <w:lvl w:ilvl="4" w:tplc="7D384256">
      <w:start w:val="1"/>
      <w:numFmt w:val="bullet"/>
      <w:lvlText w:val="o"/>
      <w:lvlJc w:val="left"/>
      <w:pPr>
        <w:ind w:left="3708" w:hanging="360"/>
      </w:pPr>
      <w:rPr>
        <w:rFonts w:ascii="Courier New" w:eastAsia="Courier New" w:hAnsi="Courier New" w:cs="Courier New" w:hint="default"/>
        <w:color w:val="000000"/>
        <w:sz w:val="24"/>
      </w:rPr>
    </w:lvl>
    <w:lvl w:ilvl="5" w:tplc="61CC5880">
      <w:start w:val="1"/>
      <w:numFmt w:val="bullet"/>
      <w:lvlText w:val=""/>
      <w:lvlJc w:val="left"/>
      <w:pPr>
        <w:ind w:left="4428" w:hanging="360"/>
      </w:pPr>
      <w:rPr>
        <w:rFonts w:ascii="Wingdings" w:eastAsia="Wingdings" w:hAnsi="Wingdings" w:cs="Wingdings" w:hint="default"/>
        <w:color w:val="000000"/>
        <w:sz w:val="24"/>
      </w:rPr>
    </w:lvl>
    <w:lvl w:ilvl="6" w:tplc="7CC2B890">
      <w:start w:val="1"/>
      <w:numFmt w:val="bullet"/>
      <w:lvlText w:val=""/>
      <w:lvlJc w:val="left"/>
      <w:pPr>
        <w:ind w:left="5148" w:hanging="360"/>
      </w:pPr>
      <w:rPr>
        <w:rFonts w:ascii="Symbol" w:eastAsia="Symbol" w:hAnsi="Symbol" w:cs="Symbol" w:hint="default"/>
        <w:color w:val="000000"/>
        <w:sz w:val="24"/>
      </w:rPr>
    </w:lvl>
    <w:lvl w:ilvl="7" w:tplc="F256787A">
      <w:start w:val="1"/>
      <w:numFmt w:val="bullet"/>
      <w:lvlText w:val="o"/>
      <w:lvlJc w:val="left"/>
      <w:pPr>
        <w:ind w:left="5868" w:hanging="360"/>
      </w:pPr>
      <w:rPr>
        <w:rFonts w:ascii="Courier New" w:eastAsia="Courier New" w:hAnsi="Courier New" w:cs="Courier New" w:hint="default"/>
        <w:color w:val="000000"/>
        <w:sz w:val="24"/>
      </w:rPr>
    </w:lvl>
    <w:lvl w:ilvl="8" w:tplc="49E2B4A4">
      <w:start w:val="1"/>
      <w:numFmt w:val="bullet"/>
      <w:lvlText w:val=""/>
      <w:lvlJc w:val="left"/>
      <w:pPr>
        <w:ind w:left="6588" w:hanging="360"/>
      </w:pPr>
      <w:rPr>
        <w:rFonts w:ascii="Wingdings" w:eastAsia="Wingdings" w:hAnsi="Wingdings" w:cs="Wingdings" w:hint="default"/>
        <w:color w:val="000000"/>
        <w:sz w:val="24"/>
      </w:rPr>
    </w:lvl>
  </w:abstractNum>
  <w:abstractNum w:abstractNumId="3" w15:restartNumberingAfterBreak="0">
    <w:nsid w:val="24C422B9"/>
    <w:multiLevelType w:val="hybridMultilevel"/>
    <w:tmpl w:val="BD2E21A0"/>
    <w:lvl w:ilvl="0" w:tplc="4AF2A452">
      <w:start w:val="1"/>
      <w:numFmt w:val="bullet"/>
      <w:lvlText w:val=""/>
      <w:lvlJc w:val="left"/>
      <w:pPr>
        <w:ind w:left="392" w:hanging="284"/>
      </w:pPr>
      <w:rPr>
        <w:rFonts w:ascii="Symbol" w:eastAsia="Symbol" w:hAnsi="Symbol" w:cs="Symbol" w:hint="default"/>
        <w:color w:val="000000"/>
        <w:sz w:val="24"/>
      </w:rPr>
    </w:lvl>
    <w:lvl w:ilvl="1" w:tplc="47AE5660">
      <w:start w:val="1"/>
      <w:numFmt w:val="bullet"/>
      <w:lvlText w:val=""/>
      <w:lvlJc w:val="left"/>
      <w:pPr>
        <w:ind w:left="392" w:hanging="284"/>
      </w:pPr>
      <w:rPr>
        <w:rFonts w:ascii="Symbol" w:eastAsia="Symbol" w:hAnsi="Symbol" w:cs="Symbol" w:hint="default"/>
        <w:color w:val="000000"/>
        <w:sz w:val="24"/>
      </w:rPr>
    </w:lvl>
    <w:lvl w:ilvl="2" w:tplc="07361320">
      <w:start w:val="1"/>
      <w:numFmt w:val="bullet"/>
      <w:lvlText w:val="–"/>
      <w:lvlJc w:val="left"/>
      <w:pPr>
        <w:ind w:left="675" w:hanging="283"/>
      </w:pPr>
      <w:rPr>
        <w:rFonts w:ascii="Calibri" w:eastAsia="Calibri" w:hAnsi="Calibri" w:cs="Calibri" w:hint="default"/>
        <w:color w:val="000000"/>
        <w:sz w:val="24"/>
      </w:rPr>
    </w:lvl>
    <w:lvl w:ilvl="3" w:tplc="2C260E7E">
      <w:start w:val="1"/>
      <w:numFmt w:val="bullet"/>
      <w:lvlText w:val="–"/>
      <w:lvlJc w:val="left"/>
      <w:pPr>
        <w:ind w:left="675" w:hanging="283"/>
      </w:pPr>
      <w:rPr>
        <w:rFonts w:ascii="Calibri" w:eastAsia="Calibri" w:hAnsi="Calibri" w:cs="Calibri" w:hint="default"/>
        <w:color w:val="000000"/>
        <w:sz w:val="24"/>
      </w:rPr>
    </w:lvl>
    <w:lvl w:ilvl="4" w:tplc="76007AE2">
      <w:start w:val="1"/>
      <w:numFmt w:val="bullet"/>
      <w:lvlText w:val=""/>
      <w:lvlJc w:val="left"/>
      <w:pPr>
        <w:ind w:left="788" w:hanging="283"/>
      </w:pPr>
      <w:rPr>
        <w:rFonts w:ascii="Symbol" w:eastAsia="Symbol" w:hAnsi="Symbol" w:cs="Symbol" w:hint="default"/>
        <w:color w:val="000000"/>
        <w:sz w:val="24"/>
      </w:rPr>
    </w:lvl>
    <w:lvl w:ilvl="5" w:tplc="C8ECBE12">
      <w:start w:val="1"/>
      <w:numFmt w:val="bullet"/>
      <w:lvlText w:val=""/>
      <w:lvlJc w:val="left"/>
      <w:pPr>
        <w:ind w:left="788" w:hanging="283"/>
      </w:pPr>
      <w:rPr>
        <w:rFonts w:ascii="Symbol" w:eastAsia="Symbol" w:hAnsi="Symbol" w:cs="Symbol" w:hint="default"/>
        <w:color w:val="000000"/>
        <w:sz w:val="24"/>
      </w:rPr>
    </w:lvl>
    <w:lvl w:ilvl="6" w:tplc="456EEEAC">
      <w:start w:val="1"/>
      <w:numFmt w:val="bullet"/>
      <w:lvlText w:val=""/>
      <w:lvlJc w:val="left"/>
      <w:pPr>
        <w:ind w:left="335" w:hanging="227"/>
      </w:pPr>
      <w:rPr>
        <w:rFonts w:ascii="Symbol" w:eastAsia="Symbol" w:hAnsi="Symbol" w:cs="Symbol" w:hint="default"/>
        <w:color w:val="000000"/>
        <w:sz w:val="24"/>
      </w:rPr>
    </w:lvl>
    <w:lvl w:ilvl="7" w:tplc="DFE295A6">
      <w:start w:val="1"/>
      <w:numFmt w:val="none"/>
      <w:lvlText w:val=""/>
      <w:lvlJc w:val="left"/>
      <w:pPr>
        <w:ind w:left="108" w:firstLine="0"/>
      </w:pPr>
      <w:rPr>
        <w:rFonts w:ascii="Calibri" w:eastAsia="Calibri" w:hAnsi="Calibri" w:cs="Calibri" w:hint="default"/>
        <w:color w:val="000000"/>
        <w:sz w:val="24"/>
      </w:rPr>
    </w:lvl>
    <w:lvl w:ilvl="8" w:tplc="6E9A70EE">
      <w:start w:val="1"/>
      <w:numFmt w:val="none"/>
      <w:lvlText w:val=""/>
      <w:lvlJc w:val="left"/>
      <w:pPr>
        <w:ind w:left="108" w:firstLine="0"/>
      </w:pPr>
      <w:rPr>
        <w:rFonts w:ascii="Calibri" w:eastAsia="Calibri" w:hAnsi="Calibri" w:cs="Calibri" w:hint="default"/>
        <w:color w:val="000000"/>
        <w:sz w:val="24"/>
      </w:rPr>
    </w:lvl>
  </w:abstractNum>
  <w:abstractNum w:abstractNumId="4" w15:restartNumberingAfterBreak="0">
    <w:nsid w:val="27EB2EB1"/>
    <w:multiLevelType w:val="hybridMultilevel"/>
    <w:tmpl w:val="EB2EE516"/>
    <w:lvl w:ilvl="0" w:tplc="27B21EE2">
      <w:start w:val="1"/>
      <w:numFmt w:val="bullet"/>
      <w:lvlText w:val=""/>
      <w:lvlJc w:val="left"/>
      <w:pPr>
        <w:ind w:left="468" w:hanging="360"/>
      </w:pPr>
      <w:rPr>
        <w:rFonts w:ascii="Symbol" w:eastAsia="Symbol" w:hAnsi="Symbol" w:cs="Symbol" w:hint="default"/>
        <w:color w:val="000000"/>
        <w:sz w:val="24"/>
      </w:rPr>
    </w:lvl>
    <w:lvl w:ilvl="1" w:tplc="33944458">
      <w:start w:val="1"/>
      <w:numFmt w:val="bullet"/>
      <w:lvlText w:val="o"/>
      <w:lvlJc w:val="left"/>
      <w:pPr>
        <w:ind w:left="1188" w:hanging="360"/>
      </w:pPr>
      <w:rPr>
        <w:rFonts w:ascii="Courier New" w:eastAsia="Courier New" w:hAnsi="Courier New" w:cs="Courier New" w:hint="default"/>
        <w:color w:val="000000"/>
        <w:sz w:val="24"/>
      </w:rPr>
    </w:lvl>
    <w:lvl w:ilvl="2" w:tplc="67F6E124">
      <w:start w:val="1"/>
      <w:numFmt w:val="bullet"/>
      <w:lvlText w:val=""/>
      <w:lvlJc w:val="left"/>
      <w:pPr>
        <w:ind w:left="1908" w:hanging="360"/>
      </w:pPr>
      <w:rPr>
        <w:rFonts w:ascii="Wingdings" w:eastAsia="Wingdings" w:hAnsi="Wingdings" w:cs="Wingdings" w:hint="default"/>
        <w:color w:val="000000"/>
        <w:sz w:val="24"/>
      </w:rPr>
    </w:lvl>
    <w:lvl w:ilvl="3" w:tplc="AC2A68F6">
      <w:start w:val="1"/>
      <w:numFmt w:val="bullet"/>
      <w:lvlText w:val=""/>
      <w:lvlJc w:val="left"/>
      <w:pPr>
        <w:ind w:left="2628" w:hanging="360"/>
      </w:pPr>
      <w:rPr>
        <w:rFonts w:ascii="Symbol" w:eastAsia="Symbol" w:hAnsi="Symbol" w:cs="Symbol" w:hint="default"/>
        <w:color w:val="000000"/>
        <w:sz w:val="24"/>
      </w:rPr>
    </w:lvl>
    <w:lvl w:ilvl="4" w:tplc="446E957C">
      <w:start w:val="1"/>
      <w:numFmt w:val="bullet"/>
      <w:lvlText w:val="o"/>
      <w:lvlJc w:val="left"/>
      <w:pPr>
        <w:ind w:left="3348" w:hanging="360"/>
      </w:pPr>
      <w:rPr>
        <w:rFonts w:ascii="Courier New" w:eastAsia="Courier New" w:hAnsi="Courier New" w:cs="Courier New" w:hint="default"/>
        <w:color w:val="000000"/>
        <w:sz w:val="24"/>
      </w:rPr>
    </w:lvl>
    <w:lvl w:ilvl="5" w:tplc="33081494">
      <w:start w:val="1"/>
      <w:numFmt w:val="bullet"/>
      <w:lvlText w:val=""/>
      <w:lvlJc w:val="left"/>
      <w:pPr>
        <w:ind w:left="4068" w:hanging="360"/>
      </w:pPr>
      <w:rPr>
        <w:rFonts w:ascii="Wingdings" w:eastAsia="Wingdings" w:hAnsi="Wingdings" w:cs="Wingdings" w:hint="default"/>
        <w:color w:val="000000"/>
        <w:sz w:val="24"/>
      </w:rPr>
    </w:lvl>
    <w:lvl w:ilvl="6" w:tplc="DE4ED976">
      <w:start w:val="1"/>
      <w:numFmt w:val="bullet"/>
      <w:lvlText w:val=""/>
      <w:lvlJc w:val="left"/>
      <w:pPr>
        <w:ind w:left="4788" w:hanging="360"/>
      </w:pPr>
      <w:rPr>
        <w:rFonts w:ascii="Symbol" w:eastAsia="Symbol" w:hAnsi="Symbol" w:cs="Symbol" w:hint="default"/>
        <w:color w:val="000000"/>
        <w:sz w:val="24"/>
      </w:rPr>
    </w:lvl>
    <w:lvl w:ilvl="7" w:tplc="41BC36BA">
      <w:start w:val="1"/>
      <w:numFmt w:val="bullet"/>
      <w:lvlText w:val="o"/>
      <w:lvlJc w:val="left"/>
      <w:pPr>
        <w:ind w:left="5508" w:hanging="360"/>
      </w:pPr>
      <w:rPr>
        <w:rFonts w:ascii="Courier New" w:eastAsia="Courier New" w:hAnsi="Courier New" w:cs="Courier New" w:hint="default"/>
        <w:color w:val="000000"/>
        <w:sz w:val="24"/>
      </w:rPr>
    </w:lvl>
    <w:lvl w:ilvl="8" w:tplc="C8865DCA">
      <w:start w:val="1"/>
      <w:numFmt w:val="bullet"/>
      <w:lvlText w:val=""/>
      <w:lvlJc w:val="left"/>
      <w:pPr>
        <w:ind w:left="6228" w:hanging="360"/>
      </w:pPr>
      <w:rPr>
        <w:rFonts w:ascii="Wingdings" w:eastAsia="Wingdings" w:hAnsi="Wingdings" w:cs="Wingdings" w:hint="default"/>
        <w:color w:val="000000"/>
        <w:sz w:val="24"/>
      </w:rPr>
    </w:lvl>
  </w:abstractNum>
  <w:abstractNum w:abstractNumId="5" w15:restartNumberingAfterBreak="0">
    <w:nsid w:val="2B243845"/>
    <w:multiLevelType w:val="hybridMultilevel"/>
    <w:tmpl w:val="CCF8E246"/>
    <w:lvl w:ilvl="0" w:tplc="2E76DA72">
      <w:start w:val="1"/>
      <w:numFmt w:val="decimal"/>
      <w:lvlText w:val="%1."/>
      <w:lvlJc w:val="left"/>
      <w:pPr>
        <w:ind w:left="468" w:hanging="360"/>
      </w:pPr>
      <w:rPr>
        <w:rFonts w:ascii="Calibri" w:eastAsia="Calibri" w:hAnsi="Calibri" w:cs="Calibri" w:hint="default"/>
        <w:color w:val="000000"/>
        <w:sz w:val="24"/>
      </w:rPr>
    </w:lvl>
    <w:lvl w:ilvl="1" w:tplc="FB04513A">
      <w:start w:val="1"/>
      <w:numFmt w:val="lowerLetter"/>
      <w:lvlText w:val="%2."/>
      <w:lvlJc w:val="left"/>
      <w:pPr>
        <w:ind w:left="1188" w:hanging="360"/>
      </w:pPr>
      <w:rPr>
        <w:rFonts w:ascii="Calibri" w:eastAsia="Calibri" w:hAnsi="Calibri" w:cs="Calibri" w:hint="default"/>
        <w:color w:val="000000"/>
        <w:sz w:val="24"/>
      </w:rPr>
    </w:lvl>
    <w:lvl w:ilvl="2" w:tplc="A01CCF08">
      <w:start w:val="1"/>
      <w:numFmt w:val="lowerRoman"/>
      <w:lvlText w:val="%3."/>
      <w:lvlJc w:val="right"/>
      <w:pPr>
        <w:ind w:left="1908" w:hanging="180"/>
      </w:pPr>
      <w:rPr>
        <w:rFonts w:ascii="Calibri" w:eastAsia="Calibri" w:hAnsi="Calibri" w:cs="Calibri" w:hint="default"/>
        <w:color w:val="000000"/>
        <w:sz w:val="24"/>
      </w:rPr>
    </w:lvl>
    <w:lvl w:ilvl="3" w:tplc="0350763A">
      <w:start w:val="1"/>
      <w:numFmt w:val="decimal"/>
      <w:lvlText w:val="%4."/>
      <w:lvlJc w:val="left"/>
      <w:pPr>
        <w:ind w:left="2628" w:hanging="360"/>
      </w:pPr>
      <w:rPr>
        <w:rFonts w:ascii="Calibri" w:eastAsia="Calibri" w:hAnsi="Calibri" w:cs="Calibri" w:hint="default"/>
        <w:color w:val="000000"/>
        <w:sz w:val="24"/>
      </w:rPr>
    </w:lvl>
    <w:lvl w:ilvl="4" w:tplc="EE40B298">
      <w:start w:val="1"/>
      <w:numFmt w:val="lowerLetter"/>
      <w:lvlText w:val="%5."/>
      <w:lvlJc w:val="left"/>
      <w:pPr>
        <w:ind w:left="3348" w:hanging="360"/>
      </w:pPr>
      <w:rPr>
        <w:rFonts w:ascii="Calibri" w:eastAsia="Calibri" w:hAnsi="Calibri" w:cs="Calibri" w:hint="default"/>
        <w:color w:val="000000"/>
        <w:sz w:val="24"/>
      </w:rPr>
    </w:lvl>
    <w:lvl w:ilvl="5" w:tplc="108E8AF2">
      <w:start w:val="1"/>
      <w:numFmt w:val="lowerRoman"/>
      <w:lvlText w:val="%6."/>
      <w:lvlJc w:val="right"/>
      <w:pPr>
        <w:ind w:left="4068" w:hanging="180"/>
      </w:pPr>
      <w:rPr>
        <w:rFonts w:ascii="Calibri" w:eastAsia="Calibri" w:hAnsi="Calibri" w:cs="Calibri" w:hint="default"/>
        <w:color w:val="000000"/>
        <w:sz w:val="24"/>
      </w:rPr>
    </w:lvl>
    <w:lvl w:ilvl="6" w:tplc="C8586B00">
      <w:start w:val="1"/>
      <w:numFmt w:val="decimal"/>
      <w:lvlText w:val="%7."/>
      <w:lvlJc w:val="left"/>
      <w:pPr>
        <w:ind w:left="4788" w:hanging="360"/>
      </w:pPr>
      <w:rPr>
        <w:rFonts w:ascii="Calibri" w:eastAsia="Calibri" w:hAnsi="Calibri" w:cs="Calibri" w:hint="default"/>
        <w:color w:val="000000"/>
        <w:sz w:val="24"/>
      </w:rPr>
    </w:lvl>
    <w:lvl w:ilvl="7" w:tplc="398895B2">
      <w:start w:val="1"/>
      <w:numFmt w:val="lowerLetter"/>
      <w:lvlText w:val="%8."/>
      <w:lvlJc w:val="left"/>
      <w:pPr>
        <w:ind w:left="5508" w:hanging="360"/>
      </w:pPr>
      <w:rPr>
        <w:rFonts w:ascii="Calibri" w:eastAsia="Calibri" w:hAnsi="Calibri" w:cs="Calibri" w:hint="default"/>
        <w:color w:val="000000"/>
        <w:sz w:val="24"/>
      </w:rPr>
    </w:lvl>
    <w:lvl w:ilvl="8" w:tplc="35A6A378">
      <w:start w:val="1"/>
      <w:numFmt w:val="lowerRoman"/>
      <w:lvlText w:val="%9."/>
      <w:lvlJc w:val="right"/>
      <w:pPr>
        <w:ind w:left="6228" w:hanging="180"/>
      </w:pPr>
      <w:rPr>
        <w:rFonts w:ascii="Calibri" w:eastAsia="Calibri" w:hAnsi="Calibri" w:cs="Calibri" w:hint="default"/>
        <w:color w:val="000000"/>
        <w:sz w:val="24"/>
      </w:rPr>
    </w:lvl>
  </w:abstractNum>
  <w:abstractNum w:abstractNumId="6" w15:restartNumberingAfterBreak="0">
    <w:nsid w:val="2CE63AD9"/>
    <w:multiLevelType w:val="hybridMultilevel"/>
    <w:tmpl w:val="A5228DA8"/>
    <w:lvl w:ilvl="0" w:tplc="C84CC0C2">
      <w:start w:val="1"/>
      <w:numFmt w:val="bullet"/>
      <w:lvlText w:val=""/>
      <w:lvlJc w:val="left"/>
      <w:pPr>
        <w:ind w:left="828" w:hanging="360"/>
      </w:pPr>
      <w:rPr>
        <w:rFonts w:ascii="Symbol" w:eastAsia="Symbol" w:hAnsi="Symbol" w:cs="Symbol" w:hint="default"/>
        <w:color w:val="000000"/>
        <w:sz w:val="24"/>
      </w:rPr>
    </w:lvl>
    <w:lvl w:ilvl="1" w:tplc="81A879EA">
      <w:start w:val="1"/>
      <w:numFmt w:val="bullet"/>
      <w:lvlText w:val="o"/>
      <w:lvlJc w:val="left"/>
      <w:pPr>
        <w:ind w:left="1548" w:hanging="360"/>
      </w:pPr>
      <w:rPr>
        <w:rFonts w:ascii="Courier New" w:eastAsia="Courier New" w:hAnsi="Courier New" w:cs="Courier New" w:hint="default"/>
        <w:color w:val="000000"/>
        <w:sz w:val="24"/>
      </w:rPr>
    </w:lvl>
    <w:lvl w:ilvl="2" w:tplc="AC4ECC1C">
      <w:start w:val="1"/>
      <w:numFmt w:val="bullet"/>
      <w:lvlText w:val=""/>
      <w:lvlJc w:val="left"/>
      <w:pPr>
        <w:ind w:left="2268" w:hanging="360"/>
      </w:pPr>
      <w:rPr>
        <w:rFonts w:ascii="Wingdings" w:eastAsia="Wingdings" w:hAnsi="Wingdings" w:cs="Wingdings" w:hint="default"/>
        <w:color w:val="000000"/>
        <w:sz w:val="24"/>
      </w:rPr>
    </w:lvl>
    <w:lvl w:ilvl="3" w:tplc="FE64EF92">
      <w:start w:val="1"/>
      <w:numFmt w:val="bullet"/>
      <w:lvlText w:val=""/>
      <w:lvlJc w:val="left"/>
      <w:pPr>
        <w:ind w:left="2988" w:hanging="360"/>
      </w:pPr>
      <w:rPr>
        <w:rFonts w:ascii="Symbol" w:eastAsia="Symbol" w:hAnsi="Symbol" w:cs="Symbol" w:hint="default"/>
        <w:color w:val="000000"/>
        <w:sz w:val="24"/>
      </w:rPr>
    </w:lvl>
    <w:lvl w:ilvl="4" w:tplc="38C42062">
      <w:start w:val="1"/>
      <w:numFmt w:val="bullet"/>
      <w:lvlText w:val="o"/>
      <w:lvlJc w:val="left"/>
      <w:pPr>
        <w:ind w:left="3708" w:hanging="360"/>
      </w:pPr>
      <w:rPr>
        <w:rFonts w:ascii="Courier New" w:eastAsia="Courier New" w:hAnsi="Courier New" w:cs="Courier New" w:hint="default"/>
        <w:color w:val="000000"/>
        <w:sz w:val="24"/>
      </w:rPr>
    </w:lvl>
    <w:lvl w:ilvl="5" w:tplc="C2DCEF56">
      <w:start w:val="1"/>
      <w:numFmt w:val="bullet"/>
      <w:lvlText w:val=""/>
      <w:lvlJc w:val="left"/>
      <w:pPr>
        <w:ind w:left="4428" w:hanging="360"/>
      </w:pPr>
      <w:rPr>
        <w:rFonts w:ascii="Wingdings" w:eastAsia="Wingdings" w:hAnsi="Wingdings" w:cs="Wingdings" w:hint="default"/>
        <w:color w:val="000000"/>
        <w:sz w:val="24"/>
      </w:rPr>
    </w:lvl>
    <w:lvl w:ilvl="6" w:tplc="75D6F986">
      <w:start w:val="1"/>
      <w:numFmt w:val="bullet"/>
      <w:lvlText w:val=""/>
      <w:lvlJc w:val="left"/>
      <w:pPr>
        <w:ind w:left="5148" w:hanging="360"/>
      </w:pPr>
      <w:rPr>
        <w:rFonts w:ascii="Symbol" w:eastAsia="Symbol" w:hAnsi="Symbol" w:cs="Symbol" w:hint="default"/>
        <w:color w:val="000000"/>
        <w:sz w:val="24"/>
      </w:rPr>
    </w:lvl>
    <w:lvl w:ilvl="7" w:tplc="277AFE0E">
      <w:start w:val="1"/>
      <w:numFmt w:val="bullet"/>
      <w:lvlText w:val="o"/>
      <w:lvlJc w:val="left"/>
      <w:pPr>
        <w:ind w:left="5868" w:hanging="360"/>
      </w:pPr>
      <w:rPr>
        <w:rFonts w:ascii="Courier New" w:eastAsia="Courier New" w:hAnsi="Courier New" w:cs="Courier New" w:hint="default"/>
        <w:color w:val="000000"/>
        <w:sz w:val="24"/>
      </w:rPr>
    </w:lvl>
    <w:lvl w:ilvl="8" w:tplc="17800A54">
      <w:start w:val="1"/>
      <w:numFmt w:val="bullet"/>
      <w:lvlText w:val=""/>
      <w:lvlJc w:val="left"/>
      <w:pPr>
        <w:ind w:left="6588" w:hanging="360"/>
      </w:pPr>
      <w:rPr>
        <w:rFonts w:ascii="Wingdings" w:eastAsia="Wingdings" w:hAnsi="Wingdings" w:cs="Wingdings" w:hint="default"/>
        <w:color w:val="000000"/>
        <w:sz w:val="24"/>
      </w:rPr>
    </w:lvl>
  </w:abstractNum>
  <w:abstractNum w:abstractNumId="7" w15:restartNumberingAfterBreak="0">
    <w:nsid w:val="40A3704E"/>
    <w:multiLevelType w:val="hybridMultilevel"/>
    <w:tmpl w:val="51907A0A"/>
    <w:lvl w:ilvl="0" w:tplc="3D3ED944">
      <w:start w:val="1"/>
      <w:numFmt w:val="bullet"/>
      <w:lvlText w:val=""/>
      <w:lvlJc w:val="left"/>
      <w:pPr>
        <w:ind w:left="828" w:hanging="360"/>
      </w:pPr>
      <w:rPr>
        <w:rFonts w:ascii="Symbol" w:eastAsia="Symbol" w:hAnsi="Symbol" w:cs="Symbol" w:hint="default"/>
        <w:color w:val="000000"/>
        <w:sz w:val="24"/>
      </w:rPr>
    </w:lvl>
    <w:lvl w:ilvl="1" w:tplc="A162D292">
      <w:start w:val="1"/>
      <w:numFmt w:val="bullet"/>
      <w:lvlText w:val="o"/>
      <w:lvlJc w:val="left"/>
      <w:pPr>
        <w:ind w:left="1548" w:hanging="360"/>
      </w:pPr>
      <w:rPr>
        <w:rFonts w:ascii="Courier New" w:eastAsia="Courier New" w:hAnsi="Courier New" w:cs="Courier New" w:hint="default"/>
        <w:color w:val="000000"/>
        <w:sz w:val="24"/>
      </w:rPr>
    </w:lvl>
    <w:lvl w:ilvl="2" w:tplc="DA5C99C6">
      <w:start w:val="1"/>
      <w:numFmt w:val="bullet"/>
      <w:lvlText w:val=""/>
      <w:lvlJc w:val="left"/>
      <w:pPr>
        <w:ind w:left="2268" w:hanging="360"/>
      </w:pPr>
      <w:rPr>
        <w:rFonts w:ascii="Wingdings" w:eastAsia="Wingdings" w:hAnsi="Wingdings" w:cs="Wingdings" w:hint="default"/>
        <w:color w:val="000000"/>
        <w:sz w:val="24"/>
      </w:rPr>
    </w:lvl>
    <w:lvl w:ilvl="3" w:tplc="DE8AF208">
      <w:start w:val="1"/>
      <w:numFmt w:val="bullet"/>
      <w:lvlText w:val=""/>
      <w:lvlJc w:val="left"/>
      <w:pPr>
        <w:ind w:left="2988" w:hanging="360"/>
      </w:pPr>
      <w:rPr>
        <w:rFonts w:ascii="Symbol" w:eastAsia="Symbol" w:hAnsi="Symbol" w:cs="Symbol" w:hint="default"/>
        <w:color w:val="000000"/>
        <w:sz w:val="24"/>
      </w:rPr>
    </w:lvl>
    <w:lvl w:ilvl="4" w:tplc="DE4E1506">
      <w:start w:val="1"/>
      <w:numFmt w:val="bullet"/>
      <w:lvlText w:val="o"/>
      <w:lvlJc w:val="left"/>
      <w:pPr>
        <w:ind w:left="3708" w:hanging="360"/>
      </w:pPr>
      <w:rPr>
        <w:rFonts w:ascii="Courier New" w:eastAsia="Courier New" w:hAnsi="Courier New" w:cs="Courier New" w:hint="default"/>
        <w:color w:val="000000"/>
        <w:sz w:val="24"/>
      </w:rPr>
    </w:lvl>
    <w:lvl w:ilvl="5" w:tplc="0D608A60">
      <w:start w:val="1"/>
      <w:numFmt w:val="bullet"/>
      <w:lvlText w:val=""/>
      <w:lvlJc w:val="left"/>
      <w:pPr>
        <w:ind w:left="4428" w:hanging="360"/>
      </w:pPr>
      <w:rPr>
        <w:rFonts w:ascii="Wingdings" w:eastAsia="Wingdings" w:hAnsi="Wingdings" w:cs="Wingdings" w:hint="default"/>
        <w:color w:val="000000"/>
        <w:sz w:val="24"/>
      </w:rPr>
    </w:lvl>
    <w:lvl w:ilvl="6" w:tplc="2974BA06">
      <w:start w:val="1"/>
      <w:numFmt w:val="bullet"/>
      <w:lvlText w:val=""/>
      <w:lvlJc w:val="left"/>
      <w:pPr>
        <w:ind w:left="5148" w:hanging="360"/>
      </w:pPr>
      <w:rPr>
        <w:rFonts w:ascii="Symbol" w:eastAsia="Symbol" w:hAnsi="Symbol" w:cs="Symbol" w:hint="default"/>
        <w:color w:val="000000"/>
        <w:sz w:val="24"/>
      </w:rPr>
    </w:lvl>
    <w:lvl w:ilvl="7" w:tplc="305EFAFE">
      <w:start w:val="1"/>
      <w:numFmt w:val="bullet"/>
      <w:lvlText w:val="o"/>
      <w:lvlJc w:val="left"/>
      <w:pPr>
        <w:ind w:left="5868" w:hanging="360"/>
      </w:pPr>
      <w:rPr>
        <w:rFonts w:ascii="Courier New" w:eastAsia="Courier New" w:hAnsi="Courier New" w:cs="Courier New" w:hint="default"/>
        <w:color w:val="000000"/>
        <w:sz w:val="24"/>
      </w:rPr>
    </w:lvl>
    <w:lvl w:ilvl="8" w:tplc="70DAF36A">
      <w:start w:val="1"/>
      <w:numFmt w:val="bullet"/>
      <w:lvlText w:val=""/>
      <w:lvlJc w:val="left"/>
      <w:pPr>
        <w:ind w:left="6588" w:hanging="360"/>
      </w:pPr>
      <w:rPr>
        <w:rFonts w:ascii="Wingdings" w:eastAsia="Wingdings" w:hAnsi="Wingdings" w:cs="Wingdings" w:hint="default"/>
        <w:color w:val="000000"/>
        <w:sz w:val="24"/>
      </w:rPr>
    </w:lvl>
  </w:abstractNum>
  <w:abstractNum w:abstractNumId="8" w15:restartNumberingAfterBreak="0">
    <w:nsid w:val="44965E4A"/>
    <w:multiLevelType w:val="hybridMultilevel"/>
    <w:tmpl w:val="0B16BE70"/>
    <w:lvl w:ilvl="0" w:tplc="5BFAFFE8">
      <w:start w:val="1"/>
      <w:numFmt w:val="bullet"/>
      <w:lvlText w:val=""/>
      <w:lvlJc w:val="left"/>
      <w:pPr>
        <w:ind w:left="828" w:hanging="360"/>
      </w:pPr>
      <w:rPr>
        <w:rFonts w:ascii="Symbol" w:eastAsia="Symbol" w:hAnsi="Symbol" w:cs="Symbol" w:hint="default"/>
        <w:color w:val="000000"/>
        <w:sz w:val="24"/>
      </w:rPr>
    </w:lvl>
    <w:lvl w:ilvl="1" w:tplc="050260E8">
      <w:start w:val="1"/>
      <w:numFmt w:val="bullet"/>
      <w:lvlText w:val="o"/>
      <w:lvlJc w:val="left"/>
      <w:pPr>
        <w:ind w:left="1548" w:hanging="360"/>
      </w:pPr>
      <w:rPr>
        <w:rFonts w:ascii="Courier New" w:eastAsia="Courier New" w:hAnsi="Courier New" w:cs="Courier New" w:hint="default"/>
        <w:color w:val="000000"/>
        <w:sz w:val="24"/>
      </w:rPr>
    </w:lvl>
    <w:lvl w:ilvl="2" w:tplc="1B0045C6">
      <w:start w:val="1"/>
      <w:numFmt w:val="bullet"/>
      <w:lvlText w:val=""/>
      <w:lvlJc w:val="left"/>
      <w:pPr>
        <w:ind w:left="2268" w:hanging="360"/>
      </w:pPr>
      <w:rPr>
        <w:rFonts w:ascii="Wingdings" w:eastAsia="Wingdings" w:hAnsi="Wingdings" w:cs="Wingdings" w:hint="default"/>
        <w:color w:val="000000"/>
        <w:sz w:val="24"/>
      </w:rPr>
    </w:lvl>
    <w:lvl w:ilvl="3" w:tplc="4C724296">
      <w:start w:val="1"/>
      <w:numFmt w:val="bullet"/>
      <w:lvlText w:val=""/>
      <w:lvlJc w:val="left"/>
      <w:pPr>
        <w:ind w:left="2988" w:hanging="360"/>
      </w:pPr>
      <w:rPr>
        <w:rFonts w:ascii="Symbol" w:eastAsia="Symbol" w:hAnsi="Symbol" w:cs="Symbol" w:hint="default"/>
        <w:color w:val="000000"/>
        <w:sz w:val="24"/>
      </w:rPr>
    </w:lvl>
    <w:lvl w:ilvl="4" w:tplc="FAF87F16">
      <w:start w:val="1"/>
      <w:numFmt w:val="bullet"/>
      <w:lvlText w:val="o"/>
      <w:lvlJc w:val="left"/>
      <w:pPr>
        <w:ind w:left="3708" w:hanging="360"/>
      </w:pPr>
      <w:rPr>
        <w:rFonts w:ascii="Courier New" w:eastAsia="Courier New" w:hAnsi="Courier New" w:cs="Courier New" w:hint="default"/>
        <w:color w:val="000000"/>
        <w:sz w:val="24"/>
      </w:rPr>
    </w:lvl>
    <w:lvl w:ilvl="5" w:tplc="F8F69370">
      <w:start w:val="1"/>
      <w:numFmt w:val="bullet"/>
      <w:lvlText w:val=""/>
      <w:lvlJc w:val="left"/>
      <w:pPr>
        <w:ind w:left="4428" w:hanging="360"/>
      </w:pPr>
      <w:rPr>
        <w:rFonts w:ascii="Wingdings" w:eastAsia="Wingdings" w:hAnsi="Wingdings" w:cs="Wingdings" w:hint="default"/>
        <w:color w:val="000000"/>
        <w:sz w:val="24"/>
      </w:rPr>
    </w:lvl>
    <w:lvl w:ilvl="6" w:tplc="9C947FE2">
      <w:start w:val="1"/>
      <w:numFmt w:val="bullet"/>
      <w:lvlText w:val=""/>
      <w:lvlJc w:val="left"/>
      <w:pPr>
        <w:ind w:left="5148" w:hanging="360"/>
      </w:pPr>
      <w:rPr>
        <w:rFonts w:ascii="Symbol" w:eastAsia="Symbol" w:hAnsi="Symbol" w:cs="Symbol" w:hint="default"/>
        <w:color w:val="000000"/>
        <w:sz w:val="24"/>
      </w:rPr>
    </w:lvl>
    <w:lvl w:ilvl="7" w:tplc="9252F2C6">
      <w:start w:val="1"/>
      <w:numFmt w:val="bullet"/>
      <w:lvlText w:val="o"/>
      <w:lvlJc w:val="left"/>
      <w:pPr>
        <w:ind w:left="5868" w:hanging="360"/>
      </w:pPr>
      <w:rPr>
        <w:rFonts w:ascii="Courier New" w:eastAsia="Courier New" w:hAnsi="Courier New" w:cs="Courier New" w:hint="default"/>
        <w:color w:val="000000"/>
        <w:sz w:val="24"/>
      </w:rPr>
    </w:lvl>
    <w:lvl w:ilvl="8" w:tplc="29A059E8">
      <w:start w:val="1"/>
      <w:numFmt w:val="bullet"/>
      <w:lvlText w:val=""/>
      <w:lvlJc w:val="left"/>
      <w:pPr>
        <w:ind w:left="6588" w:hanging="360"/>
      </w:pPr>
      <w:rPr>
        <w:rFonts w:ascii="Wingdings" w:eastAsia="Wingdings" w:hAnsi="Wingdings" w:cs="Wingdings" w:hint="default"/>
        <w:color w:val="000000"/>
        <w:sz w:val="24"/>
      </w:rPr>
    </w:lvl>
  </w:abstractNum>
  <w:abstractNum w:abstractNumId="9" w15:restartNumberingAfterBreak="0">
    <w:nsid w:val="49516C63"/>
    <w:multiLevelType w:val="hybridMultilevel"/>
    <w:tmpl w:val="AB927D74"/>
    <w:lvl w:ilvl="0" w:tplc="47E6CFF6">
      <w:start w:val="1"/>
      <w:numFmt w:val="bullet"/>
      <w:lvlText w:val=""/>
      <w:lvlJc w:val="left"/>
      <w:pPr>
        <w:ind w:left="468" w:hanging="360"/>
      </w:pPr>
      <w:rPr>
        <w:rFonts w:ascii="Symbol" w:eastAsia="Symbol" w:hAnsi="Symbol" w:cs="Symbol" w:hint="default"/>
        <w:color w:val="000000"/>
        <w:sz w:val="24"/>
      </w:rPr>
    </w:lvl>
    <w:lvl w:ilvl="1" w:tplc="AFBC41E4">
      <w:start w:val="1"/>
      <w:numFmt w:val="bullet"/>
      <w:lvlText w:val="o"/>
      <w:lvlJc w:val="left"/>
      <w:pPr>
        <w:ind w:left="1188" w:hanging="360"/>
      </w:pPr>
      <w:rPr>
        <w:rFonts w:ascii="Courier New" w:eastAsia="Courier New" w:hAnsi="Courier New" w:cs="Courier New" w:hint="default"/>
        <w:color w:val="000000"/>
        <w:sz w:val="24"/>
      </w:rPr>
    </w:lvl>
    <w:lvl w:ilvl="2" w:tplc="5A76D530">
      <w:start w:val="1"/>
      <w:numFmt w:val="bullet"/>
      <w:lvlText w:val=""/>
      <w:lvlJc w:val="left"/>
      <w:pPr>
        <w:ind w:left="1908" w:hanging="360"/>
      </w:pPr>
      <w:rPr>
        <w:rFonts w:ascii="Wingdings" w:eastAsia="Wingdings" w:hAnsi="Wingdings" w:cs="Wingdings" w:hint="default"/>
        <w:color w:val="000000"/>
        <w:sz w:val="24"/>
      </w:rPr>
    </w:lvl>
    <w:lvl w:ilvl="3" w:tplc="4716A856">
      <w:start w:val="1"/>
      <w:numFmt w:val="bullet"/>
      <w:lvlText w:val=""/>
      <w:lvlJc w:val="left"/>
      <w:pPr>
        <w:ind w:left="2628" w:hanging="360"/>
      </w:pPr>
      <w:rPr>
        <w:rFonts w:ascii="Symbol" w:eastAsia="Symbol" w:hAnsi="Symbol" w:cs="Symbol" w:hint="default"/>
        <w:color w:val="000000"/>
        <w:sz w:val="24"/>
      </w:rPr>
    </w:lvl>
    <w:lvl w:ilvl="4" w:tplc="5BE48E58">
      <w:start w:val="1"/>
      <w:numFmt w:val="bullet"/>
      <w:lvlText w:val="o"/>
      <w:lvlJc w:val="left"/>
      <w:pPr>
        <w:ind w:left="3348" w:hanging="360"/>
      </w:pPr>
      <w:rPr>
        <w:rFonts w:ascii="Courier New" w:eastAsia="Courier New" w:hAnsi="Courier New" w:cs="Courier New" w:hint="default"/>
        <w:color w:val="000000"/>
        <w:sz w:val="24"/>
      </w:rPr>
    </w:lvl>
    <w:lvl w:ilvl="5" w:tplc="448C0628">
      <w:start w:val="1"/>
      <w:numFmt w:val="bullet"/>
      <w:lvlText w:val=""/>
      <w:lvlJc w:val="left"/>
      <w:pPr>
        <w:ind w:left="4068" w:hanging="360"/>
      </w:pPr>
      <w:rPr>
        <w:rFonts w:ascii="Wingdings" w:eastAsia="Wingdings" w:hAnsi="Wingdings" w:cs="Wingdings" w:hint="default"/>
        <w:color w:val="000000"/>
        <w:sz w:val="24"/>
      </w:rPr>
    </w:lvl>
    <w:lvl w:ilvl="6" w:tplc="70A27D06">
      <w:start w:val="1"/>
      <w:numFmt w:val="bullet"/>
      <w:lvlText w:val=""/>
      <w:lvlJc w:val="left"/>
      <w:pPr>
        <w:ind w:left="4788" w:hanging="360"/>
      </w:pPr>
      <w:rPr>
        <w:rFonts w:ascii="Symbol" w:eastAsia="Symbol" w:hAnsi="Symbol" w:cs="Symbol" w:hint="default"/>
        <w:color w:val="000000"/>
        <w:sz w:val="24"/>
      </w:rPr>
    </w:lvl>
    <w:lvl w:ilvl="7" w:tplc="CE623516">
      <w:start w:val="1"/>
      <w:numFmt w:val="bullet"/>
      <w:lvlText w:val="o"/>
      <w:lvlJc w:val="left"/>
      <w:pPr>
        <w:ind w:left="5508" w:hanging="360"/>
      </w:pPr>
      <w:rPr>
        <w:rFonts w:ascii="Courier New" w:eastAsia="Courier New" w:hAnsi="Courier New" w:cs="Courier New" w:hint="default"/>
        <w:color w:val="000000"/>
        <w:sz w:val="24"/>
      </w:rPr>
    </w:lvl>
    <w:lvl w:ilvl="8" w:tplc="D5D037D8">
      <w:start w:val="1"/>
      <w:numFmt w:val="bullet"/>
      <w:lvlText w:val=""/>
      <w:lvlJc w:val="left"/>
      <w:pPr>
        <w:ind w:left="6228" w:hanging="360"/>
      </w:pPr>
      <w:rPr>
        <w:rFonts w:ascii="Wingdings" w:eastAsia="Wingdings" w:hAnsi="Wingdings" w:cs="Wingdings" w:hint="default"/>
        <w:color w:val="000000"/>
        <w:sz w:val="24"/>
      </w:rPr>
    </w:lvl>
  </w:abstractNum>
  <w:abstractNum w:abstractNumId="10" w15:restartNumberingAfterBreak="0">
    <w:nsid w:val="4A6A0707"/>
    <w:multiLevelType w:val="hybridMultilevel"/>
    <w:tmpl w:val="9A040BCC"/>
    <w:lvl w:ilvl="0" w:tplc="E4ECDF94">
      <w:start w:val="1"/>
      <w:numFmt w:val="decimal"/>
      <w:lvlText w:val="%1."/>
      <w:lvlJc w:val="left"/>
      <w:pPr>
        <w:ind w:left="828" w:hanging="360"/>
      </w:pPr>
      <w:rPr>
        <w:rFonts w:ascii="Calibri" w:eastAsia="Calibri" w:hAnsi="Calibri" w:cs="Calibri" w:hint="default"/>
        <w:color w:val="000000"/>
        <w:sz w:val="24"/>
      </w:rPr>
    </w:lvl>
    <w:lvl w:ilvl="1" w:tplc="CD329EE0">
      <w:start w:val="1"/>
      <w:numFmt w:val="lowerLetter"/>
      <w:lvlText w:val="%2."/>
      <w:lvlJc w:val="left"/>
      <w:pPr>
        <w:ind w:left="1548" w:hanging="360"/>
      </w:pPr>
      <w:rPr>
        <w:rFonts w:ascii="Calibri" w:eastAsia="Calibri" w:hAnsi="Calibri" w:cs="Calibri" w:hint="default"/>
        <w:color w:val="000000"/>
        <w:sz w:val="24"/>
      </w:rPr>
    </w:lvl>
    <w:lvl w:ilvl="2" w:tplc="77F202C8">
      <w:start w:val="1"/>
      <w:numFmt w:val="lowerRoman"/>
      <w:lvlText w:val="%3."/>
      <w:lvlJc w:val="right"/>
      <w:pPr>
        <w:ind w:left="2268" w:hanging="180"/>
      </w:pPr>
      <w:rPr>
        <w:rFonts w:ascii="Calibri" w:eastAsia="Calibri" w:hAnsi="Calibri" w:cs="Calibri" w:hint="default"/>
        <w:color w:val="000000"/>
        <w:sz w:val="24"/>
      </w:rPr>
    </w:lvl>
    <w:lvl w:ilvl="3" w:tplc="26366286">
      <w:start w:val="1"/>
      <w:numFmt w:val="decimal"/>
      <w:lvlText w:val="%4."/>
      <w:lvlJc w:val="left"/>
      <w:pPr>
        <w:ind w:left="2988" w:hanging="360"/>
      </w:pPr>
      <w:rPr>
        <w:rFonts w:ascii="Calibri" w:eastAsia="Calibri" w:hAnsi="Calibri" w:cs="Calibri" w:hint="default"/>
        <w:color w:val="000000"/>
        <w:sz w:val="24"/>
      </w:rPr>
    </w:lvl>
    <w:lvl w:ilvl="4" w:tplc="420E8B76">
      <w:start w:val="1"/>
      <w:numFmt w:val="lowerLetter"/>
      <w:lvlText w:val="%5."/>
      <w:lvlJc w:val="left"/>
      <w:pPr>
        <w:ind w:left="3708" w:hanging="360"/>
      </w:pPr>
      <w:rPr>
        <w:rFonts w:ascii="Calibri" w:eastAsia="Calibri" w:hAnsi="Calibri" w:cs="Calibri" w:hint="default"/>
        <w:color w:val="000000"/>
        <w:sz w:val="24"/>
      </w:rPr>
    </w:lvl>
    <w:lvl w:ilvl="5" w:tplc="CF78CF3A">
      <w:start w:val="1"/>
      <w:numFmt w:val="lowerRoman"/>
      <w:lvlText w:val="%6."/>
      <w:lvlJc w:val="right"/>
      <w:pPr>
        <w:ind w:left="4428" w:hanging="180"/>
      </w:pPr>
      <w:rPr>
        <w:rFonts w:ascii="Calibri" w:eastAsia="Calibri" w:hAnsi="Calibri" w:cs="Calibri" w:hint="default"/>
        <w:color w:val="000000"/>
        <w:sz w:val="24"/>
      </w:rPr>
    </w:lvl>
    <w:lvl w:ilvl="6" w:tplc="9D36861E">
      <w:start w:val="1"/>
      <w:numFmt w:val="decimal"/>
      <w:lvlText w:val="%7."/>
      <w:lvlJc w:val="left"/>
      <w:pPr>
        <w:ind w:left="5148" w:hanging="360"/>
      </w:pPr>
      <w:rPr>
        <w:rFonts w:ascii="Calibri" w:eastAsia="Calibri" w:hAnsi="Calibri" w:cs="Calibri" w:hint="default"/>
        <w:color w:val="000000"/>
        <w:sz w:val="24"/>
      </w:rPr>
    </w:lvl>
    <w:lvl w:ilvl="7" w:tplc="BD4CA9BC">
      <w:start w:val="1"/>
      <w:numFmt w:val="lowerLetter"/>
      <w:lvlText w:val="%8."/>
      <w:lvlJc w:val="left"/>
      <w:pPr>
        <w:ind w:left="5868" w:hanging="360"/>
      </w:pPr>
      <w:rPr>
        <w:rFonts w:ascii="Calibri" w:eastAsia="Calibri" w:hAnsi="Calibri" w:cs="Calibri" w:hint="default"/>
        <w:color w:val="000000"/>
        <w:sz w:val="24"/>
      </w:rPr>
    </w:lvl>
    <w:lvl w:ilvl="8" w:tplc="0046EDB0">
      <w:start w:val="1"/>
      <w:numFmt w:val="lowerRoman"/>
      <w:lvlText w:val="%9."/>
      <w:lvlJc w:val="right"/>
      <w:pPr>
        <w:ind w:left="6588" w:hanging="180"/>
      </w:pPr>
      <w:rPr>
        <w:rFonts w:ascii="Calibri" w:eastAsia="Calibri" w:hAnsi="Calibri" w:cs="Calibri" w:hint="default"/>
        <w:color w:val="000000"/>
        <w:sz w:val="24"/>
      </w:rPr>
    </w:lvl>
  </w:abstractNum>
  <w:abstractNum w:abstractNumId="11" w15:restartNumberingAfterBreak="0">
    <w:nsid w:val="552C3B7E"/>
    <w:multiLevelType w:val="hybridMultilevel"/>
    <w:tmpl w:val="FD2C4628"/>
    <w:lvl w:ilvl="0" w:tplc="EAA8AF3C">
      <w:start w:val="1"/>
      <w:numFmt w:val="decimal"/>
      <w:lvlText w:val="%1."/>
      <w:lvlJc w:val="left"/>
      <w:pPr>
        <w:ind w:left="505" w:hanging="397"/>
      </w:pPr>
      <w:rPr>
        <w:rFonts w:ascii="Calibri" w:eastAsia="Calibri" w:hAnsi="Calibri" w:cs="Calibri" w:hint="default"/>
        <w:color w:val="000000"/>
        <w:sz w:val="24"/>
      </w:rPr>
    </w:lvl>
    <w:lvl w:ilvl="1" w:tplc="133C3DDA">
      <w:start w:val="1"/>
      <w:numFmt w:val="decimal"/>
      <w:lvlText w:val="%2."/>
      <w:lvlJc w:val="left"/>
      <w:pPr>
        <w:ind w:left="902" w:hanging="397"/>
      </w:pPr>
      <w:rPr>
        <w:rFonts w:ascii="Calibri" w:eastAsia="Calibri" w:hAnsi="Calibri" w:cs="Calibri" w:hint="default"/>
        <w:color w:val="000000"/>
        <w:sz w:val="24"/>
      </w:rPr>
    </w:lvl>
    <w:lvl w:ilvl="2" w:tplc="3A58A290">
      <w:start w:val="1"/>
      <w:numFmt w:val="lowerLetter"/>
      <w:lvlText w:val="(%3)"/>
      <w:lvlJc w:val="left"/>
      <w:pPr>
        <w:ind w:left="505" w:hanging="397"/>
      </w:pPr>
      <w:rPr>
        <w:rFonts w:ascii="Calibri" w:eastAsia="Calibri" w:hAnsi="Calibri" w:cs="Calibri" w:hint="default"/>
        <w:color w:val="000000"/>
        <w:sz w:val="24"/>
      </w:rPr>
    </w:lvl>
    <w:lvl w:ilvl="3" w:tplc="F3DE0F62">
      <w:start w:val="1"/>
      <w:numFmt w:val="lowerLetter"/>
      <w:lvlText w:val="(%4)"/>
      <w:lvlJc w:val="left"/>
      <w:pPr>
        <w:ind w:left="902" w:hanging="397"/>
      </w:pPr>
      <w:rPr>
        <w:rFonts w:ascii="Calibri" w:eastAsia="Calibri" w:hAnsi="Calibri" w:cs="Calibri" w:hint="default"/>
        <w:color w:val="000000"/>
        <w:sz w:val="24"/>
      </w:rPr>
    </w:lvl>
    <w:lvl w:ilvl="4" w:tplc="7E9A69D4">
      <w:start w:val="1"/>
      <w:numFmt w:val="lowerRoman"/>
      <w:lvlText w:val="(%5)"/>
      <w:lvlJc w:val="left"/>
      <w:pPr>
        <w:ind w:left="505" w:hanging="397"/>
      </w:pPr>
      <w:rPr>
        <w:rFonts w:ascii="Calibri" w:eastAsia="Calibri" w:hAnsi="Calibri" w:cs="Calibri" w:hint="default"/>
        <w:color w:val="000000"/>
        <w:sz w:val="24"/>
      </w:rPr>
    </w:lvl>
    <w:lvl w:ilvl="5" w:tplc="83109C4E">
      <w:start w:val="1"/>
      <w:numFmt w:val="lowerRoman"/>
      <w:lvlText w:val="(%6)"/>
      <w:lvlJc w:val="left"/>
      <w:pPr>
        <w:ind w:left="902" w:hanging="397"/>
      </w:pPr>
      <w:rPr>
        <w:rFonts w:ascii="Calibri" w:eastAsia="Calibri" w:hAnsi="Calibri" w:cs="Calibri" w:hint="default"/>
        <w:color w:val="000000"/>
        <w:sz w:val="24"/>
      </w:rPr>
    </w:lvl>
    <w:lvl w:ilvl="6" w:tplc="CCD6D6B4">
      <w:start w:val="1"/>
      <w:numFmt w:val="none"/>
      <w:lvlText w:val=""/>
      <w:lvlJc w:val="left"/>
      <w:pPr>
        <w:ind w:left="108" w:firstLine="0"/>
      </w:pPr>
      <w:rPr>
        <w:rFonts w:ascii="Calibri" w:eastAsia="Calibri" w:hAnsi="Calibri" w:cs="Calibri" w:hint="default"/>
        <w:color w:val="000000"/>
        <w:sz w:val="24"/>
      </w:rPr>
    </w:lvl>
    <w:lvl w:ilvl="7" w:tplc="4AA03D28">
      <w:start w:val="1"/>
      <w:numFmt w:val="none"/>
      <w:lvlText w:val=""/>
      <w:lvlJc w:val="left"/>
      <w:pPr>
        <w:ind w:left="108" w:firstLine="0"/>
      </w:pPr>
      <w:rPr>
        <w:rFonts w:ascii="Calibri" w:eastAsia="Calibri" w:hAnsi="Calibri" w:cs="Calibri" w:hint="default"/>
        <w:color w:val="000000"/>
        <w:sz w:val="24"/>
      </w:rPr>
    </w:lvl>
    <w:lvl w:ilvl="8" w:tplc="9B8E230A">
      <w:start w:val="1"/>
      <w:numFmt w:val="none"/>
      <w:lvlText w:val=""/>
      <w:lvlJc w:val="right"/>
      <w:pPr>
        <w:ind w:left="108" w:firstLine="0"/>
      </w:pPr>
      <w:rPr>
        <w:rFonts w:ascii="Calibri" w:eastAsia="Calibri" w:hAnsi="Calibri" w:cs="Calibri" w:hint="default"/>
        <w:color w:val="000000"/>
        <w:sz w:val="24"/>
      </w:rPr>
    </w:lvl>
  </w:abstractNum>
  <w:abstractNum w:abstractNumId="12" w15:restartNumberingAfterBreak="0">
    <w:nsid w:val="5AFD5895"/>
    <w:multiLevelType w:val="hybridMultilevel"/>
    <w:tmpl w:val="03FE8E70"/>
    <w:lvl w:ilvl="0" w:tplc="0BCCDEFE">
      <w:start w:val="1"/>
      <w:numFmt w:val="decimal"/>
      <w:lvlText w:val="%1."/>
      <w:lvlJc w:val="left"/>
      <w:pPr>
        <w:ind w:left="828" w:hanging="360"/>
      </w:pPr>
      <w:rPr>
        <w:rFonts w:ascii="Calibri" w:eastAsia="Calibri" w:hAnsi="Calibri" w:cs="Calibri" w:hint="default"/>
        <w:color w:val="000000"/>
        <w:sz w:val="24"/>
      </w:rPr>
    </w:lvl>
    <w:lvl w:ilvl="1" w:tplc="78D854B4">
      <w:start w:val="1"/>
      <w:numFmt w:val="lowerLetter"/>
      <w:lvlText w:val="%2."/>
      <w:lvlJc w:val="left"/>
      <w:pPr>
        <w:ind w:left="1548" w:hanging="360"/>
      </w:pPr>
      <w:rPr>
        <w:rFonts w:ascii="Calibri" w:eastAsia="Calibri" w:hAnsi="Calibri" w:cs="Calibri" w:hint="default"/>
        <w:color w:val="000000"/>
        <w:sz w:val="24"/>
      </w:rPr>
    </w:lvl>
    <w:lvl w:ilvl="2" w:tplc="FB963062">
      <w:start w:val="1"/>
      <w:numFmt w:val="lowerRoman"/>
      <w:lvlText w:val="%3."/>
      <w:lvlJc w:val="right"/>
      <w:pPr>
        <w:ind w:left="2268" w:hanging="180"/>
      </w:pPr>
      <w:rPr>
        <w:rFonts w:ascii="Calibri" w:eastAsia="Calibri" w:hAnsi="Calibri" w:cs="Calibri" w:hint="default"/>
        <w:color w:val="000000"/>
        <w:sz w:val="24"/>
      </w:rPr>
    </w:lvl>
    <w:lvl w:ilvl="3" w:tplc="77206A46">
      <w:start w:val="1"/>
      <w:numFmt w:val="decimal"/>
      <w:lvlText w:val="%4."/>
      <w:lvlJc w:val="left"/>
      <w:pPr>
        <w:ind w:left="2988" w:hanging="360"/>
      </w:pPr>
      <w:rPr>
        <w:rFonts w:ascii="Calibri" w:eastAsia="Calibri" w:hAnsi="Calibri" w:cs="Calibri" w:hint="default"/>
        <w:color w:val="000000"/>
        <w:sz w:val="24"/>
      </w:rPr>
    </w:lvl>
    <w:lvl w:ilvl="4" w:tplc="5E369B9C">
      <w:start w:val="1"/>
      <w:numFmt w:val="lowerLetter"/>
      <w:lvlText w:val="%5."/>
      <w:lvlJc w:val="left"/>
      <w:pPr>
        <w:ind w:left="3708" w:hanging="360"/>
      </w:pPr>
      <w:rPr>
        <w:rFonts w:ascii="Calibri" w:eastAsia="Calibri" w:hAnsi="Calibri" w:cs="Calibri" w:hint="default"/>
        <w:color w:val="000000"/>
        <w:sz w:val="24"/>
      </w:rPr>
    </w:lvl>
    <w:lvl w:ilvl="5" w:tplc="2F4038CA">
      <w:start w:val="1"/>
      <w:numFmt w:val="lowerRoman"/>
      <w:lvlText w:val="%6."/>
      <w:lvlJc w:val="right"/>
      <w:pPr>
        <w:ind w:left="4428" w:hanging="180"/>
      </w:pPr>
      <w:rPr>
        <w:rFonts w:ascii="Calibri" w:eastAsia="Calibri" w:hAnsi="Calibri" w:cs="Calibri" w:hint="default"/>
        <w:color w:val="000000"/>
        <w:sz w:val="24"/>
      </w:rPr>
    </w:lvl>
    <w:lvl w:ilvl="6" w:tplc="17905A4C">
      <w:start w:val="1"/>
      <w:numFmt w:val="decimal"/>
      <w:lvlText w:val="%7."/>
      <w:lvlJc w:val="left"/>
      <w:pPr>
        <w:ind w:left="5148" w:hanging="360"/>
      </w:pPr>
      <w:rPr>
        <w:rFonts w:ascii="Calibri" w:eastAsia="Calibri" w:hAnsi="Calibri" w:cs="Calibri" w:hint="default"/>
        <w:color w:val="000000"/>
        <w:sz w:val="24"/>
      </w:rPr>
    </w:lvl>
    <w:lvl w:ilvl="7" w:tplc="A0184176">
      <w:start w:val="1"/>
      <w:numFmt w:val="lowerLetter"/>
      <w:lvlText w:val="%8."/>
      <w:lvlJc w:val="left"/>
      <w:pPr>
        <w:ind w:left="5868" w:hanging="360"/>
      </w:pPr>
      <w:rPr>
        <w:rFonts w:ascii="Calibri" w:eastAsia="Calibri" w:hAnsi="Calibri" w:cs="Calibri" w:hint="default"/>
        <w:color w:val="000000"/>
        <w:sz w:val="24"/>
      </w:rPr>
    </w:lvl>
    <w:lvl w:ilvl="8" w:tplc="D0DAEEB4">
      <w:start w:val="1"/>
      <w:numFmt w:val="lowerRoman"/>
      <w:lvlText w:val="%9."/>
      <w:lvlJc w:val="right"/>
      <w:pPr>
        <w:ind w:left="6588" w:hanging="180"/>
      </w:pPr>
      <w:rPr>
        <w:rFonts w:ascii="Calibri" w:eastAsia="Calibri" w:hAnsi="Calibri" w:cs="Calibri" w:hint="default"/>
        <w:color w:val="000000"/>
        <w:sz w:val="24"/>
      </w:rPr>
    </w:lvl>
  </w:abstractNum>
  <w:abstractNum w:abstractNumId="13" w15:restartNumberingAfterBreak="0">
    <w:nsid w:val="6FBF49B0"/>
    <w:multiLevelType w:val="hybridMultilevel"/>
    <w:tmpl w:val="529CA410"/>
    <w:lvl w:ilvl="0" w:tplc="8F8C777E">
      <w:start w:val="1"/>
      <w:numFmt w:val="decimal"/>
      <w:lvlText w:val="%1."/>
      <w:lvlJc w:val="left"/>
      <w:pPr>
        <w:ind w:left="828" w:hanging="360"/>
      </w:pPr>
      <w:rPr>
        <w:rFonts w:ascii="Calibri" w:eastAsia="Calibri" w:hAnsi="Calibri" w:cs="Calibri" w:hint="default"/>
        <w:color w:val="000000"/>
        <w:sz w:val="24"/>
      </w:rPr>
    </w:lvl>
    <w:lvl w:ilvl="1" w:tplc="7EFE3E82">
      <w:start w:val="1"/>
      <w:numFmt w:val="lowerLetter"/>
      <w:lvlText w:val="%2."/>
      <w:lvlJc w:val="left"/>
      <w:pPr>
        <w:ind w:left="1548" w:hanging="360"/>
      </w:pPr>
      <w:rPr>
        <w:rFonts w:ascii="Calibri" w:eastAsia="Calibri" w:hAnsi="Calibri" w:cs="Calibri" w:hint="default"/>
        <w:color w:val="000000"/>
        <w:sz w:val="24"/>
      </w:rPr>
    </w:lvl>
    <w:lvl w:ilvl="2" w:tplc="4D8A059A">
      <w:start w:val="1"/>
      <w:numFmt w:val="lowerRoman"/>
      <w:lvlText w:val="%3."/>
      <w:lvlJc w:val="right"/>
      <w:pPr>
        <w:ind w:left="2268" w:hanging="180"/>
      </w:pPr>
      <w:rPr>
        <w:rFonts w:ascii="Calibri" w:eastAsia="Calibri" w:hAnsi="Calibri" w:cs="Calibri" w:hint="default"/>
        <w:color w:val="000000"/>
        <w:sz w:val="24"/>
      </w:rPr>
    </w:lvl>
    <w:lvl w:ilvl="3" w:tplc="63EE07EE">
      <w:start w:val="1"/>
      <w:numFmt w:val="decimal"/>
      <w:lvlText w:val="%4."/>
      <w:lvlJc w:val="left"/>
      <w:pPr>
        <w:ind w:left="2988" w:hanging="360"/>
      </w:pPr>
      <w:rPr>
        <w:rFonts w:ascii="Calibri" w:eastAsia="Calibri" w:hAnsi="Calibri" w:cs="Calibri" w:hint="default"/>
        <w:color w:val="000000"/>
        <w:sz w:val="24"/>
      </w:rPr>
    </w:lvl>
    <w:lvl w:ilvl="4" w:tplc="A25E9616">
      <w:start w:val="1"/>
      <w:numFmt w:val="lowerLetter"/>
      <w:lvlText w:val="%5."/>
      <w:lvlJc w:val="left"/>
      <w:pPr>
        <w:ind w:left="3708" w:hanging="360"/>
      </w:pPr>
      <w:rPr>
        <w:rFonts w:ascii="Calibri" w:eastAsia="Calibri" w:hAnsi="Calibri" w:cs="Calibri" w:hint="default"/>
        <w:color w:val="000000"/>
        <w:sz w:val="24"/>
      </w:rPr>
    </w:lvl>
    <w:lvl w:ilvl="5" w:tplc="2F449AB0">
      <w:start w:val="1"/>
      <w:numFmt w:val="lowerRoman"/>
      <w:lvlText w:val="%6."/>
      <w:lvlJc w:val="right"/>
      <w:pPr>
        <w:ind w:left="4428" w:hanging="180"/>
      </w:pPr>
      <w:rPr>
        <w:rFonts w:ascii="Calibri" w:eastAsia="Calibri" w:hAnsi="Calibri" w:cs="Calibri" w:hint="default"/>
        <w:color w:val="000000"/>
        <w:sz w:val="24"/>
      </w:rPr>
    </w:lvl>
    <w:lvl w:ilvl="6" w:tplc="F66076D0">
      <w:start w:val="1"/>
      <w:numFmt w:val="decimal"/>
      <w:lvlText w:val="%7."/>
      <w:lvlJc w:val="left"/>
      <w:pPr>
        <w:ind w:left="5148" w:hanging="360"/>
      </w:pPr>
      <w:rPr>
        <w:rFonts w:ascii="Calibri" w:eastAsia="Calibri" w:hAnsi="Calibri" w:cs="Calibri" w:hint="default"/>
        <w:color w:val="000000"/>
        <w:sz w:val="24"/>
      </w:rPr>
    </w:lvl>
    <w:lvl w:ilvl="7" w:tplc="A98CD104">
      <w:start w:val="1"/>
      <w:numFmt w:val="lowerLetter"/>
      <w:lvlText w:val="%8."/>
      <w:lvlJc w:val="left"/>
      <w:pPr>
        <w:ind w:left="5868" w:hanging="360"/>
      </w:pPr>
      <w:rPr>
        <w:rFonts w:ascii="Calibri" w:eastAsia="Calibri" w:hAnsi="Calibri" w:cs="Calibri" w:hint="default"/>
        <w:color w:val="000000"/>
        <w:sz w:val="24"/>
      </w:rPr>
    </w:lvl>
    <w:lvl w:ilvl="8" w:tplc="25A466D0">
      <w:start w:val="1"/>
      <w:numFmt w:val="lowerRoman"/>
      <w:lvlText w:val="%9."/>
      <w:lvlJc w:val="right"/>
      <w:pPr>
        <w:ind w:left="6588" w:hanging="180"/>
      </w:pPr>
      <w:rPr>
        <w:rFonts w:ascii="Calibri" w:eastAsia="Calibri" w:hAnsi="Calibri" w:cs="Calibri" w:hint="default"/>
        <w:color w:val="000000"/>
        <w:sz w:val="24"/>
      </w:rPr>
    </w:lvl>
  </w:abstractNum>
  <w:abstractNum w:abstractNumId="14" w15:restartNumberingAfterBreak="0">
    <w:nsid w:val="76137B18"/>
    <w:multiLevelType w:val="hybridMultilevel"/>
    <w:tmpl w:val="1312210A"/>
    <w:lvl w:ilvl="0" w:tplc="D96E0196">
      <w:start w:val="1"/>
      <w:numFmt w:val="decimal"/>
      <w:lvlText w:val="%1."/>
      <w:lvlJc w:val="left"/>
      <w:pPr>
        <w:ind w:left="505" w:hanging="397"/>
      </w:pPr>
      <w:rPr>
        <w:rFonts w:ascii="Calibri" w:eastAsia="Calibri" w:hAnsi="Calibri" w:cs="Calibri" w:hint="default"/>
        <w:color w:val="000000"/>
        <w:sz w:val="24"/>
      </w:rPr>
    </w:lvl>
    <w:lvl w:ilvl="1" w:tplc="3DAE986C">
      <w:start w:val="1"/>
      <w:numFmt w:val="decimal"/>
      <w:lvlText w:val="%2."/>
      <w:lvlJc w:val="left"/>
      <w:pPr>
        <w:ind w:left="902" w:hanging="397"/>
      </w:pPr>
      <w:rPr>
        <w:rFonts w:ascii="Calibri" w:eastAsia="Calibri" w:hAnsi="Calibri" w:cs="Calibri" w:hint="default"/>
        <w:color w:val="000000"/>
        <w:sz w:val="24"/>
      </w:rPr>
    </w:lvl>
    <w:lvl w:ilvl="2" w:tplc="10BEA7E4">
      <w:start w:val="1"/>
      <w:numFmt w:val="lowerLetter"/>
      <w:lvlText w:val="(%3)"/>
      <w:lvlJc w:val="left"/>
      <w:pPr>
        <w:ind w:left="505" w:hanging="397"/>
      </w:pPr>
      <w:rPr>
        <w:rFonts w:ascii="Calibri" w:eastAsia="Calibri" w:hAnsi="Calibri" w:cs="Calibri" w:hint="default"/>
        <w:color w:val="000000"/>
        <w:sz w:val="24"/>
      </w:rPr>
    </w:lvl>
    <w:lvl w:ilvl="3" w:tplc="871A5E0C">
      <w:start w:val="1"/>
      <w:numFmt w:val="lowerLetter"/>
      <w:lvlText w:val="(%4)"/>
      <w:lvlJc w:val="left"/>
      <w:pPr>
        <w:ind w:left="902" w:hanging="397"/>
      </w:pPr>
      <w:rPr>
        <w:rFonts w:ascii="Calibri" w:eastAsia="Calibri" w:hAnsi="Calibri" w:cs="Calibri" w:hint="default"/>
        <w:color w:val="000000"/>
        <w:sz w:val="24"/>
      </w:rPr>
    </w:lvl>
    <w:lvl w:ilvl="4" w:tplc="545A85CA">
      <w:start w:val="1"/>
      <w:numFmt w:val="lowerRoman"/>
      <w:lvlText w:val="(%5)"/>
      <w:lvlJc w:val="left"/>
      <w:pPr>
        <w:ind w:left="505" w:hanging="397"/>
      </w:pPr>
      <w:rPr>
        <w:rFonts w:ascii="Calibri" w:eastAsia="Calibri" w:hAnsi="Calibri" w:cs="Calibri" w:hint="default"/>
        <w:color w:val="000000"/>
        <w:sz w:val="24"/>
      </w:rPr>
    </w:lvl>
    <w:lvl w:ilvl="5" w:tplc="281887CA">
      <w:start w:val="1"/>
      <w:numFmt w:val="lowerRoman"/>
      <w:lvlText w:val="(%6)"/>
      <w:lvlJc w:val="left"/>
      <w:pPr>
        <w:ind w:left="902" w:hanging="397"/>
      </w:pPr>
      <w:rPr>
        <w:rFonts w:ascii="Calibri" w:eastAsia="Calibri" w:hAnsi="Calibri" w:cs="Calibri" w:hint="default"/>
        <w:color w:val="000000"/>
        <w:sz w:val="24"/>
      </w:rPr>
    </w:lvl>
    <w:lvl w:ilvl="6" w:tplc="E59E78EC">
      <w:start w:val="1"/>
      <w:numFmt w:val="none"/>
      <w:lvlText w:val=""/>
      <w:lvlJc w:val="left"/>
      <w:pPr>
        <w:ind w:left="108" w:firstLine="0"/>
      </w:pPr>
      <w:rPr>
        <w:rFonts w:ascii="Calibri" w:eastAsia="Calibri" w:hAnsi="Calibri" w:cs="Calibri" w:hint="default"/>
        <w:color w:val="000000"/>
        <w:sz w:val="24"/>
      </w:rPr>
    </w:lvl>
    <w:lvl w:ilvl="7" w:tplc="97E83DFC">
      <w:start w:val="1"/>
      <w:numFmt w:val="none"/>
      <w:lvlText w:val=""/>
      <w:lvlJc w:val="left"/>
      <w:pPr>
        <w:ind w:left="108" w:firstLine="0"/>
      </w:pPr>
      <w:rPr>
        <w:rFonts w:ascii="Calibri" w:eastAsia="Calibri" w:hAnsi="Calibri" w:cs="Calibri" w:hint="default"/>
        <w:color w:val="000000"/>
        <w:sz w:val="24"/>
      </w:rPr>
    </w:lvl>
    <w:lvl w:ilvl="8" w:tplc="4E1C0400">
      <w:start w:val="1"/>
      <w:numFmt w:val="none"/>
      <w:lvlText w:val=""/>
      <w:lvlJc w:val="right"/>
      <w:pPr>
        <w:ind w:left="108" w:firstLine="0"/>
      </w:pPr>
      <w:rPr>
        <w:rFonts w:ascii="Calibri" w:eastAsia="Calibri" w:hAnsi="Calibri" w:cs="Calibri" w:hint="default"/>
        <w:color w:val="000000"/>
        <w:sz w:val="24"/>
      </w:rPr>
    </w:lvl>
  </w:abstractNum>
  <w:num w:numId="1" w16cid:durableId="412968132">
    <w:abstractNumId w:val="2"/>
  </w:num>
  <w:num w:numId="2" w16cid:durableId="1721516162">
    <w:abstractNumId w:val="1"/>
  </w:num>
  <w:num w:numId="3" w16cid:durableId="805778387">
    <w:abstractNumId w:val="12"/>
  </w:num>
  <w:num w:numId="4" w16cid:durableId="1361127266">
    <w:abstractNumId w:val="10"/>
  </w:num>
  <w:num w:numId="5" w16cid:durableId="872154519">
    <w:abstractNumId w:val="4"/>
  </w:num>
  <w:num w:numId="6" w16cid:durableId="674651377">
    <w:abstractNumId w:val="9"/>
  </w:num>
  <w:num w:numId="7" w16cid:durableId="711341493">
    <w:abstractNumId w:val="7"/>
  </w:num>
  <w:num w:numId="8" w16cid:durableId="368797003">
    <w:abstractNumId w:val="6"/>
  </w:num>
  <w:num w:numId="9" w16cid:durableId="1316833262">
    <w:abstractNumId w:val="8"/>
  </w:num>
  <w:num w:numId="10" w16cid:durableId="1871065799">
    <w:abstractNumId w:val="5"/>
  </w:num>
  <w:num w:numId="11" w16cid:durableId="2081366298">
    <w:abstractNumId w:val="13"/>
  </w:num>
  <w:num w:numId="12" w16cid:durableId="1521165254">
    <w:abstractNumId w:val="0"/>
  </w:num>
  <w:num w:numId="13" w16cid:durableId="1697343344">
    <w:abstractNumId w:val="1"/>
  </w:num>
  <w:num w:numId="14" w16cid:durableId="884684649">
    <w:abstractNumId w:val="14"/>
  </w:num>
  <w:num w:numId="15" w16cid:durableId="1674648408">
    <w:abstractNumId w:val="14"/>
  </w:num>
  <w:num w:numId="16" w16cid:durableId="1918316954">
    <w:abstractNumId w:val="14"/>
  </w:num>
  <w:num w:numId="17" w16cid:durableId="906768097">
    <w:abstractNumId w:val="11"/>
  </w:num>
  <w:num w:numId="18" w16cid:durableId="677972521">
    <w:abstractNumId w:val="14"/>
  </w:num>
  <w:num w:numId="19" w16cid:durableId="254479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7FC"/>
    <w:rsid w:val="00CF70D9"/>
    <w:rsid w:val="00E70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8FE60"/>
  <w15:docId w15:val="{A47256CF-36DD-498D-8766-9A2281AA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CF70D9"/>
    <w:pPr>
      <w:tabs>
        <w:tab w:val="center" w:pos="4513"/>
        <w:tab w:val="right" w:pos="9026"/>
      </w:tabs>
    </w:pPr>
  </w:style>
  <w:style w:type="character" w:customStyle="1" w:styleId="HeaderChar">
    <w:name w:val="Header Char"/>
    <w:basedOn w:val="DefaultParagraphFont"/>
    <w:link w:val="Header"/>
    <w:uiPriority w:val="99"/>
    <w:rsid w:val="00CF70D9"/>
  </w:style>
  <w:style w:type="paragraph" w:styleId="Footer">
    <w:name w:val="footer"/>
    <w:basedOn w:val="Normal"/>
    <w:link w:val="FooterChar"/>
    <w:uiPriority w:val="99"/>
    <w:unhideWhenUsed/>
    <w:rsid w:val="00CF70D9"/>
    <w:pPr>
      <w:tabs>
        <w:tab w:val="center" w:pos="4513"/>
        <w:tab w:val="right" w:pos="9026"/>
      </w:tabs>
    </w:pPr>
  </w:style>
  <w:style w:type="character" w:customStyle="1" w:styleId="FooterChar">
    <w:name w:val="Footer Char"/>
    <w:basedOn w:val="DefaultParagraphFont"/>
    <w:link w:val="Footer"/>
    <w:uiPriority w:val="99"/>
    <w:rsid w:val="00CF7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health.vic.gov.au/alcohol-and-drugs/aod-service-standards-guidelines/aod-program-guidelines"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providers.dffh.vic.gov.au/families-fairness-housing-health-activity-search"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07F525FA-0BD3-4756-A632-5ED83CF89E2C}"/>
</file>

<file path=customXml/itemProps2.xml><?xml version="1.0" encoding="utf-8"?>
<ds:datastoreItem xmlns:ds="http://schemas.openxmlformats.org/officeDocument/2006/customXml" ds:itemID="{B6B6D751-5C87-448A-9CF6-F43929EF797C}"/>
</file>

<file path=customXml/itemProps3.xml><?xml version="1.0" encoding="utf-8"?>
<ds:datastoreItem xmlns:ds="http://schemas.openxmlformats.org/officeDocument/2006/customXml" ds:itemID="{325434D3-C966-4314-B6BE-8EF2FC7E5516}"/>
</file>

<file path=docProps/app.xml><?xml version="1.0" encoding="utf-8"?>
<Properties xmlns="http://schemas.openxmlformats.org/officeDocument/2006/extended-properties" xmlns:vt="http://schemas.openxmlformats.org/officeDocument/2006/docPropsVTypes">
  <Template>Normal.dotm</Template>
  <TotalTime>1</TotalTime>
  <Pages>3</Pages>
  <Words>623</Words>
  <Characters>3553</Characters>
  <Application>Microsoft Office Word</Application>
  <DocSecurity>0</DocSecurity>
  <Lines>29</Lines>
  <Paragraphs>8</Paragraphs>
  <ScaleCrop>false</ScaleCrop>
  <Company>Oracle USA</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Catchment-Based Planning 34304</dc:title>
  <dc:subject/>
  <dc:creator>User</dc:creator>
  <cp:keywords/>
  <dc:description>Generated by Oracle BI Publisher 12.2.1.3.0</dc:description>
  <cp:revision>2</cp:revision>
  <dcterms:created xsi:type="dcterms:W3CDTF">2023-09-27T02:31:00Z</dcterms:created>
  <dcterms:modified xsi:type="dcterms:W3CDTF">2023-09-27T02:31:00Z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2023-09-27T02:30:48Z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0945d1e6-acaf-4cdf-aec4-67a16ad41057</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