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6B4D91">
        <w:trPr>
          <w:trHeight w:val="1075"/>
        </w:trPr>
        <w:tc>
          <w:tcPr>
            <w:tcW w:w="8101" w:type="dxa"/>
            <w:shd w:val="clear" w:color="auto" w:fill="auto"/>
            <w:vAlign w:val="bottom"/>
          </w:tcPr>
          <w:p w:rsidR="002B7F49" w:rsidRPr="00DE4E5C" w:rsidRDefault="002B7F49" w:rsidP="006B4D91">
            <w:pPr>
              <w:pStyle w:val="DHHSmainheading"/>
              <w:spacing w:line="270" w:lineRule="atLeast"/>
              <w:rPr>
                <w:sz w:val="44"/>
                <w:szCs w:val="44"/>
              </w:rPr>
            </w:pPr>
            <w:r w:rsidRPr="00CD33DD">
              <w:rPr>
                <w:noProof/>
                <w:color w:val="FFFFFF" w:themeColor="background1"/>
                <w:sz w:val="44"/>
                <w:lang w:eastAsia="en-AU"/>
              </w:rPr>
              <w:drawing>
                <wp:anchor distT="0" distB="0" distL="114300" distR="114300" simplePos="0" relativeHeight="251765760" behindDoc="1" locked="1" layoutInCell="0" allowOverlap="1" wp14:anchorId="7DB9F404" wp14:editId="61D32A3F">
                  <wp:simplePos x="0" y="0"/>
                  <wp:positionH relativeFrom="page">
                    <wp:posOffset>-542925</wp:posOffset>
                  </wp:positionH>
                  <wp:positionV relativeFrom="page">
                    <wp:posOffset>-361950</wp:posOffset>
                  </wp:positionV>
                  <wp:extent cx="7562850" cy="1990725"/>
                  <wp:effectExtent l="0" t="0" r="0" b="9525"/>
                  <wp:wrapNone/>
                  <wp:docPr id="106" name="Picture 10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990725"/>
                          </a:xfrm>
                          <a:prstGeom prst="rect">
                            <a:avLst/>
                          </a:prstGeom>
                          <a:noFill/>
                        </pic:spPr>
                      </pic:pic>
                    </a:graphicData>
                  </a:graphic>
                  <wp14:sizeRelH relativeFrom="page">
                    <wp14:pctWidth>0</wp14:pctWidth>
                  </wp14:sizeRelH>
                  <wp14:sizeRelV relativeFrom="page">
                    <wp14:pctHeight>0</wp14:pctHeight>
                  </wp14:sizeRelV>
                </wp:anchor>
              </w:drawing>
            </w:r>
            <w:r w:rsidR="00647845" w:rsidRPr="00CD33DD">
              <w:rPr>
                <w:noProof/>
                <w:color w:val="FFFFFF" w:themeColor="background1"/>
                <w:sz w:val="44"/>
                <w:lang w:eastAsia="en-AU"/>
              </w:rPr>
              <w:t xml:space="preserve">Carer Support </w:t>
            </w:r>
            <w:r w:rsidR="00811433" w:rsidRPr="00CD33DD">
              <w:rPr>
                <w:noProof/>
                <w:color w:val="FFFFFF" w:themeColor="background1"/>
                <w:sz w:val="44"/>
                <w:lang w:eastAsia="en-AU"/>
              </w:rPr>
              <w:t>Fund</w:t>
            </w:r>
            <w:r w:rsidRPr="00CD33DD">
              <w:rPr>
                <w:rFonts w:cs="Arial"/>
                <w:sz w:val="36"/>
                <w:szCs w:val="44"/>
              </w:rPr>
              <w:t xml:space="preserve"> </w:t>
            </w:r>
            <w:r w:rsidRPr="00A619BF">
              <w:rPr>
                <w:rFonts w:cs="Arial"/>
                <w:sz w:val="40"/>
                <w:szCs w:val="44"/>
              </w:rPr>
              <w:br/>
            </w:r>
            <w:r w:rsidRPr="00CD33DD">
              <w:rPr>
                <w:rFonts w:cs="Arial"/>
                <w:noProof/>
                <w:sz w:val="44"/>
                <w:szCs w:val="44"/>
              </w:rPr>
              <w:t>15</w:t>
            </w:r>
            <w:r w:rsidR="00647845" w:rsidRPr="00CD33DD">
              <w:rPr>
                <w:rFonts w:cs="Arial"/>
                <w:noProof/>
                <w:sz w:val="44"/>
                <w:szCs w:val="44"/>
              </w:rPr>
              <w:t>275</w:t>
            </w:r>
          </w:p>
        </w:tc>
      </w:tr>
      <w:tr w:rsidR="002B7F49" w:rsidTr="006B4D91">
        <w:tc>
          <w:tcPr>
            <w:tcW w:w="8101" w:type="dxa"/>
            <w:shd w:val="clear" w:color="auto" w:fill="auto"/>
            <w:tcMar>
              <w:top w:w="170" w:type="dxa"/>
              <w:bottom w:w="510" w:type="dxa"/>
            </w:tcMar>
          </w:tcPr>
          <w:p w:rsidR="002B7F49" w:rsidRDefault="002B7F49" w:rsidP="006B4D91">
            <w:pPr>
              <w:pStyle w:val="DHHSmainsubheading"/>
              <w:rPr>
                <w:szCs w:val="28"/>
              </w:rPr>
            </w:pPr>
            <w:r>
              <w:rPr>
                <w:szCs w:val="28"/>
              </w:rPr>
              <w:t xml:space="preserve">Outcome objective: Victorians are healthy and well </w:t>
            </w:r>
          </w:p>
          <w:p w:rsidR="002B7F49" w:rsidRDefault="002B7F49" w:rsidP="006B4D91">
            <w:pPr>
              <w:pStyle w:val="DHHSmainsubheading"/>
              <w:rPr>
                <w:szCs w:val="28"/>
              </w:rPr>
            </w:pPr>
            <w:r>
              <w:rPr>
                <w:szCs w:val="28"/>
              </w:rPr>
              <w:t xml:space="preserve">Output group: </w:t>
            </w:r>
            <w:r w:rsidRPr="00177619">
              <w:rPr>
                <w:noProof/>
                <w:szCs w:val="28"/>
              </w:rPr>
              <w:t>Mental Health</w:t>
            </w:r>
          </w:p>
          <w:p w:rsidR="002B7F49" w:rsidRPr="00AD784C" w:rsidRDefault="002B7F49" w:rsidP="006B4D91">
            <w:pPr>
              <w:pStyle w:val="DHHSmainsubheading"/>
              <w:rPr>
                <w:szCs w:val="28"/>
              </w:rPr>
            </w:pPr>
            <w:r>
              <w:rPr>
                <w:szCs w:val="28"/>
              </w:rPr>
              <w:t xml:space="preserve">Output: </w:t>
            </w:r>
            <w:r w:rsidR="00647845">
              <w:rPr>
                <w:noProof/>
                <w:szCs w:val="28"/>
              </w:rPr>
              <w:t>Clinical</w:t>
            </w:r>
          </w:p>
        </w:tc>
      </w:tr>
    </w:tbl>
    <w:p w:rsidR="002B7F49" w:rsidRDefault="006B4D91" w:rsidP="00CD33DD">
      <w:pPr>
        <w:pStyle w:val="Heading1"/>
      </w:pPr>
      <w:r>
        <w:br w:type="textWrapping" w:clear="all"/>
      </w:r>
      <w:r w:rsidR="002B7F49" w:rsidRPr="00B70F76">
        <w:t>1.</w:t>
      </w:r>
      <w:r w:rsidR="002B7F49">
        <w:t xml:space="preserve"> Service Objective </w:t>
      </w:r>
    </w:p>
    <w:p w:rsidR="002B7F49" w:rsidRPr="002F14E7" w:rsidRDefault="00C00299" w:rsidP="002F14E7">
      <w:pPr>
        <w:pStyle w:val="DHHSbody"/>
        <w:rPr>
          <w:noProof/>
        </w:rPr>
      </w:pPr>
      <w:r w:rsidRPr="002F14E7">
        <w:rPr>
          <w:noProof/>
        </w:rPr>
        <w:t xml:space="preserve">The Carer Support Program aims to </w:t>
      </w:r>
      <w:r w:rsidR="002F14E7" w:rsidRPr="002F14E7">
        <w:rPr>
          <w:noProof/>
        </w:rPr>
        <w:t xml:space="preserve">improve the wellbeing of carers and </w:t>
      </w:r>
      <w:r w:rsidRPr="002F14E7">
        <w:rPr>
          <w:noProof/>
        </w:rPr>
        <w:t xml:space="preserve">assist </w:t>
      </w:r>
      <w:r w:rsidR="002F14E7" w:rsidRPr="002F14E7">
        <w:rPr>
          <w:noProof/>
        </w:rPr>
        <w:t>them</w:t>
      </w:r>
      <w:r w:rsidRPr="002F14E7">
        <w:rPr>
          <w:noProof/>
        </w:rPr>
        <w:t xml:space="preserve"> to fulfil their caring role</w:t>
      </w:r>
      <w:r w:rsidR="005C3C18">
        <w:rPr>
          <w:noProof/>
        </w:rPr>
        <w:t>.</w:t>
      </w:r>
    </w:p>
    <w:p w:rsidR="002B7F49" w:rsidRDefault="002B7F49" w:rsidP="00CD33DD">
      <w:pPr>
        <w:pStyle w:val="Heading1"/>
      </w:pPr>
      <w:r>
        <w:t>2</w:t>
      </w:r>
      <w:r w:rsidRPr="00B70F76">
        <w:t xml:space="preserve">. </w:t>
      </w:r>
      <w:r>
        <w:t>Description of the service</w:t>
      </w:r>
    </w:p>
    <w:p w:rsidR="00310FC9" w:rsidRDefault="0072058D" w:rsidP="00AA0F86">
      <w:pPr>
        <w:pStyle w:val="DHHSbody"/>
        <w:rPr>
          <w:noProof/>
        </w:rPr>
      </w:pPr>
      <w:r>
        <w:rPr>
          <w:noProof/>
        </w:rPr>
        <w:t xml:space="preserve">The Carer Support </w:t>
      </w:r>
      <w:r w:rsidR="00310FC9">
        <w:rPr>
          <w:noProof/>
        </w:rPr>
        <w:t xml:space="preserve">Program (specifically the Carer Support Fund) is available to parents and friends who are supporting someone </w:t>
      </w:r>
      <w:r w:rsidR="000D1016">
        <w:rPr>
          <w:noProof/>
        </w:rPr>
        <w:t>that</w:t>
      </w:r>
      <w:r w:rsidR="00310FC9">
        <w:rPr>
          <w:noProof/>
        </w:rPr>
        <w:t xml:space="preserve"> is receiving services from an Area Mental Health Service (AMHS). </w:t>
      </w:r>
    </w:p>
    <w:p w:rsidR="00310FC9" w:rsidRDefault="00310FC9" w:rsidP="00AA0F86">
      <w:pPr>
        <w:pStyle w:val="DHHSbody"/>
        <w:rPr>
          <w:noProof/>
        </w:rPr>
      </w:pPr>
      <w:r>
        <w:rPr>
          <w:noProof/>
        </w:rPr>
        <w:t>The fund is accessed via an application that is made by an AMHS. If the application meets the criteria as outlined in the guidelines, it is forwarded to Tandem Carers Inc. who administer the fund on behalf of AMHS.</w:t>
      </w:r>
    </w:p>
    <w:p w:rsidR="00310FC9" w:rsidRDefault="00310FC9" w:rsidP="00AA0F86">
      <w:pPr>
        <w:pStyle w:val="DHHSbody"/>
        <w:rPr>
          <w:noProof/>
        </w:rPr>
      </w:pPr>
      <w:r>
        <w:rPr>
          <w:noProof/>
        </w:rPr>
        <w:t>Activities that the fund can be used for are:</w:t>
      </w:r>
    </w:p>
    <w:p w:rsidR="002B7F49" w:rsidRDefault="00310FC9" w:rsidP="00CD33DD">
      <w:pPr>
        <w:pStyle w:val="DHHSbullet1"/>
      </w:pPr>
      <w:r>
        <w:t>Transport and/or costs associated with visiting the person they are supporting or accompanying them to medical appointments.</w:t>
      </w:r>
    </w:p>
    <w:p w:rsidR="00310FC9" w:rsidRDefault="00310FC9" w:rsidP="00CD33DD">
      <w:pPr>
        <w:pStyle w:val="DHHSbullet1"/>
      </w:pPr>
      <w:r>
        <w:t>Carer education programs that promote knowledge and understanding of mental illness and the mental health system.</w:t>
      </w:r>
    </w:p>
    <w:p w:rsidR="00310FC9" w:rsidRDefault="00310FC9" w:rsidP="00CD33DD">
      <w:pPr>
        <w:pStyle w:val="DHHSbullet1"/>
      </w:pPr>
      <w:r>
        <w:t>Respite.</w:t>
      </w:r>
    </w:p>
    <w:p w:rsidR="00310FC9" w:rsidRDefault="00310FC9" w:rsidP="00CD33DD">
      <w:pPr>
        <w:pStyle w:val="DHHSbullet1"/>
      </w:pPr>
      <w:r>
        <w:t>Counselling.</w:t>
      </w:r>
    </w:p>
    <w:p w:rsidR="00310FC9" w:rsidRDefault="00310FC9" w:rsidP="00CD33DD">
      <w:pPr>
        <w:pStyle w:val="DHHSbullet1"/>
      </w:pPr>
      <w:r>
        <w:t>Reimbursements of costs incurred on behalf of the person they care for.</w:t>
      </w:r>
    </w:p>
    <w:p w:rsidR="00310FC9" w:rsidRDefault="00310FC9" w:rsidP="00CD33DD">
      <w:pPr>
        <w:pStyle w:val="DHHSbullet1"/>
      </w:pPr>
      <w:r>
        <w:t>Wellbeing activities for carers.</w:t>
      </w:r>
    </w:p>
    <w:p w:rsidR="00310FC9" w:rsidRPr="00DF6BAF" w:rsidRDefault="00310FC9" w:rsidP="00CD33DD">
      <w:pPr>
        <w:pStyle w:val="DHHSbullet1lastline"/>
      </w:pPr>
      <w:r>
        <w:t>Sitting fees for carers who participate in systemic carer participation activities on behalf of mental health services.</w:t>
      </w:r>
    </w:p>
    <w:p w:rsidR="002B7F49" w:rsidRPr="00B70F76" w:rsidRDefault="002B7F49" w:rsidP="00CD33DD">
      <w:pPr>
        <w:pStyle w:val="Heading1"/>
      </w:pPr>
      <w:r>
        <w:t xml:space="preserve">3. </w:t>
      </w:r>
      <w:r w:rsidRPr="00B70F76">
        <w:t>Client group</w:t>
      </w:r>
    </w:p>
    <w:p w:rsidR="002B7F49" w:rsidRDefault="002B7F49" w:rsidP="00CD33DD">
      <w:pPr>
        <w:pStyle w:val="DHHSbody"/>
      </w:pPr>
      <w:r>
        <w:t xml:space="preserve">The client </w:t>
      </w:r>
      <w:proofErr w:type="gramStart"/>
      <w:r>
        <w:t>group</w:t>
      </w:r>
      <w:proofErr w:type="gramEnd"/>
      <w:r>
        <w:t xml:space="preserve"> this activity is targeted at </w:t>
      </w:r>
      <w:r w:rsidR="00310FC9">
        <w:t>is family and friends who are supporting a person who is receiving services from an Area Mental Health Service (excluding professional carers).</w:t>
      </w:r>
    </w:p>
    <w:p w:rsidR="002B7F49" w:rsidRDefault="002B7F49" w:rsidP="00CD33DD">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CD33DD">
      <w:pPr>
        <w:pStyle w:val="Heading2"/>
      </w:pPr>
      <w:r w:rsidRPr="001F3DE2">
        <w:t xml:space="preserve">4a.  Registration and Accreditation </w:t>
      </w:r>
    </w:p>
    <w:p w:rsidR="002B7F49" w:rsidRPr="00BD379B" w:rsidRDefault="00310FC9" w:rsidP="00BD379B">
      <w:pPr>
        <w:pStyle w:val="DHHSbullet1"/>
      </w:pPr>
      <w:r w:rsidRPr="00BD379B">
        <w:t>Applications must only be made by publicly run Area Mental Health Services.</w:t>
      </w:r>
    </w:p>
    <w:p w:rsidR="002B7F49" w:rsidRPr="00F733A1" w:rsidRDefault="002B7F49" w:rsidP="00CD33DD">
      <w:pPr>
        <w:pStyle w:val="Heading2"/>
      </w:pPr>
      <w:r w:rsidRPr="00F733A1">
        <w:t xml:space="preserve">4b. Program requirements and other policy guidelines </w:t>
      </w:r>
    </w:p>
    <w:p w:rsidR="002B7F49" w:rsidRPr="00CD33DD" w:rsidRDefault="00310FC9" w:rsidP="00CD33DD">
      <w:pPr>
        <w:pStyle w:val="DHHSbullet1"/>
        <w:rPr>
          <w:rStyle w:val="DHHSbodyChar"/>
        </w:rPr>
      </w:pPr>
      <w:r w:rsidRPr="00F733A1">
        <w:rPr>
          <w:rStyle w:val="DHHSbodyChar"/>
        </w:rPr>
        <w:t>All applications for funding must meet requirements of th</w:t>
      </w:r>
      <w:bookmarkStart w:id="0" w:name="_GoBack"/>
      <w:bookmarkEnd w:id="0"/>
      <w:r w:rsidRPr="00F733A1">
        <w:rPr>
          <w:rStyle w:val="DHHSbodyChar"/>
        </w:rPr>
        <w:t xml:space="preserve">e </w:t>
      </w:r>
      <w:hyperlink r:id="rId9" w:history="1">
        <w:r w:rsidRPr="00CD33DD">
          <w:rPr>
            <w:rStyle w:val="Hyperlink"/>
            <w:i/>
          </w:rPr>
          <w:t>Mental Health Carer Support Fund: Department of Health and Human Services guidelines</w:t>
        </w:r>
        <w:r w:rsidRPr="00CD33DD">
          <w:rPr>
            <w:rStyle w:val="Hyperlink"/>
          </w:rPr>
          <w:t>, July 2017.</w:t>
        </w:r>
      </w:hyperlink>
    </w:p>
    <w:p w:rsidR="00CD33DD" w:rsidRPr="00F733A1" w:rsidRDefault="00CD33DD" w:rsidP="00CD33DD">
      <w:pPr>
        <w:pStyle w:val="DHHSbullet1"/>
        <w:numPr>
          <w:ilvl w:val="0"/>
          <w:numId w:val="0"/>
        </w:numPr>
        <w:ind w:left="284"/>
        <w:rPr>
          <w:rStyle w:val="DHHSbodyChar"/>
        </w:rPr>
      </w:pPr>
      <w:r>
        <w:rPr>
          <w:rStyle w:val="DHHSbodyChar"/>
        </w:rPr>
        <w:t>&lt;</w:t>
      </w:r>
      <w:r w:rsidRPr="00CD33DD">
        <w:rPr>
          <w:rStyle w:val="DHHSbodyChar"/>
        </w:rPr>
        <w:t>https://www2.health.vic.gov.au/about/publications/researchandreports/Mental-Health-Carer-Support-Fund-Guidelines</w:t>
      </w:r>
      <w:r>
        <w:rPr>
          <w:rStyle w:val="DHHSbodyChar"/>
        </w:rPr>
        <w:t>&gt;</w:t>
      </w:r>
    </w:p>
    <w:p w:rsidR="002B7F49" w:rsidRPr="00575BC9" w:rsidRDefault="002B7F49" w:rsidP="00CD33DD">
      <w:pPr>
        <w:pStyle w:val="Heading1"/>
      </w:pPr>
      <w:r>
        <w:lastRenderedPageBreak/>
        <w:t>5. Performance</w:t>
      </w:r>
    </w:p>
    <w:p w:rsidR="002B7F49" w:rsidRPr="00120E2B" w:rsidRDefault="002B7F49" w:rsidP="00CD33DD">
      <w:pPr>
        <w:pStyle w:val="DHHSbody"/>
      </w:pPr>
      <w:r>
        <w:t>Funding is subject to achieving the</w:t>
      </w:r>
      <w:r w:rsidRPr="00171F04">
        <w:t xml:space="preserve"> </w:t>
      </w:r>
      <w:r>
        <w:t xml:space="preserve">performance targets specified in Schedule 2 of the Service Agreement. Performance is </w:t>
      </w:r>
      <w:r w:rsidRPr="00120E2B">
        <w:t xml:space="preserve">measured as follows:  </w:t>
      </w:r>
    </w:p>
    <w:p w:rsidR="002B7F49" w:rsidRPr="00120E2B" w:rsidRDefault="002B7F49" w:rsidP="00CD33DD">
      <w:pPr>
        <w:pStyle w:val="Heading2"/>
      </w:pPr>
      <w:r w:rsidRPr="00120E2B">
        <w:t>Key performance measure</w:t>
      </w:r>
      <w:r w:rsidR="00CD33DD">
        <w:t xml:space="preserve"> 1</w:t>
      </w:r>
      <w:r w:rsidRPr="00120E2B">
        <w:t xml:space="preserve">: </w:t>
      </w:r>
      <w:r w:rsidR="00F05831" w:rsidRPr="00120E2B">
        <w:rPr>
          <w:rStyle w:val="DHHSbodyChar"/>
        </w:rPr>
        <w:t>Percentage of requests processed within 10 days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120E2B" w:rsidRPr="00120E2B" w:rsidTr="00CD33DD">
        <w:trPr>
          <w:cantSplit/>
          <w:trHeight w:hRule="exact" w:val="340"/>
        </w:trPr>
        <w:tc>
          <w:tcPr>
            <w:tcW w:w="2835" w:type="dxa"/>
          </w:tcPr>
          <w:p w:rsidR="002B7F49" w:rsidRPr="00120E2B" w:rsidRDefault="002B7F49" w:rsidP="00CD33DD">
            <w:pPr>
              <w:pStyle w:val="DHHStablecolhead"/>
            </w:pPr>
            <w:r w:rsidRPr="00120E2B">
              <w:t>Aim/objective</w:t>
            </w:r>
          </w:p>
        </w:tc>
        <w:tc>
          <w:tcPr>
            <w:tcW w:w="7379" w:type="dxa"/>
          </w:tcPr>
          <w:p w:rsidR="002B7F49" w:rsidRPr="00120E2B" w:rsidRDefault="00F05831" w:rsidP="00CD33DD">
            <w:pPr>
              <w:pStyle w:val="DHHStabletext"/>
            </w:pPr>
            <w:r w:rsidRPr="00120E2B">
              <w:t>Aims to measure the number of requests that are processed within 10 days.</w:t>
            </w:r>
          </w:p>
        </w:tc>
      </w:tr>
      <w:tr w:rsidR="00120E2B" w:rsidRPr="00120E2B" w:rsidTr="00CD33DD">
        <w:trPr>
          <w:cantSplit/>
          <w:trHeight w:hRule="exact" w:val="340"/>
        </w:trPr>
        <w:tc>
          <w:tcPr>
            <w:tcW w:w="2835" w:type="dxa"/>
          </w:tcPr>
          <w:p w:rsidR="002B7F49" w:rsidRPr="00120E2B" w:rsidRDefault="002B7F49" w:rsidP="00CD33DD">
            <w:pPr>
              <w:pStyle w:val="DHHStablecolhead"/>
            </w:pPr>
            <w:r w:rsidRPr="00120E2B">
              <w:t>Target</w:t>
            </w:r>
          </w:p>
        </w:tc>
        <w:tc>
          <w:tcPr>
            <w:tcW w:w="7379" w:type="dxa"/>
          </w:tcPr>
          <w:p w:rsidR="002B7F49" w:rsidRPr="00120E2B" w:rsidRDefault="002B7F49" w:rsidP="00CD33DD">
            <w:pPr>
              <w:pStyle w:val="DHHStabletext"/>
            </w:pPr>
            <w:r w:rsidRPr="00120E2B">
              <w:t>The performance measure target is provided in the Service Agreement.</w:t>
            </w:r>
          </w:p>
        </w:tc>
      </w:tr>
      <w:tr w:rsidR="00120E2B" w:rsidRPr="00120E2B" w:rsidTr="00CD33DD">
        <w:trPr>
          <w:cantSplit/>
          <w:trHeight w:hRule="exact" w:val="340"/>
        </w:trPr>
        <w:tc>
          <w:tcPr>
            <w:tcW w:w="2835" w:type="dxa"/>
          </w:tcPr>
          <w:p w:rsidR="002B7F49" w:rsidRPr="00120E2B" w:rsidRDefault="002B7F49" w:rsidP="00CD33DD">
            <w:pPr>
              <w:pStyle w:val="DHHStablecolhead"/>
            </w:pPr>
            <w:r w:rsidRPr="00120E2B">
              <w:t>Type of count</w:t>
            </w:r>
          </w:p>
        </w:tc>
        <w:tc>
          <w:tcPr>
            <w:tcW w:w="7379" w:type="dxa"/>
          </w:tcPr>
          <w:p w:rsidR="002B7F49" w:rsidRPr="00120E2B" w:rsidRDefault="00243C8B" w:rsidP="00CD33DD">
            <w:pPr>
              <w:pStyle w:val="DHHStabletext"/>
            </w:pPr>
            <w:r w:rsidRPr="00120E2B">
              <w:fldChar w:fldCharType="begin">
                <w:ffData>
                  <w:name w:val="Check2"/>
                  <w:enabled/>
                  <w:calcOnExit w:val="0"/>
                  <w:checkBox>
                    <w:sizeAuto/>
                    <w:default w:val="1"/>
                  </w:checkBox>
                </w:ffData>
              </w:fldChar>
            </w:r>
            <w:bookmarkStart w:id="1" w:name="Check2"/>
            <w:r w:rsidRPr="00120E2B">
              <w:instrText xml:space="preserve"> FORMCHECKBOX </w:instrText>
            </w:r>
            <w:r w:rsidR="00BD379B">
              <w:fldChar w:fldCharType="separate"/>
            </w:r>
            <w:r w:rsidRPr="00120E2B">
              <w:fldChar w:fldCharType="end"/>
            </w:r>
            <w:bookmarkEnd w:id="1"/>
            <w:r w:rsidR="002B7F49" w:rsidRPr="00120E2B">
              <w:t xml:space="preserve"> Cumulative          </w:t>
            </w:r>
            <w:r w:rsidR="002B7F49" w:rsidRPr="00120E2B">
              <w:fldChar w:fldCharType="begin">
                <w:ffData>
                  <w:name w:val="Check2"/>
                  <w:enabled/>
                  <w:calcOnExit w:val="0"/>
                  <w:checkBox>
                    <w:sizeAuto/>
                    <w:default w:val="0"/>
                  </w:checkBox>
                </w:ffData>
              </w:fldChar>
            </w:r>
            <w:r w:rsidR="002B7F49" w:rsidRPr="00120E2B">
              <w:instrText xml:space="preserve"> FORMCHECKBOX </w:instrText>
            </w:r>
            <w:r w:rsidR="00BD379B">
              <w:fldChar w:fldCharType="separate"/>
            </w:r>
            <w:r w:rsidR="002B7F49" w:rsidRPr="00120E2B">
              <w:fldChar w:fldCharType="end"/>
            </w:r>
            <w:r w:rsidR="002B7F49" w:rsidRPr="00120E2B">
              <w:t xml:space="preserve"> Non-cumulative</w:t>
            </w:r>
          </w:p>
        </w:tc>
      </w:tr>
      <w:tr w:rsidR="00120E2B" w:rsidRPr="00120E2B" w:rsidTr="00CD33DD">
        <w:trPr>
          <w:cantSplit/>
          <w:trHeight w:hRule="exact" w:val="907"/>
        </w:trPr>
        <w:tc>
          <w:tcPr>
            <w:tcW w:w="2835" w:type="dxa"/>
          </w:tcPr>
          <w:p w:rsidR="002B7F49" w:rsidRPr="00120E2B" w:rsidRDefault="002B7F49" w:rsidP="00CD33DD">
            <w:pPr>
              <w:pStyle w:val="DHHStablecolhead"/>
            </w:pPr>
            <w:r w:rsidRPr="00120E2B">
              <w:t>Counting rule</w:t>
            </w:r>
          </w:p>
        </w:tc>
        <w:tc>
          <w:tcPr>
            <w:tcW w:w="7379" w:type="dxa"/>
          </w:tcPr>
          <w:p w:rsidR="002B7F49" w:rsidRPr="00120E2B" w:rsidRDefault="00F05831" w:rsidP="00CD33DD">
            <w:pPr>
              <w:pStyle w:val="DHHStabletext"/>
            </w:pPr>
            <w:r w:rsidRPr="00120E2B">
              <w:t>The day a request is received in the CSF system is considered day one of processing. A</w:t>
            </w:r>
            <w:r w:rsidR="006801F9" w:rsidRPr="00120E2B">
              <w:t xml:space="preserve"> request is considered ‘processed’ once the payment has been sent to the nominated bank account</w:t>
            </w:r>
            <w:r w:rsidR="00120E2B" w:rsidRPr="00120E2B">
              <w:t>.</w:t>
            </w:r>
          </w:p>
        </w:tc>
      </w:tr>
      <w:tr w:rsidR="00120E2B" w:rsidRPr="00120E2B" w:rsidTr="00CD33DD">
        <w:trPr>
          <w:cantSplit/>
          <w:trHeight w:hRule="exact" w:val="340"/>
        </w:trPr>
        <w:tc>
          <w:tcPr>
            <w:tcW w:w="2835" w:type="dxa"/>
          </w:tcPr>
          <w:p w:rsidR="002B7F49" w:rsidRPr="00120E2B" w:rsidRDefault="002B7F49" w:rsidP="00CD33DD">
            <w:pPr>
              <w:pStyle w:val="DHHStablecolhead"/>
            </w:pPr>
            <w:r w:rsidRPr="00120E2B">
              <w:t>Data source(s) collection</w:t>
            </w:r>
          </w:p>
        </w:tc>
        <w:tc>
          <w:tcPr>
            <w:tcW w:w="7379" w:type="dxa"/>
          </w:tcPr>
          <w:p w:rsidR="002B7F49" w:rsidRPr="00120E2B" w:rsidRDefault="006801F9" w:rsidP="00CD33DD">
            <w:pPr>
              <w:pStyle w:val="DHHStabletext"/>
            </w:pPr>
            <w:r w:rsidRPr="00120E2B">
              <w:t xml:space="preserve">Carer Support Fund </w:t>
            </w:r>
            <w:r w:rsidR="00120E2B" w:rsidRPr="00120E2B">
              <w:t>online database</w:t>
            </w:r>
          </w:p>
        </w:tc>
      </w:tr>
      <w:tr w:rsidR="00120E2B" w:rsidRPr="00120E2B" w:rsidTr="00CD33DD">
        <w:trPr>
          <w:cantSplit/>
          <w:trHeight w:hRule="exact" w:val="340"/>
        </w:trPr>
        <w:tc>
          <w:tcPr>
            <w:tcW w:w="2835" w:type="dxa"/>
          </w:tcPr>
          <w:p w:rsidR="002B7F49" w:rsidRPr="00120E2B" w:rsidRDefault="002B7F49" w:rsidP="00CD33DD">
            <w:pPr>
              <w:pStyle w:val="DHHStablecolhead"/>
            </w:pPr>
            <w:r w:rsidRPr="00120E2B">
              <w:t>Definition of terms</w:t>
            </w:r>
          </w:p>
        </w:tc>
        <w:tc>
          <w:tcPr>
            <w:tcW w:w="7379" w:type="dxa"/>
          </w:tcPr>
          <w:p w:rsidR="002B7F49" w:rsidRPr="00120E2B" w:rsidRDefault="002B7F49" w:rsidP="00CD33DD">
            <w:pPr>
              <w:pStyle w:val="DHHStabletext"/>
            </w:pPr>
          </w:p>
        </w:tc>
      </w:tr>
    </w:tbl>
    <w:p w:rsidR="002B7F49" w:rsidRPr="00120E2B" w:rsidRDefault="002B7F49" w:rsidP="00CD33DD">
      <w:pPr>
        <w:pStyle w:val="Heading1"/>
      </w:pPr>
      <w:r w:rsidRPr="00120E2B">
        <w:t>6. Data collection</w:t>
      </w:r>
    </w:p>
    <w:p w:rsidR="002B7F49" w:rsidRDefault="002B7F49" w:rsidP="00CD33DD">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rsidTr="00CD33DD">
        <w:trPr>
          <w:trHeight w:hRule="exact" w:val="340"/>
          <w:tblHeader/>
        </w:trPr>
        <w:tc>
          <w:tcPr>
            <w:tcW w:w="2580" w:type="dxa"/>
            <w:tcBorders>
              <w:bottom w:val="single" w:sz="4" w:space="0" w:color="auto"/>
            </w:tcBorders>
          </w:tcPr>
          <w:p w:rsidR="002B7F49" w:rsidRPr="00575BC9" w:rsidRDefault="002B7F49" w:rsidP="00CD33DD">
            <w:pPr>
              <w:pStyle w:val="DHHStablecolhead"/>
              <w:spacing w:before="0" w:after="0"/>
            </w:pPr>
            <w:r w:rsidRPr="00575BC9">
              <w:t>Data collection name</w:t>
            </w:r>
          </w:p>
        </w:tc>
        <w:tc>
          <w:tcPr>
            <w:tcW w:w="2580" w:type="dxa"/>
            <w:tcBorders>
              <w:bottom w:val="single" w:sz="4" w:space="0" w:color="auto"/>
            </w:tcBorders>
          </w:tcPr>
          <w:p w:rsidR="002B7F49" w:rsidRPr="00575BC9" w:rsidRDefault="002B7F49" w:rsidP="00CD33DD">
            <w:pPr>
              <w:pStyle w:val="DHHStablecolhead"/>
              <w:spacing w:before="0" w:after="0"/>
            </w:pPr>
            <w:r w:rsidRPr="00575BC9">
              <w:t xml:space="preserve">Data system </w:t>
            </w:r>
          </w:p>
        </w:tc>
        <w:tc>
          <w:tcPr>
            <w:tcW w:w="2580" w:type="dxa"/>
            <w:tcBorders>
              <w:bottom w:val="single" w:sz="4" w:space="0" w:color="auto"/>
            </w:tcBorders>
          </w:tcPr>
          <w:p w:rsidR="002B7F49" w:rsidRPr="00575BC9" w:rsidRDefault="002B7F49" w:rsidP="00CD33DD">
            <w:pPr>
              <w:pStyle w:val="DHHStablecolhead"/>
              <w:spacing w:before="0" w:after="0"/>
            </w:pPr>
            <w:r w:rsidRPr="00575BC9">
              <w:t xml:space="preserve">Data set </w:t>
            </w:r>
          </w:p>
        </w:tc>
        <w:tc>
          <w:tcPr>
            <w:tcW w:w="2508" w:type="dxa"/>
            <w:tcBorders>
              <w:bottom w:val="single" w:sz="4" w:space="0" w:color="auto"/>
            </w:tcBorders>
          </w:tcPr>
          <w:p w:rsidR="002B7F49" w:rsidRPr="00575BC9" w:rsidRDefault="002B7F49" w:rsidP="00CD33DD">
            <w:pPr>
              <w:pStyle w:val="DHHStablecolhead"/>
              <w:spacing w:before="0" w:after="0"/>
            </w:pPr>
            <w:r w:rsidRPr="00575BC9">
              <w:t>Reporting cycle</w:t>
            </w:r>
          </w:p>
        </w:tc>
      </w:tr>
      <w:tr w:rsidR="002B7F49" w:rsidRPr="00C237A0" w:rsidTr="00CD33DD">
        <w:tc>
          <w:tcPr>
            <w:tcW w:w="2580" w:type="dxa"/>
            <w:tcBorders>
              <w:top w:val="single" w:sz="4" w:space="0" w:color="auto"/>
              <w:left w:val="single" w:sz="4" w:space="0" w:color="auto"/>
              <w:bottom w:val="single" w:sz="4" w:space="0" w:color="auto"/>
              <w:right w:val="single" w:sz="4" w:space="0" w:color="auto"/>
            </w:tcBorders>
          </w:tcPr>
          <w:p w:rsidR="002B7F49" w:rsidRPr="002F7C4B" w:rsidRDefault="00243C8B" w:rsidP="00CD33DD">
            <w:pPr>
              <w:pStyle w:val="DHHSbody"/>
              <w:spacing w:after="0"/>
              <w:rPr>
                <w:color w:val="7030A0"/>
              </w:rPr>
            </w:pPr>
            <w:r w:rsidRPr="00243C8B">
              <w:t>Quarterly Data Collection (QDC)</w:t>
            </w:r>
          </w:p>
        </w:tc>
        <w:tc>
          <w:tcPr>
            <w:tcW w:w="2580" w:type="dxa"/>
            <w:tcBorders>
              <w:top w:val="single" w:sz="4" w:space="0" w:color="auto"/>
              <w:left w:val="single" w:sz="4" w:space="0" w:color="auto"/>
              <w:bottom w:val="single" w:sz="4" w:space="0" w:color="auto"/>
              <w:right w:val="single" w:sz="4" w:space="0" w:color="auto"/>
            </w:tcBorders>
          </w:tcPr>
          <w:p w:rsidR="002B7F49" w:rsidRPr="002F7C4B" w:rsidRDefault="00F733A1" w:rsidP="00CD33DD">
            <w:pPr>
              <w:pStyle w:val="DHHSbody"/>
              <w:spacing w:after="0"/>
              <w:rPr>
                <w:color w:val="7030A0"/>
              </w:rPr>
            </w:pPr>
            <w:r>
              <w:rPr>
                <w:color w:val="7030A0"/>
              </w:rPr>
              <w:t>E</w:t>
            </w:r>
            <w:r>
              <w:t>xcel spread sheet</w:t>
            </w:r>
            <w:r w:rsidR="002B7F49" w:rsidRPr="002F7C4B" w:rsidDel="00737838">
              <w:rPr>
                <w:color w:val="7030A0"/>
              </w:rPr>
              <w:t xml:space="preserve"> </w:t>
            </w:r>
          </w:p>
        </w:tc>
        <w:tc>
          <w:tcPr>
            <w:tcW w:w="2580" w:type="dxa"/>
            <w:tcBorders>
              <w:top w:val="single" w:sz="4" w:space="0" w:color="auto"/>
              <w:left w:val="single" w:sz="4" w:space="0" w:color="auto"/>
              <w:bottom w:val="single" w:sz="4" w:space="0" w:color="auto"/>
              <w:right w:val="single" w:sz="4" w:space="0" w:color="auto"/>
            </w:tcBorders>
          </w:tcPr>
          <w:p w:rsidR="002B7F49" w:rsidRDefault="000D1016" w:rsidP="00CD33DD">
            <w:pPr>
              <w:pStyle w:val="DHHSbody"/>
              <w:numPr>
                <w:ilvl w:val="0"/>
                <w:numId w:val="17"/>
              </w:numPr>
              <w:spacing w:after="0"/>
            </w:pPr>
            <w:r>
              <w:t>Quarterly voucher summary report</w:t>
            </w:r>
          </w:p>
          <w:p w:rsidR="000D1016" w:rsidRPr="000D1016" w:rsidRDefault="000D1016" w:rsidP="00CD33DD">
            <w:pPr>
              <w:pStyle w:val="DHHSbody"/>
              <w:numPr>
                <w:ilvl w:val="0"/>
                <w:numId w:val="17"/>
              </w:numPr>
              <w:spacing w:after="0"/>
            </w:pPr>
            <w:r>
              <w:t>Quarterly expenditure against budget by category report</w:t>
            </w:r>
          </w:p>
        </w:tc>
        <w:tc>
          <w:tcPr>
            <w:tcW w:w="2508" w:type="dxa"/>
            <w:tcBorders>
              <w:top w:val="single" w:sz="4" w:space="0" w:color="auto"/>
              <w:left w:val="single" w:sz="4" w:space="0" w:color="auto"/>
              <w:bottom w:val="single" w:sz="4" w:space="0" w:color="auto"/>
              <w:right w:val="single" w:sz="4" w:space="0" w:color="auto"/>
            </w:tcBorders>
          </w:tcPr>
          <w:p w:rsidR="002B7F49" w:rsidRPr="000D1016" w:rsidRDefault="00F733A1" w:rsidP="00CD33DD">
            <w:pPr>
              <w:pStyle w:val="DHHSbody"/>
              <w:spacing w:after="0"/>
            </w:pPr>
            <w:r w:rsidRPr="000D1016">
              <w:t>Quarterly</w:t>
            </w:r>
          </w:p>
        </w:tc>
      </w:tr>
    </w:tbl>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0639D7" w:rsidRDefault="000639D7" w:rsidP="000639D7">
            <w:pPr>
              <w:pStyle w:val="DHHSaccessibilitypara"/>
            </w:pPr>
            <w:r>
              <w:t xml:space="preserve">To receive this publication in an accessible format </w:t>
            </w:r>
            <w:hyperlink r:id="rId10" w:history="1">
              <w:r>
                <w:rPr>
                  <w:rStyle w:val="Hyperlink"/>
                </w:rPr>
                <w:t>email Service Agreement Policy</w:t>
              </w:r>
            </w:hyperlink>
            <w:r>
              <w:t xml:space="preserve"> &lt;</w:t>
            </w:r>
            <w:hyperlink r:id="rId11" w:history="1">
              <w:r>
                <w:rPr>
                  <w:rStyle w:val="Hyperlink"/>
                </w:rPr>
                <w:t>sapolicy@dhhs.vic.gov.au</w:t>
              </w:r>
            </w:hyperlink>
            <w:r>
              <w:t>&gt;</w:t>
            </w:r>
          </w:p>
          <w:p w:rsidR="000639D7" w:rsidRDefault="000639D7" w:rsidP="000639D7">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0639D7" w:rsidP="000639D7">
            <w:pPr>
              <w:pStyle w:val="DHHSbody"/>
              <w:spacing w:line="240" w:lineRule="auto"/>
            </w:pPr>
            <w:r>
              <w:t xml:space="preserve">Available on the department’s </w:t>
            </w:r>
            <w:hyperlink r:id="rId12" w:history="1">
              <w:r>
                <w:rPr>
                  <w:rStyle w:val="Hyperlink"/>
                </w:rPr>
                <w:t>Health and human services activity search</w:t>
              </w:r>
            </w:hyperlink>
            <w:r>
              <w:t xml:space="preserve"> &lt;</w:t>
            </w:r>
            <w:hyperlink r:id="rId13" w:history="1">
              <w:r>
                <w:rPr>
                  <w:rStyle w:val="Hyperlink"/>
                </w:rPr>
                <w:t>http://providers.dhhs.vic.gov.au/health-human-services-activity-search</w:t>
              </w:r>
            </w:hyperlink>
            <w:r>
              <w:rPr>
                <w:color w:val="000000"/>
              </w:rPr>
              <w:t>&gt;</w:t>
            </w:r>
          </w:p>
        </w:tc>
      </w:tr>
    </w:tbl>
    <w:p w:rsidR="002B7F49" w:rsidRDefault="002B7F49" w:rsidP="007B7E5D">
      <w:pPr>
        <w:rPr>
          <w:sz w:val="18"/>
          <w:szCs w:val="4"/>
        </w:rPr>
      </w:pPr>
    </w:p>
    <w:sectPr w:rsidR="002B7F49" w:rsidSect="00876486">
      <w:footerReference w:type="default" r:id="rId14"/>
      <w:footerReference w:type="first" r:id="rId15"/>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F49" w:rsidRDefault="002B7F49">
      <w:r>
        <w:separator/>
      </w:r>
    </w:p>
  </w:endnote>
  <w:endnote w:type="continuationSeparator" w:id="0">
    <w:p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E06429" w:rsidP="0051568D">
    <w:pPr>
      <w:pStyle w:val="DHHSfooter"/>
    </w:pPr>
    <w:r>
      <w:t>Activity Description</w:t>
    </w:r>
    <w:r w:rsidR="00CD33DD">
      <w:t xml:space="preserve"> (Health): Carer support fund</w:t>
    </w:r>
    <w:r>
      <w:t xml:space="preserve"> </w:t>
    </w:r>
    <w:r w:rsidR="00BB0FE3">
      <w:t>15</w:t>
    </w:r>
    <w:r w:rsidR="00F05831">
      <w:t>275</w:t>
    </w:r>
    <w:r>
      <w:tab/>
    </w:r>
    <w:r w:rsidR="00FE4946" w:rsidRPr="00A11421">
      <w:fldChar w:fldCharType="begin"/>
    </w:r>
    <w:r w:rsidR="00FE4946" w:rsidRPr="00A11421">
      <w:instrText xml:space="preserve"> PAGE </w:instrText>
    </w:r>
    <w:r w:rsidR="00FE4946" w:rsidRPr="00A11421">
      <w:fldChar w:fldCharType="separate"/>
    </w:r>
    <w:r w:rsidR="00243C8B">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F49" w:rsidRDefault="002B7F49" w:rsidP="002862F1">
      <w:pPr>
        <w:spacing w:before="120"/>
      </w:pPr>
      <w:r>
        <w:separator/>
      </w:r>
    </w:p>
  </w:footnote>
  <w:footnote w:type="continuationSeparator" w:id="0">
    <w:p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654615"/>
    <w:multiLevelType w:val="hybridMultilevel"/>
    <w:tmpl w:val="AF389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10416"/>
    <w:multiLevelType w:val="hybridMultilevel"/>
    <w:tmpl w:val="D7E64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1"/>
  </w:num>
  <w:num w:numId="10">
    <w:abstractNumId w:val="13"/>
  </w:num>
  <w:num w:numId="11">
    <w:abstractNumId w:val="6"/>
  </w:num>
  <w:num w:numId="12">
    <w:abstractNumId w:val="8"/>
  </w:num>
  <w:num w:numId="13">
    <w:abstractNumId w:val="4"/>
  </w:num>
  <w:num w:numId="14">
    <w:abstractNumId w:val="12"/>
  </w:num>
  <w:num w:numId="15">
    <w:abstractNumId w:val="2"/>
  </w:num>
  <w:num w:numId="16">
    <w:abstractNumId w:val="9"/>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39D7"/>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016"/>
    <w:rsid w:val="000D1242"/>
    <w:rsid w:val="000D3756"/>
    <w:rsid w:val="000E3CC7"/>
    <w:rsid w:val="000E6BD4"/>
    <w:rsid w:val="000F1F1E"/>
    <w:rsid w:val="000F2259"/>
    <w:rsid w:val="0010392D"/>
    <w:rsid w:val="0010447F"/>
    <w:rsid w:val="00104FE3"/>
    <w:rsid w:val="00120AF7"/>
    <w:rsid w:val="00120BD3"/>
    <w:rsid w:val="00120E2B"/>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3C8B"/>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0429"/>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14E7"/>
    <w:rsid w:val="002F5F31"/>
    <w:rsid w:val="002F5F46"/>
    <w:rsid w:val="002F7C4B"/>
    <w:rsid w:val="00302216"/>
    <w:rsid w:val="003033EA"/>
    <w:rsid w:val="00303E53"/>
    <w:rsid w:val="00306E5F"/>
    <w:rsid w:val="00307E14"/>
    <w:rsid w:val="00310FC9"/>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3C18"/>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47845"/>
    <w:rsid w:val="0065092E"/>
    <w:rsid w:val="006557A7"/>
    <w:rsid w:val="00656290"/>
    <w:rsid w:val="006621D7"/>
    <w:rsid w:val="0066302A"/>
    <w:rsid w:val="00670597"/>
    <w:rsid w:val="006706D0"/>
    <w:rsid w:val="00673455"/>
    <w:rsid w:val="00676C23"/>
    <w:rsid w:val="00677574"/>
    <w:rsid w:val="006801F9"/>
    <w:rsid w:val="0068454C"/>
    <w:rsid w:val="00691B62"/>
    <w:rsid w:val="00693D14"/>
    <w:rsid w:val="00694DAF"/>
    <w:rsid w:val="00697090"/>
    <w:rsid w:val="006A18C2"/>
    <w:rsid w:val="006A7939"/>
    <w:rsid w:val="006B077C"/>
    <w:rsid w:val="006B4D91"/>
    <w:rsid w:val="006B6803"/>
    <w:rsid w:val="006C5390"/>
    <w:rsid w:val="006C7A1F"/>
    <w:rsid w:val="006D2A3F"/>
    <w:rsid w:val="006D2FBC"/>
    <w:rsid w:val="006D72EA"/>
    <w:rsid w:val="006E138B"/>
    <w:rsid w:val="006F0FB0"/>
    <w:rsid w:val="006F1FDC"/>
    <w:rsid w:val="006F6592"/>
    <w:rsid w:val="007013EF"/>
    <w:rsid w:val="00706E3A"/>
    <w:rsid w:val="007173CA"/>
    <w:rsid w:val="0072058D"/>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1433"/>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486"/>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0FE3"/>
    <w:rsid w:val="00BB7A10"/>
    <w:rsid w:val="00BC7468"/>
    <w:rsid w:val="00BC7D4F"/>
    <w:rsid w:val="00BC7ED7"/>
    <w:rsid w:val="00BD2850"/>
    <w:rsid w:val="00BD379B"/>
    <w:rsid w:val="00BE28D2"/>
    <w:rsid w:val="00BE4A64"/>
    <w:rsid w:val="00BF7F58"/>
    <w:rsid w:val="00C00299"/>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3DD"/>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05831"/>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33A1"/>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CD33DD"/>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CD33D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D33D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CD33D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CD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48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oviders.dhhs.vic.gov.au/health-human-services-activity-search"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olicy@dhhs.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policy@dhhs.vic.gov.a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2.health.vic.gov.au/about/publications/researchandreports/Mental-Health-Carer-Support-Fund-Guidelin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90CFC86-F565-4878-81B2-221B7D81D0E5}">
  <ds:schemaRefs>
    <ds:schemaRef ds:uri="http://schemas.openxmlformats.org/officeDocument/2006/bibliography"/>
  </ds:schemaRefs>
</ds:datastoreItem>
</file>

<file path=customXml/itemProps2.xml><?xml version="1.0" encoding="utf-8"?>
<ds:datastoreItem xmlns:ds="http://schemas.openxmlformats.org/officeDocument/2006/customXml" ds:itemID="{40CC0071-E094-4F3D-9080-49F86E7A62BA}"/>
</file>

<file path=customXml/itemProps3.xml><?xml version="1.0" encoding="utf-8"?>
<ds:datastoreItem xmlns:ds="http://schemas.openxmlformats.org/officeDocument/2006/customXml" ds:itemID="{79E18BC6-906A-4FFC-9050-AC68A0E83FBE}"/>
</file>

<file path=customXml/itemProps4.xml><?xml version="1.0" encoding="utf-8"?>
<ds:datastoreItem xmlns:ds="http://schemas.openxmlformats.org/officeDocument/2006/customXml" ds:itemID="{6EC4EAA4-450F-440C-9DC3-FCBE642E16B4}"/>
</file>

<file path=docProps/app.xml><?xml version="1.0" encoding="utf-8"?>
<Properties xmlns="http://schemas.openxmlformats.org/officeDocument/2006/extended-properties" xmlns:vt="http://schemas.openxmlformats.org/officeDocument/2006/docPropsVTypes">
  <Template>DHHS Factsheet 01 Navy 2765.dot</Template>
  <TotalTime>3</TotalTime>
  <Pages>2</Pages>
  <Words>528</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Activity description health carer support fund 15275</vt:lpstr>
    </vt:vector>
  </TitlesOfParts>
  <Company>Department of Health and Human Services</Company>
  <LinksUpToDate>false</LinksUpToDate>
  <CharactersWithSpaces>4141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carer support fund 15275</dc:title>
  <dc:subject>service agreement activity descriptions</dc:subject>
  <dc:creator>Service Agreement Policy unit</dc:creator>
  <cp:keywords>service agreement; activity description; health; mental health; care support fund; 15275</cp:keywords>
  <cp:lastModifiedBy>Roxanne Manzie (DHHS)</cp:lastModifiedBy>
  <cp:revision>4</cp:revision>
  <cp:lastPrinted>2019-01-08T23:20:00Z</cp:lastPrinted>
  <dcterms:created xsi:type="dcterms:W3CDTF">2019-06-07T00:11:00Z</dcterms:created>
  <dcterms:modified xsi:type="dcterms:W3CDTF">2019-06-18T04:54:00Z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