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01"/>
      </w:tblGrid>
      <w:tr w:rsidR="002B7F49" w:rsidTr="007A2B53">
        <w:trPr>
          <w:trHeight w:val="1075"/>
        </w:trPr>
        <w:tc>
          <w:tcPr>
            <w:tcW w:w="8101" w:type="dxa"/>
            <w:shd w:val="clear" w:color="auto" w:fill="auto"/>
            <w:vAlign w:val="bottom"/>
          </w:tcPr>
          <w:p w:rsidR="002B7F49" w:rsidRPr="00E14DB3" w:rsidRDefault="002B7F49" w:rsidP="007A2B53">
            <w:pPr>
              <w:pStyle w:val="DHHSmainheading"/>
              <w:spacing w:line="270" w:lineRule="atLeast"/>
              <w:rPr>
                <w:sz w:val="44"/>
                <w:szCs w:val="44"/>
              </w:rPr>
            </w:pPr>
            <w:r w:rsidRPr="00E14DB3">
              <w:rPr>
                <w:noProof/>
                <w:color w:val="FFFFFF" w:themeColor="background1"/>
                <w:sz w:val="44"/>
                <w:szCs w:val="44"/>
                <w:lang w:eastAsia="en-AU"/>
              </w:rPr>
              <w:drawing>
                <wp:anchor distT="0" distB="0" distL="114300" distR="114300" simplePos="0" relativeHeight="251968512" behindDoc="1" locked="1" layoutInCell="0" allowOverlap="1" wp14:anchorId="0AE8589D" wp14:editId="0E9C3151">
                  <wp:simplePos x="0" y="0"/>
                  <wp:positionH relativeFrom="page">
                    <wp:posOffset>-533400</wp:posOffset>
                  </wp:positionH>
                  <wp:positionV relativeFrom="page">
                    <wp:posOffset>-370840</wp:posOffset>
                  </wp:positionV>
                  <wp:extent cx="7562850" cy="1981200"/>
                  <wp:effectExtent l="0" t="0" r="0" b="0"/>
                  <wp:wrapNone/>
                  <wp:docPr id="304" name="Picture 304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4DB3">
              <w:rPr>
                <w:rFonts w:cs="Arial"/>
                <w:noProof/>
                <w:sz w:val="44"/>
                <w:szCs w:val="44"/>
              </w:rPr>
              <w:t>Care and Recovery Coordination</w:t>
            </w:r>
            <w:r w:rsidRPr="00E14DB3">
              <w:rPr>
                <w:rFonts w:cs="Arial"/>
                <w:sz w:val="44"/>
                <w:szCs w:val="44"/>
              </w:rPr>
              <w:t xml:space="preserve"> </w:t>
            </w:r>
            <w:r w:rsidRPr="00E14DB3">
              <w:rPr>
                <w:rFonts w:cs="Arial"/>
                <w:sz w:val="44"/>
                <w:szCs w:val="44"/>
              </w:rPr>
              <w:br/>
            </w:r>
            <w:r w:rsidRPr="00E14DB3">
              <w:rPr>
                <w:rFonts w:cs="Arial"/>
                <w:noProof/>
                <w:sz w:val="44"/>
                <w:szCs w:val="44"/>
              </w:rPr>
              <w:t>34300</w:t>
            </w:r>
          </w:p>
        </w:tc>
      </w:tr>
      <w:tr w:rsidR="002B7F49" w:rsidTr="007A2B53">
        <w:tc>
          <w:tcPr>
            <w:tcW w:w="8101" w:type="dxa"/>
            <w:shd w:val="clear" w:color="auto" w:fill="auto"/>
            <w:tcMar>
              <w:top w:w="170" w:type="dxa"/>
              <w:bottom w:w="510" w:type="dxa"/>
            </w:tcMar>
          </w:tcPr>
          <w:p w:rsidR="002B7F49" w:rsidRDefault="002B7F49" w:rsidP="007A2B53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Outcome objective: Victorians are healthy and well </w:t>
            </w:r>
          </w:p>
          <w:p w:rsidR="002B7F49" w:rsidRDefault="002B7F49" w:rsidP="007A2B53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Output group: </w:t>
            </w:r>
            <w:r w:rsidRPr="00177619">
              <w:rPr>
                <w:noProof/>
                <w:szCs w:val="28"/>
              </w:rPr>
              <w:t>Drugs Services</w:t>
            </w:r>
          </w:p>
          <w:p w:rsidR="002B7F49" w:rsidRPr="00AD784C" w:rsidRDefault="002B7F49" w:rsidP="007A2B53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Output: </w:t>
            </w:r>
            <w:r w:rsidRPr="00177619">
              <w:rPr>
                <w:noProof/>
                <w:szCs w:val="28"/>
              </w:rPr>
              <w:t>Drug Treatment &amp; Rehabilitation</w:t>
            </w:r>
          </w:p>
        </w:tc>
      </w:tr>
    </w:tbl>
    <w:p w:rsidR="002B7F49" w:rsidRDefault="007A2B53" w:rsidP="00E14DB3">
      <w:pPr>
        <w:pStyle w:val="Heading1"/>
      </w:pPr>
      <w:r>
        <w:br w:type="textWrapping" w:clear="all"/>
      </w:r>
      <w:r w:rsidR="002B7F49" w:rsidRPr="00B70F76">
        <w:t>1.</w:t>
      </w:r>
      <w:r w:rsidR="002B7F49">
        <w:t xml:space="preserve"> Service Objective </w:t>
      </w:r>
    </w:p>
    <w:p w:rsidR="0049212B" w:rsidRPr="00704BCB" w:rsidRDefault="0049212B" w:rsidP="0049212B">
      <w:pPr>
        <w:pStyle w:val="DHHSBody0"/>
        <w:rPr>
          <w:lang w:eastAsia="en-AU"/>
        </w:rPr>
      </w:pPr>
      <w:r w:rsidRPr="00704BCB">
        <w:rPr>
          <w:lang w:eastAsia="en-AU"/>
        </w:rPr>
        <w:t>Care and Recovery Coordination facilitates seamless and integrated treatment pathways for complex clients and their families and improves access to other services and support systems in the community through a range of mechanisms including peer support options. </w:t>
      </w:r>
    </w:p>
    <w:p w:rsidR="0049212B" w:rsidRPr="00704BCB" w:rsidRDefault="0049212B" w:rsidP="0049212B">
      <w:pPr>
        <w:pStyle w:val="DHHSBody0"/>
        <w:rPr>
          <w:lang w:eastAsia="en-AU"/>
        </w:rPr>
      </w:pPr>
      <w:r w:rsidRPr="008E63BB">
        <w:rPr>
          <w:lang w:eastAsia="en-AU"/>
        </w:rPr>
        <w:t xml:space="preserve">This stream includes coordinating treatment planning and goal setting, and supported referral to services. Care and recovery coordination </w:t>
      </w:r>
      <w:proofErr w:type="gramStart"/>
      <w:r w:rsidRPr="008E63BB">
        <w:rPr>
          <w:lang w:eastAsia="en-AU"/>
        </w:rPr>
        <w:t>is</w:t>
      </w:r>
      <w:proofErr w:type="gramEnd"/>
      <w:r w:rsidRPr="008E63BB">
        <w:rPr>
          <w:lang w:eastAsia="en-AU"/>
        </w:rPr>
        <w:t xml:space="preserve"> an additional individualised and flexible support that supplements other AOD treatment services over a longer period. The duration and intensity of the service varies depending on a person’s need. Care and recovery coordination </w:t>
      </w:r>
      <w:proofErr w:type="gramStart"/>
      <w:r w:rsidRPr="008E63BB">
        <w:rPr>
          <w:lang w:eastAsia="en-AU"/>
        </w:rPr>
        <w:t>is</w:t>
      </w:r>
      <w:proofErr w:type="gramEnd"/>
      <w:r w:rsidRPr="008E63BB">
        <w:rPr>
          <w:lang w:eastAsia="en-AU"/>
        </w:rPr>
        <w:t xml:space="preserve"> available before, during and after a client's treatment for up to 12 months. </w:t>
      </w:r>
    </w:p>
    <w:p w:rsidR="002B7F49" w:rsidRDefault="002B7F49" w:rsidP="00E14DB3">
      <w:pPr>
        <w:pStyle w:val="Heading1"/>
      </w:pPr>
      <w:r>
        <w:t>2</w:t>
      </w:r>
      <w:r w:rsidRPr="00B70F76">
        <w:t xml:space="preserve">. </w:t>
      </w:r>
      <w:r>
        <w:t>Description of the service</w:t>
      </w:r>
    </w:p>
    <w:p w:rsidR="0049212B" w:rsidRPr="008E63BB" w:rsidRDefault="0049212B" w:rsidP="0049212B">
      <w:pPr>
        <w:pStyle w:val="DHHSBody0"/>
      </w:pPr>
      <w:r w:rsidRPr="008E63BB">
        <w:t xml:space="preserve">Care and recovery coordination </w:t>
      </w:r>
      <w:proofErr w:type="gramStart"/>
      <w:r w:rsidRPr="008E63BB">
        <w:t>seeks</w:t>
      </w:r>
      <w:proofErr w:type="gramEnd"/>
      <w:r w:rsidRPr="008E63BB">
        <w:t xml:space="preserve"> to support integrated treatment and care pathwa</w:t>
      </w:r>
      <w:r>
        <w:t>ys for the highest-need/</w:t>
      </w:r>
      <w:r w:rsidRPr="008E63BB">
        <w:t>risk clients within AOD treatment services, who require a coordinated care response by, at a minimum:</w:t>
      </w:r>
    </w:p>
    <w:p w:rsidR="0049212B" w:rsidRPr="008E63BB" w:rsidRDefault="0049212B" w:rsidP="0049212B">
      <w:pPr>
        <w:pStyle w:val="DHHSbullet1"/>
        <w:numPr>
          <w:ilvl w:val="0"/>
          <w:numId w:val="16"/>
        </w:numPr>
      </w:pPr>
      <w:r w:rsidRPr="008E63BB">
        <w:t>coordinating treatment planning and care in accordance with recovery goals</w:t>
      </w:r>
    </w:p>
    <w:p w:rsidR="0049212B" w:rsidRDefault="0049212B" w:rsidP="0049212B">
      <w:pPr>
        <w:pStyle w:val="DHHSbullet1"/>
        <w:numPr>
          <w:ilvl w:val="0"/>
          <w:numId w:val="16"/>
        </w:numPr>
      </w:pPr>
      <w:r w:rsidRPr="008E63BB">
        <w:t xml:space="preserve">supporting </w:t>
      </w:r>
      <w:r>
        <w:t xml:space="preserve">clients’ access to other health, human and </w:t>
      </w:r>
      <w:r w:rsidRPr="008E63BB">
        <w:t xml:space="preserve">support services </w:t>
      </w:r>
    </w:p>
    <w:p w:rsidR="0049212B" w:rsidRPr="008E63BB" w:rsidRDefault="0049212B" w:rsidP="0049212B">
      <w:pPr>
        <w:pStyle w:val="DHHSbullet1"/>
        <w:numPr>
          <w:ilvl w:val="0"/>
          <w:numId w:val="16"/>
        </w:numPr>
      </w:pPr>
      <w:r w:rsidRPr="008E63BB">
        <w:t>supporting meaningful involvement by the</w:t>
      </w:r>
      <w:r>
        <w:t xml:space="preserve"> client</w:t>
      </w:r>
      <w:r w:rsidRPr="008E63BB">
        <w:t xml:space="preserve"> and their family in care coordination and goal setting to maximise opportunities for meaningful social and </w:t>
      </w:r>
      <w:r>
        <w:t>economic participation</w:t>
      </w:r>
      <w:r w:rsidRPr="008E63BB">
        <w:t xml:space="preserve"> </w:t>
      </w:r>
    </w:p>
    <w:p w:rsidR="002B7F49" w:rsidRPr="00B70F76" w:rsidRDefault="002B7F49" w:rsidP="00E14DB3">
      <w:pPr>
        <w:pStyle w:val="Heading1"/>
      </w:pPr>
      <w:r>
        <w:t xml:space="preserve">3. </w:t>
      </w:r>
      <w:r w:rsidRPr="00B70F76">
        <w:t>Client group</w:t>
      </w:r>
    </w:p>
    <w:p w:rsidR="00704BCB" w:rsidRPr="008E63BB" w:rsidRDefault="00D4422B" w:rsidP="00E14DB3">
      <w:pPr>
        <w:pStyle w:val="DHHSbody"/>
      </w:pPr>
      <w:r w:rsidRPr="00D4422B">
        <w:t>The client group for this</w:t>
      </w:r>
      <w:r>
        <w:t xml:space="preserve"> activity are </w:t>
      </w:r>
      <w:r w:rsidR="00704BCB" w:rsidRPr="008E63BB">
        <w:t xml:space="preserve">people with </w:t>
      </w:r>
      <w:r w:rsidR="00ED2101">
        <w:t xml:space="preserve">the highest need or who are at </w:t>
      </w:r>
      <w:r w:rsidR="00704BCB" w:rsidRPr="008E63BB">
        <w:t xml:space="preserve">greatest risk. </w:t>
      </w:r>
    </w:p>
    <w:p w:rsidR="00704BCB" w:rsidRPr="008E63BB" w:rsidRDefault="00704BCB" w:rsidP="00E14DB3">
      <w:pPr>
        <w:pStyle w:val="DHHSbody"/>
      </w:pPr>
      <w:r w:rsidRPr="008E63BB">
        <w:t xml:space="preserve">People are referred for care and recovery coordination when the catchment-based </w:t>
      </w:r>
      <w:r w:rsidRPr="00A6757B">
        <w:t xml:space="preserve">intake </w:t>
      </w:r>
      <w:r w:rsidRPr="008E63BB">
        <w:t>service</w:t>
      </w:r>
      <w:r>
        <w:t xml:space="preserve"> or the assessment provider </w:t>
      </w:r>
      <w:r w:rsidRPr="008E63BB">
        <w:t>indicates that the</w:t>
      </w:r>
      <w:r>
        <w:t xml:space="preserve"> client </w:t>
      </w:r>
      <w:r w:rsidRPr="008E63BB">
        <w:t>requir</w:t>
      </w:r>
      <w:r>
        <w:t>es</w:t>
      </w:r>
      <w:r w:rsidRPr="008E63BB">
        <w:t xml:space="preserve"> complex</w:t>
      </w:r>
      <w:r>
        <w:t xml:space="preserve"> intervention</w:t>
      </w:r>
      <w:r w:rsidRPr="008E63BB">
        <w:t xml:space="preserve">. </w:t>
      </w:r>
      <w:r w:rsidRPr="008E63BB">
        <w:rPr>
          <w:lang w:val="en-US"/>
        </w:rPr>
        <w:t xml:space="preserve">Referrals may also be made through other treatment streams offered by treatment providers, for example, withdrawal services. </w:t>
      </w:r>
      <w:r w:rsidRPr="008E63BB">
        <w:t xml:space="preserve">People eligible for care and recovery coordination typically present with behaviours or conditions that: </w:t>
      </w:r>
    </w:p>
    <w:p w:rsidR="00704BCB" w:rsidRPr="008E63BB" w:rsidRDefault="00704BCB" w:rsidP="00704BCB">
      <w:pPr>
        <w:pStyle w:val="DHHSbullet1"/>
        <w:numPr>
          <w:ilvl w:val="0"/>
          <w:numId w:val="16"/>
        </w:numPr>
        <w:rPr>
          <w:lang w:eastAsia="en-AU"/>
        </w:rPr>
      </w:pPr>
      <w:r w:rsidRPr="008E63BB">
        <w:rPr>
          <w:lang w:eastAsia="en-AU"/>
        </w:rPr>
        <w:t xml:space="preserve">place the individual at high risk to self, to staff or the community </w:t>
      </w:r>
    </w:p>
    <w:p w:rsidR="00ED2101" w:rsidRDefault="00704BCB" w:rsidP="00ED2101">
      <w:pPr>
        <w:pStyle w:val="DHHSbullet1"/>
        <w:numPr>
          <w:ilvl w:val="0"/>
          <w:numId w:val="16"/>
        </w:numPr>
        <w:rPr>
          <w:lang w:eastAsia="en-AU"/>
        </w:rPr>
      </w:pPr>
      <w:r w:rsidRPr="008E63BB">
        <w:rPr>
          <w:lang w:eastAsia="en-AU"/>
        </w:rPr>
        <w:t>are identified at assessment as requiring a long-term s</w:t>
      </w:r>
      <w:r>
        <w:rPr>
          <w:lang w:eastAsia="en-AU"/>
        </w:rPr>
        <w:t>upportive service, often requiring</w:t>
      </w:r>
      <w:r w:rsidRPr="008E63BB">
        <w:rPr>
          <w:lang w:eastAsia="en-AU"/>
        </w:rPr>
        <w:t xml:space="preserve"> residential treatment</w:t>
      </w:r>
    </w:p>
    <w:p w:rsidR="002B7F49" w:rsidRPr="00ED2101" w:rsidRDefault="00704BCB" w:rsidP="00ED2101">
      <w:pPr>
        <w:pStyle w:val="DHHSbullet1"/>
        <w:numPr>
          <w:ilvl w:val="0"/>
          <w:numId w:val="16"/>
        </w:numPr>
        <w:rPr>
          <w:lang w:eastAsia="en-AU"/>
        </w:rPr>
      </w:pPr>
      <w:r w:rsidRPr="008E63BB">
        <w:t xml:space="preserve">are clients of, or recently discharged from, compulsory withdrawal treatment under the </w:t>
      </w:r>
      <w:r w:rsidR="00DF1B3E" w:rsidRPr="00ED2101">
        <w:rPr>
          <w:i/>
          <w:lang w:eastAsia="en-AU"/>
        </w:rPr>
        <w:t>Severe Substance Dependence Treatment Act 2010</w:t>
      </w:r>
      <w:r w:rsidR="00DF1B3E">
        <w:rPr>
          <w:lang w:eastAsia="en-AU"/>
        </w:rPr>
        <w:t xml:space="preserve"> </w:t>
      </w:r>
      <w:r w:rsidR="002C6571">
        <w:t>(SSDTA)</w:t>
      </w:r>
      <w:r w:rsidRPr="00ED2101">
        <w:rPr>
          <w:i/>
        </w:rPr>
        <w:t xml:space="preserve"> </w:t>
      </w:r>
    </w:p>
    <w:p w:rsidR="002B7F49" w:rsidRDefault="002B7F49" w:rsidP="00E14DB3">
      <w:pPr>
        <w:pStyle w:val="Heading1"/>
      </w:pPr>
      <w:r>
        <w:t>4. Obligations specific to this activity</w:t>
      </w:r>
    </w:p>
    <w:p w:rsidR="002B7F49" w:rsidRDefault="002B7F49" w:rsidP="007B7E5D">
      <w:pPr>
        <w:pStyle w:val="DHHSbody"/>
        <w:spacing w:beforeLines="40" w:before="96"/>
      </w:pPr>
      <w:r>
        <w:t>In addition to the obligations listed in the Service Agreement, organisations funded to deliver this activity must comply with the following:</w:t>
      </w:r>
    </w:p>
    <w:p w:rsidR="002B7F49" w:rsidRPr="001F3DE2" w:rsidRDefault="002B7F49" w:rsidP="00E14DB3">
      <w:pPr>
        <w:pStyle w:val="Heading2"/>
      </w:pPr>
      <w:r w:rsidRPr="001F3DE2">
        <w:t xml:space="preserve">4a.  Registration and Accreditation </w:t>
      </w:r>
    </w:p>
    <w:p w:rsidR="002C6571" w:rsidRPr="00A43184" w:rsidRDefault="002C6571" w:rsidP="00E14DB3">
      <w:pPr>
        <w:pStyle w:val="DHHSbullet1"/>
      </w:pPr>
      <w:bookmarkStart w:id="0" w:name="_Hlk3294814"/>
      <w:r w:rsidRPr="00E14DB3">
        <w:rPr>
          <w:rStyle w:val="DHHSbullet1Char"/>
        </w:rPr>
        <w:t xml:space="preserve">Funded AOD </w:t>
      </w:r>
      <w:r w:rsidR="0036333F" w:rsidRPr="00E14DB3">
        <w:rPr>
          <w:rStyle w:val="DHHSbullet1Char"/>
        </w:rPr>
        <w:t xml:space="preserve">treatment </w:t>
      </w:r>
      <w:r w:rsidRPr="00E14DB3">
        <w:rPr>
          <w:rStyle w:val="DHHSbullet1Char"/>
        </w:rPr>
        <w:t xml:space="preserve">services in Victoria must comply with the requirements of any relevant accreditations and standards. They must be, or able to be, accredited within generic accreditation frameworks by a certified entity. More information is available on the department’s </w:t>
      </w:r>
      <w:hyperlink r:id="rId9" w:history="1">
        <w:r w:rsidRPr="00E14DB3">
          <w:rPr>
            <w:rStyle w:val="Hyperlink"/>
          </w:rPr>
          <w:t>AOD service quality and accreditation</w:t>
        </w:r>
      </w:hyperlink>
      <w:r w:rsidRPr="00E14DB3">
        <w:rPr>
          <w:rStyle w:val="DHHSbullet1Char"/>
        </w:rPr>
        <w:t xml:space="preserve"> webpage.</w:t>
      </w:r>
      <w:r>
        <w:rPr>
          <w:rStyle w:val="Hyperlink"/>
        </w:rPr>
        <w:t xml:space="preserve"> </w:t>
      </w:r>
      <w:r>
        <w:lastRenderedPageBreak/>
        <w:t>&lt;</w:t>
      </w:r>
      <w:r w:rsidRPr="00480908">
        <w:t>https://www2.health.vic.gov.au/alcohol-and-drugs/aod-service-standards-guidelines/aod-service-quality-accreditation</w:t>
      </w:r>
      <w:r>
        <w:t>&gt;</w:t>
      </w:r>
      <w:bookmarkEnd w:id="0"/>
    </w:p>
    <w:p w:rsidR="002B7F49" w:rsidRPr="001F3DE2" w:rsidRDefault="002B7F49" w:rsidP="00E14DB3">
      <w:pPr>
        <w:pStyle w:val="Heading2"/>
      </w:pPr>
      <w:r w:rsidRPr="001F3DE2">
        <w:t xml:space="preserve">4b. Program requirements and other policy guidelines </w:t>
      </w:r>
    </w:p>
    <w:p w:rsidR="002C6571" w:rsidRPr="00460DB0" w:rsidRDefault="002C6571" w:rsidP="00E14DB3">
      <w:pPr>
        <w:pStyle w:val="DHHSbullet1"/>
        <w:rPr>
          <w:rStyle w:val="DHHSbodyChar"/>
          <w:color w:val="7030A0"/>
        </w:rPr>
      </w:pPr>
      <w:bookmarkStart w:id="1" w:name="_Hlk3294837"/>
      <w:r>
        <w:t>All AOD program requirements are contained in the AOD</w:t>
      </w:r>
      <w:r w:rsidRPr="00480908">
        <w:t xml:space="preserve"> program guidelines. </w:t>
      </w:r>
      <w:r>
        <w:t xml:space="preserve">These are available on the </w:t>
      </w:r>
      <w:hyperlink r:id="rId10" w:history="1">
        <w:r w:rsidRPr="008A4190">
          <w:rPr>
            <w:rStyle w:val="Hyperlink"/>
            <w:rFonts w:eastAsia="Times New Roman"/>
          </w:rPr>
          <w:t>department’s website.</w:t>
        </w:r>
      </w:hyperlink>
      <w:r>
        <w:t xml:space="preserve"> &lt;</w:t>
      </w:r>
      <w:r w:rsidRPr="00480908">
        <w:t>https://www2.health.vic.gov.au/alcohol-and-drugs/aod-service-standards-guidelines/aod-program-guidelines</w:t>
      </w:r>
      <w:r>
        <w:t>&gt;</w:t>
      </w:r>
    </w:p>
    <w:bookmarkEnd w:id="1"/>
    <w:p w:rsidR="002B7F49" w:rsidRPr="00575BC9" w:rsidRDefault="002B7F49" w:rsidP="00E14DB3">
      <w:pPr>
        <w:pStyle w:val="Heading1"/>
      </w:pPr>
      <w:r>
        <w:t>5. Performance</w:t>
      </w:r>
    </w:p>
    <w:p w:rsidR="002B7F49" w:rsidRPr="001F1A17" w:rsidRDefault="002B7F49" w:rsidP="00E14DB3">
      <w:pPr>
        <w:pStyle w:val="DHHSbody"/>
      </w:pPr>
      <w:r>
        <w:t>Funding is subject to achieving the</w:t>
      </w:r>
      <w:r w:rsidRPr="00171F04">
        <w:t xml:space="preserve"> </w:t>
      </w:r>
      <w:r>
        <w:t xml:space="preserve">performance targets specified in Schedule 2 of the Service Agreement. Performance is measured as follows:  </w:t>
      </w:r>
    </w:p>
    <w:p w:rsidR="002B7F49" w:rsidRPr="0028787C" w:rsidRDefault="002B7F49" w:rsidP="00E14DB3">
      <w:pPr>
        <w:pStyle w:val="Heading2"/>
      </w:pPr>
      <w:r>
        <w:t>Key performance measure</w:t>
      </w:r>
      <w:r w:rsidR="00E14DB3">
        <w:t xml:space="preserve"> 1</w:t>
      </w:r>
      <w:r w:rsidRPr="00575BC9">
        <w:t xml:space="preserve">: </w:t>
      </w:r>
      <w:r w:rsidR="0035163B">
        <w:t>Number of Drug Treatment Activity Units (DTAU)</w:t>
      </w: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9"/>
      </w:tblGrid>
      <w:tr w:rsidR="00C81374" w:rsidRPr="00C237A0" w:rsidTr="00E14DB3">
        <w:trPr>
          <w:cantSplit/>
          <w:trHeight w:hRule="exact" w:val="703"/>
        </w:trPr>
        <w:tc>
          <w:tcPr>
            <w:tcW w:w="2835" w:type="dxa"/>
          </w:tcPr>
          <w:p w:rsidR="00C81374" w:rsidRPr="0017293C" w:rsidRDefault="00C81374" w:rsidP="00C81374">
            <w:pPr>
              <w:pStyle w:val="DHHStablecolhead"/>
            </w:pPr>
            <w:r w:rsidRPr="00575BC9">
              <w:t>Aim/objective</w:t>
            </w:r>
          </w:p>
        </w:tc>
        <w:tc>
          <w:tcPr>
            <w:tcW w:w="7379" w:type="dxa"/>
          </w:tcPr>
          <w:p w:rsidR="00C81374" w:rsidRPr="002F7C4B" w:rsidRDefault="00C81374" w:rsidP="00E14DB3">
            <w:pPr>
              <w:pStyle w:val="DHHStabletext"/>
              <w:rPr>
                <w:color w:val="7030A0"/>
              </w:rPr>
            </w:pPr>
            <w:r w:rsidRPr="00311CDF">
              <w:t>To ensure that the service provider has delivered the quantity of services recorded in the service agreement.</w:t>
            </w:r>
          </w:p>
        </w:tc>
      </w:tr>
      <w:tr w:rsidR="00C81374" w:rsidRPr="00C237A0" w:rsidTr="00E14DB3">
        <w:trPr>
          <w:cantSplit/>
          <w:trHeight w:hRule="exact" w:val="340"/>
        </w:trPr>
        <w:tc>
          <w:tcPr>
            <w:tcW w:w="2835" w:type="dxa"/>
          </w:tcPr>
          <w:p w:rsidR="00C81374" w:rsidRPr="0017293C" w:rsidRDefault="00C81374" w:rsidP="00C81374">
            <w:pPr>
              <w:pStyle w:val="DHHStablecolhead"/>
            </w:pPr>
            <w:r w:rsidRPr="00575BC9">
              <w:t>Target</w:t>
            </w:r>
          </w:p>
        </w:tc>
        <w:tc>
          <w:tcPr>
            <w:tcW w:w="7379" w:type="dxa"/>
          </w:tcPr>
          <w:p w:rsidR="00C81374" w:rsidRPr="002F7C4B" w:rsidRDefault="00C81374" w:rsidP="00E14DB3">
            <w:pPr>
              <w:pStyle w:val="DHHStabletext"/>
              <w:rPr>
                <w:color w:val="7030A0"/>
              </w:rPr>
            </w:pPr>
            <w:r>
              <w:t>The performance measure target is provided in the Service Agreement.</w:t>
            </w:r>
          </w:p>
        </w:tc>
      </w:tr>
      <w:tr w:rsidR="00C81374" w:rsidRPr="00C237A0" w:rsidTr="00E14DB3">
        <w:trPr>
          <w:cantSplit/>
          <w:trHeight w:hRule="exact" w:val="340"/>
        </w:trPr>
        <w:tc>
          <w:tcPr>
            <w:tcW w:w="2835" w:type="dxa"/>
          </w:tcPr>
          <w:p w:rsidR="00C81374" w:rsidRPr="0017293C" w:rsidRDefault="00C81374" w:rsidP="00C81374">
            <w:pPr>
              <w:pStyle w:val="DHHStablecolhead"/>
            </w:pPr>
            <w:r w:rsidRPr="00575BC9">
              <w:t>Type of count</w:t>
            </w:r>
          </w:p>
        </w:tc>
        <w:tc>
          <w:tcPr>
            <w:tcW w:w="7379" w:type="dxa"/>
          </w:tcPr>
          <w:p w:rsidR="00C81374" w:rsidRPr="004F56E7" w:rsidRDefault="00C81374" w:rsidP="00E14DB3">
            <w:pPr>
              <w:pStyle w:val="DHHStabletext"/>
            </w:pPr>
            <w:r w:rsidRPr="004F56E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6E7">
              <w:instrText xml:space="preserve"> FORMCHECKBOX </w:instrText>
            </w:r>
            <w:r w:rsidR="00F45647">
              <w:fldChar w:fldCharType="separate"/>
            </w:r>
            <w:r w:rsidRPr="004F56E7">
              <w:fldChar w:fldCharType="end"/>
            </w:r>
            <w:r w:rsidRPr="004F56E7">
              <w:t xml:space="preserve"> Cumulative          </w:t>
            </w:r>
            <w:r w:rsidRPr="004F56E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 w:rsidRPr="004F56E7">
              <w:instrText xml:space="preserve"> FORMCHECKBOX </w:instrText>
            </w:r>
            <w:r w:rsidR="00F45647">
              <w:fldChar w:fldCharType="separate"/>
            </w:r>
            <w:r w:rsidRPr="004F56E7">
              <w:fldChar w:fldCharType="end"/>
            </w:r>
            <w:bookmarkEnd w:id="2"/>
            <w:r w:rsidRPr="004F56E7">
              <w:t xml:space="preserve"> Non-cumulative</w:t>
            </w:r>
          </w:p>
        </w:tc>
      </w:tr>
      <w:tr w:rsidR="00C81374" w:rsidRPr="00C237A0" w:rsidTr="00E14DB3">
        <w:trPr>
          <w:cantSplit/>
          <w:trHeight w:hRule="exact" w:val="1317"/>
        </w:trPr>
        <w:tc>
          <w:tcPr>
            <w:tcW w:w="2835" w:type="dxa"/>
          </w:tcPr>
          <w:p w:rsidR="00C81374" w:rsidRPr="0017293C" w:rsidRDefault="00C81374" w:rsidP="00C81374">
            <w:pPr>
              <w:pStyle w:val="DHHStablecolhead"/>
            </w:pPr>
            <w:r w:rsidRPr="00575BC9">
              <w:t>Counting rule</w:t>
            </w:r>
          </w:p>
        </w:tc>
        <w:tc>
          <w:tcPr>
            <w:tcW w:w="7379" w:type="dxa"/>
          </w:tcPr>
          <w:p w:rsidR="00C94729" w:rsidRDefault="00C94729" w:rsidP="00E14DB3">
            <w:pPr>
              <w:pStyle w:val="DHHStabletext"/>
            </w:pPr>
            <w:r>
              <w:t xml:space="preserve">Care and Recovery Coordination is counted on course of coordination. </w:t>
            </w:r>
          </w:p>
          <w:p w:rsidR="00C81374" w:rsidRPr="00C237A0" w:rsidRDefault="00C81374" w:rsidP="00E14DB3">
            <w:pPr>
              <w:pStyle w:val="DHHStabletext"/>
            </w:pPr>
            <w:r>
              <w:t xml:space="preserve">DTAUs and their operation are </w:t>
            </w:r>
            <w:r w:rsidR="00C94729">
              <w:t xml:space="preserve">further </w:t>
            </w:r>
            <w:r>
              <w:t xml:space="preserve">described in Part 3, Section 4.1 of the AOD program guidelines. These are available on the </w:t>
            </w:r>
            <w:hyperlink r:id="rId11" w:history="1">
              <w:r w:rsidRPr="00480908">
                <w:rPr>
                  <w:rStyle w:val="Hyperlink"/>
                </w:rPr>
                <w:t>department’s website</w:t>
              </w:r>
            </w:hyperlink>
            <w:r>
              <w:t>. &lt;</w:t>
            </w:r>
            <w:r w:rsidRPr="00480908">
              <w:t>https://www2.health.vic.gov.au/alcohol-and-drugs/aod-service-standards-guidelines/aod-program-guidelines</w:t>
            </w:r>
            <w:r>
              <w:t>&gt;</w:t>
            </w:r>
          </w:p>
        </w:tc>
      </w:tr>
      <w:tr w:rsidR="00C81374" w:rsidRPr="00C237A0" w:rsidTr="00E14DB3">
        <w:trPr>
          <w:cantSplit/>
          <w:trHeight w:hRule="exact" w:val="340"/>
        </w:trPr>
        <w:tc>
          <w:tcPr>
            <w:tcW w:w="2835" w:type="dxa"/>
          </w:tcPr>
          <w:p w:rsidR="00C81374" w:rsidRPr="0017293C" w:rsidRDefault="00C81374" w:rsidP="00C81374">
            <w:pPr>
              <w:pStyle w:val="DHHStablecolhead"/>
            </w:pPr>
            <w:r w:rsidRPr="00575BC9">
              <w:t>Data source(s) collection</w:t>
            </w:r>
          </w:p>
        </w:tc>
        <w:tc>
          <w:tcPr>
            <w:tcW w:w="7379" w:type="dxa"/>
          </w:tcPr>
          <w:p w:rsidR="00C81374" w:rsidRPr="002F7C4B" w:rsidRDefault="00C81374" w:rsidP="00E14DB3">
            <w:pPr>
              <w:pStyle w:val="DHHStabletext"/>
              <w:rPr>
                <w:color w:val="7030A0"/>
              </w:rPr>
            </w:pPr>
            <w:r w:rsidRPr="00C624B8">
              <w:t>The Victorian Alcohol and Drug Collection</w:t>
            </w:r>
          </w:p>
        </w:tc>
      </w:tr>
      <w:tr w:rsidR="00C81374" w:rsidRPr="00C237A0" w:rsidTr="00E14DB3">
        <w:trPr>
          <w:cantSplit/>
          <w:trHeight w:hRule="exact" w:val="1138"/>
        </w:trPr>
        <w:tc>
          <w:tcPr>
            <w:tcW w:w="2835" w:type="dxa"/>
          </w:tcPr>
          <w:p w:rsidR="00C81374" w:rsidRPr="0017293C" w:rsidRDefault="00C81374" w:rsidP="00C81374">
            <w:pPr>
              <w:pStyle w:val="DHHStablecolhead"/>
            </w:pPr>
            <w:r w:rsidRPr="00575BC9">
              <w:t>Definition of terms</w:t>
            </w:r>
          </w:p>
        </w:tc>
        <w:tc>
          <w:tcPr>
            <w:tcW w:w="7379" w:type="dxa"/>
          </w:tcPr>
          <w:p w:rsidR="00C81374" w:rsidRPr="002F7C4B" w:rsidRDefault="004E56CF" w:rsidP="00E14DB3">
            <w:pPr>
              <w:pStyle w:val="DHHStabletext"/>
              <w:rPr>
                <w:color w:val="7030A0"/>
              </w:rPr>
            </w:pPr>
            <w:r w:rsidRPr="004E56CF">
              <w:rPr>
                <w:rFonts w:cs="Arial"/>
              </w:rPr>
              <w:t>A DTAU unit is the measure used to quantify AOD service delivery. DTAUs have a fixed dollar value which is subject to indexation. Different activity types have different DTAU weightings and some priority populations attract an additional weighting.</w:t>
            </w:r>
          </w:p>
        </w:tc>
      </w:tr>
    </w:tbl>
    <w:p w:rsidR="002B7F49" w:rsidRPr="00575BC9" w:rsidRDefault="002B7F49" w:rsidP="00E14DB3">
      <w:pPr>
        <w:pStyle w:val="Heading1"/>
      </w:pPr>
      <w:r>
        <w:t>6. Data collection</w:t>
      </w:r>
    </w:p>
    <w:p w:rsidR="002B7F49" w:rsidRDefault="002B7F49" w:rsidP="00E14DB3">
      <w:pPr>
        <w:pStyle w:val="DHHSBody0"/>
      </w:pPr>
      <w:r>
        <w:t>The reporting requirements for this service are: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2580"/>
        <w:gridCol w:w="2580"/>
        <w:gridCol w:w="2508"/>
      </w:tblGrid>
      <w:tr w:rsidR="002B7F49" w:rsidRPr="00045493" w:rsidTr="00E14DB3">
        <w:trPr>
          <w:trHeight w:hRule="exact" w:val="340"/>
          <w:tblHeader/>
        </w:trPr>
        <w:tc>
          <w:tcPr>
            <w:tcW w:w="2580" w:type="dxa"/>
          </w:tcPr>
          <w:p w:rsidR="002B7F49" w:rsidRPr="00575BC9" w:rsidRDefault="002B7F49" w:rsidP="0017293C">
            <w:pPr>
              <w:pStyle w:val="DHHStablecolhead"/>
              <w:spacing w:before="0" w:after="0"/>
            </w:pPr>
            <w:r w:rsidRPr="00575BC9">
              <w:t>Data collection name</w:t>
            </w:r>
          </w:p>
        </w:tc>
        <w:tc>
          <w:tcPr>
            <w:tcW w:w="2580" w:type="dxa"/>
          </w:tcPr>
          <w:p w:rsidR="002B7F49" w:rsidRPr="00575BC9" w:rsidRDefault="002B7F49" w:rsidP="0017293C">
            <w:pPr>
              <w:pStyle w:val="DHHStablecolhead"/>
              <w:spacing w:before="0" w:after="0"/>
            </w:pPr>
            <w:r w:rsidRPr="00575BC9">
              <w:t xml:space="preserve">Data system </w:t>
            </w:r>
          </w:p>
        </w:tc>
        <w:tc>
          <w:tcPr>
            <w:tcW w:w="2580" w:type="dxa"/>
          </w:tcPr>
          <w:p w:rsidR="002B7F49" w:rsidRPr="00575BC9" w:rsidRDefault="002B7F49" w:rsidP="0017293C">
            <w:pPr>
              <w:pStyle w:val="DHHStablecolhead"/>
              <w:spacing w:before="0" w:after="0"/>
            </w:pPr>
            <w:r w:rsidRPr="00575BC9">
              <w:t xml:space="preserve">Data set </w:t>
            </w:r>
          </w:p>
        </w:tc>
        <w:tc>
          <w:tcPr>
            <w:tcW w:w="2508" w:type="dxa"/>
          </w:tcPr>
          <w:p w:rsidR="002B7F49" w:rsidRPr="00575BC9" w:rsidRDefault="002B7F49" w:rsidP="0017293C">
            <w:pPr>
              <w:pStyle w:val="DHHStablecolhead"/>
              <w:spacing w:before="0" w:after="0"/>
            </w:pPr>
            <w:r w:rsidRPr="00575BC9">
              <w:t>Reporting cycle</w:t>
            </w:r>
          </w:p>
        </w:tc>
      </w:tr>
      <w:tr w:rsidR="005B0412" w:rsidRPr="00C237A0" w:rsidTr="00E14DB3">
        <w:trPr>
          <w:trHeight w:val="1576"/>
        </w:trPr>
        <w:tc>
          <w:tcPr>
            <w:tcW w:w="2580" w:type="dxa"/>
          </w:tcPr>
          <w:p w:rsidR="005B0412" w:rsidRPr="002F7C4B" w:rsidRDefault="005B0412" w:rsidP="00E14DB3">
            <w:pPr>
              <w:pStyle w:val="DHHStabletext"/>
              <w:rPr>
                <w:color w:val="7030A0"/>
              </w:rPr>
            </w:pPr>
            <w:r w:rsidRPr="00DC6292">
              <w:t>Victorian Alcohol and Drug Collection</w:t>
            </w:r>
            <w:r>
              <w:t xml:space="preserve"> (VADC)</w:t>
            </w:r>
          </w:p>
        </w:tc>
        <w:tc>
          <w:tcPr>
            <w:tcW w:w="2580" w:type="dxa"/>
          </w:tcPr>
          <w:p w:rsidR="005B0412" w:rsidRPr="00311CDF" w:rsidRDefault="005B0412" w:rsidP="00E14DB3">
            <w:pPr>
              <w:pStyle w:val="DHHStabletext"/>
            </w:pPr>
            <w:r w:rsidRPr="00311CDF">
              <w:t xml:space="preserve">Various </w:t>
            </w:r>
            <w:r>
              <w:t>– Service providers are required to integrate the VADC into their own client management systems</w:t>
            </w:r>
          </w:p>
        </w:tc>
        <w:tc>
          <w:tcPr>
            <w:tcW w:w="2580" w:type="dxa"/>
          </w:tcPr>
          <w:p w:rsidR="005B0412" w:rsidRPr="00311CDF" w:rsidRDefault="005B0412" w:rsidP="00E14DB3">
            <w:pPr>
              <w:pStyle w:val="DHHStabletext"/>
            </w:pPr>
            <w:r w:rsidRPr="00311CDF">
              <w:t>Not applicable</w:t>
            </w:r>
          </w:p>
        </w:tc>
        <w:tc>
          <w:tcPr>
            <w:tcW w:w="2508" w:type="dxa"/>
          </w:tcPr>
          <w:p w:rsidR="005B0412" w:rsidRPr="00311CDF" w:rsidRDefault="005B0412" w:rsidP="00E14DB3">
            <w:pPr>
              <w:pStyle w:val="DHHStabletext"/>
            </w:pPr>
            <w:r>
              <w:t>Monthly</w:t>
            </w:r>
          </w:p>
        </w:tc>
      </w:tr>
    </w:tbl>
    <w:p w:rsidR="002B7F49" w:rsidRDefault="002B7F49" w:rsidP="007B7E5D">
      <w:pPr>
        <w:rPr>
          <w:sz w:val="18"/>
          <w:szCs w:val="4"/>
        </w:rPr>
      </w:pPr>
    </w:p>
    <w:p w:rsidR="002B7F49" w:rsidRDefault="002B7F49" w:rsidP="007B7E5D">
      <w:pPr>
        <w:rPr>
          <w:sz w:val="18"/>
          <w:szCs w:val="4"/>
        </w:rPr>
      </w:pPr>
    </w:p>
    <w:tbl>
      <w:tblPr>
        <w:tblW w:w="5000" w:type="pct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194"/>
      </w:tblGrid>
      <w:tr w:rsidR="002B7F49" w:rsidRPr="002802E3" w:rsidTr="00694DAF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647" w:rsidRDefault="00F45647" w:rsidP="00F45647">
            <w:pPr>
              <w:pStyle w:val="DHHSaccessibilitypara"/>
            </w:pPr>
            <w:r>
              <w:t xml:space="preserve">To receive this publication in an accessible format </w:t>
            </w:r>
            <w:hyperlink r:id="rId12" w:history="1">
              <w:r>
                <w:rPr>
                  <w:rStyle w:val="Hyperlink"/>
                </w:rPr>
                <w:t>email Service Agreement Policy</w:t>
              </w:r>
            </w:hyperlink>
            <w:r>
              <w:t xml:space="preserve"> &lt;</w:t>
            </w:r>
            <w:hyperlink r:id="rId13" w:history="1">
              <w:r>
                <w:rPr>
                  <w:rStyle w:val="Hyperlink"/>
                </w:rPr>
                <w:t>sapolicy@dhhs.vic.gov.au</w:t>
              </w:r>
            </w:hyperlink>
            <w:r>
              <w:t>&gt;</w:t>
            </w:r>
          </w:p>
          <w:p w:rsidR="00F45647" w:rsidRDefault="00F45647" w:rsidP="00F45647">
            <w:pPr>
              <w:pStyle w:val="DHHS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Authorised and published by the Victorian Government, 1 Treasury Place, Melbourne. © State of Victoria, Department of Health and Human Services, July 2019. Where the term ‘Aboriginal’ is used it refers to both</w:t>
            </w:r>
            <w:bookmarkStart w:id="3" w:name="_GoBack"/>
            <w:bookmarkEnd w:id="3"/>
            <w:r>
              <w:rPr>
                <w:sz w:val="16"/>
                <w:szCs w:val="16"/>
              </w:rPr>
              <w:t xml:space="preserve"> Aboriginal and Torres Strait Islander people. Indigenous is retained when it is part of the title of a report, program or quotation. ISSN 2207-8347 (online/PDF/Word)</w:t>
            </w:r>
          </w:p>
          <w:p w:rsidR="002B7F49" w:rsidRPr="00CA4422" w:rsidRDefault="00F45647" w:rsidP="00F45647">
            <w:pPr>
              <w:pStyle w:val="DHHSbody"/>
              <w:spacing w:line="240" w:lineRule="auto"/>
            </w:pPr>
            <w:r>
              <w:t xml:space="preserve">Available on the department’s </w:t>
            </w:r>
            <w:hyperlink r:id="rId14" w:history="1">
              <w:r>
                <w:rPr>
                  <w:rStyle w:val="Hyperlink"/>
                </w:rPr>
                <w:t>Health and human services activity search</w:t>
              </w:r>
            </w:hyperlink>
            <w:r>
              <w:t xml:space="preserve"> &lt;</w:t>
            </w:r>
            <w:hyperlink r:id="rId15" w:history="1">
              <w:r w:rsidRPr="00F45647">
                <w:t>http://providers.dhhs.vic.gov.au/health-human-services-activity-search</w:t>
              </w:r>
            </w:hyperlink>
            <w:r w:rsidRPr="00F45647">
              <w:t>&gt;</w:t>
            </w:r>
          </w:p>
        </w:tc>
      </w:tr>
    </w:tbl>
    <w:p w:rsidR="002B7F49" w:rsidRDefault="002B7F49" w:rsidP="007B7E5D">
      <w:pPr>
        <w:rPr>
          <w:sz w:val="18"/>
          <w:szCs w:val="4"/>
        </w:rPr>
      </w:pPr>
    </w:p>
    <w:sectPr w:rsidR="002B7F49" w:rsidSect="00621D1A">
      <w:footerReference w:type="default" r:id="rId16"/>
      <w:footerReference w:type="first" r:id="rId17"/>
      <w:pgSz w:w="11906" w:h="16838" w:code="9"/>
      <w:pgMar w:top="567" w:right="851" w:bottom="1134" w:left="851" w:header="567" w:footer="510" w:gutter="0"/>
      <w:pgNumType w:start="1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F49" w:rsidRDefault="002B7F49">
      <w:r>
        <w:separator/>
      </w:r>
    </w:p>
  </w:endnote>
  <w:endnote w:type="continuationSeparator" w:id="0">
    <w:p w:rsidR="002B7F49" w:rsidRDefault="002B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946" w:rsidRPr="00A11421" w:rsidRDefault="00E06429" w:rsidP="0051568D">
    <w:pPr>
      <w:pStyle w:val="DHHSfooter"/>
    </w:pPr>
    <w:r>
      <w:t>Activity Description</w:t>
    </w:r>
    <w:r w:rsidR="00F45647">
      <w:t xml:space="preserve"> </w:t>
    </w:r>
    <w:proofErr w:type="gramStart"/>
    <w:r w:rsidR="00F45647">
      <w:t>(</w:t>
    </w:r>
    <w:r w:rsidR="00F45647" w:rsidRPr="00F45647">
      <w:t xml:space="preserve"> health</w:t>
    </w:r>
    <w:proofErr w:type="gramEnd"/>
    <w:r w:rsidR="00F45647">
      <w:t xml:space="preserve">): </w:t>
    </w:r>
    <w:r w:rsidR="00F45647" w:rsidRPr="00F45647">
      <w:t>Care and Recovery Coordination</w:t>
    </w:r>
    <w:r w:rsidR="00F45647">
      <w:t xml:space="preserve"> </w:t>
    </w:r>
    <w:r w:rsidR="00F45647" w:rsidRPr="00F45647">
      <w:t>34300</w:t>
    </w:r>
    <w:r>
      <w:tab/>
    </w:r>
    <w:r w:rsidR="00FE4946" w:rsidRPr="00A11421">
      <w:fldChar w:fldCharType="begin"/>
    </w:r>
    <w:r w:rsidR="00FE4946" w:rsidRPr="00A11421">
      <w:instrText xml:space="preserve"> PAGE </w:instrText>
    </w:r>
    <w:r w:rsidR="00FE4946" w:rsidRPr="00A11421">
      <w:fldChar w:fldCharType="separate"/>
    </w:r>
    <w:r w:rsidR="00946B0B">
      <w:rPr>
        <w:noProof/>
      </w:rPr>
      <w:t>2</w:t>
    </w:r>
    <w:r w:rsidR="00FE4946" w:rsidRPr="00A1142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946" w:rsidRDefault="00FE4946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0" allowOverlap="1" wp14:anchorId="37CCE496" wp14:editId="4A6A26AF">
          <wp:simplePos x="0" y="0"/>
          <wp:positionH relativeFrom="page">
            <wp:posOffset>-635</wp:posOffset>
          </wp:positionH>
          <wp:positionV relativeFrom="page">
            <wp:posOffset>9893935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F49" w:rsidRDefault="002B7F49" w:rsidP="002862F1">
      <w:pPr>
        <w:spacing w:before="120"/>
      </w:pPr>
      <w:r>
        <w:separator/>
      </w:r>
    </w:p>
  </w:footnote>
  <w:footnote w:type="continuationSeparator" w:id="0">
    <w:p w:rsidR="002B7F49" w:rsidRDefault="002B7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2A816D8"/>
    <w:multiLevelType w:val="hybridMultilevel"/>
    <w:tmpl w:val="1638B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0FDB7830"/>
    <w:multiLevelType w:val="hybridMultilevel"/>
    <w:tmpl w:val="27962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4177450F"/>
    <w:multiLevelType w:val="hybridMultilevel"/>
    <w:tmpl w:val="1C64B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60A89"/>
    <w:multiLevelType w:val="hybridMultilevel"/>
    <w:tmpl w:val="A31864C2"/>
    <w:lvl w:ilvl="0" w:tplc="81DE8526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F6F79F3"/>
    <w:multiLevelType w:val="hybridMultilevel"/>
    <w:tmpl w:val="34BC91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27816"/>
    <w:multiLevelType w:val="hybridMultilevel"/>
    <w:tmpl w:val="B3ECD9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673831"/>
    <w:multiLevelType w:val="hybridMultilevel"/>
    <w:tmpl w:val="A2144A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4"/>
  </w:num>
  <w:num w:numId="14">
    <w:abstractNumId w:val="10"/>
  </w:num>
  <w:num w:numId="15">
    <w:abstractNumId w:val="2"/>
  </w:num>
  <w:num w:numId="16">
    <w:abstractNumId w:val="8"/>
    <w:lvlOverride w:ilvl="0">
      <w:lvl w:ilvl="0">
        <w:start w:val="1"/>
        <w:numFmt w:val="bullet"/>
        <w:pStyle w:val="DHHSbullet1"/>
        <w:lvlText w:val="•"/>
        <w:lvlJc w:val="left"/>
        <w:pPr>
          <w:ind w:left="284" w:hanging="284"/>
        </w:pPr>
        <w:rPr>
          <w:rFonts w:ascii="Arial" w:hAnsi="Arial" w:cs="Arial" w:hint="default"/>
          <w:sz w:val="20"/>
          <w:szCs w:val="20"/>
        </w:rPr>
      </w:lvl>
    </w:lvlOverride>
    <w:lvlOverride w:ilvl="1">
      <w:lvl w:ilvl="1">
        <w:start w:val="1"/>
        <w:numFmt w:val="bullet"/>
        <w:lvlRestart w:val="0"/>
        <w:pStyle w:val="DHHSbullet1lastline"/>
        <w:lvlText w:val="•"/>
        <w:lvlJc w:val="left"/>
        <w:pPr>
          <w:ind w:left="284" w:hanging="284"/>
        </w:pPr>
        <w:rPr>
          <w:rFonts w:ascii="Arial" w:hAnsi="Arial" w:cs="Arial" w:hint="default"/>
          <w:sz w:val="20"/>
          <w:szCs w:val="20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76"/>
    <w:rsid w:val="00006D4D"/>
    <w:rsid w:val="000072B6"/>
    <w:rsid w:val="0001021B"/>
    <w:rsid w:val="00011D89"/>
    <w:rsid w:val="000214DC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667DA"/>
    <w:rsid w:val="000733FE"/>
    <w:rsid w:val="00074219"/>
    <w:rsid w:val="00074ED5"/>
    <w:rsid w:val="0009038C"/>
    <w:rsid w:val="0009113B"/>
    <w:rsid w:val="000918C3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D3756"/>
    <w:rsid w:val="000D7A0C"/>
    <w:rsid w:val="000E3CC7"/>
    <w:rsid w:val="000E6BD4"/>
    <w:rsid w:val="000F1F1E"/>
    <w:rsid w:val="000F2259"/>
    <w:rsid w:val="0010392D"/>
    <w:rsid w:val="0010447F"/>
    <w:rsid w:val="00104FE3"/>
    <w:rsid w:val="00120AF7"/>
    <w:rsid w:val="00120BD3"/>
    <w:rsid w:val="00121D8F"/>
    <w:rsid w:val="00122FEA"/>
    <w:rsid w:val="001232BD"/>
    <w:rsid w:val="00124ED5"/>
    <w:rsid w:val="001447B3"/>
    <w:rsid w:val="00152073"/>
    <w:rsid w:val="00161939"/>
    <w:rsid w:val="00161AA0"/>
    <w:rsid w:val="00162093"/>
    <w:rsid w:val="0017293C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1970"/>
    <w:rsid w:val="001C277E"/>
    <w:rsid w:val="001C2A72"/>
    <w:rsid w:val="001C4E83"/>
    <w:rsid w:val="001D0B75"/>
    <w:rsid w:val="001D3C09"/>
    <w:rsid w:val="001D44E8"/>
    <w:rsid w:val="001D60EC"/>
    <w:rsid w:val="001D6894"/>
    <w:rsid w:val="001E44DF"/>
    <w:rsid w:val="001E68A5"/>
    <w:rsid w:val="001E6BB0"/>
    <w:rsid w:val="001F3826"/>
    <w:rsid w:val="001F4B92"/>
    <w:rsid w:val="001F6E46"/>
    <w:rsid w:val="001F7C91"/>
    <w:rsid w:val="00206463"/>
    <w:rsid w:val="00206F2F"/>
    <w:rsid w:val="0021053D"/>
    <w:rsid w:val="00210A92"/>
    <w:rsid w:val="00213659"/>
    <w:rsid w:val="00216C03"/>
    <w:rsid w:val="00220C04"/>
    <w:rsid w:val="0022278D"/>
    <w:rsid w:val="0022701F"/>
    <w:rsid w:val="002333F5"/>
    <w:rsid w:val="00233724"/>
    <w:rsid w:val="00241843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2A1"/>
    <w:rsid w:val="002709BB"/>
    <w:rsid w:val="002763B3"/>
    <w:rsid w:val="002802E3"/>
    <w:rsid w:val="0028213D"/>
    <w:rsid w:val="002862F1"/>
    <w:rsid w:val="0028787C"/>
    <w:rsid w:val="00291373"/>
    <w:rsid w:val="00293D28"/>
    <w:rsid w:val="0029597D"/>
    <w:rsid w:val="002962C3"/>
    <w:rsid w:val="0029752B"/>
    <w:rsid w:val="002A483C"/>
    <w:rsid w:val="002B1729"/>
    <w:rsid w:val="002B3651"/>
    <w:rsid w:val="002B4DD4"/>
    <w:rsid w:val="002B5277"/>
    <w:rsid w:val="002B5375"/>
    <w:rsid w:val="002B77C1"/>
    <w:rsid w:val="002B7F49"/>
    <w:rsid w:val="002C2728"/>
    <w:rsid w:val="002C6571"/>
    <w:rsid w:val="002D1AA5"/>
    <w:rsid w:val="002D5006"/>
    <w:rsid w:val="002E01D0"/>
    <w:rsid w:val="002E161D"/>
    <w:rsid w:val="002E3100"/>
    <w:rsid w:val="002E6C95"/>
    <w:rsid w:val="002E7C36"/>
    <w:rsid w:val="002F5F31"/>
    <w:rsid w:val="002F5F46"/>
    <w:rsid w:val="002F7C4B"/>
    <w:rsid w:val="00302216"/>
    <w:rsid w:val="003033EA"/>
    <w:rsid w:val="00303E53"/>
    <w:rsid w:val="00306E5F"/>
    <w:rsid w:val="00307E14"/>
    <w:rsid w:val="00314054"/>
    <w:rsid w:val="00316F27"/>
    <w:rsid w:val="00327870"/>
    <w:rsid w:val="0033259D"/>
    <w:rsid w:val="00337C54"/>
    <w:rsid w:val="003406C6"/>
    <w:rsid w:val="003418CC"/>
    <w:rsid w:val="003459BD"/>
    <w:rsid w:val="00350D38"/>
    <w:rsid w:val="003512C8"/>
    <w:rsid w:val="0035163B"/>
    <w:rsid w:val="00351B36"/>
    <w:rsid w:val="00357B4E"/>
    <w:rsid w:val="0036333F"/>
    <w:rsid w:val="003744CF"/>
    <w:rsid w:val="00374717"/>
    <w:rsid w:val="0037676C"/>
    <w:rsid w:val="003829E5"/>
    <w:rsid w:val="00382AFC"/>
    <w:rsid w:val="00383B59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57807"/>
    <w:rsid w:val="0047372D"/>
    <w:rsid w:val="004743DD"/>
    <w:rsid w:val="00474CEA"/>
    <w:rsid w:val="00483968"/>
    <w:rsid w:val="00484F86"/>
    <w:rsid w:val="00490746"/>
    <w:rsid w:val="00490852"/>
    <w:rsid w:val="0049212B"/>
    <w:rsid w:val="00492F30"/>
    <w:rsid w:val="004946F4"/>
    <w:rsid w:val="0049487E"/>
    <w:rsid w:val="00495ADA"/>
    <w:rsid w:val="004A160D"/>
    <w:rsid w:val="004A3E81"/>
    <w:rsid w:val="004A5C62"/>
    <w:rsid w:val="004A707D"/>
    <w:rsid w:val="004C3522"/>
    <w:rsid w:val="004C6EEE"/>
    <w:rsid w:val="004C702B"/>
    <w:rsid w:val="004D016B"/>
    <w:rsid w:val="004D1B22"/>
    <w:rsid w:val="004D36F2"/>
    <w:rsid w:val="004E138F"/>
    <w:rsid w:val="004E4649"/>
    <w:rsid w:val="004E56CF"/>
    <w:rsid w:val="004E5C2B"/>
    <w:rsid w:val="004E6F1D"/>
    <w:rsid w:val="004F00DD"/>
    <w:rsid w:val="004F2133"/>
    <w:rsid w:val="004F4473"/>
    <w:rsid w:val="004F55F1"/>
    <w:rsid w:val="004F5F95"/>
    <w:rsid w:val="004F6936"/>
    <w:rsid w:val="00503DC6"/>
    <w:rsid w:val="00506F5D"/>
    <w:rsid w:val="005126D0"/>
    <w:rsid w:val="0051568D"/>
    <w:rsid w:val="00526C15"/>
    <w:rsid w:val="00536499"/>
    <w:rsid w:val="005409A4"/>
    <w:rsid w:val="00543903"/>
    <w:rsid w:val="00543F11"/>
    <w:rsid w:val="00547A95"/>
    <w:rsid w:val="005620F5"/>
    <w:rsid w:val="00570748"/>
    <w:rsid w:val="00572031"/>
    <w:rsid w:val="00575BC9"/>
    <w:rsid w:val="00576E84"/>
    <w:rsid w:val="00582B8C"/>
    <w:rsid w:val="0058757E"/>
    <w:rsid w:val="005938E5"/>
    <w:rsid w:val="00596A4B"/>
    <w:rsid w:val="00597507"/>
    <w:rsid w:val="005B0412"/>
    <w:rsid w:val="005B1BCE"/>
    <w:rsid w:val="005B21B6"/>
    <w:rsid w:val="005B384F"/>
    <w:rsid w:val="005B3A08"/>
    <w:rsid w:val="005B7A63"/>
    <w:rsid w:val="005C0955"/>
    <w:rsid w:val="005C49DA"/>
    <w:rsid w:val="005C50F3"/>
    <w:rsid w:val="005C5D91"/>
    <w:rsid w:val="005C7CBC"/>
    <w:rsid w:val="005D07B8"/>
    <w:rsid w:val="005D6597"/>
    <w:rsid w:val="005E14E7"/>
    <w:rsid w:val="005E26A3"/>
    <w:rsid w:val="005E2B0F"/>
    <w:rsid w:val="005E447E"/>
    <w:rsid w:val="005E76EA"/>
    <w:rsid w:val="005F0775"/>
    <w:rsid w:val="005F0CF5"/>
    <w:rsid w:val="005F21EB"/>
    <w:rsid w:val="00605908"/>
    <w:rsid w:val="00610D7C"/>
    <w:rsid w:val="00613414"/>
    <w:rsid w:val="00621D1A"/>
    <w:rsid w:val="0062408D"/>
    <w:rsid w:val="006240CC"/>
    <w:rsid w:val="00627DA7"/>
    <w:rsid w:val="00633A5F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3455"/>
    <w:rsid w:val="00676C23"/>
    <w:rsid w:val="00676D7B"/>
    <w:rsid w:val="00677574"/>
    <w:rsid w:val="0068454C"/>
    <w:rsid w:val="00691B62"/>
    <w:rsid w:val="00693D14"/>
    <w:rsid w:val="00694DAF"/>
    <w:rsid w:val="00697090"/>
    <w:rsid w:val="006A18C2"/>
    <w:rsid w:val="006A7939"/>
    <w:rsid w:val="006B077C"/>
    <w:rsid w:val="006B6803"/>
    <w:rsid w:val="006C5390"/>
    <w:rsid w:val="006C7A1F"/>
    <w:rsid w:val="006D2A3F"/>
    <w:rsid w:val="006D2FBC"/>
    <w:rsid w:val="006D72EA"/>
    <w:rsid w:val="006E138B"/>
    <w:rsid w:val="006F0FB0"/>
    <w:rsid w:val="006F1FDC"/>
    <w:rsid w:val="006F6592"/>
    <w:rsid w:val="007013EF"/>
    <w:rsid w:val="00704BCB"/>
    <w:rsid w:val="00706E3A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5677"/>
    <w:rsid w:val="00786F16"/>
    <w:rsid w:val="007916DA"/>
    <w:rsid w:val="00796E20"/>
    <w:rsid w:val="00797C32"/>
    <w:rsid w:val="007A2B53"/>
    <w:rsid w:val="007B0914"/>
    <w:rsid w:val="007B1374"/>
    <w:rsid w:val="007B292B"/>
    <w:rsid w:val="007B589F"/>
    <w:rsid w:val="007B6186"/>
    <w:rsid w:val="007B73BC"/>
    <w:rsid w:val="007B7E5D"/>
    <w:rsid w:val="007C0F0C"/>
    <w:rsid w:val="007C20B9"/>
    <w:rsid w:val="007C7301"/>
    <w:rsid w:val="007C7859"/>
    <w:rsid w:val="007D2932"/>
    <w:rsid w:val="007D2BDE"/>
    <w:rsid w:val="007D2FB6"/>
    <w:rsid w:val="007E0970"/>
    <w:rsid w:val="007E0DE2"/>
    <w:rsid w:val="007E3B98"/>
    <w:rsid w:val="007F006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7E6"/>
    <w:rsid w:val="00825DAC"/>
    <w:rsid w:val="008338A2"/>
    <w:rsid w:val="008370FF"/>
    <w:rsid w:val="00841AA9"/>
    <w:rsid w:val="00853EE4"/>
    <w:rsid w:val="00855535"/>
    <w:rsid w:val="0086255E"/>
    <w:rsid w:val="008633F0"/>
    <w:rsid w:val="00867D9D"/>
    <w:rsid w:val="00871222"/>
    <w:rsid w:val="00872E0A"/>
    <w:rsid w:val="00875285"/>
    <w:rsid w:val="0087683C"/>
    <w:rsid w:val="00884B62"/>
    <w:rsid w:val="0088529C"/>
    <w:rsid w:val="00887903"/>
    <w:rsid w:val="0089270A"/>
    <w:rsid w:val="00893AF6"/>
    <w:rsid w:val="00894BC4"/>
    <w:rsid w:val="00895643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32A7"/>
    <w:rsid w:val="008E4376"/>
    <w:rsid w:val="008E7A0A"/>
    <w:rsid w:val="00900719"/>
    <w:rsid w:val="009017AC"/>
    <w:rsid w:val="00902F40"/>
    <w:rsid w:val="00904A1C"/>
    <w:rsid w:val="00905030"/>
    <w:rsid w:val="00906490"/>
    <w:rsid w:val="009111B2"/>
    <w:rsid w:val="00924AE1"/>
    <w:rsid w:val="009269B1"/>
    <w:rsid w:val="0092724D"/>
    <w:rsid w:val="00937BD9"/>
    <w:rsid w:val="00946B0B"/>
    <w:rsid w:val="00950E2C"/>
    <w:rsid w:val="00951D50"/>
    <w:rsid w:val="009525EB"/>
    <w:rsid w:val="00954874"/>
    <w:rsid w:val="00954CB5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0E9B"/>
    <w:rsid w:val="009B59E9"/>
    <w:rsid w:val="009B6EB6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5954"/>
    <w:rsid w:val="009E5B33"/>
    <w:rsid w:val="009E7F92"/>
    <w:rsid w:val="009F02A3"/>
    <w:rsid w:val="009F2F27"/>
    <w:rsid w:val="009F34AA"/>
    <w:rsid w:val="009F6BCB"/>
    <w:rsid w:val="009F7B78"/>
    <w:rsid w:val="00A0057A"/>
    <w:rsid w:val="00A11421"/>
    <w:rsid w:val="00A11FC5"/>
    <w:rsid w:val="00A157B1"/>
    <w:rsid w:val="00A20D71"/>
    <w:rsid w:val="00A22229"/>
    <w:rsid w:val="00A44882"/>
    <w:rsid w:val="00A513D8"/>
    <w:rsid w:val="00A541F0"/>
    <w:rsid w:val="00A54715"/>
    <w:rsid w:val="00A55C16"/>
    <w:rsid w:val="00A6061C"/>
    <w:rsid w:val="00A619BF"/>
    <w:rsid w:val="00A62D44"/>
    <w:rsid w:val="00A67263"/>
    <w:rsid w:val="00A7161C"/>
    <w:rsid w:val="00A77AA3"/>
    <w:rsid w:val="00A842F2"/>
    <w:rsid w:val="00A853B2"/>
    <w:rsid w:val="00A854EB"/>
    <w:rsid w:val="00A872E5"/>
    <w:rsid w:val="00A91406"/>
    <w:rsid w:val="00A96E65"/>
    <w:rsid w:val="00A97C72"/>
    <w:rsid w:val="00AA0F86"/>
    <w:rsid w:val="00AA3CA8"/>
    <w:rsid w:val="00AA63D4"/>
    <w:rsid w:val="00AA7900"/>
    <w:rsid w:val="00AB06E8"/>
    <w:rsid w:val="00AB1CD3"/>
    <w:rsid w:val="00AB352F"/>
    <w:rsid w:val="00AC274B"/>
    <w:rsid w:val="00AC4764"/>
    <w:rsid w:val="00AC6D36"/>
    <w:rsid w:val="00AD01D4"/>
    <w:rsid w:val="00AD0CBA"/>
    <w:rsid w:val="00AD26E2"/>
    <w:rsid w:val="00AD3998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3952"/>
    <w:rsid w:val="00B43DD0"/>
    <w:rsid w:val="00B45141"/>
    <w:rsid w:val="00B5273A"/>
    <w:rsid w:val="00B54AE8"/>
    <w:rsid w:val="00B62B50"/>
    <w:rsid w:val="00B635B7"/>
    <w:rsid w:val="00B63AE8"/>
    <w:rsid w:val="00B65950"/>
    <w:rsid w:val="00B66D83"/>
    <w:rsid w:val="00B672C0"/>
    <w:rsid w:val="00B70F76"/>
    <w:rsid w:val="00B7459A"/>
    <w:rsid w:val="00B75646"/>
    <w:rsid w:val="00B8690F"/>
    <w:rsid w:val="00B90729"/>
    <w:rsid w:val="00B907DA"/>
    <w:rsid w:val="00B950BC"/>
    <w:rsid w:val="00B9714C"/>
    <w:rsid w:val="00BA3F8D"/>
    <w:rsid w:val="00BA5A87"/>
    <w:rsid w:val="00BA6D1B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201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4524"/>
    <w:rsid w:val="00C6682F"/>
    <w:rsid w:val="00C7275E"/>
    <w:rsid w:val="00C74C5D"/>
    <w:rsid w:val="00C81374"/>
    <w:rsid w:val="00C83A9C"/>
    <w:rsid w:val="00C863C4"/>
    <w:rsid w:val="00C93C3E"/>
    <w:rsid w:val="00C94729"/>
    <w:rsid w:val="00CA12E3"/>
    <w:rsid w:val="00CA4422"/>
    <w:rsid w:val="00CA6611"/>
    <w:rsid w:val="00CA6AE6"/>
    <w:rsid w:val="00CA782F"/>
    <w:rsid w:val="00CC0C72"/>
    <w:rsid w:val="00CC2BFD"/>
    <w:rsid w:val="00CC3FB0"/>
    <w:rsid w:val="00CD3476"/>
    <w:rsid w:val="00CD64DF"/>
    <w:rsid w:val="00CF2F50"/>
    <w:rsid w:val="00D02919"/>
    <w:rsid w:val="00D04C61"/>
    <w:rsid w:val="00D05B8D"/>
    <w:rsid w:val="00D065A2"/>
    <w:rsid w:val="00D07F00"/>
    <w:rsid w:val="00D1443D"/>
    <w:rsid w:val="00D17B72"/>
    <w:rsid w:val="00D3185C"/>
    <w:rsid w:val="00D33E72"/>
    <w:rsid w:val="00D35BD6"/>
    <w:rsid w:val="00D361B5"/>
    <w:rsid w:val="00D411A2"/>
    <w:rsid w:val="00D4422B"/>
    <w:rsid w:val="00D4606D"/>
    <w:rsid w:val="00D50B9C"/>
    <w:rsid w:val="00D52D73"/>
    <w:rsid w:val="00D52E58"/>
    <w:rsid w:val="00D714CC"/>
    <w:rsid w:val="00D75EA7"/>
    <w:rsid w:val="00D81F21"/>
    <w:rsid w:val="00D85AC1"/>
    <w:rsid w:val="00D95470"/>
    <w:rsid w:val="00D95C1F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4E5C"/>
    <w:rsid w:val="00DE6028"/>
    <w:rsid w:val="00DE78A3"/>
    <w:rsid w:val="00DF1A71"/>
    <w:rsid w:val="00DF1B3E"/>
    <w:rsid w:val="00DF4F1C"/>
    <w:rsid w:val="00DF68C7"/>
    <w:rsid w:val="00DF6BAF"/>
    <w:rsid w:val="00DF731A"/>
    <w:rsid w:val="00E05E8D"/>
    <w:rsid w:val="00E06429"/>
    <w:rsid w:val="00E14DB3"/>
    <w:rsid w:val="00E170DC"/>
    <w:rsid w:val="00E26818"/>
    <w:rsid w:val="00E27FFC"/>
    <w:rsid w:val="00E30B15"/>
    <w:rsid w:val="00E327EB"/>
    <w:rsid w:val="00E40181"/>
    <w:rsid w:val="00E53D0C"/>
    <w:rsid w:val="00E53ECE"/>
    <w:rsid w:val="00E56A01"/>
    <w:rsid w:val="00E629A1"/>
    <w:rsid w:val="00E71591"/>
    <w:rsid w:val="00E82C55"/>
    <w:rsid w:val="00E92AC3"/>
    <w:rsid w:val="00EB00E0"/>
    <w:rsid w:val="00EB442C"/>
    <w:rsid w:val="00EC059F"/>
    <w:rsid w:val="00EC1F24"/>
    <w:rsid w:val="00EC22F6"/>
    <w:rsid w:val="00EC27BC"/>
    <w:rsid w:val="00EC4117"/>
    <w:rsid w:val="00ED2101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23F5"/>
    <w:rsid w:val="00F250A9"/>
    <w:rsid w:val="00F30FF4"/>
    <w:rsid w:val="00F3122E"/>
    <w:rsid w:val="00F331AD"/>
    <w:rsid w:val="00F35287"/>
    <w:rsid w:val="00F425DA"/>
    <w:rsid w:val="00F43A37"/>
    <w:rsid w:val="00F45647"/>
    <w:rsid w:val="00F4641B"/>
    <w:rsid w:val="00F46EB8"/>
    <w:rsid w:val="00F5036C"/>
    <w:rsid w:val="00F511E4"/>
    <w:rsid w:val="00F52D09"/>
    <w:rsid w:val="00F52E08"/>
    <w:rsid w:val="00F5481C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87FCF"/>
    <w:rsid w:val="00F922BE"/>
    <w:rsid w:val="00F938BA"/>
    <w:rsid w:val="00F93F19"/>
    <w:rsid w:val="00FA2C46"/>
    <w:rsid w:val="00FA3525"/>
    <w:rsid w:val="00FB4CDA"/>
    <w:rsid w:val="00FC0F81"/>
    <w:rsid w:val="00FC395C"/>
    <w:rsid w:val="00FD3766"/>
    <w:rsid w:val="00FD47C4"/>
    <w:rsid w:val="00FE2DCF"/>
    <w:rsid w:val="00FE4946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7ADDCE86"/>
  <w15:docId w15:val="{B1A019E4-0DBB-4FE0-A8DD-C6BCEDE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F76"/>
    <w:pPr>
      <w:spacing w:before="100" w:line="288" w:lineRule="auto"/>
    </w:pPr>
    <w:rPr>
      <w:rFonts w:ascii="Arial" w:hAnsi="Arial"/>
    </w:rPr>
  </w:style>
  <w:style w:type="paragraph" w:styleId="Heading1">
    <w:name w:val="heading 1"/>
    <w:next w:val="DHHSbody"/>
    <w:link w:val="Heading1Char"/>
    <w:autoRedefine/>
    <w:uiPriority w:val="1"/>
    <w:qFormat/>
    <w:rsid w:val="00E14DB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/>
      <w:bCs/>
      <w:color w:val="201547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autoRedefine/>
    <w:uiPriority w:val="1"/>
    <w:qFormat/>
    <w:rsid w:val="00E14DB3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2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E14DB3"/>
    <w:rPr>
      <w:rFonts w:ascii="Arial" w:eastAsia="MS Gothic" w:hAnsi="Arial" w:cs="Arial"/>
      <w:b/>
      <w:bCs/>
      <w:color w:val="201547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E14DB3"/>
    <w:rPr>
      <w:rFonts w:ascii="Arial" w:hAnsi="Arial"/>
      <w:b/>
      <w:color w:val="201547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link w:val="DHHSbullet1Char"/>
    <w:uiPriority w:val="99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99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99"/>
    <w:qFormat/>
    <w:rsid w:val="0051568D"/>
    <w:pPr>
      <w:numPr>
        <w:ilvl w:val="2"/>
        <w:numId w:val="7"/>
      </w:numPr>
      <w:spacing w:after="40"/>
    </w:pPr>
  </w:style>
  <w:style w:type="character" w:customStyle="1" w:styleId="DHHSbodyChar">
    <w:name w:val="DHHS body Char"/>
    <w:link w:val="DHHSbody"/>
    <w:locked/>
    <w:rsid w:val="00B70F76"/>
    <w:rPr>
      <w:rFonts w:ascii="Arial" w:eastAsia="Times" w:hAnsi="Arial"/>
      <w:lang w:eastAsia="en-US"/>
    </w:rPr>
  </w:style>
  <w:style w:type="paragraph" w:styleId="NormalIndent">
    <w:name w:val="Normal Indent"/>
    <w:basedOn w:val="Normal"/>
    <w:rsid w:val="00575BC9"/>
    <w:pPr>
      <w:ind w:left="709"/>
    </w:pPr>
    <w:rPr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99"/>
    <w:qFormat/>
    <w:rsid w:val="0051568D"/>
    <w:pPr>
      <w:numPr>
        <w:ilvl w:val="6"/>
        <w:numId w:val="7"/>
      </w:numPr>
    </w:pPr>
  </w:style>
  <w:style w:type="paragraph" w:customStyle="1" w:styleId="Instructiontext">
    <w:name w:val="Instruction text"/>
    <w:basedOn w:val="DHHSbody"/>
    <w:qFormat/>
    <w:rsid w:val="00575BC9"/>
    <w:pPr>
      <w:spacing w:before="120"/>
    </w:pPr>
    <w:rPr>
      <w:rFonts w:cs="Arial"/>
      <w:color w:val="87189D"/>
    </w:rPr>
  </w:style>
  <w:style w:type="paragraph" w:customStyle="1" w:styleId="DHHStablecolhead">
    <w:name w:val="DHHS table col head"/>
    <w:uiPriority w:val="99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99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uiPriority w:val="99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99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99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09038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8C"/>
    <w:rPr>
      <w:rFonts w:ascii="Tahoma" w:hAnsi="Tahoma" w:cs="Tahoma"/>
      <w:sz w:val="16"/>
      <w:szCs w:val="16"/>
    </w:rPr>
  </w:style>
  <w:style w:type="paragraph" w:customStyle="1" w:styleId="DHHSBody0">
    <w:name w:val="DHHS Body"/>
    <w:basedOn w:val="DHHSbody"/>
    <w:link w:val="DHHSBodyChar0"/>
    <w:qFormat/>
    <w:rsid w:val="00704BCB"/>
  </w:style>
  <w:style w:type="character" w:customStyle="1" w:styleId="DHHSBodyChar0">
    <w:name w:val="DHHS Body Char"/>
    <w:basedOn w:val="DHHSbodyChar"/>
    <w:link w:val="DHHSBody0"/>
    <w:rsid w:val="00704BCB"/>
    <w:rPr>
      <w:rFonts w:ascii="Arial" w:eastAsia="Times" w:hAnsi="Arial"/>
      <w:lang w:eastAsia="en-US"/>
    </w:rPr>
  </w:style>
  <w:style w:type="character" w:customStyle="1" w:styleId="DHHSbullet1Char">
    <w:name w:val="DHHS bullet 1 Char"/>
    <w:basedOn w:val="DHHSbodyChar"/>
    <w:link w:val="DHHSbullet1"/>
    <w:uiPriority w:val="99"/>
    <w:rsid w:val="00704BCB"/>
    <w:rPr>
      <w:rFonts w:ascii="Arial" w:eastAsia="Times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4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policy@dhhs.vic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sapolicy@dhhs.vic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health.vic.gov.au/alcohol-and-drugs/aod-service-standards-guidelines/aod-program-guidelin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viders.dhhs.vic.gov.au/health-human-services-activity-search" TargetMode="External"/><Relationship Id="rId10" Type="http://schemas.openxmlformats.org/officeDocument/2006/relationships/hyperlink" Target="file:///\\N060\group\Drug%20Policy%20and%20Services\Delivery%20&amp;%20Performance\Service%20agreement%20activity%20descriptions%20project\Guidelines\Alcohol%20and%20other%20drugs%20program%20guidelines-part%202-program%20and%20service%20specifications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2.health.vic.gov.au/alcohol-and-drugs/aod-service-standards-guidelines/aod-program-guidelines" TargetMode="External"/><Relationship Id="rId14" Type="http://schemas.openxmlformats.org/officeDocument/2006/relationships/hyperlink" Target="http://providers.dhhs.vic.gov.au/health-human-services-activity-search" TargetMode="Externa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1%20Navy%20276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D88554C6-E69F-43CC-A108-01B8217637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FED017-6BB5-47E5-B477-C2A71A39F43A}"/>
</file>

<file path=customXml/itemProps3.xml><?xml version="1.0" encoding="utf-8"?>
<ds:datastoreItem xmlns:ds="http://schemas.openxmlformats.org/officeDocument/2006/customXml" ds:itemID="{BB7707D0-6C76-4CE9-B0A7-24FA9ACAA57B}"/>
</file>

<file path=customXml/itemProps4.xml><?xml version="1.0" encoding="utf-8"?>
<ds:datastoreItem xmlns:ds="http://schemas.openxmlformats.org/officeDocument/2006/customXml" ds:itemID="{19C1E069-F654-487A-BFBE-38E61D806722}"/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01 Navy 2765.dot</Template>
  <TotalTime>3</TotalTime>
  <Pages>2</Pages>
  <Words>714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Description  health  Care and Recovery Coordination 34300</vt:lpstr>
    </vt:vector>
  </TitlesOfParts>
  <Company>Department of Health and Human Services</Company>
  <LinksUpToDate>false</LinksUpToDate>
  <CharactersWithSpaces>6178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 health  Care and Recovery Coordination 34300</dc:title>
  <dc:subject>service agreement activity descriptions</dc:subject>
  <dc:creator>Service Agreement Policy unit</dc:creator>
  <cp:keywords>services agreement;Activity Description;health; drug services;Care and Recovery Coordination;34300</cp:keywords>
  <cp:lastModifiedBy>Louise Crowther (DHHS)</cp:lastModifiedBy>
  <cp:revision>3</cp:revision>
  <cp:lastPrinted>2019-01-08T23:20:00Z</cp:lastPrinted>
  <dcterms:created xsi:type="dcterms:W3CDTF">2019-06-11T05:17:00Z</dcterms:created>
  <dcterms:modified xsi:type="dcterms:W3CDTF">2019-06-11T05:19:00Z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