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96E" w:rsidRPr="004C6EEE" w:rsidRDefault="003042E9" w:rsidP="00AD784C">
      <w:pPr>
        <w:pStyle w:val="Spacerparatopoffirstpage"/>
      </w:pPr>
      <w:bookmarkStart w:id="0" w:name="_GoBack"/>
      <w:bookmarkEnd w:id="0"/>
      <w:r>
        <w:rPr>
          <w:lang w:eastAsia="en-AU"/>
        </w:rPr>
        <w:drawing>
          <wp:anchor distT="0" distB="0" distL="114300" distR="114300" simplePos="0" relativeHeight="251657728" behindDoc="1" locked="1" layoutInCell="0" allowOverlap="1">
            <wp:simplePos x="0" y="0"/>
            <wp:positionH relativeFrom="page">
              <wp:posOffset>0</wp:posOffset>
            </wp:positionH>
            <wp:positionV relativeFrom="page">
              <wp:posOffset>0</wp:posOffset>
            </wp:positionV>
            <wp:extent cx="7570470" cy="2075180"/>
            <wp:effectExtent l="0" t="0" r="0" b="1270"/>
            <wp:wrapNone/>
            <wp:docPr id="31" name="Picture 3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0470" cy="2075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2D44" w:rsidRPr="004C6EEE" w:rsidRDefault="00A62D44" w:rsidP="004C6EEE">
      <w:pPr>
        <w:pStyle w:val="Sectionbreakfirstpage"/>
        <w:sectPr w:rsidR="00A62D44" w:rsidRPr="004C6EEE" w:rsidSect="00AD784C">
          <w:footerReference w:type="default" r:id="rId9"/>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rsidTr="001C277E">
        <w:trPr>
          <w:trHeight w:val="1247"/>
        </w:trPr>
        <w:tc>
          <w:tcPr>
            <w:tcW w:w="8046" w:type="dxa"/>
            <w:shd w:val="clear" w:color="auto" w:fill="auto"/>
            <w:vAlign w:val="bottom"/>
          </w:tcPr>
          <w:p w:rsidR="00AD784C" w:rsidRPr="00161AA0" w:rsidRDefault="001E00E1" w:rsidP="00A91406">
            <w:pPr>
              <w:pStyle w:val="DHHSmainheading"/>
            </w:pPr>
            <w:r>
              <w:lastRenderedPageBreak/>
              <w:t>Rental references operational guidelines</w:t>
            </w:r>
          </w:p>
        </w:tc>
      </w:tr>
      <w:tr w:rsidR="00AD784C" w:rsidTr="00357B4E">
        <w:trPr>
          <w:trHeight w:hRule="exact" w:val="1162"/>
        </w:trPr>
        <w:tc>
          <w:tcPr>
            <w:tcW w:w="8046" w:type="dxa"/>
            <w:shd w:val="clear" w:color="auto" w:fill="auto"/>
            <w:tcMar>
              <w:top w:w="170" w:type="dxa"/>
              <w:bottom w:w="510" w:type="dxa"/>
            </w:tcMar>
          </w:tcPr>
          <w:p w:rsidR="00357B4E" w:rsidRPr="00AD784C" w:rsidRDefault="003042E9" w:rsidP="00357B4E">
            <w:pPr>
              <w:pStyle w:val="DHHSmainsubheading"/>
              <w:rPr>
                <w:szCs w:val="28"/>
              </w:rPr>
            </w:pPr>
            <w:r>
              <w:rPr>
                <w:szCs w:val="28"/>
              </w:rPr>
              <w:t>Effective date July 2017</w:t>
            </w:r>
          </w:p>
        </w:tc>
      </w:tr>
    </w:tbl>
    <w:p w:rsidR="00AD784C" w:rsidRPr="000A6666" w:rsidRDefault="00AD784C" w:rsidP="000A6666">
      <w:pPr>
        <w:pStyle w:val="DHHSTOCheadingfactsheet"/>
      </w:pPr>
      <w:r w:rsidRPr="000A6666">
        <w:t>Contents</w:t>
      </w:r>
    </w:p>
    <w:p w:rsidR="003042E9"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489876706" w:history="1">
        <w:r w:rsidR="003042E9" w:rsidRPr="00F27D06">
          <w:rPr>
            <w:rStyle w:val="Hyperlink"/>
            <w:lang w:eastAsia="en-AU"/>
          </w:rPr>
          <w:t>Overview</w:t>
        </w:r>
        <w:r w:rsidR="003042E9">
          <w:rPr>
            <w:webHidden/>
          </w:rPr>
          <w:tab/>
        </w:r>
        <w:r w:rsidR="003042E9">
          <w:rPr>
            <w:webHidden/>
          </w:rPr>
          <w:fldChar w:fldCharType="begin"/>
        </w:r>
        <w:r w:rsidR="003042E9">
          <w:rPr>
            <w:webHidden/>
          </w:rPr>
          <w:instrText xml:space="preserve"> PAGEREF _Toc489876706 \h </w:instrText>
        </w:r>
        <w:r w:rsidR="003042E9">
          <w:rPr>
            <w:webHidden/>
          </w:rPr>
        </w:r>
        <w:r w:rsidR="003042E9">
          <w:rPr>
            <w:webHidden/>
          </w:rPr>
          <w:fldChar w:fldCharType="separate"/>
        </w:r>
        <w:r w:rsidR="003042E9">
          <w:rPr>
            <w:webHidden/>
          </w:rPr>
          <w:t>1</w:t>
        </w:r>
        <w:r w:rsidR="003042E9">
          <w:rPr>
            <w:webHidden/>
          </w:rPr>
          <w:fldChar w:fldCharType="end"/>
        </w:r>
      </w:hyperlink>
    </w:p>
    <w:p w:rsidR="003042E9" w:rsidRDefault="005F0BD3">
      <w:pPr>
        <w:pStyle w:val="TOC1"/>
        <w:rPr>
          <w:rFonts w:asciiTheme="minorHAnsi" w:eastAsiaTheme="minorEastAsia" w:hAnsiTheme="minorHAnsi" w:cstheme="minorBidi"/>
          <w:b w:val="0"/>
          <w:sz w:val="22"/>
          <w:szCs w:val="22"/>
          <w:lang w:eastAsia="en-AU"/>
        </w:rPr>
      </w:pPr>
      <w:hyperlink w:anchor="_Toc489876707" w:history="1">
        <w:r w:rsidR="003042E9" w:rsidRPr="00F27D06">
          <w:rPr>
            <w:rStyle w:val="Hyperlink"/>
            <w:lang w:eastAsia="en-AU"/>
          </w:rPr>
          <w:t>Who does this operational guideline apply to?</w:t>
        </w:r>
        <w:r w:rsidR="003042E9">
          <w:rPr>
            <w:webHidden/>
          </w:rPr>
          <w:tab/>
        </w:r>
        <w:r w:rsidR="003042E9">
          <w:rPr>
            <w:webHidden/>
          </w:rPr>
          <w:fldChar w:fldCharType="begin"/>
        </w:r>
        <w:r w:rsidR="003042E9">
          <w:rPr>
            <w:webHidden/>
          </w:rPr>
          <w:instrText xml:space="preserve"> PAGEREF _Toc489876707 \h </w:instrText>
        </w:r>
        <w:r w:rsidR="003042E9">
          <w:rPr>
            <w:webHidden/>
          </w:rPr>
        </w:r>
        <w:r w:rsidR="003042E9">
          <w:rPr>
            <w:webHidden/>
          </w:rPr>
          <w:fldChar w:fldCharType="separate"/>
        </w:r>
        <w:r w:rsidR="003042E9">
          <w:rPr>
            <w:webHidden/>
          </w:rPr>
          <w:t>2</w:t>
        </w:r>
        <w:r w:rsidR="003042E9">
          <w:rPr>
            <w:webHidden/>
          </w:rPr>
          <w:fldChar w:fldCharType="end"/>
        </w:r>
      </w:hyperlink>
    </w:p>
    <w:p w:rsidR="003042E9" w:rsidRDefault="005F0BD3">
      <w:pPr>
        <w:pStyle w:val="TOC1"/>
        <w:rPr>
          <w:rFonts w:asciiTheme="minorHAnsi" w:eastAsiaTheme="minorEastAsia" w:hAnsiTheme="minorHAnsi" w:cstheme="minorBidi"/>
          <w:b w:val="0"/>
          <w:sz w:val="22"/>
          <w:szCs w:val="22"/>
          <w:lang w:eastAsia="en-AU"/>
        </w:rPr>
      </w:pPr>
      <w:hyperlink w:anchor="_Toc489876708" w:history="1">
        <w:r w:rsidR="003042E9" w:rsidRPr="00F27D06">
          <w:rPr>
            <w:rStyle w:val="Hyperlink"/>
            <w:lang w:eastAsia="en-AU"/>
          </w:rPr>
          <w:t>Operating principles</w:t>
        </w:r>
        <w:r w:rsidR="003042E9">
          <w:rPr>
            <w:webHidden/>
          </w:rPr>
          <w:tab/>
        </w:r>
        <w:r w:rsidR="003042E9">
          <w:rPr>
            <w:webHidden/>
          </w:rPr>
          <w:fldChar w:fldCharType="begin"/>
        </w:r>
        <w:r w:rsidR="003042E9">
          <w:rPr>
            <w:webHidden/>
          </w:rPr>
          <w:instrText xml:space="preserve"> PAGEREF _Toc489876708 \h </w:instrText>
        </w:r>
        <w:r w:rsidR="003042E9">
          <w:rPr>
            <w:webHidden/>
          </w:rPr>
        </w:r>
        <w:r w:rsidR="003042E9">
          <w:rPr>
            <w:webHidden/>
          </w:rPr>
          <w:fldChar w:fldCharType="separate"/>
        </w:r>
        <w:r w:rsidR="003042E9">
          <w:rPr>
            <w:webHidden/>
          </w:rPr>
          <w:t>2</w:t>
        </w:r>
        <w:r w:rsidR="003042E9">
          <w:rPr>
            <w:webHidden/>
          </w:rPr>
          <w:fldChar w:fldCharType="end"/>
        </w:r>
      </w:hyperlink>
    </w:p>
    <w:p w:rsidR="003042E9" w:rsidRDefault="005F0BD3">
      <w:pPr>
        <w:pStyle w:val="TOC1"/>
        <w:rPr>
          <w:rFonts w:asciiTheme="minorHAnsi" w:eastAsiaTheme="minorEastAsia" w:hAnsiTheme="minorHAnsi" w:cstheme="minorBidi"/>
          <w:b w:val="0"/>
          <w:sz w:val="22"/>
          <w:szCs w:val="22"/>
          <w:lang w:eastAsia="en-AU"/>
        </w:rPr>
      </w:pPr>
      <w:hyperlink w:anchor="_Toc489876709" w:history="1">
        <w:r w:rsidR="003042E9" w:rsidRPr="00F27D06">
          <w:rPr>
            <w:rStyle w:val="Hyperlink"/>
            <w:lang w:eastAsia="en-AU"/>
          </w:rPr>
          <w:t>Neighbourly behaviour statement</w:t>
        </w:r>
        <w:r w:rsidR="003042E9">
          <w:rPr>
            <w:webHidden/>
          </w:rPr>
          <w:tab/>
        </w:r>
        <w:r w:rsidR="003042E9">
          <w:rPr>
            <w:webHidden/>
          </w:rPr>
          <w:fldChar w:fldCharType="begin"/>
        </w:r>
        <w:r w:rsidR="003042E9">
          <w:rPr>
            <w:webHidden/>
          </w:rPr>
          <w:instrText xml:space="preserve"> PAGEREF _Toc489876709 \h </w:instrText>
        </w:r>
        <w:r w:rsidR="003042E9">
          <w:rPr>
            <w:webHidden/>
          </w:rPr>
        </w:r>
        <w:r w:rsidR="003042E9">
          <w:rPr>
            <w:webHidden/>
          </w:rPr>
          <w:fldChar w:fldCharType="separate"/>
        </w:r>
        <w:r w:rsidR="003042E9">
          <w:rPr>
            <w:webHidden/>
          </w:rPr>
          <w:t>2</w:t>
        </w:r>
        <w:r w:rsidR="003042E9">
          <w:rPr>
            <w:webHidden/>
          </w:rPr>
          <w:fldChar w:fldCharType="end"/>
        </w:r>
      </w:hyperlink>
    </w:p>
    <w:p w:rsidR="003042E9" w:rsidRDefault="005F0BD3">
      <w:pPr>
        <w:pStyle w:val="TOC1"/>
        <w:rPr>
          <w:rFonts w:asciiTheme="minorHAnsi" w:eastAsiaTheme="minorEastAsia" w:hAnsiTheme="minorHAnsi" w:cstheme="minorBidi"/>
          <w:b w:val="0"/>
          <w:sz w:val="22"/>
          <w:szCs w:val="22"/>
          <w:lang w:eastAsia="en-AU"/>
        </w:rPr>
      </w:pPr>
      <w:hyperlink w:anchor="_Toc489876710" w:history="1">
        <w:r w:rsidR="003042E9" w:rsidRPr="00F27D06">
          <w:rPr>
            <w:rStyle w:val="Hyperlink"/>
            <w:lang w:eastAsia="en-AU"/>
          </w:rPr>
          <w:t>Antisocial behaviour</w:t>
        </w:r>
        <w:r w:rsidR="003042E9">
          <w:rPr>
            <w:webHidden/>
          </w:rPr>
          <w:tab/>
        </w:r>
        <w:r w:rsidR="003042E9">
          <w:rPr>
            <w:webHidden/>
          </w:rPr>
          <w:fldChar w:fldCharType="begin"/>
        </w:r>
        <w:r w:rsidR="003042E9">
          <w:rPr>
            <w:webHidden/>
          </w:rPr>
          <w:instrText xml:space="preserve"> PAGEREF _Toc489876710 \h </w:instrText>
        </w:r>
        <w:r w:rsidR="003042E9">
          <w:rPr>
            <w:webHidden/>
          </w:rPr>
        </w:r>
        <w:r w:rsidR="003042E9">
          <w:rPr>
            <w:webHidden/>
          </w:rPr>
          <w:fldChar w:fldCharType="separate"/>
        </w:r>
        <w:r w:rsidR="003042E9">
          <w:rPr>
            <w:webHidden/>
          </w:rPr>
          <w:t>3</w:t>
        </w:r>
        <w:r w:rsidR="003042E9">
          <w:rPr>
            <w:webHidden/>
          </w:rPr>
          <w:fldChar w:fldCharType="end"/>
        </w:r>
      </w:hyperlink>
    </w:p>
    <w:p w:rsidR="003042E9" w:rsidRDefault="005F0BD3">
      <w:pPr>
        <w:pStyle w:val="TOC1"/>
        <w:rPr>
          <w:rFonts w:asciiTheme="minorHAnsi" w:eastAsiaTheme="minorEastAsia" w:hAnsiTheme="minorHAnsi" w:cstheme="minorBidi"/>
          <w:b w:val="0"/>
          <w:sz w:val="22"/>
          <w:szCs w:val="22"/>
          <w:lang w:eastAsia="en-AU"/>
        </w:rPr>
      </w:pPr>
      <w:hyperlink w:anchor="_Toc489876711" w:history="1">
        <w:r w:rsidR="003042E9" w:rsidRPr="00F27D06">
          <w:rPr>
            <w:rStyle w:val="Hyperlink"/>
            <w:lang w:eastAsia="en-AU"/>
          </w:rPr>
          <w:t>Households exhibiting antisocial behaviour</w:t>
        </w:r>
        <w:r w:rsidR="003042E9">
          <w:rPr>
            <w:webHidden/>
          </w:rPr>
          <w:tab/>
        </w:r>
        <w:r w:rsidR="003042E9">
          <w:rPr>
            <w:webHidden/>
          </w:rPr>
          <w:fldChar w:fldCharType="begin"/>
        </w:r>
        <w:r w:rsidR="003042E9">
          <w:rPr>
            <w:webHidden/>
          </w:rPr>
          <w:instrText xml:space="preserve"> PAGEREF _Toc489876711 \h </w:instrText>
        </w:r>
        <w:r w:rsidR="003042E9">
          <w:rPr>
            <w:webHidden/>
          </w:rPr>
        </w:r>
        <w:r w:rsidR="003042E9">
          <w:rPr>
            <w:webHidden/>
          </w:rPr>
          <w:fldChar w:fldCharType="separate"/>
        </w:r>
        <w:r w:rsidR="003042E9">
          <w:rPr>
            <w:webHidden/>
          </w:rPr>
          <w:t>3</w:t>
        </w:r>
        <w:r w:rsidR="003042E9">
          <w:rPr>
            <w:webHidden/>
          </w:rPr>
          <w:fldChar w:fldCharType="end"/>
        </w:r>
      </w:hyperlink>
    </w:p>
    <w:p w:rsidR="003042E9" w:rsidRDefault="005F0BD3">
      <w:pPr>
        <w:pStyle w:val="TOC1"/>
        <w:rPr>
          <w:rFonts w:asciiTheme="minorHAnsi" w:eastAsiaTheme="minorEastAsia" w:hAnsiTheme="minorHAnsi" w:cstheme="minorBidi"/>
          <w:b w:val="0"/>
          <w:sz w:val="22"/>
          <w:szCs w:val="22"/>
          <w:lang w:eastAsia="en-AU"/>
        </w:rPr>
      </w:pPr>
      <w:hyperlink w:anchor="_Toc489876712" w:history="1">
        <w:r w:rsidR="003042E9" w:rsidRPr="00F27D06">
          <w:rPr>
            <w:rStyle w:val="Hyperlink"/>
            <w:lang w:eastAsia="en-AU"/>
          </w:rPr>
          <w:t>Tenancy breaches</w:t>
        </w:r>
        <w:r w:rsidR="003042E9">
          <w:rPr>
            <w:webHidden/>
          </w:rPr>
          <w:tab/>
        </w:r>
        <w:r w:rsidR="003042E9">
          <w:rPr>
            <w:webHidden/>
          </w:rPr>
          <w:fldChar w:fldCharType="begin"/>
        </w:r>
        <w:r w:rsidR="003042E9">
          <w:rPr>
            <w:webHidden/>
          </w:rPr>
          <w:instrText xml:space="preserve"> PAGEREF _Toc489876712 \h </w:instrText>
        </w:r>
        <w:r w:rsidR="003042E9">
          <w:rPr>
            <w:webHidden/>
          </w:rPr>
        </w:r>
        <w:r w:rsidR="003042E9">
          <w:rPr>
            <w:webHidden/>
          </w:rPr>
          <w:fldChar w:fldCharType="separate"/>
        </w:r>
        <w:r w:rsidR="003042E9">
          <w:rPr>
            <w:webHidden/>
          </w:rPr>
          <w:t>3</w:t>
        </w:r>
        <w:r w:rsidR="003042E9">
          <w:rPr>
            <w:webHidden/>
          </w:rPr>
          <w:fldChar w:fldCharType="end"/>
        </w:r>
      </w:hyperlink>
    </w:p>
    <w:p w:rsidR="003042E9" w:rsidRDefault="005F0BD3">
      <w:pPr>
        <w:pStyle w:val="TOC1"/>
        <w:rPr>
          <w:rFonts w:asciiTheme="minorHAnsi" w:eastAsiaTheme="minorEastAsia" w:hAnsiTheme="minorHAnsi" w:cstheme="minorBidi"/>
          <w:b w:val="0"/>
          <w:sz w:val="22"/>
          <w:szCs w:val="22"/>
          <w:lang w:eastAsia="en-AU"/>
        </w:rPr>
      </w:pPr>
      <w:hyperlink w:anchor="_Toc489876713" w:history="1">
        <w:r w:rsidR="003042E9" w:rsidRPr="00F27D06">
          <w:rPr>
            <w:rStyle w:val="Hyperlink"/>
            <w:lang w:eastAsia="en-AU"/>
          </w:rPr>
          <w:t>Incident reporting</w:t>
        </w:r>
        <w:r w:rsidR="003042E9">
          <w:rPr>
            <w:webHidden/>
          </w:rPr>
          <w:tab/>
        </w:r>
        <w:r w:rsidR="003042E9">
          <w:rPr>
            <w:webHidden/>
          </w:rPr>
          <w:fldChar w:fldCharType="begin"/>
        </w:r>
        <w:r w:rsidR="003042E9">
          <w:rPr>
            <w:webHidden/>
          </w:rPr>
          <w:instrText xml:space="preserve"> PAGEREF _Toc489876713 \h </w:instrText>
        </w:r>
        <w:r w:rsidR="003042E9">
          <w:rPr>
            <w:webHidden/>
          </w:rPr>
        </w:r>
        <w:r w:rsidR="003042E9">
          <w:rPr>
            <w:webHidden/>
          </w:rPr>
          <w:fldChar w:fldCharType="separate"/>
        </w:r>
        <w:r w:rsidR="003042E9">
          <w:rPr>
            <w:webHidden/>
          </w:rPr>
          <w:t>4</w:t>
        </w:r>
        <w:r w:rsidR="003042E9">
          <w:rPr>
            <w:webHidden/>
          </w:rPr>
          <w:fldChar w:fldCharType="end"/>
        </w:r>
      </w:hyperlink>
    </w:p>
    <w:p w:rsidR="003042E9" w:rsidRDefault="005F0BD3">
      <w:pPr>
        <w:pStyle w:val="TOC1"/>
        <w:rPr>
          <w:rFonts w:asciiTheme="minorHAnsi" w:eastAsiaTheme="minorEastAsia" w:hAnsiTheme="minorHAnsi" w:cstheme="minorBidi"/>
          <w:b w:val="0"/>
          <w:sz w:val="22"/>
          <w:szCs w:val="22"/>
          <w:lang w:eastAsia="en-AU"/>
        </w:rPr>
      </w:pPr>
      <w:hyperlink w:anchor="_Toc489876714" w:history="1">
        <w:r w:rsidR="003042E9" w:rsidRPr="00F27D06">
          <w:rPr>
            <w:rStyle w:val="Hyperlink"/>
            <w:lang w:eastAsia="en-AU"/>
          </w:rPr>
          <w:t>Support worker requirements</w:t>
        </w:r>
        <w:r w:rsidR="003042E9">
          <w:rPr>
            <w:webHidden/>
          </w:rPr>
          <w:tab/>
        </w:r>
        <w:r w:rsidR="003042E9">
          <w:rPr>
            <w:webHidden/>
          </w:rPr>
          <w:fldChar w:fldCharType="begin"/>
        </w:r>
        <w:r w:rsidR="003042E9">
          <w:rPr>
            <w:webHidden/>
          </w:rPr>
          <w:instrText xml:space="preserve"> PAGEREF _Toc489876714 \h </w:instrText>
        </w:r>
        <w:r w:rsidR="003042E9">
          <w:rPr>
            <w:webHidden/>
          </w:rPr>
        </w:r>
        <w:r w:rsidR="003042E9">
          <w:rPr>
            <w:webHidden/>
          </w:rPr>
          <w:fldChar w:fldCharType="separate"/>
        </w:r>
        <w:r w:rsidR="003042E9">
          <w:rPr>
            <w:webHidden/>
          </w:rPr>
          <w:t>4</w:t>
        </w:r>
        <w:r w:rsidR="003042E9">
          <w:rPr>
            <w:webHidden/>
          </w:rPr>
          <w:fldChar w:fldCharType="end"/>
        </w:r>
      </w:hyperlink>
    </w:p>
    <w:p w:rsidR="003042E9" w:rsidRDefault="005F0BD3">
      <w:pPr>
        <w:pStyle w:val="TOC1"/>
        <w:rPr>
          <w:rFonts w:asciiTheme="minorHAnsi" w:eastAsiaTheme="minorEastAsia" w:hAnsiTheme="minorHAnsi" w:cstheme="minorBidi"/>
          <w:b w:val="0"/>
          <w:sz w:val="22"/>
          <w:szCs w:val="22"/>
          <w:lang w:eastAsia="en-AU"/>
        </w:rPr>
      </w:pPr>
      <w:hyperlink w:anchor="_Toc489876715" w:history="1">
        <w:r w:rsidR="003042E9" w:rsidRPr="00F27D06">
          <w:rPr>
            <w:rStyle w:val="Hyperlink"/>
            <w:lang w:eastAsia="en-AU"/>
          </w:rPr>
          <w:t>Involvement of other departmental program supports</w:t>
        </w:r>
        <w:r w:rsidR="003042E9">
          <w:rPr>
            <w:webHidden/>
          </w:rPr>
          <w:tab/>
        </w:r>
        <w:r w:rsidR="003042E9">
          <w:rPr>
            <w:webHidden/>
          </w:rPr>
          <w:fldChar w:fldCharType="begin"/>
        </w:r>
        <w:r w:rsidR="003042E9">
          <w:rPr>
            <w:webHidden/>
          </w:rPr>
          <w:instrText xml:space="preserve"> PAGEREF _Toc489876715 \h </w:instrText>
        </w:r>
        <w:r w:rsidR="003042E9">
          <w:rPr>
            <w:webHidden/>
          </w:rPr>
        </w:r>
        <w:r w:rsidR="003042E9">
          <w:rPr>
            <w:webHidden/>
          </w:rPr>
          <w:fldChar w:fldCharType="separate"/>
        </w:r>
        <w:r w:rsidR="003042E9">
          <w:rPr>
            <w:webHidden/>
          </w:rPr>
          <w:t>4</w:t>
        </w:r>
        <w:r w:rsidR="003042E9">
          <w:rPr>
            <w:webHidden/>
          </w:rPr>
          <w:fldChar w:fldCharType="end"/>
        </w:r>
      </w:hyperlink>
    </w:p>
    <w:p w:rsidR="003042E9" w:rsidRDefault="005F0BD3">
      <w:pPr>
        <w:pStyle w:val="TOC1"/>
        <w:rPr>
          <w:rFonts w:asciiTheme="minorHAnsi" w:eastAsiaTheme="minorEastAsia" w:hAnsiTheme="minorHAnsi" w:cstheme="minorBidi"/>
          <w:b w:val="0"/>
          <w:sz w:val="22"/>
          <w:szCs w:val="22"/>
          <w:lang w:eastAsia="en-AU"/>
        </w:rPr>
      </w:pPr>
      <w:hyperlink w:anchor="_Toc489876716" w:history="1">
        <w:r w:rsidR="003042E9" w:rsidRPr="00F27D06">
          <w:rPr>
            <w:rStyle w:val="Hyperlink"/>
            <w:lang w:eastAsia="en-AU"/>
          </w:rPr>
          <w:t>Transferring tenants</w:t>
        </w:r>
        <w:r w:rsidR="003042E9">
          <w:rPr>
            <w:webHidden/>
          </w:rPr>
          <w:tab/>
        </w:r>
        <w:r w:rsidR="003042E9">
          <w:rPr>
            <w:webHidden/>
          </w:rPr>
          <w:fldChar w:fldCharType="begin"/>
        </w:r>
        <w:r w:rsidR="003042E9">
          <w:rPr>
            <w:webHidden/>
          </w:rPr>
          <w:instrText xml:space="preserve"> PAGEREF _Toc489876716 \h </w:instrText>
        </w:r>
        <w:r w:rsidR="003042E9">
          <w:rPr>
            <w:webHidden/>
          </w:rPr>
        </w:r>
        <w:r w:rsidR="003042E9">
          <w:rPr>
            <w:webHidden/>
          </w:rPr>
          <w:fldChar w:fldCharType="separate"/>
        </w:r>
        <w:r w:rsidR="003042E9">
          <w:rPr>
            <w:webHidden/>
          </w:rPr>
          <w:t>5</w:t>
        </w:r>
        <w:r w:rsidR="003042E9">
          <w:rPr>
            <w:webHidden/>
          </w:rPr>
          <w:fldChar w:fldCharType="end"/>
        </w:r>
      </w:hyperlink>
    </w:p>
    <w:p w:rsidR="003042E9" w:rsidRDefault="005F0BD3">
      <w:pPr>
        <w:pStyle w:val="TOC1"/>
        <w:rPr>
          <w:rFonts w:asciiTheme="minorHAnsi" w:eastAsiaTheme="minorEastAsia" w:hAnsiTheme="minorHAnsi" w:cstheme="minorBidi"/>
          <w:b w:val="0"/>
          <w:sz w:val="22"/>
          <w:szCs w:val="22"/>
          <w:lang w:eastAsia="en-AU"/>
        </w:rPr>
      </w:pPr>
      <w:hyperlink w:anchor="_Toc489876717" w:history="1">
        <w:r w:rsidR="003042E9" w:rsidRPr="00F27D06">
          <w:rPr>
            <w:rStyle w:val="Hyperlink"/>
            <w:lang w:eastAsia="en-AU"/>
          </w:rPr>
          <w:t>Tenant fails to remedy antisocial behaviour</w:t>
        </w:r>
        <w:r w:rsidR="003042E9">
          <w:rPr>
            <w:webHidden/>
          </w:rPr>
          <w:tab/>
        </w:r>
        <w:r w:rsidR="003042E9">
          <w:rPr>
            <w:webHidden/>
          </w:rPr>
          <w:fldChar w:fldCharType="begin"/>
        </w:r>
        <w:r w:rsidR="003042E9">
          <w:rPr>
            <w:webHidden/>
          </w:rPr>
          <w:instrText xml:space="preserve"> PAGEREF _Toc489876717 \h </w:instrText>
        </w:r>
        <w:r w:rsidR="003042E9">
          <w:rPr>
            <w:webHidden/>
          </w:rPr>
        </w:r>
        <w:r w:rsidR="003042E9">
          <w:rPr>
            <w:webHidden/>
          </w:rPr>
          <w:fldChar w:fldCharType="separate"/>
        </w:r>
        <w:r w:rsidR="003042E9">
          <w:rPr>
            <w:webHidden/>
          </w:rPr>
          <w:t>5</w:t>
        </w:r>
        <w:r w:rsidR="003042E9">
          <w:rPr>
            <w:webHidden/>
          </w:rPr>
          <w:fldChar w:fldCharType="end"/>
        </w:r>
      </w:hyperlink>
    </w:p>
    <w:p w:rsidR="003042E9" w:rsidRDefault="005F0BD3">
      <w:pPr>
        <w:pStyle w:val="TOC1"/>
        <w:rPr>
          <w:rFonts w:asciiTheme="minorHAnsi" w:eastAsiaTheme="minorEastAsia" w:hAnsiTheme="minorHAnsi" w:cstheme="minorBidi"/>
          <w:b w:val="0"/>
          <w:sz w:val="22"/>
          <w:szCs w:val="22"/>
          <w:lang w:eastAsia="en-AU"/>
        </w:rPr>
      </w:pPr>
      <w:hyperlink w:anchor="_Toc489876718" w:history="1">
        <w:r w:rsidR="003042E9" w:rsidRPr="00F27D06">
          <w:rPr>
            <w:rStyle w:val="Hyperlink"/>
            <w:lang w:eastAsia="en-AU"/>
          </w:rPr>
          <w:t>Human rights impact statement</w:t>
        </w:r>
        <w:r w:rsidR="003042E9">
          <w:rPr>
            <w:webHidden/>
          </w:rPr>
          <w:tab/>
        </w:r>
        <w:r w:rsidR="003042E9">
          <w:rPr>
            <w:webHidden/>
          </w:rPr>
          <w:fldChar w:fldCharType="begin"/>
        </w:r>
        <w:r w:rsidR="003042E9">
          <w:rPr>
            <w:webHidden/>
          </w:rPr>
          <w:instrText xml:space="preserve"> PAGEREF _Toc489876718 \h </w:instrText>
        </w:r>
        <w:r w:rsidR="003042E9">
          <w:rPr>
            <w:webHidden/>
          </w:rPr>
        </w:r>
        <w:r w:rsidR="003042E9">
          <w:rPr>
            <w:webHidden/>
          </w:rPr>
          <w:fldChar w:fldCharType="separate"/>
        </w:r>
        <w:r w:rsidR="003042E9">
          <w:rPr>
            <w:webHidden/>
          </w:rPr>
          <w:t>5</w:t>
        </w:r>
        <w:r w:rsidR="003042E9">
          <w:rPr>
            <w:webHidden/>
          </w:rPr>
          <w:fldChar w:fldCharType="end"/>
        </w:r>
      </w:hyperlink>
    </w:p>
    <w:p w:rsidR="007173CA" w:rsidRDefault="00AD784C" w:rsidP="003042E9">
      <w:pPr>
        <w:pStyle w:val="DHHSbody"/>
        <w:spacing w:before="240"/>
      </w:pPr>
      <w:r>
        <w:fldChar w:fldCharType="end"/>
      </w:r>
    </w:p>
    <w:p w:rsidR="007173CA" w:rsidRDefault="007173CA" w:rsidP="007173CA">
      <w:pPr>
        <w:pStyle w:val="DHHSbody"/>
        <w:sectPr w:rsidR="007173CA" w:rsidSect="00F01E5F">
          <w:headerReference w:type="default" r:id="rId10"/>
          <w:footerReference w:type="default" r:id="rId11"/>
          <w:type w:val="continuous"/>
          <w:pgSz w:w="11906" w:h="16838" w:code="9"/>
          <w:pgMar w:top="1418" w:right="851" w:bottom="1134" w:left="851" w:header="567" w:footer="510" w:gutter="0"/>
          <w:cols w:space="340"/>
          <w:titlePg/>
          <w:docGrid w:linePitch="360"/>
        </w:sectPr>
      </w:pPr>
    </w:p>
    <w:p w:rsidR="003042E9" w:rsidRDefault="001E00E1" w:rsidP="00E9461A">
      <w:pPr>
        <w:pStyle w:val="Heading1"/>
        <w:rPr>
          <w:lang w:eastAsia="en-AU"/>
        </w:rPr>
      </w:pPr>
      <w:r>
        <w:rPr>
          <w:lang w:eastAsia="en-AU"/>
        </w:rPr>
        <w:lastRenderedPageBreak/>
        <w:t>Revision history</w:t>
      </w: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552"/>
        <w:gridCol w:w="2552"/>
        <w:gridCol w:w="2551"/>
      </w:tblGrid>
      <w:tr w:rsidR="001E00E1" w:rsidTr="00E9461A">
        <w:trPr>
          <w:tblHeader/>
        </w:trPr>
        <w:tc>
          <w:tcPr>
            <w:tcW w:w="2552" w:type="dxa"/>
            <w:shd w:val="clear" w:color="auto" w:fill="auto"/>
          </w:tcPr>
          <w:p w:rsidR="001E00E1" w:rsidRPr="000A6666" w:rsidRDefault="001E00E1" w:rsidP="00E9461A">
            <w:pPr>
              <w:pStyle w:val="DHHStablecolhead"/>
            </w:pPr>
            <w:r>
              <w:t>Version</w:t>
            </w:r>
          </w:p>
        </w:tc>
        <w:tc>
          <w:tcPr>
            <w:tcW w:w="2552" w:type="dxa"/>
          </w:tcPr>
          <w:p w:rsidR="001E00E1" w:rsidRPr="000A6666" w:rsidRDefault="001E00E1" w:rsidP="00E9461A">
            <w:pPr>
              <w:pStyle w:val="DHHStablecolhead"/>
            </w:pPr>
            <w:r>
              <w:t>Amended section</w:t>
            </w:r>
          </w:p>
        </w:tc>
        <w:tc>
          <w:tcPr>
            <w:tcW w:w="2552" w:type="dxa"/>
            <w:shd w:val="clear" w:color="auto" w:fill="auto"/>
          </w:tcPr>
          <w:p w:rsidR="001E00E1" w:rsidRPr="00B36948" w:rsidRDefault="001E00E1" w:rsidP="00E9461A">
            <w:pPr>
              <w:pStyle w:val="DHHStablecolhead"/>
            </w:pPr>
            <w:r>
              <w:t>Effective</w:t>
            </w:r>
          </w:p>
        </w:tc>
        <w:tc>
          <w:tcPr>
            <w:tcW w:w="2551" w:type="dxa"/>
          </w:tcPr>
          <w:p w:rsidR="001E00E1" w:rsidRPr="00B36948" w:rsidRDefault="001E00E1" w:rsidP="00E9461A">
            <w:pPr>
              <w:pStyle w:val="DHHStablecolhead"/>
            </w:pPr>
            <w:r>
              <w:t>Details</w:t>
            </w:r>
          </w:p>
        </w:tc>
      </w:tr>
      <w:tr w:rsidR="001E00E1" w:rsidTr="00E9461A">
        <w:tc>
          <w:tcPr>
            <w:tcW w:w="2552" w:type="dxa"/>
            <w:shd w:val="clear" w:color="auto" w:fill="auto"/>
          </w:tcPr>
          <w:p w:rsidR="001E00E1" w:rsidRDefault="001E00E1" w:rsidP="00E9461A">
            <w:pPr>
              <w:pStyle w:val="DHHStabletext"/>
            </w:pPr>
            <w:r>
              <w:t>1.0</w:t>
            </w:r>
          </w:p>
        </w:tc>
        <w:tc>
          <w:tcPr>
            <w:tcW w:w="2552" w:type="dxa"/>
          </w:tcPr>
          <w:p w:rsidR="001E00E1" w:rsidRDefault="001E00E1" w:rsidP="00E9461A">
            <w:pPr>
              <w:pStyle w:val="DHHStabletext"/>
            </w:pPr>
          </w:p>
        </w:tc>
        <w:tc>
          <w:tcPr>
            <w:tcW w:w="2552" w:type="dxa"/>
            <w:shd w:val="clear" w:color="auto" w:fill="auto"/>
          </w:tcPr>
          <w:p w:rsidR="001E00E1" w:rsidRDefault="001E00E1" w:rsidP="001E00E1">
            <w:pPr>
              <w:pStyle w:val="DHHSbody"/>
            </w:pPr>
            <w:r>
              <w:t>September 2014</w:t>
            </w:r>
          </w:p>
        </w:tc>
        <w:tc>
          <w:tcPr>
            <w:tcW w:w="2551" w:type="dxa"/>
          </w:tcPr>
          <w:p w:rsidR="001E00E1" w:rsidRDefault="001E00E1" w:rsidP="001E00E1">
            <w:pPr>
              <w:pStyle w:val="DHHStablebullet"/>
              <w:numPr>
                <w:ilvl w:val="0"/>
                <w:numId w:val="0"/>
              </w:numPr>
            </w:pPr>
            <w:r>
              <w:t>Date of issue</w:t>
            </w:r>
          </w:p>
        </w:tc>
      </w:tr>
      <w:tr w:rsidR="001E00E1" w:rsidTr="00E9461A">
        <w:tc>
          <w:tcPr>
            <w:tcW w:w="2552" w:type="dxa"/>
            <w:shd w:val="clear" w:color="auto" w:fill="auto"/>
          </w:tcPr>
          <w:p w:rsidR="001E00E1" w:rsidRDefault="001E00E1" w:rsidP="00E9461A">
            <w:pPr>
              <w:pStyle w:val="DHHStabletext"/>
            </w:pPr>
            <w:r>
              <w:t>2.0</w:t>
            </w:r>
          </w:p>
        </w:tc>
        <w:tc>
          <w:tcPr>
            <w:tcW w:w="2552" w:type="dxa"/>
          </w:tcPr>
          <w:p w:rsidR="001E00E1" w:rsidRDefault="001E00E1" w:rsidP="00E9461A">
            <w:pPr>
              <w:pStyle w:val="DHHStabletext"/>
            </w:pPr>
          </w:p>
        </w:tc>
        <w:tc>
          <w:tcPr>
            <w:tcW w:w="2552" w:type="dxa"/>
            <w:shd w:val="clear" w:color="auto" w:fill="auto"/>
          </w:tcPr>
          <w:p w:rsidR="001E00E1" w:rsidRDefault="001E00E1" w:rsidP="001E00E1">
            <w:pPr>
              <w:pStyle w:val="DHHStablebullet"/>
              <w:numPr>
                <w:ilvl w:val="0"/>
                <w:numId w:val="0"/>
              </w:numPr>
            </w:pPr>
            <w:r>
              <w:t>July 2017</w:t>
            </w:r>
          </w:p>
        </w:tc>
        <w:tc>
          <w:tcPr>
            <w:tcW w:w="2551" w:type="dxa"/>
          </w:tcPr>
          <w:p w:rsidR="001E00E1" w:rsidRDefault="001E00E1" w:rsidP="001E00E1">
            <w:pPr>
              <w:pStyle w:val="DHHStablebullet"/>
              <w:numPr>
                <w:ilvl w:val="0"/>
                <w:numId w:val="0"/>
              </w:numPr>
            </w:pPr>
            <w:r w:rsidRPr="00707C18">
              <w:t>Incorporation of ‘version control table’</w:t>
            </w:r>
          </w:p>
        </w:tc>
      </w:tr>
    </w:tbl>
    <w:p w:rsidR="001E00E1" w:rsidRDefault="001E00E1" w:rsidP="001E00E1">
      <w:pPr>
        <w:pStyle w:val="DHHSbody"/>
        <w:rPr>
          <w:lang w:eastAsia="en-AU"/>
        </w:rPr>
      </w:pPr>
    </w:p>
    <w:p w:rsidR="001E00E1" w:rsidRDefault="001E00E1" w:rsidP="001E00E1">
      <w:pPr>
        <w:pStyle w:val="Heading1"/>
        <w:rPr>
          <w:lang w:eastAsia="en-AU"/>
        </w:rPr>
      </w:pPr>
      <w:r>
        <w:rPr>
          <w:lang w:eastAsia="en-AU"/>
        </w:rPr>
        <w:t>Overview</w:t>
      </w:r>
    </w:p>
    <w:p w:rsidR="001E00E1" w:rsidRPr="000D6817" w:rsidRDefault="001E00E1" w:rsidP="001E00E1">
      <w:pPr>
        <w:pStyle w:val="DHHSbody"/>
        <w:rPr>
          <w:lang w:eastAsia="en-AU"/>
        </w:rPr>
      </w:pPr>
      <w:r w:rsidRPr="000D6817">
        <w:rPr>
          <w:lang w:eastAsia="en-AU"/>
        </w:rPr>
        <w:t>These operational guidelines outline the requirements for the provision of a rental reference letter to a current or former public housing tenant.</w:t>
      </w:r>
    </w:p>
    <w:p w:rsidR="001E00E1" w:rsidRPr="000D6817" w:rsidRDefault="001E00E1" w:rsidP="001E00E1">
      <w:pPr>
        <w:pStyle w:val="DHHSbody"/>
        <w:rPr>
          <w:lang w:eastAsia="en-AU"/>
        </w:rPr>
      </w:pPr>
      <w:r w:rsidRPr="000D6817">
        <w:rPr>
          <w:lang w:eastAsia="en-AU"/>
        </w:rPr>
        <w:t>The provision of a rental reference letter may occur during or following a tenancy.  Tenants must have been public housing tenants for a minimum of 12 months to be eligible to receive a rental reference letter.</w:t>
      </w:r>
    </w:p>
    <w:p w:rsidR="001E00E1" w:rsidRPr="000D6817" w:rsidRDefault="001E00E1" w:rsidP="001E00E1">
      <w:pPr>
        <w:pStyle w:val="DHHSbody"/>
        <w:rPr>
          <w:lang w:eastAsia="en-AU"/>
        </w:rPr>
      </w:pPr>
      <w:r w:rsidRPr="000D6817">
        <w:rPr>
          <w:lang w:eastAsia="en-AU"/>
        </w:rPr>
        <w:t>In determining suitability for a rental reference letter, staff will consider and review the last 12 months of the tenancy of a past (for tenants who have vacated) or current tenant.</w:t>
      </w:r>
    </w:p>
    <w:p w:rsidR="001E00E1" w:rsidRPr="000D6817" w:rsidRDefault="001E00E1" w:rsidP="001E00E1">
      <w:pPr>
        <w:pStyle w:val="DHHSbody"/>
        <w:rPr>
          <w:lang w:eastAsia="en-AU"/>
        </w:rPr>
      </w:pPr>
      <w:r w:rsidRPr="000D6817">
        <w:rPr>
          <w:lang w:eastAsia="en-AU"/>
        </w:rPr>
        <w:t>Rental reference letters relate to the:</w:t>
      </w:r>
    </w:p>
    <w:p w:rsidR="001E00E1" w:rsidRPr="000D6817" w:rsidRDefault="001E00E1" w:rsidP="001E00E1">
      <w:pPr>
        <w:pStyle w:val="DHHSbullet1"/>
        <w:numPr>
          <w:ilvl w:val="0"/>
          <w:numId w:val="1"/>
        </w:numPr>
        <w:rPr>
          <w:lang w:eastAsia="en-AU"/>
        </w:rPr>
      </w:pPr>
      <w:r w:rsidRPr="000D6817">
        <w:rPr>
          <w:lang w:eastAsia="en-AU"/>
        </w:rPr>
        <w:t xml:space="preserve">compliance of the tenant with their obligations under the </w:t>
      </w:r>
      <w:r w:rsidRPr="000D6817">
        <w:rPr>
          <w:i/>
          <w:lang w:eastAsia="en-AU"/>
        </w:rPr>
        <w:t>Residential Tenancies Act (1997)</w:t>
      </w:r>
    </w:p>
    <w:p w:rsidR="001E00E1" w:rsidRPr="000D6817" w:rsidRDefault="001E00E1" w:rsidP="001E00E1">
      <w:pPr>
        <w:pStyle w:val="DHHSbullet1"/>
        <w:numPr>
          <w:ilvl w:val="0"/>
          <w:numId w:val="1"/>
        </w:numPr>
        <w:rPr>
          <w:lang w:eastAsia="en-AU"/>
        </w:rPr>
      </w:pPr>
      <w:r w:rsidRPr="000D6817">
        <w:rPr>
          <w:lang w:eastAsia="en-AU"/>
        </w:rPr>
        <w:lastRenderedPageBreak/>
        <w:t>compliance of the tenant with their obligations under their tenancy agreement</w:t>
      </w:r>
    </w:p>
    <w:p w:rsidR="001E00E1" w:rsidRPr="000D6817" w:rsidRDefault="001E00E1" w:rsidP="001E00E1">
      <w:pPr>
        <w:pStyle w:val="DHHSbullet1"/>
        <w:numPr>
          <w:ilvl w:val="0"/>
          <w:numId w:val="1"/>
        </w:numPr>
        <w:rPr>
          <w:lang w:eastAsia="en-AU"/>
        </w:rPr>
      </w:pPr>
      <w:r w:rsidRPr="000D6817">
        <w:rPr>
          <w:lang w:eastAsia="en-AU"/>
        </w:rPr>
        <w:t xml:space="preserve">compliance with the </w:t>
      </w:r>
      <w:r w:rsidRPr="000D6817">
        <w:rPr>
          <w:i/>
          <w:lang w:eastAsia="en-AU"/>
        </w:rPr>
        <w:t xml:space="preserve">neighbourly behaviour statement </w:t>
      </w:r>
      <w:r w:rsidRPr="000D6817">
        <w:rPr>
          <w:lang w:eastAsia="en-AU"/>
        </w:rPr>
        <w:t>including</w:t>
      </w:r>
      <w:r w:rsidRPr="000D6817">
        <w:rPr>
          <w:i/>
          <w:lang w:eastAsia="en-AU"/>
        </w:rPr>
        <w:t>:</w:t>
      </w:r>
    </w:p>
    <w:p w:rsidR="001E00E1" w:rsidRPr="000D6817" w:rsidRDefault="001E00E1" w:rsidP="001E00E1">
      <w:pPr>
        <w:pStyle w:val="DHHSbullet2"/>
        <w:numPr>
          <w:ilvl w:val="2"/>
          <w:numId w:val="1"/>
        </w:numPr>
        <w:rPr>
          <w:lang w:eastAsia="en-AU"/>
        </w:rPr>
      </w:pPr>
      <w:r w:rsidRPr="000D6817">
        <w:rPr>
          <w:lang w:eastAsia="en-AU"/>
        </w:rPr>
        <w:t>rental payment history or arrears</w:t>
      </w:r>
    </w:p>
    <w:p w:rsidR="001E00E1" w:rsidRPr="000D6817" w:rsidRDefault="001E00E1" w:rsidP="001E00E1">
      <w:pPr>
        <w:pStyle w:val="DHHSbullet2"/>
        <w:numPr>
          <w:ilvl w:val="2"/>
          <w:numId w:val="1"/>
        </w:numPr>
        <w:rPr>
          <w:lang w:eastAsia="en-AU"/>
        </w:rPr>
      </w:pPr>
      <w:r w:rsidRPr="000D6817">
        <w:rPr>
          <w:lang w:eastAsia="en-AU"/>
        </w:rPr>
        <w:t>keeping the property reasonably clean both inside and out</w:t>
      </w:r>
    </w:p>
    <w:p w:rsidR="001E00E1" w:rsidRPr="000D6817" w:rsidRDefault="001E00E1" w:rsidP="001E00E1">
      <w:pPr>
        <w:pStyle w:val="DHHSbullet2"/>
        <w:numPr>
          <w:ilvl w:val="2"/>
          <w:numId w:val="1"/>
        </w:numPr>
        <w:rPr>
          <w:lang w:eastAsia="en-AU"/>
        </w:rPr>
      </w:pPr>
      <w:r w:rsidRPr="000D6817">
        <w:rPr>
          <w:lang w:eastAsia="en-AU"/>
        </w:rPr>
        <w:t>any history of causing damage to the property</w:t>
      </w:r>
    </w:p>
    <w:p w:rsidR="001E00E1" w:rsidRPr="000D6817" w:rsidRDefault="001E00E1" w:rsidP="001E00E1">
      <w:pPr>
        <w:pStyle w:val="DHHSbullet2lastline"/>
        <w:numPr>
          <w:ilvl w:val="3"/>
          <w:numId w:val="1"/>
        </w:numPr>
        <w:rPr>
          <w:lang w:eastAsia="en-AU"/>
        </w:rPr>
      </w:pPr>
      <w:r w:rsidRPr="000D6817">
        <w:rPr>
          <w:lang w:eastAsia="en-AU"/>
        </w:rPr>
        <w:t xml:space="preserve">repeated patterns of antisocial behaviour. </w:t>
      </w:r>
    </w:p>
    <w:p w:rsidR="001E00E1" w:rsidRPr="000D6817" w:rsidRDefault="001E00E1" w:rsidP="001E00E1">
      <w:pPr>
        <w:pStyle w:val="DHHSbody"/>
        <w:rPr>
          <w:lang w:eastAsia="en-AU"/>
        </w:rPr>
      </w:pPr>
      <w:r w:rsidRPr="000D6817">
        <w:rPr>
          <w:lang w:eastAsia="en-AU"/>
        </w:rPr>
        <w:t xml:space="preserve">Staff must complete a </w:t>
      </w:r>
      <w:r w:rsidRPr="000D6817">
        <w:rPr>
          <w:i/>
          <w:lang w:eastAsia="en-AU"/>
        </w:rPr>
        <w:t>rental reference – tenant suitability checklist</w:t>
      </w:r>
      <w:r w:rsidRPr="000D6817">
        <w:rPr>
          <w:lang w:eastAsia="en-AU"/>
        </w:rPr>
        <w:t xml:space="preserve"> in determining the appropriateness of issuing a rental reference letter.  Staff will provide a rental reference letter when all criteria are met by the tenant.</w:t>
      </w:r>
    </w:p>
    <w:p w:rsidR="001E00E1" w:rsidRPr="000D6817" w:rsidRDefault="001E00E1" w:rsidP="001E00E1">
      <w:pPr>
        <w:pStyle w:val="DHHSbody"/>
        <w:rPr>
          <w:lang w:eastAsia="en-AU"/>
        </w:rPr>
      </w:pPr>
      <w:r w:rsidRPr="000D6817">
        <w:rPr>
          <w:lang w:eastAsia="en-AU"/>
        </w:rPr>
        <w:t xml:space="preserve">Staff will give consideration to the tenant’s willingness to take responsibility and action to address identified issues during the 12 month review period.  Staff will also seek line management advice and guidance in the event complex tenancy issues are identified.  </w:t>
      </w:r>
    </w:p>
    <w:p w:rsidR="001E00E1" w:rsidRPr="000D6817" w:rsidRDefault="001E00E1" w:rsidP="001E00E1">
      <w:pPr>
        <w:pStyle w:val="DHHSbody"/>
        <w:rPr>
          <w:lang w:eastAsia="en-AU"/>
        </w:rPr>
      </w:pPr>
      <w:r w:rsidRPr="000D6817">
        <w:rPr>
          <w:lang w:eastAsia="en-AU"/>
        </w:rPr>
        <w:t>Under certain circumstances, such as when mental health, serious medical conditions or family violence issues are involved, local area management equivalent to a Tenancy and Property manager may take the contributing factors into account prior to determining whether to provide a rental reference letter.</w:t>
      </w:r>
    </w:p>
    <w:p w:rsidR="001E00E1" w:rsidRPr="000D6817" w:rsidRDefault="001E00E1" w:rsidP="001E00E1">
      <w:pPr>
        <w:pStyle w:val="DHHSbody"/>
        <w:rPr>
          <w:lang w:eastAsia="en-AU"/>
        </w:rPr>
      </w:pPr>
      <w:r w:rsidRPr="000D6817">
        <w:rPr>
          <w:lang w:eastAsia="en-AU"/>
        </w:rPr>
        <w:t xml:space="preserve">Staff will advise the tenant, or vacated tenant, of the outcome of their request for a rental reference letter within five working days of the request and record the outcome in the centralised housing system, Housing integrated information Program (HiiP). </w:t>
      </w:r>
    </w:p>
    <w:p w:rsidR="001E00E1" w:rsidRPr="000D6817" w:rsidRDefault="001E00E1" w:rsidP="001E00E1">
      <w:pPr>
        <w:pStyle w:val="DHHSbody"/>
        <w:rPr>
          <w:lang w:eastAsia="en-AU"/>
        </w:rPr>
      </w:pPr>
      <w:r w:rsidRPr="000D6817">
        <w:rPr>
          <w:lang w:eastAsia="en-AU"/>
        </w:rPr>
        <w:t>Through initiating the processes outlined in these operational guidelines the</w:t>
      </w:r>
      <w:r>
        <w:rPr>
          <w:lang w:eastAsia="en-AU"/>
        </w:rPr>
        <w:t xml:space="preserve"> d</w:t>
      </w:r>
      <w:r w:rsidRPr="000D6817">
        <w:rPr>
          <w:lang w:eastAsia="en-AU"/>
        </w:rPr>
        <w:t>epartment is able to:</w:t>
      </w:r>
    </w:p>
    <w:p w:rsidR="001E00E1" w:rsidRPr="000D6817" w:rsidRDefault="001E00E1" w:rsidP="001E00E1">
      <w:pPr>
        <w:pStyle w:val="DHHSbullet1"/>
        <w:numPr>
          <w:ilvl w:val="0"/>
          <w:numId w:val="1"/>
        </w:numPr>
        <w:rPr>
          <w:lang w:eastAsia="en-AU"/>
        </w:rPr>
      </w:pPr>
      <w:r w:rsidRPr="000D6817">
        <w:rPr>
          <w:lang w:eastAsia="en-AU"/>
        </w:rPr>
        <w:t xml:space="preserve">support tenants to explore alternative housing options </w:t>
      </w:r>
    </w:p>
    <w:p w:rsidR="001E00E1" w:rsidRPr="000D6817" w:rsidRDefault="001E00E1" w:rsidP="001E00E1">
      <w:pPr>
        <w:pStyle w:val="DHHSbullet1"/>
        <w:numPr>
          <w:ilvl w:val="0"/>
          <w:numId w:val="1"/>
        </w:numPr>
        <w:rPr>
          <w:lang w:eastAsia="en-AU"/>
        </w:rPr>
      </w:pPr>
      <w:r w:rsidRPr="000D6817">
        <w:rPr>
          <w:lang w:eastAsia="en-AU"/>
        </w:rPr>
        <w:t>take reasonable steps to ensure public housing properties are available to those most in need</w:t>
      </w:r>
    </w:p>
    <w:p w:rsidR="001E00E1" w:rsidRPr="000D6817" w:rsidRDefault="001E00E1" w:rsidP="001E00E1">
      <w:pPr>
        <w:pStyle w:val="DHHSbullet1lastline"/>
        <w:numPr>
          <w:ilvl w:val="1"/>
          <w:numId w:val="1"/>
        </w:numPr>
        <w:rPr>
          <w:lang w:eastAsia="en-AU"/>
        </w:rPr>
      </w:pPr>
      <w:r w:rsidRPr="000D6817">
        <w:rPr>
          <w:lang w:eastAsia="en-AU"/>
        </w:rPr>
        <w:t>recognise tenants who have developed and maintained a positive and cooperative rel</w:t>
      </w:r>
      <w:r>
        <w:rPr>
          <w:lang w:eastAsia="en-AU"/>
        </w:rPr>
        <w:t>ationship with the d</w:t>
      </w:r>
      <w:r w:rsidRPr="000D6817">
        <w:rPr>
          <w:lang w:eastAsia="en-AU"/>
        </w:rPr>
        <w:t>epartment.</w:t>
      </w:r>
    </w:p>
    <w:p w:rsidR="001E00E1" w:rsidRPr="009C390D" w:rsidRDefault="001E00E1" w:rsidP="001E00E1">
      <w:pPr>
        <w:pStyle w:val="DHHSbody"/>
      </w:pPr>
      <w:r w:rsidRPr="009C390D">
        <w:t>The provision of a rental reference letter will be recorded HiiP.  The rental reference letter is referred to as a letter of good standing in HiiP.</w:t>
      </w:r>
    </w:p>
    <w:p w:rsidR="001E00E1" w:rsidRDefault="001E00E1" w:rsidP="001E00E1">
      <w:pPr>
        <w:pStyle w:val="Heading1"/>
        <w:rPr>
          <w:lang w:eastAsia="en-AU"/>
        </w:rPr>
      </w:pPr>
      <w:r>
        <w:rPr>
          <w:lang w:eastAsia="en-AU"/>
        </w:rPr>
        <w:t>Who do these operational guidelines apply to?</w:t>
      </w:r>
    </w:p>
    <w:p w:rsidR="001E00E1" w:rsidRPr="009C390D" w:rsidRDefault="001E00E1" w:rsidP="001E00E1">
      <w:pPr>
        <w:pStyle w:val="DHHSbody"/>
      </w:pPr>
      <w:r w:rsidRPr="009C390D">
        <w:t>These operational guidelines apply to staff when determining whether public housing tenants meet the requirements to receive a rental reference letter.</w:t>
      </w:r>
    </w:p>
    <w:p w:rsidR="001E00E1" w:rsidRDefault="001E00E1" w:rsidP="001E00E1">
      <w:pPr>
        <w:pStyle w:val="Heading1"/>
        <w:rPr>
          <w:lang w:eastAsia="en-AU"/>
        </w:rPr>
      </w:pPr>
      <w:r>
        <w:rPr>
          <w:lang w:eastAsia="en-AU"/>
        </w:rPr>
        <w:t>Tenancy history</w:t>
      </w:r>
    </w:p>
    <w:p w:rsidR="001E00E1" w:rsidRPr="000D6817" w:rsidRDefault="001E00E1" w:rsidP="001E00E1">
      <w:pPr>
        <w:pStyle w:val="DHHSbody"/>
        <w:rPr>
          <w:lang w:eastAsia="en-AU"/>
        </w:rPr>
      </w:pPr>
      <w:r w:rsidRPr="000D6817">
        <w:rPr>
          <w:lang w:eastAsia="en-AU"/>
        </w:rPr>
        <w:t>Staff will review the identified 12 month period of the tenancy history for details relating to:</w:t>
      </w:r>
    </w:p>
    <w:p w:rsidR="001E00E1" w:rsidRPr="000D6817" w:rsidRDefault="001E00E1" w:rsidP="001E00E1">
      <w:pPr>
        <w:pStyle w:val="DHHSbullet1"/>
        <w:numPr>
          <w:ilvl w:val="0"/>
          <w:numId w:val="1"/>
        </w:numPr>
        <w:rPr>
          <w:lang w:eastAsia="en-AU"/>
        </w:rPr>
      </w:pPr>
      <w:r w:rsidRPr="000D6817">
        <w:rPr>
          <w:lang w:eastAsia="en-AU"/>
        </w:rPr>
        <w:t>a validated complaint against the tenant</w:t>
      </w:r>
    </w:p>
    <w:p w:rsidR="001E00E1" w:rsidRPr="000D6817" w:rsidRDefault="001E00E1" w:rsidP="001E00E1">
      <w:pPr>
        <w:pStyle w:val="DHHSbullet1"/>
        <w:numPr>
          <w:ilvl w:val="0"/>
          <w:numId w:val="1"/>
        </w:numPr>
        <w:rPr>
          <w:lang w:eastAsia="en-AU"/>
        </w:rPr>
      </w:pPr>
      <w:r w:rsidRPr="000D6817">
        <w:rPr>
          <w:lang w:eastAsia="en-AU"/>
        </w:rPr>
        <w:t xml:space="preserve">tenancy breaches or action undertaken as part of the three strike or zero tolerance approaches as outlined in the </w:t>
      </w:r>
      <w:r w:rsidRPr="000D6817">
        <w:rPr>
          <w:i/>
          <w:lang w:eastAsia="en-AU"/>
        </w:rPr>
        <w:t>tenancy breaches operational guidelines</w:t>
      </w:r>
    </w:p>
    <w:p w:rsidR="001E00E1" w:rsidRPr="000D6817" w:rsidRDefault="001E00E1" w:rsidP="001E00E1">
      <w:pPr>
        <w:pStyle w:val="DHHSbullet1lastline"/>
        <w:numPr>
          <w:ilvl w:val="1"/>
          <w:numId w:val="1"/>
        </w:numPr>
        <w:rPr>
          <w:lang w:eastAsia="en-AU"/>
        </w:rPr>
      </w:pPr>
      <w:r w:rsidRPr="000D6817">
        <w:rPr>
          <w:lang w:eastAsia="en-AU"/>
        </w:rPr>
        <w:t xml:space="preserve">any antisocial behaviour displayed by the tenant as defined in the </w:t>
      </w:r>
      <w:r w:rsidRPr="009C390D">
        <w:rPr>
          <w:rStyle w:val="Strong"/>
        </w:rPr>
        <w:t>neighbourly behaviour and support operational guidelines</w:t>
      </w:r>
      <w:r w:rsidRPr="000D6817">
        <w:rPr>
          <w:lang w:eastAsia="en-AU"/>
        </w:rPr>
        <w:t>.</w:t>
      </w:r>
    </w:p>
    <w:p w:rsidR="001E00E1" w:rsidRPr="000D6817" w:rsidRDefault="001E00E1" w:rsidP="001E00E1">
      <w:pPr>
        <w:pStyle w:val="DHHSbody"/>
        <w:rPr>
          <w:lang w:eastAsia="en-AU"/>
        </w:rPr>
      </w:pPr>
      <w:r w:rsidRPr="000D6817">
        <w:rPr>
          <w:lang w:eastAsia="en-AU"/>
        </w:rPr>
        <w:t>In the event any of the above concerns are identified in the 12 month period, staff should not consider the tenant to have met the requirements for tenancy history.</w:t>
      </w:r>
    </w:p>
    <w:p w:rsidR="001E00E1" w:rsidRDefault="001E00E1" w:rsidP="001E00E1">
      <w:pPr>
        <w:pStyle w:val="DHHSbody"/>
        <w:rPr>
          <w:lang w:eastAsia="en-AU"/>
        </w:rPr>
      </w:pPr>
      <w:r w:rsidRPr="000D6817">
        <w:rPr>
          <w:lang w:eastAsia="en-AU"/>
        </w:rPr>
        <w:t xml:space="preserve">In the event it is identified that the tenant was subject to an Order of Compliance during this period staff will review the tenant’s compliance with the requirements of the order in determining suitability for a rental reference letter.  </w:t>
      </w:r>
    </w:p>
    <w:p w:rsidR="001E00E1" w:rsidRDefault="001E00E1" w:rsidP="001E00E1">
      <w:pPr>
        <w:pStyle w:val="Heading1"/>
        <w:rPr>
          <w:lang w:eastAsia="en-AU"/>
        </w:rPr>
      </w:pPr>
      <w:r>
        <w:rPr>
          <w:lang w:eastAsia="en-AU"/>
        </w:rPr>
        <w:lastRenderedPageBreak/>
        <w:t>Payment history</w:t>
      </w:r>
    </w:p>
    <w:p w:rsidR="001E00E1" w:rsidRPr="000D6817" w:rsidRDefault="001E00E1" w:rsidP="001E00E1">
      <w:pPr>
        <w:pStyle w:val="DHHSbody"/>
        <w:rPr>
          <w:lang w:eastAsia="en-AU"/>
        </w:rPr>
      </w:pPr>
      <w:r w:rsidRPr="000D6817">
        <w:rPr>
          <w:lang w:eastAsia="en-AU"/>
        </w:rPr>
        <w:t>In the event the tenant is in arrears at the time of the request, staff will not issue a rental reference letter.</w:t>
      </w:r>
    </w:p>
    <w:p w:rsidR="001E00E1" w:rsidRPr="000D6817" w:rsidRDefault="001E00E1" w:rsidP="001E00E1">
      <w:pPr>
        <w:pStyle w:val="DHHSbody"/>
        <w:rPr>
          <w:lang w:eastAsia="en-AU"/>
        </w:rPr>
      </w:pPr>
      <w:r w:rsidRPr="000D6817">
        <w:rPr>
          <w:lang w:eastAsia="en-AU"/>
        </w:rPr>
        <w:t>If the tenant does not have a debt at the time of the request, staff will review the identified 12 month period of the rental history for details relating to:</w:t>
      </w:r>
    </w:p>
    <w:p w:rsidR="001E00E1" w:rsidRPr="000D6817" w:rsidRDefault="001E00E1" w:rsidP="001E00E1">
      <w:pPr>
        <w:pStyle w:val="DHHSbullet1"/>
        <w:numPr>
          <w:ilvl w:val="0"/>
          <w:numId w:val="1"/>
        </w:numPr>
        <w:rPr>
          <w:lang w:eastAsia="en-AU"/>
        </w:rPr>
      </w:pPr>
      <w:r w:rsidRPr="000D6817">
        <w:rPr>
          <w:lang w:eastAsia="en-AU"/>
        </w:rPr>
        <w:t>rental arrears, either accrued individually or part of a household</w:t>
      </w:r>
    </w:p>
    <w:p w:rsidR="001E00E1" w:rsidRPr="000D6817" w:rsidRDefault="001E00E1" w:rsidP="001E00E1">
      <w:pPr>
        <w:pStyle w:val="DHHSbullet1lastline"/>
        <w:numPr>
          <w:ilvl w:val="1"/>
          <w:numId w:val="1"/>
        </w:numPr>
        <w:rPr>
          <w:lang w:eastAsia="en-AU"/>
        </w:rPr>
      </w:pPr>
      <w:r w:rsidRPr="000D6817">
        <w:rPr>
          <w:lang w:eastAsia="en-AU"/>
        </w:rPr>
        <w:t>maintenance arrears, either accrued individually or part of a household</w:t>
      </w:r>
    </w:p>
    <w:p w:rsidR="001E00E1" w:rsidRPr="000D6817" w:rsidRDefault="001E00E1" w:rsidP="001E00E1">
      <w:pPr>
        <w:pStyle w:val="DHHSbody"/>
        <w:rPr>
          <w:lang w:eastAsia="en-AU"/>
        </w:rPr>
      </w:pPr>
      <w:r w:rsidRPr="000D6817">
        <w:rPr>
          <w:lang w:eastAsia="en-AU"/>
        </w:rPr>
        <w:t>Staff will consider the tenant to have met the requirements for payment history in the event:</w:t>
      </w:r>
    </w:p>
    <w:p w:rsidR="001E00E1" w:rsidRPr="000D6817" w:rsidRDefault="001E00E1" w:rsidP="001E00E1">
      <w:pPr>
        <w:pStyle w:val="DHHSbullet1"/>
        <w:numPr>
          <w:ilvl w:val="0"/>
          <w:numId w:val="1"/>
        </w:numPr>
        <w:rPr>
          <w:lang w:eastAsia="en-AU"/>
        </w:rPr>
      </w:pPr>
      <w:r w:rsidRPr="000D6817">
        <w:rPr>
          <w:lang w:eastAsia="en-AU"/>
        </w:rPr>
        <w:t>no debt is identified</w:t>
      </w:r>
    </w:p>
    <w:p w:rsidR="001E00E1" w:rsidRPr="000D6817" w:rsidRDefault="001E00E1" w:rsidP="001E00E1">
      <w:pPr>
        <w:pStyle w:val="DHHSbullet1"/>
        <w:numPr>
          <w:ilvl w:val="0"/>
          <w:numId w:val="1"/>
        </w:numPr>
        <w:rPr>
          <w:lang w:eastAsia="en-AU"/>
        </w:rPr>
      </w:pPr>
      <w:r w:rsidRPr="000D6817">
        <w:rPr>
          <w:lang w:eastAsia="en-AU"/>
        </w:rPr>
        <w:t>debt is identified that:</w:t>
      </w:r>
    </w:p>
    <w:p w:rsidR="001E00E1" w:rsidRPr="000D6817" w:rsidRDefault="001E00E1" w:rsidP="001E00E1">
      <w:pPr>
        <w:pStyle w:val="DHHSbullet2"/>
        <w:numPr>
          <w:ilvl w:val="2"/>
          <w:numId w:val="1"/>
        </w:numPr>
        <w:rPr>
          <w:lang w:eastAsia="en-AU"/>
        </w:rPr>
      </w:pPr>
      <w:r w:rsidRPr="000D6817">
        <w:rPr>
          <w:lang w:eastAsia="en-AU"/>
        </w:rPr>
        <w:t>was no more than two weeks in arrears for rent or $200 for maintenance debt which and</w:t>
      </w:r>
    </w:p>
    <w:p w:rsidR="001E00E1" w:rsidRPr="000D6817" w:rsidRDefault="001E00E1" w:rsidP="001E00E1">
      <w:pPr>
        <w:pStyle w:val="DHHSbullet2lastline"/>
        <w:numPr>
          <w:ilvl w:val="3"/>
          <w:numId w:val="1"/>
        </w:numPr>
        <w:rPr>
          <w:lang w:eastAsia="en-AU"/>
        </w:rPr>
      </w:pPr>
      <w:r w:rsidRPr="000D6817">
        <w:rPr>
          <w:lang w:eastAsia="en-AU"/>
        </w:rPr>
        <w:t xml:space="preserve">has been repaid. </w:t>
      </w:r>
    </w:p>
    <w:p w:rsidR="001E00E1" w:rsidRDefault="001E00E1" w:rsidP="001E00E1">
      <w:pPr>
        <w:pStyle w:val="DHHSbody"/>
      </w:pPr>
      <w:r w:rsidRPr="009C390D">
        <w:t>In the event debt is identified and it has not been managed through a local agreement, or has escalated to formal legal intervention, staff should not consider the tenant to have met the requirements for payment history.</w:t>
      </w:r>
    </w:p>
    <w:p w:rsidR="001E00E1" w:rsidRPr="00553783" w:rsidRDefault="001E00E1" w:rsidP="001E00E1">
      <w:pPr>
        <w:pStyle w:val="Heading2"/>
      </w:pPr>
      <w:bookmarkStart w:id="1" w:name="_Toc472515047"/>
      <w:bookmarkStart w:id="2" w:name="_Toc484695892"/>
      <w:r w:rsidRPr="00553783">
        <w:t>Payment history – process flowchart</w:t>
      </w:r>
      <w:bookmarkEnd w:id="1"/>
      <w:bookmarkEnd w:id="2"/>
    </w:p>
    <w:p w:rsidR="001E00E1" w:rsidRDefault="001E00E1" w:rsidP="001E00E1">
      <w:pPr>
        <w:pStyle w:val="DHHSbody"/>
        <w:ind w:left="1440" w:firstLine="720"/>
        <w:rPr>
          <w:rFonts w:cs="Arial"/>
        </w:rPr>
      </w:pPr>
      <w:r w:rsidRPr="000D6817">
        <w:rPr>
          <w:rFonts w:cs="Arial"/>
        </w:rPr>
        <w:object w:dxaOrig="5951" w:dyaOrig="9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his flowchart represents the payment history - process at the 12 month review period and at the point of request of rental reference letter." style="width:230.55pt;height:369pt" o:ole="">
            <v:imagedata r:id="rId12" o:title=""/>
          </v:shape>
          <o:OLEObject Type="Embed" ProgID="Visio.Drawing.11" ShapeID="_x0000_i1025" DrawAspect="Content" ObjectID="_1563620791" r:id="rId13"/>
        </w:object>
      </w:r>
    </w:p>
    <w:p w:rsidR="001E00E1" w:rsidRDefault="001E00E1" w:rsidP="001E00E1">
      <w:pPr>
        <w:pStyle w:val="Heading1"/>
        <w:rPr>
          <w:lang w:eastAsia="en-AU"/>
        </w:rPr>
      </w:pPr>
      <w:r>
        <w:rPr>
          <w:lang w:eastAsia="en-AU"/>
        </w:rPr>
        <w:t>Tenancy condition report and inspection</w:t>
      </w:r>
    </w:p>
    <w:p w:rsidR="001E00E1" w:rsidRPr="000D6817" w:rsidRDefault="001E00E1" w:rsidP="001E00E1">
      <w:pPr>
        <w:pStyle w:val="DHHSbody"/>
        <w:rPr>
          <w:lang w:eastAsia="en-AU"/>
        </w:rPr>
      </w:pPr>
      <w:r w:rsidRPr="000D6817">
        <w:rPr>
          <w:lang w:eastAsia="en-AU"/>
        </w:rPr>
        <w:t>Staff will undertake an inspection and complete a tenancy condition report to confirm the tenant has maintained the public housing property and common areas in accordance with their obligations under:</w:t>
      </w:r>
    </w:p>
    <w:p w:rsidR="001E00E1" w:rsidRPr="000D6817" w:rsidRDefault="001E00E1" w:rsidP="001E00E1">
      <w:pPr>
        <w:pStyle w:val="DHHSbullet1"/>
        <w:numPr>
          <w:ilvl w:val="0"/>
          <w:numId w:val="1"/>
        </w:numPr>
        <w:rPr>
          <w:lang w:eastAsia="en-AU"/>
        </w:rPr>
      </w:pPr>
      <w:r w:rsidRPr="000D6817">
        <w:rPr>
          <w:lang w:eastAsia="en-AU"/>
        </w:rPr>
        <w:lastRenderedPageBreak/>
        <w:t>the Residential Tenancies Act</w:t>
      </w:r>
    </w:p>
    <w:p w:rsidR="001E00E1" w:rsidRPr="000D6817" w:rsidRDefault="001E00E1" w:rsidP="001E00E1">
      <w:pPr>
        <w:pStyle w:val="DHHSbullet1"/>
        <w:numPr>
          <w:ilvl w:val="0"/>
          <w:numId w:val="1"/>
        </w:numPr>
        <w:rPr>
          <w:lang w:eastAsia="en-AU"/>
        </w:rPr>
      </w:pPr>
      <w:r w:rsidRPr="000D6817">
        <w:rPr>
          <w:lang w:eastAsia="en-AU"/>
        </w:rPr>
        <w:t>their tenancy agreement</w:t>
      </w:r>
    </w:p>
    <w:p w:rsidR="001E00E1" w:rsidRPr="000D6817" w:rsidRDefault="001E00E1" w:rsidP="001E00E1">
      <w:pPr>
        <w:pStyle w:val="DHHSbullet1lastline"/>
        <w:numPr>
          <w:ilvl w:val="1"/>
          <w:numId w:val="1"/>
        </w:numPr>
        <w:rPr>
          <w:lang w:eastAsia="en-AU"/>
        </w:rPr>
      </w:pPr>
      <w:r w:rsidRPr="000D6817">
        <w:rPr>
          <w:lang w:eastAsia="en-AU"/>
        </w:rPr>
        <w:t xml:space="preserve">the neighbourly behaviour statement. </w:t>
      </w:r>
    </w:p>
    <w:p w:rsidR="001E00E1" w:rsidRPr="000D6817" w:rsidRDefault="001E00E1" w:rsidP="001E00E1">
      <w:pPr>
        <w:pStyle w:val="DHHSbody"/>
        <w:rPr>
          <w:lang w:eastAsia="en-AU"/>
        </w:rPr>
      </w:pPr>
      <w:r w:rsidRPr="000D6817">
        <w:rPr>
          <w:lang w:eastAsia="en-AU"/>
        </w:rPr>
        <w:t xml:space="preserve">Staff will complete the </w:t>
      </w:r>
      <w:r w:rsidRPr="000D6817">
        <w:rPr>
          <w:i/>
          <w:lang w:eastAsia="en-AU"/>
        </w:rPr>
        <w:t>end-of-tenancy section</w:t>
      </w:r>
      <w:r w:rsidRPr="000D6817">
        <w:rPr>
          <w:lang w:eastAsia="en-AU"/>
        </w:rPr>
        <w:t xml:space="preserve"> of the </w:t>
      </w:r>
      <w:r w:rsidRPr="000D6817">
        <w:rPr>
          <w:i/>
          <w:lang w:eastAsia="en-AU"/>
        </w:rPr>
        <w:t>tenancy condition report</w:t>
      </w:r>
      <w:r w:rsidRPr="000D6817">
        <w:rPr>
          <w:lang w:eastAsia="en-AU"/>
        </w:rPr>
        <w:t xml:space="preserve"> and inspection in line with the:</w:t>
      </w:r>
    </w:p>
    <w:p w:rsidR="001E00E1" w:rsidRPr="000D6817" w:rsidRDefault="001E00E1" w:rsidP="001E00E1">
      <w:pPr>
        <w:pStyle w:val="DHHSbullet1"/>
        <w:numPr>
          <w:ilvl w:val="0"/>
          <w:numId w:val="1"/>
        </w:numPr>
        <w:rPr>
          <w:lang w:eastAsia="en-AU"/>
        </w:rPr>
      </w:pPr>
      <w:r w:rsidRPr="000D6817">
        <w:rPr>
          <w:lang w:eastAsia="en-AU"/>
        </w:rPr>
        <w:t xml:space="preserve">tenancy condition report requirements of the </w:t>
      </w:r>
      <w:r w:rsidRPr="000D6817">
        <w:rPr>
          <w:i/>
          <w:lang w:eastAsia="en-AU"/>
        </w:rPr>
        <w:t>Property condition assessment policy</w:t>
      </w:r>
    </w:p>
    <w:p w:rsidR="001E00E1" w:rsidRPr="000D6817" w:rsidRDefault="001E00E1" w:rsidP="001E00E1">
      <w:pPr>
        <w:pStyle w:val="DHHSbullet1lastline"/>
        <w:numPr>
          <w:ilvl w:val="1"/>
          <w:numId w:val="1"/>
        </w:numPr>
        <w:rPr>
          <w:lang w:eastAsia="en-AU"/>
        </w:rPr>
      </w:pPr>
      <w:r w:rsidRPr="000D6817">
        <w:rPr>
          <w:lang w:eastAsia="en-AU"/>
        </w:rPr>
        <w:t xml:space="preserve">Home visit guidelines. </w:t>
      </w:r>
    </w:p>
    <w:p w:rsidR="001E00E1" w:rsidRDefault="001E00E1" w:rsidP="001E00E1">
      <w:pPr>
        <w:pStyle w:val="DHHSbody"/>
        <w:rPr>
          <w:rFonts w:cs="Arial"/>
          <w:lang w:eastAsia="en-AU"/>
        </w:rPr>
      </w:pPr>
      <w:r w:rsidRPr="000D6817">
        <w:rPr>
          <w:rFonts w:cs="Arial"/>
          <w:lang w:eastAsia="en-AU"/>
        </w:rPr>
        <w:t>Staff will consider a tenant to have met the requirements for property condition where a property is presented in an acceptable condition without obvious signs of tenant neglect or damage.</w:t>
      </w:r>
    </w:p>
    <w:p w:rsidR="001E00E1" w:rsidRDefault="001E00E1" w:rsidP="001E00E1">
      <w:pPr>
        <w:pStyle w:val="Heading1"/>
        <w:rPr>
          <w:lang w:eastAsia="en-AU"/>
        </w:rPr>
      </w:pPr>
      <w:r>
        <w:rPr>
          <w:lang w:eastAsia="en-AU"/>
        </w:rPr>
        <w:t>Eligible requests</w:t>
      </w:r>
    </w:p>
    <w:p w:rsidR="001E00E1" w:rsidRPr="000D6817" w:rsidRDefault="001E00E1" w:rsidP="001E00E1">
      <w:pPr>
        <w:pStyle w:val="DHHSbody"/>
        <w:rPr>
          <w:lang w:eastAsia="en-AU"/>
        </w:rPr>
      </w:pPr>
      <w:r w:rsidRPr="000D6817">
        <w:rPr>
          <w:lang w:eastAsia="en-AU"/>
        </w:rPr>
        <w:t>In the event a tenant meets the requirements for:</w:t>
      </w:r>
    </w:p>
    <w:p w:rsidR="001E00E1" w:rsidRPr="000D6817" w:rsidRDefault="001E00E1" w:rsidP="001E00E1">
      <w:pPr>
        <w:numPr>
          <w:ilvl w:val="0"/>
          <w:numId w:val="10"/>
        </w:numPr>
        <w:spacing w:after="120"/>
        <w:jc w:val="both"/>
        <w:rPr>
          <w:rFonts w:ascii="Arial" w:hAnsi="Arial" w:cs="Arial"/>
          <w:lang w:eastAsia="en-AU"/>
        </w:rPr>
      </w:pPr>
      <w:r w:rsidRPr="000D6817">
        <w:rPr>
          <w:rFonts w:ascii="Arial" w:hAnsi="Arial" w:cs="Arial"/>
          <w:lang w:eastAsia="en-AU"/>
        </w:rPr>
        <w:t>tenancy history</w:t>
      </w:r>
    </w:p>
    <w:p w:rsidR="001E00E1" w:rsidRPr="000D6817" w:rsidRDefault="001E00E1" w:rsidP="001E00E1">
      <w:pPr>
        <w:numPr>
          <w:ilvl w:val="0"/>
          <w:numId w:val="10"/>
        </w:numPr>
        <w:spacing w:after="120"/>
        <w:jc w:val="both"/>
        <w:rPr>
          <w:rFonts w:ascii="Arial" w:hAnsi="Arial" w:cs="Arial"/>
          <w:lang w:eastAsia="en-AU"/>
        </w:rPr>
      </w:pPr>
      <w:r w:rsidRPr="000D6817">
        <w:rPr>
          <w:rFonts w:ascii="Arial" w:hAnsi="Arial" w:cs="Arial"/>
          <w:lang w:eastAsia="en-AU"/>
        </w:rPr>
        <w:t>payment history</w:t>
      </w:r>
    </w:p>
    <w:p w:rsidR="001E00E1" w:rsidRPr="000D6817" w:rsidRDefault="001E00E1" w:rsidP="001E00E1">
      <w:pPr>
        <w:numPr>
          <w:ilvl w:val="0"/>
          <w:numId w:val="10"/>
        </w:numPr>
        <w:spacing w:after="120"/>
        <w:jc w:val="both"/>
        <w:rPr>
          <w:rFonts w:ascii="Arial" w:hAnsi="Arial" w:cs="Arial"/>
          <w:lang w:eastAsia="en-AU"/>
        </w:rPr>
      </w:pPr>
      <w:r w:rsidRPr="000D6817">
        <w:rPr>
          <w:rFonts w:ascii="Arial" w:hAnsi="Arial" w:cs="Arial"/>
          <w:lang w:eastAsia="en-AU"/>
        </w:rPr>
        <w:t>property condition</w:t>
      </w:r>
    </w:p>
    <w:p w:rsidR="001E00E1" w:rsidRPr="000D6817" w:rsidRDefault="001E00E1" w:rsidP="001E00E1">
      <w:pPr>
        <w:pStyle w:val="DHHSbody"/>
        <w:rPr>
          <w:lang w:eastAsia="en-AU"/>
        </w:rPr>
      </w:pPr>
      <w:r w:rsidRPr="000D6817">
        <w:rPr>
          <w:lang w:eastAsia="en-AU"/>
        </w:rPr>
        <w:t>in the identified 12 month period, staff will:</w:t>
      </w:r>
    </w:p>
    <w:p w:rsidR="001E00E1" w:rsidRPr="000D6817" w:rsidRDefault="001E00E1" w:rsidP="001E00E1">
      <w:pPr>
        <w:pStyle w:val="DHHSbullet1"/>
        <w:numPr>
          <w:ilvl w:val="0"/>
          <w:numId w:val="1"/>
        </w:numPr>
        <w:rPr>
          <w:lang w:eastAsia="en-AU"/>
        </w:rPr>
      </w:pPr>
      <w:r w:rsidRPr="000D6817">
        <w:rPr>
          <w:lang w:eastAsia="en-AU"/>
        </w:rPr>
        <w:t xml:space="preserve">provide a copy of the </w:t>
      </w:r>
      <w:r w:rsidRPr="000D6817">
        <w:rPr>
          <w:i/>
          <w:lang w:eastAsia="en-AU"/>
        </w:rPr>
        <w:t>rental reference – tenant suitability checklist</w:t>
      </w:r>
      <w:r w:rsidRPr="000D6817">
        <w:rPr>
          <w:lang w:eastAsia="en-AU"/>
        </w:rPr>
        <w:t xml:space="preserve"> to their line manager for validation</w:t>
      </w:r>
    </w:p>
    <w:p w:rsidR="001E00E1" w:rsidRPr="000D6817" w:rsidRDefault="001E00E1" w:rsidP="001E00E1">
      <w:pPr>
        <w:pStyle w:val="DHHSbullet1lastline"/>
        <w:numPr>
          <w:ilvl w:val="1"/>
          <w:numId w:val="1"/>
        </w:numPr>
        <w:rPr>
          <w:lang w:eastAsia="en-AU"/>
        </w:rPr>
      </w:pPr>
      <w:r w:rsidRPr="000D6817">
        <w:rPr>
          <w:lang w:eastAsia="en-AU"/>
        </w:rPr>
        <w:t xml:space="preserve">recommend that a rental reference letter be provided to the tenant. </w:t>
      </w:r>
    </w:p>
    <w:p w:rsidR="001E00E1" w:rsidRPr="009C390D" w:rsidRDefault="001E00E1" w:rsidP="001E00E1">
      <w:pPr>
        <w:pStyle w:val="DHHSbody"/>
      </w:pPr>
      <w:r w:rsidRPr="009C390D">
        <w:t>Once the recommendation is validated by the local area management equivalent to a Tenancy and Property manager, staff will generate the rental reference and provide to the tenant.</w:t>
      </w:r>
    </w:p>
    <w:p w:rsidR="001E00E1" w:rsidRDefault="001E00E1" w:rsidP="001E00E1">
      <w:pPr>
        <w:pStyle w:val="Heading1"/>
        <w:rPr>
          <w:lang w:eastAsia="en-AU"/>
        </w:rPr>
      </w:pPr>
      <w:r>
        <w:rPr>
          <w:lang w:eastAsia="en-AU"/>
        </w:rPr>
        <w:t>Ineligible requests</w:t>
      </w:r>
    </w:p>
    <w:p w:rsidR="001E00E1" w:rsidRPr="000D6817" w:rsidRDefault="001E00E1" w:rsidP="001E00E1">
      <w:pPr>
        <w:pStyle w:val="DHHSbody"/>
        <w:rPr>
          <w:lang w:eastAsia="en-AU"/>
        </w:rPr>
      </w:pPr>
      <w:r w:rsidRPr="000D6817">
        <w:rPr>
          <w:lang w:eastAsia="en-AU"/>
        </w:rPr>
        <w:t>In the event a tenant does not meet the requirements for:</w:t>
      </w:r>
    </w:p>
    <w:p w:rsidR="001E00E1" w:rsidRPr="000D6817" w:rsidRDefault="001E00E1" w:rsidP="001E00E1">
      <w:pPr>
        <w:pStyle w:val="DHHSbullet1"/>
        <w:numPr>
          <w:ilvl w:val="0"/>
          <w:numId w:val="1"/>
        </w:numPr>
        <w:rPr>
          <w:lang w:eastAsia="en-AU"/>
        </w:rPr>
      </w:pPr>
      <w:r w:rsidRPr="000D6817">
        <w:rPr>
          <w:lang w:eastAsia="en-AU"/>
        </w:rPr>
        <w:t>tenancy history</w:t>
      </w:r>
    </w:p>
    <w:p w:rsidR="001E00E1" w:rsidRPr="000D6817" w:rsidRDefault="001E00E1" w:rsidP="001E00E1">
      <w:pPr>
        <w:pStyle w:val="DHHSbullet1"/>
        <w:numPr>
          <w:ilvl w:val="0"/>
          <w:numId w:val="1"/>
        </w:numPr>
        <w:rPr>
          <w:lang w:eastAsia="en-AU"/>
        </w:rPr>
      </w:pPr>
      <w:r w:rsidRPr="000D6817">
        <w:rPr>
          <w:lang w:eastAsia="en-AU"/>
        </w:rPr>
        <w:t>payment history</w:t>
      </w:r>
    </w:p>
    <w:p w:rsidR="001E00E1" w:rsidRPr="000D6817" w:rsidRDefault="001E00E1" w:rsidP="001E00E1">
      <w:pPr>
        <w:pStyle w:val="DHHSbullet1lastline"/>
        <w:numPr>
          <w:ilvl w:val="1"/>
          <w:numId w:val="1"/>
        </w:numPr>
        <w:rPr>
          <w:lang w:eastAsia="en-AU"/>
        </w:rPr>
      </w:pPr>
      <w:r w:rsidRPr="000D6817">
        <w:rPr>
          <w:lang w:eastAsia="en-AU"/>
        </w:rPr>
        <w:t>property condition</w:t>
      </w:r>
    </w:p>
    <w:p w:rsidR="001E00E1" w:rsidRPr="000D6817" w:rsidRDefault="001E00E1" w:rsidP="001E00E1">
      <w:pPr>
        <w:pStyle w:val="DHHSbody"/>
        <w:rPr>
          <w:lang w:eastAsia="en-AU"/>
        </w:rPr>
      </w:pPr>
      <w:r w:rsidRPr="000D6817">
        <w:rPr>
          <w:lang w:eastAsia="en-AU"/>
        </w:rPr>
        <w:t>in the identified twelve month period, staff will:</w:t>
      </w:r>
    </w:p>
    <w:p w:rsidR="001E00E1" w:rsidRPr="000D6817" w:rsidRDefault="001E00E1" w:rsidP="001E00E1">
      <w:pPr>
        <w:pStyle w:val="DHHSbullet1"/>
        <w:numPr>
          <w:ilvl w:val="0"/>
          <w:numId w:val="1"/>
        </w:numPr>
        <w:rPr>
          <w:lang w:eastAsia="en-AU"/>
        </w:rPr>
      </w:pPr>
      <w:r w:rsidRPr="000D6817">
        <w:rPr>
          <w:lang w:eastAsia="en-AU"/>
        </w:rPr>
        <w:t xml:space="preserve">provide a copy of the </w:t>
      </w:r>
      <w:r w:rsidRPr="000D6817">
        <w:rPr>
          <w:i/>
          <w:lang w:eastAsia="en-AU"/>
        </w:rPr>
        <w:t>rental reference – tenant suitability checklist</w:t>
      </w:r>
      <w:r w:rsidRPr="000D6817">
        <w:rPr>
          <w:lang w:eastAsia="en-AU"/>
        </w:rPr>
        <w:t xml:space="preserve"> to their line manager for validation</w:t>
      </w:r>
    </w:p>
    <w:p w:rsidR="001E00E1" w:rsidRPr="000D6817" w:rsidRDefault="001E00E1" w:rsidP="001E00E1">
      <w:pPr>
        <w:pStyle w:val="DHHSbullet1lastline"/>
        <w:numPr>
          <w:ilvl w:val="1"/>
          <w:numId w:val="1"/>
        </w:numPr>
        <w:rPr>
          <w:lang w:eastAsia="en-AU"/>
        </w:rPr>
      </w:pPr>
      <w:r w:rsidRPr="000D6817">
        <w:rPr>
          <w:lang w:eastAsia="en-AU"/>
        </w:rPr>
        <w:t xml:space="preserve">recommend that a rental reference letter not be provided to the tenant. </w:t>
      </w:r>
    </w:p>
    <w:p w:rsidR="001E00E1" w:rsidRPr="000D6817" w:rsidRDefault="001E00E1" w:rsidP="001E00E1">
      <w:pPr>
        <w:pStyle w:val="DHHSbody"/>
        <w:rPr>
          <w:lang w:eastAsia="en-AU"/>
        </w:rPr>
      </w:pPr>
      <w:r w:rsidRPr="000D6817">
        <w:rPr>
          <w:lang w:eastAsia="en-AU"/>
        </w:rPr>
        <w:t>Staff will:</w:t>
      </w:r>
    </w:p>
    <w:p w:rsidR="001E00E1" w:rsidRPr="000D6817" w:rsidRDefault="001E00E1" w:rsidP="001E00E1">
      <w:pPr>
        <w:pStyle w:val="DHHSbullet1"/>
        <w:numPr>
          <w:ilvl w:val="0"/>
          <w:numId w:val="1"/>
        </w:numPr>
        <w:rPr>
          <w:lang w:eastAsia="en-AU"/>
        </w:rPr>
      </w:pPr>
      <w:r w:rsidRPr="000D6817">
        <w:rPr>
          <w:lang w:eastAsia="en-AU"/>
        </w:rPr>
        <w:t>contact the tenant with details of why the rental reference letter was not provided, identifying areas where, should improvement be made, a rental reference letter could be issued in the future</w:t>
      </w:r>
    </w:p>
    <w:p w:rsidR="001E00E1" w:rsidRPr="006D5D31" w:rsidRDefault="001E00E1" w:rsidP="001E00E1">
      <w:pPr>
        <w:pStyle w:val="DHHSbullet1lastline"/>
        <w:numPr>
          <w:ilvl w:val="1"/>
          <w:numId w:val="1"/>
        </w:numPr>
        <w:rPr>
          <w:lang w:eastAsia="en-AU"/>
        </w:rPr>
      </w:pPr>
      <w:r w:rsidRPr="000D6817">
        <w:rPr>
          <w:lang w:eastAsia="en-AU"/>
        </w:rPr>
        <w:t>record the outcome on HiiP.</w:t>
      </w:r>
    </w:p>
    <w:p w:rsidR="001E00E1" w:rsidRPr="001E00E1" w:rsidRDefault="001E00E1" w:rsidP="001E00E1">
      <w:pPr>
        <w:pStyle w:val="Heading1"/>
        <w:rPr>
          <w:lang w:eastAsia="en-AU"/>
        </w:rPr>
      </w:pPr>
      <w:r>
        <w:rPr>
          <w:lang w:eastAsia="en-AU"/>
        </w:rPr>
        <w:t>Human rights statement</w:t>
      </w:r>
    </w:p>
    <w:p w:rsidR="001E00E1" w:rsidRPr="000D6817" w:rsidRDefault="001E00E1" w:rsidP="001E00E1">
      <w:pPr>
        <w:pStyle w:val="DHHSbody"/>
        <w:rPr>
          <w:lang w:eastAsia="en-AU"/>
        </w:rPr>
      </w:pPr>
      <w:r w:rsidRPr="000D6817">
        <w:rPr>
          <w:lang w:eastAsia="en-AU"/>
        </w:rPr>
        <w:t xml:space="preserve">These operational guidelines are considered to be compatible with the </w:t>
      </w:r>
      <w:r w:rsidRPr="000D6817">
        <w:rPr>
          <w:i/>
          <w:lang w:eastAsia="en-AU"/>
        </w:rPr>
        <w:t xml:space="preserve">Charter of Human Rights and Responsibilities Act </w:t>
      </w:r>
      <w:r w:rsidRPr="000D6817">
        <w:rPr>
          <w:lang w:eastAsia="en-AU"/>
        </w:rPr>
        <w:t>(2006).</w:t>
      </w:r>
    </w:p>
    <w:p w:rsidR="001E00E1" w:rsidRPr="000D6817" w:rsidRDefault="001E00E1" w:rsidP="001E00E1">
      <w:pPr>
        <w:pStyle w:val="DHHSbody"/>
        <w:rPr>
          <w:lang w:eastAsia="en-AU"/>
        </w:rPr>
      </w:pPr>
      <w:r w:rsidRPr="000D6817">
        <w:rPr>
          <w:lang w:eastAsia="en-AU"/>
        </w:rPr>
        <w:t>These operational guidelines engage the following human rights:</w:t>
      </w:r>
    </w:p>
    <w:p w:rsidR="001E00E1" w:rsidRPr="000D6817" w:rsidRDefault="001E00E1" w:rsidP="001E00E1">
      <w:pPr>
        <w:pStyle w:val="DHHSbullet1lastline"/>
        <w:numPr>
          <w:ilvl w:val="1"/>
          <w:numId w:val="1"/>
        </w:numPr>
        <w:rPr>
          <w:lang w:eastAsia="en-AU"/>
        </w:rPr>
      </w:pPr>
      <w:r w:rsidRPr="000D6817">
        <w:rPr>
          <w:lang w:eastAsia="en-AU"/>
        </w:rPr>
        <w:t xml:space="preserve">privacy and reputation. </w:t>
      </w:r>
    </w:p>
    <w:p w:rsidR="001E00E1" w:rsidRPr="000D6817" w:rsidRDefault="001E00E1" w:rsidP="001E00E1">
      <w:pPr>
        <w:pStyle w:val="DHHSbody"/>
        <w:rPr>
          <w:lang w:eastAsia="en-AU"/>
        </w:rPr>
      </w:pPr>
      <w:r w:rsidRPr="000D6817">
        <w:rPr>
          <w:lang w:eastAsia="en-AU"/>
        </w:rPr>
        <w:lastRenderedPageBreak/>
        <w:t>The right to privacy and reputation recognises that every person has the right not to have their privacy, family or home unlawfully or arbitrarily interfered with or to have their reputation unlawfully attacked.</w:t>
      </w:r>
    </w:p>
    <w:p w:rsidR="001E00E1" w:rsidRDefault="001E00E1" w:rsidP="001E00E1">
      <w:pPr>
        <w:pStyle w:val="DHHSbody"/>
        <w:rPr>
          <w:lang w:eastAsia="en-AU"/>
        </w:rPr>
      </w:pPr>
      <w:r w:rsidRPr="000D6817">
        <w:rPr>
          <w:lang w:eastAsia="en-AU"/>
        </w:rPr>
        <w:t>Staff will give proper consideration to the relevant human rights in applying these operational guidelines.</w:t>
      </w:r>
    </w:p>
    <w:p w:rsidR="001E00E1" w:rsidRDefault="001E00E1" w:rsidP="003042E9">
      <w:pPr>
        <w:pStyle w:val="DHHSbody"/>
        <w:rPr>
          <w:lang w:eastAsia="en-AU"/>
        </w:rPr>
      </w:pPr>
    </w:p>
    <w:tbl>
      <w:tblPr>
        <w:tblW w:w="4800" w:type="pct"/>
        <w:tblInd w:w="113" w:type="dxa"/>
        <w:tblCellMar>
          <w:top w:w="113" w:type="dxa"/>
          <w:bottom w:w="57" w:type="dxa"/>
        </w:tblCellMar>
        <w:tblLook w:val="00A0" w:firstRow="1" w:lastRow="0" w:firstColumn="1" w:lastColumn="0" w:noHBand="0" w:noVBand="0"/>
      </w:tblPr>
      <w:tblGrid>
        <w:gridCol w:w="10003"/>
      </w:tblGrid>
      <w:tr w:rsidR="002802E3" w:rsidRPr="002802E3" w:rsidTr="00254F58">
        <w:trPr>
          <w:cantSplit/>
        </w:trPr>
        <w:tc>
          <w:tcPr>
            <w:tcW w:w="4800" w:type="pct"/>
            <w:tcBorders>
              <w:top w:val="single" w:sz="4" w:space="0" w:color="auto"/>
              <w:left w:val="single" w:sz="4" w:space="0" w:color="auto"/>
              <w:bottom w:val="single" w:sz="4" w:space="0" w:color="auto"/>
              <w:right w:val="single" w:sz="4" w:space="0" w:color="auto"/>
            </w:tcBorders>
            <w:vAlign w:val="bottom"/>
          </w:tcPr>
          <w:p w:rsidR="00254F58" w:rsidRPr="00254F58" w:rsidRDefault="00254F58" w:rsidP="00770F37">
            <w:pPr>
              <w:pStyle w:val="DHHSaccessibilitypara"/>
            </w:pPr>
            <w:r w:rsidRPr="00254F58">
              <w:t xml:space="preserve">To receive this publication in </w:t>
            </w:r>
            <w:r w:rsidRPr="00770F37">
              <w:t>an</w:t>
            </w:r>
            <w:r w:rsidR="003042E9">
              <w:t xml:space="preserve"> accessible format, contact your local office</w:t>
            </w:r>
            <w:r w:rsidRPr="00254F58">
              <w:t xml:space="preserve"> using the National Relay Service 13 36 77 if required</w:t>
            </w:r>
          </w:p>
          <w:p w:rsidR="00254F58" w:rsidRPr="00254F58" w:rsidRDefault="00254F58" w:rsidP="00254F58">
            <w:pPr>
              <w:pStyle w:val="DHHSbody"/>
            </w:pPr>
            <w:r w:rsidRPr="00254F58">
              <w:t>Authorised and published by the Victorian Governmen</w:t>
            </w:r>
            <w:r w:rsidR="001F3826">
              <w:t>t, 1 Treasury Place, Melbourne.</w:t>
            </w:r>
          </w:p>
          <w:p w:rsidR="00254F58" w:rsidRPr="00254F58" w:rsidRDefault="00254F58" w:rsidP="00254F58">
            <w:pPr>
              <w:pStyle w:val="DHHSbody"/>
            </w:pPr>
            <w:r w:rsidRPr="00254F58">
              <w:t xml:space="preserve">© State of </w:t>
            </w:r>
            <w:r w:rsidR="00A854EB">
              <w:t>Victoria, Department of Health and</w:t>
            </w:r>
            <w:r w:rsidR="003042E9">
              <w:t xml:space="preserve"> Human Services July 20</w:t>
            </w:r>
            <w:r w:rsidR="001E00E1">
              <w:t>17</w:t>
            </w:r>
          </w:p>
          <w:p w:rsidR="00254F58" w:rsidRPr="00254F58" w:rsidRDefault="00254F58" w:rsidP="00254F58">
            <w:pPr>
              <w:pStyle w:val="DHHSbody"/>
            </w:pPr>
            <w:r w:rsidRPr="00254F58">
              <w:t>ISBN</w:t>
            </w:r>
            <w:r w:rsidR="003042E9">
              <w:t xml:space="preserve"> 978-0-7311-7027-2</w:t>
            </w:r>
          </w:p>
          <w:p w:rsidR="002802E3" w:rsidRPr="002802E3" w:rsidRDefault="00254F58" w:rsidP="00FB0BC0">
            <w:pPr>
              <w:pStyle w:val="DHHSbody"/>
            </w:pPr>
            <w:r w:rsidRPr="00254F58">
              <w:rPr>
                <w:szCs w:val="19"/>
              </w:rPr>
              <w:t xml:space="preserve">Available at </w:t>
            </w:r>
            <w:r w:rsidR="003042E9">
              <w:rPr>
                <w:szCs w:val="19"/>
              </w:rPr>
              <w:t xml:space="preserve"> the </w:t>
            </w:r>
            <w:hyperlink r:id="rId14" w:history="1">
              <w:r w:rsidR="00FB0BC0" w:rsidRPr="00FB0BC0">
                <w:rPr>
                  <w:rStyle w:val="Hyperlink"/>
                  <w:szCs w:val="19"/>
                </w:rPr>
                <w:t>Department of Health and Human Services providers website</w:t>
              </w:r>
            </w:hyperlink>
            <w:r w:rsidR="003042E9">
              <w:rPr>
                <w:szCs w:val="19"/>
              </w:rPr>
              <w:t xml:space="preserve"> &lt;www.</w:t>
            </w:r>
            <w:r w:rsidR="00FB0BC0">
              <w:rPr>
                <w:szCs w:val="19"/>
              </w:rPr>
              <w:t>providers.</w:t>
            </w:r>
            <w:r w:rsidR="003042E9">
              <w:rPr>
                <w:szCs w:val="19"/>
              </w:rPr>
              <w:t>d</w:t>
            </w:r>
            <w:r w:rsidR="00FB0BC0">
              <w:rPr>
                <w:szCs w:val="19"/>
              </w:rPr>
              <w:t>h</w:t>
            </w:r>
            <w:r w:rsidR="003042E9">
              <w:rPr>
                <w:szCs w:val="19"/>
              </w:rPr>
              <w:t>hs.vic.gov.au</w:t>
            </w:r>
            <w:r w:rsidR="00FB0BC0">
              <w:rPr>
                <w:szCs w:val="19"/>
              </w:rPr>
              <w:t>/</w:t>
            </w:r>
            <w:r w:rsidR="00FB0BC0" w:rsidRPr="00FB0BC0">
              <w:rPr>
                <w:szCs w:val="19"/>
              </w:rPr>
              <w:t>public-housing-policy-and-practice-manuals</w:t>
            </w:r>
            <w:r w:rsidR="003042E9">
              <w:rPr>
                <w:szCs w:val="19"/>
              </w:rPr>
              <w:t>&gt;</w:t>
            </w:r>
          </w:p>
        </w:tc>
      </w:tr>
    </w:tbl>
    <w:p w:rsidR="00B2752E" w:rsidRPr="00906490" w:rsidRDefault="00B2752E" w:rsidP="003042E9">
      <w:pPr>
        <w:pStyle w:val="DHHSbody"/>
      </w:pPr>
    </w:p>
    <w:sectPr w:rsidR="00B2752E" w:rsidRPr="00906490" w:rsidSect="00F01E5F">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2E9" w:rsidRDefault="003042E9">
      <w:r>
        <w:separator/>
      </w:r>
    </w:p>
  </w:endnote>
  <w:endnote w:type="continuationSeparator" w:id="0">
    <w:p w:rsidR="003042E9" w:rsidRDefault="00304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Times New Roman"/>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F65AA9" w:rsidRDefault="003042E9" w:rsidP="0051568D">
    <w:pPr>
      <w:pStyle w:val="DHHSfooter"/>
    </w:pPr>
    <w:r>
      <w:rPr>
        <w:noProof/>
        <w:lang w:eastAsia="en-AU"/>
      </w:rPr>
      <w:drawing>
        <wp:anchor distT="0" distB="0" distL="114300" distR="114300" simplePos="0" relativeHeight="251657728" behindDoc="0" locked="1" layoutInCell="0" allowOverlap="1">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A11421" w:rsidRDefault="001E00E1" w:rsidP="0051568D">
    <w:pPr>
      <w:pStyle w:val="DHHSfooter"/>
    </w:pPr>
    <w:r>
      <w:t>Rental reference operational guidelines</w:t>
    </w:r>
    <w:r w:rsidR="009D70A4" w:rsidRPr="00A11421">
      <w:tab/>
    </w:r>
    <w:r w:rsidR="009D70A4" w:rsidRPr="00A11421">
      <w:fldChar w:fldCharType="begin"/>
    </w:r>
    <w:r w:rsidR="009D70A4" w:rsidRPr="00A11421">
      <w:instrText xml:space="preserve"> PAGE </w:instrText>
    </w:r>
    <w:r w:rsidR="009D70A4" w:rsidRPr="00A11421">
      <w:fldChar w:fldCharType="separate"/>
    </w:r>
    <w:r w:rsidR="005F0BD3">
      <w:rPr>
        <w:noProof/>
      </w:rPr>
      <w:t>5</w:t>
    </w:r>
    <w:r w:rsidR="009D70A4" w:rsidRPr="00A1142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2E9" w:rsidRDefault="003042E9" w:rsidP="002862F1">
      <w:pPr>
        <w:spacing w:before="120"/>
      </w:pPr>
      <w:r>
        <w:separator/>
      </w:r>
    </w:p>
  </w:footnote>
  <w:footnote w:type="continuationSeparator" w:id="0">
    <w:p w:rsidR="003042E9" w:rsidRDefault="003042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51568D" w:rsidRDefault="009D70A4" w:rsidP="0051568D">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nsid w:val="0B8D43DB"/>
    <w:multiLevelType w:val="multilevel"/>
    <w:tmpl w:val="4B4E7622"/>
    <w:numStyleLink w:val="ZZNumbers"/>
  </w:abstractNum>
  <w:abstractNum w:abstractNumId="3">
    <w:nsid w:val="28D51B47"/>
    <w:multiLevelType w:val="multilevel"/>
    <w:tmpl w:val="4B4E7622"/>
    <w:numStyleLink w:val="ZZNumbers"/>
  </w:abstractNum>
  <w:abstractNum w:abstractNumId="4">
    <w:nsid w:val="2E437E91"/>
    <w:multiLevelType w:val="hybridMultilevel"/>
    <w:tmpl w:val="CFDE31C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5"/>
  </w:num>
  <w:num w:numId="9">
    <w:abstractNumId w:val="3"/>
  </w:num>
  <w:num w:numId="1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2E9"/>
    <w:rsid w:val="000072B6"/>
    <w:rsid w:val="0001021B"/>
    <w:rsid w:val="00011D89"/>
    <w:rsid w:val="00024D89"/>
    <w:rsid w:val="000250B6"/>
    <w:rsid w:val="00033D81"/>
    <w:rsid w:val="00041BF0"/>
    <w:rsid w:val="0004536B"/>
    <w:rsid w:val="00046B68"/>
    <w:rsid w:val="000527DD"/>
    <w:rsid w:val="000578B2"/>
    <w:rsid w:val="00060959"/>
    <w:rsid w:val="000663CD"/>
    <w:rsid w:val="000733FE"/>
    <w:rsid w:val="00074219"/>
    <w:rsid w:val="00074ED5"/>
    <w:rsid w:val="0009113B"/>
    <w:rsid w:val="00094DA3"/>
    <w:rsid w:val="00096CD1"/>
    <w:rsid w:val="000A012C"/>
    <w:rsid w:val="000A0EB9"/>
    <w:rsid w:val="000A186C"/>
    <w:rsid w:val="000A6666"/>
    <w:rsid w:val="000B543D"/>
    <w:rsid w:val="000B5BF7"/>
    <w:rsid w:val="000B6BC8"/>
    <w:rsid w:val="000C42EA"/>
    <w:rsid w:val="000C4546"/>
    <w:rsid w:val="000D1242"/>
    <w:rsid w:val="000E3CC7"/>
    <w:rsid w:val="000E6BD4"/>
    <w:rsid w:val="000F1F1E"/>
    <w:rsid w:val="000F2259"/>
    <w:rsid w:val="0010392D"/>
    <w:rsid w:val="0010447F"/>
    <w:rsid w:val="00104FE3"/>
    <w:rsid w:val="00120BD3"/>
    <w:rsid w:val="00122FEA"/>
    <w:rsid w:val="001232BD"/>
    <w:rsid w:val="00124ED5"/>
    <w:rsid w:val="001447B3"/>
    <w:rsid w:val="00152073"/>
    <w:rsid w:val="00161939"/>
    <w:rsid w:val="00161AA0"/>
    <w:rsid w:val="00162093"/>
    <w:rsid w:val="001771DD"/>
    <w:rsid w:val="00177995"/>
    <w:rsid w:val="00177A8C"/>
    <w:rsid w:val="00186B33"/>
    <w:rsid w:val="00192F9D"/>
    <w:rsid w:val="00196EB8"/>
    <w:rsid w:val="00196EFB"/>
    <w:rsid w:val="001979FF"/>
    <w:rsid w:val="00197B17"/>
    <w:rsid w:val="001A3ACE"/>
    <w:rsid w:val="001C277E"/>
    <w:rsid w:val="001C2A72"/>
    <w:rsid w:val="001D0B75"/>
    <w:rsid w:val="001D3C09"/>
    <w:rsid w:val="001D44E8"/>
    <w:rsid w:val="001D60EC"/>
    <w:rsid w:val="001E00E1"/>
    <w:rsid w:val="001E44DF"/>
    <w:rsid w:val="001E68A5"/>
    <w:rsid w:val="001E6BB0"/>
    <w:rsid w:val="001F3826"/>
    <w:rsid w:val="001F6E46"/>
    <w:rsid w:val="001F7C91"/>
    <w:rsid w:val="00206463"/>
    <w:rsid w:val="00206F2F"/>
    <w:rsid w:val="0021053D"/>
    <w:rsid w:val="00210A92"/>
    <w:rsid w:val="00216C03"/>
    <w:rsid w:val="00220C04"/>
    <w:rsid w:val="0022278D"/>
    <w:rsid w:val="0022701F"/>
    <w:rsid w:val="002333F5"/>
    <w:rsid w:val="00233724"/>
    <w:rsid w:val="002432E1"/>
    <w:rsid w:val="00246207"/>
    <w:rsid w:val="00246C5E"/>
    <w:rsid w:val="00251343"/>
    <w:rsid w:val="00254F58"/>
    <w:rsid w:val="002620BC"/>
    <w:rsid w:val="00262802"/>
    <w:rsid w:val="00263A90"/>
    <w:rsid w:val="0026408B"/>
    <w:rsid w:val="00267C3E"/>
    <w:rsid w:val="002709BB"/>
    <w:rsid w:val="002763B3"/>
    <w:rsid w:val="002802E3"/>
    <w:rsid w:val="0028213D"/>
    <w:rsid w:val="002862F1"/>
    <w:rsid w:val="00291373"/>
    <w:rsid w:val="0029597D"/>
    <w:rsid w:val="002962C3"/>
    <w:rsid w:val="0029752B"/>
    <w:rsid w:val="002A483C"/>
    <w:rsid w:val="002B1729"/>
    <w:rsid w:val="002B36C7"/>
    <w:rsid w:val="002B4DD4"/>
    <w:rsid w:val="002B5277"/>
    <w:rsid w:val="002B5375"/>
    <w:rsid w:val="002B77C1"/>
    <w:rsid w:val="002C2728"/>
    <w:rsid w:val="002D5006"/>
    <w:rsid w:val="002E01D0"/>
    <w:rsid w:val="002E161D"/>
    <w:rsid w:val="002E3100"/>
    <w:rsid w:val="002E6C95"/>
    <w:rsid w:val="002E7C36"/>
    <w:rsid w:val="002F5F31"/>
    <w:rsid w:val="002F5F46"/>
    <w:rsid w:val="00302216"/>
    <w:rsid w:val="00303E53"/>
    <w:rsid w:val="003042E9"/>
    <w:rsid w:val="00306E5F"/>
    <w:rsid w:val="00307E14"/>
    <w:rsid w:val="00314054"/>
    <w:rsid w:val="00316F27"/>
    <w:rsid w:val="00327870"/>
    <w:rsid w:val="0033259D"/>
    <w:rsid w:val="003406C6"/>
    <w:rsid w:val="003418CC"/>
    <w:rsid w:val="003459BD"/>
    <w:rsid w:val="00350D38"/>
    <w:rsid w:val="00351B36"/>
    <w:rsid w:val="00357B4E"/>
    <w:rsid w:val="003744CF"/>
    <w:rsid w:val="00374717"/>
    <w:rsid w:val="0037676C"/>
    <w:rsid w:val="003829E5"/>
    <w:rsid w:val="003956CC"/>
    <w:rsid w:val="00395C9A"/>
    <w:rsid w:val="003A6B67"/>
    <w:rsid w:val="003B15E6"/>
    <w:rsid w:val="003C2045"/>
    <w:rsid w:val="003C43A1"/>
    <w:rsid w:val="003C4FC0"/>
    <w:rsid w:val="003C55F4"/>
    <w:rsid w:val="003C7A3F"/>
    <w:rsid w:val="003D2766"/>
    <w:rsid w:val="003D3E8F"/>
    <w:rsid w:val="003D6475"/>
    <w:rsid w:val="003F0445"/>
    <w:rsid w:val="003F0CF0"/>
    <w:rsid w:val="003F14B1"/>
    <w:rsid w:val="003F3289"/>
    <w:rsid w:val="00401FCF"/>
    <w:rsid w:val="00406285"/>
    <w:rsid w:val="004148F9"/>
    <w:rsid w:val="0042084E"/>
    <w:rsid w:val="00421EEF"/>
    <w:rsid w:val="00424D65"/>
    <w:rsid w:val="00442C6C"/>
    <w:rsid w:val="00443CBE"/>
    <w:rsid w:val="00443E8A"/>
    <w:rsid w:val="004441BC"/>
    <w:rsid w:val="004468B4"/>
    <w:rsid w:val="0045230A"/>
    <w:rsid w:val="00457337"/>
    <w:rsid w:val="0047372D"/>
    <w:rsid w:val="004743DD"/>
    <w:rsid w:val="00474CEA"/>
    <w:rsid w:val="00483968"/>
    <w:rsid w:val="00484F86"/>
    <w:rsid w:val="00490746"/>
    <w:rsid w:val="00490852"/>
    <w:rsid w:val="00492F30"/>
    <w:rsid w:val="004946F4"/>
    <w:rsid w:val="0049487E"/>
    <w:rsid w:val="004A160D"/>
    <w:rsid w:val="004A3E81"/>
    <w:rsid w:val="004A5C62"/>
    <w:rsid w:val="004A707D"/>
    <w:rsid w:val="004C6EEE"/>
    <w:rsid w:val="004C702B"/>
    <w:rsid w:val="004D016B"/>
    <w:rsid w:val="004D1B22"/>
    <w:rsid w:val="004D36F2"/>
    <w:rsid w:val="004E138F"/>
    <w:rsid w:val="004E4649"/>
    <w:rsid w:val="004E5C2B"/>
    <w:rsid w:val="004F00DD"/>
    <w:rsid w:val="004F2133"/>
    <w:rsid w:val="004F55F1"/>
    <w:rsid w:val="004F6936"/>
    <w:rsid w:val="00503DC6"/>
    <w:rsid w:val="00506F5D"/>
    <w:rsid w:val="005126D0"/>
    <w:rsid w:val="0051568D"/>
    <w:rsid w:val="00526C15"/>
    <w:rsid w:val="00536499"/>
    <w:rsid w:val="00543903"/>
    <w:rsid w:val="00543F11"/>
    <w:rsid w:val="00547A95"/>
    <w:rsid w:val="00572031"/>
    <w:rsid w:val="00576E84"/>
    <w:rsid w:val="00582B8C"/>
    <w:rsid w:val="0058757E"/>
    <w:rsid w:val="00596A4B"/>
    <w:rsid w:val="00597507"/>
    <w:rsid w:val="005B21B6"/>
    <w:rsid w:val="005B3A08"/>
    <w:rsid w:val="005B7A63"/>
    <w:rsid w:val="005C0955"/>
    <w:rsid w:val="005C49DA"/>
    <w:rsid w:val="005C50F3"/>
    <w:rsid w:val="005C5D91"/>
    <w:rsid w:val="005D07B8"/>
    <w:rsid w:val="005D6597"/>
    <w:rsid w:val="005E14E7"/>
    <w:rsid w:val="005E26A3"/>
    <w:rsid w:val="005E447E"/>
    <w:rsid w:val="005F0775"/>
    <w:rsid w:val="005F0BD3"/>
    <w:rsid w:val="005F0CF5"/>
    <w:rsid w:val="005F21EB"/>
    <w:rsid w:val="00605908"/>
    <w:rsid w:val="00610D7C"/>
    <w:rsid w:val="00613414"/>
    <w:rsid w:val="0062408D"/>
    <w:rsid w:val="006240CC"/>
    <w:rsid w:val="00627DA7"/>
    <w:rsid w:val="006358B4"/>
    <w:rsid w:val="006419AA"/>
    <w:rsid w:val="00644B7E"/>
    <w:rsid w:val="006454E6"/>
    <w:rsid w:val="00646A68"/>
    <w:rsid w:val="0065092E"/>
    <w:rsid w:val="006557A7"/>
    <w:rsid w:val="00656290"/>
    <w:rsid w:val="006621D7"/>
    <w:rsid w:val="0066302A"/>
    <w:rsid w:val="00670597"/>
    <w:rsid w:val="006706D0"/>
    <w:rsid w:val="00677574"/>
    <w:rsid w:val="0068454C"/>
    <w:rsid w:val="00691B62"/>
    <w:rsid w:val="006933B5"/>
    <w:rsid w:val="00693D14"/>
    <w:rsid w:val="006A18C2"/>
    <w:rsid w:val="006B077C"/>
    <w:rsid w:val="006B6803"/>
    <w:rsid w:val="006D2A3F"/>
    <w:rsid w:val="006D2FBC"/>
    <w:rsid w:val="006E138B"/>
    <w:rsid w:val="006F1FDC"/>
    <w:rsid w:val="007013EF"/>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63139"/>
    <w:rsid w:val="00770F37"/>
    <w:rsid w:val="007711A0"/>
    <w:rsid w:val="00772D5E"/>
    <w:rsid w:val="00776928"/>
    <w:rsid w:val="00785677"/>
    <w:rsid w:val="00786F16"/>
    <w:rsid w:val="00796E20"/>
    <w:rsid w:val="00797C32"/>
    <w:rsid w:val="007B0914"/>
    <w:rsid w:val="007B1374"/>
    <w:rsid w:val="007B589F"/>
    <w:rsid w:val="007B6186"/>
    <w:rsid w:val="007B73BC"/>
    <w:rsid w:val="007C20B9"/>
    <w:rsid w:val="007C7301"/>
    <w:rsid w:val="007C7859"/>
    <w:rsid w:val="007D2BDE"/>
    <w:rsid w:val="007D2FB6"/>
    <w:rsid w:val="007D6E2D"/>
    <w:rsid w:val="007E0DE2"/>
    <w:rsid w:val="007E3B98"/>
    <w:rsid w:val="007F31B6"/>
    <w:rsid w:val="007F546C"/>
    <w:rsid w:val="007F625F"/>
    <w:rsid w:val="007F665E"/>
    <w:rsid w:val="00800412"/>
    <w:rsid w:val="0080587B"/>
    <w:rsid w:val="00806468"/>
    <w:rsid w:val="008155F0"/>
    <w:rsid w:val="00816735"/>
    <w:rsid w:val="00820141"/>
    <w:rsid w:val="00820E0C"/>
    <w:rsid w:val="008338A2"/>
    <w:rsid w:val="00841AA9"/>
    <w:rsid w:val="00853EE4"/>
    <w:rsid w:val="00855535"/>
    <w:rsid w:val="0086255E"/>
    <w:rsid w:val="008633F0"/>
    <w:rsid w:val="00867D9D"/>
    <w:rsid w:val="00872E0A"/>
    <w:rsid w:val="00875285"/>
    <w:rsid w:val="00884B62"/>
    <w:rsid w:val="0088529C"/>
    <w:rsid w:val="00887903"/>
    <w:rsid w:val="0089270A"/>
    <w:rsid w:val="00893AF6"/>
    <w:rsid w:val="00894BC4"/>
    <w:rsid w:val="008A5B32"/>
    <w:rsid w:val="008B2EE4"/>
    <w:rsid w:val="008B4D3D"/>
    <w:rsid w:val="008B57C7"/>
    <w:rsid w:val="008C2F92"/>
    <w:rsid w:val="008D2846"/>
    <w:rsid w:val="008D4236"/>
    <w:rsid w:val="008D462F"/>
    <w:rsid w:val="008D6DCF"/>
    <w:rsid w:val="008E4376"/>
    <w:rsid w:val="008E7A0A"/>
    <w:rsid w:val="00900719"/>
    <w:rsid w:val="009017AC"/>
    <w:rsid w:val="00904A1C"/>
    <w:rsid w:val="00905030"/>
    <w:rsid w:val="00906490"/>
    <w:rsid w:val="009111B2"/>
    <w:rsid w:val="00924AE1"/>
    <w:rsid w:val="009269B1"/>
    <w:rsid w:val="0092724D"/>
    <w:rsid w:val="00937BD9"/>
    <w:rsid w:val="00950E2C"/>
    <w:rsid w:val="00951D50"/>
    <w:rsid w:val="009525EB"/>
    <w:rsid w:val="00954874"/>
    <w:rsid w:val="00961400"/>
    <w:rsid w:val="00963646"/>
    <w:rsid w:val="009853E1"/>
    <w:rsid w:val="00986E6B"/>
    <w:rsid w:val="00991769"/>
    <w:rsid w:val="00994386"/>
    <w:rsid w:val="009A13D8"/>
    <w:rsid w:val="009A279E"/>
    <w:rsid w:val="009B0A6F"/>
    <w:rsid w:val="009B0A94"/>
    <w:rsid w:val="009B59E9"/>
    <w:rsid w:val="009B70AA"/>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11421"/>
    <w:rsid w:val="00A157B1"/>
    <w:rsid w:val="00A22229"/>
    <w:rsid w:val="00A44882"/>
    <w:rsid w:val="00A54715"/>
    <w:rsid w:val="00A6061C"/>
    <w:rsid w:val="00A62D44"/>
    <w:rsid w:val="00A67263"/>
    <w:rsid w:val="00A7161C"/>
    <w:rsid w:val="00A77AA3"/>
    <w:rsid w:val="00A854EB"/>
    <w:rsid w:val="00A872E5"/>
    <w:rsid w:val="00A91406"/>
    <w:rsid w:val="00A96E65"/>
    <w:rsid w:val="00A97C72"/>
    <w:rsid w:val="00AA63D4"/>
    <w:rsid w:val="00AB06E8"/>
    <w:rsid w:val="00AB1CD3"/>
    <w:rsid w:val="00AB352F"/>
    <w:rsid w:val="00AC274B"/>
    <w:rsid w:val="00AC4764"/>
    <w:rsid w:val="00AC6D36"/>
    <w:rsid w:val="00AD0CBA"/>
    <w:rsid w:val="00AD26E2"/>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5141"/>
    <w:rsid w:val="00B5273A"/>
    <w:rsid w:val="00B57329"/>
    <w:rsid w:val="00B62B50"/>
    <w:rsid w:val="00B635B7"/>
    <w:rsid w:val="00B63AE8"/>
    <w:rsid w:val="00B65950"/>
    <w:rsid w:val="00B66D83"/>
    <w:rsid w:val="00B672C0"/>
    <w:rsid w:val="00B75646"/>
    <w:rsid w:val="00B90729"/>
    <w:rsid w:val="00B907DA"/>
    <w:rsid w:val="00B950BC"/>
    <w:rsid w:val="00B9714C"/>
    <w:rsid w:val="00BA3F8D"/>
    <w:rsid w:val="00BB7A10"/>
    <w:rsid w:val="00BC7468"/>
    <w:rsid w:val="00BC7D4F"/>
    <w:rsid w:val="00BC7ED7"/>
    <w:rsid w:val="00BD2850"/>
    <w:rsid w:val="00BE28D2"/>
    <w:rsid w:val="00BE4A64"/>
    <w:rsid w:val="00BF7F58"/>
    <w:rsid w:val="00C01381"/>
    <w:rsid w:val="00C079B8"/>
    <w:rsid w:val="00C123EA"/>
    <w:rsid w:val="00C12627"/>
    <w:rsid w:val="00C12A49"/>
    <w:rsid w:val="00C133EE"/>
    <w:rsid w:val="00C27DE9"/>
    <w:rsid w:val="00C33388"/>
    <w:rsid w:val="00C35484"/>
    <w:rsid w:val="00C4173A"/>
    <w:rsid w:val="00C602FF"/>
    <w:rsid w:val="00C61174"/>
    <w:rsid w:val="00C6148F"/>
    <w:rsid w:val="00C62F7A"/>
    <w:rsid w:val="00C63B9C"/>
    <w:rsid w:val="00C6682F"/>
    <w:rsid w:val="00C7275E"/>
    <w:rsid w:val="00C74C5D"/>
    <w:rsid w:val="00C863C4"/>
    <w:rsid w:val="00C93C3E"/>
    <w:rsid w:val="00CA12E3"/>
    <w:rsid w:val="00CA6611"/>
    <w:rsid w:val="00CA6AE6"/>
    <w:rsid w:val="00CA782F"/>
    <w:rsid w:val="00CB3285"/>
    <w:rsid w:val="00CC0C72"/>
    <w:rsid w:val="00CC2BFD"/>
    <w:rsid w:val="00CD3476"/>
    <w:rsid w:val="00CD64DF"/>
    <w:rsid w:val="00CF2F50"/>
    <w:rsid w:val="00D02919"/>
    <w:rsid w:val="00D04C61"/>
    <w:rsid w:val="00D05B8D"/>
    <w:rsid w:val="00D065A2"/>
    <w:rsid w:val="00D07F00"/>
    <w:rsid w:val="00D17B72"/>
    <w:rsid w:val="00D3185C"/>
    <w:rsid w:val="00D33E72"/>
    <w:rsid w:val="00D35BD6"/>
    <w:rsid w:val="00D361B5"/>
    <w:rsid w:val="00D411A2"/>
    <w:rsid w:val="00D4606D"/>
    <w:rsid w:val="00D50B9C"/>
    <w:rsid w:val="00D52D73"/>
    <w:rsid w:val="00D52E58"/>
    <w:rsid w:val="00D714CC"/>
    <w:rsid w:val="00D75EA7"/>
    <w:rsid w:val="00D81F21"/>
    <w:rsid w:val="00D95470"/>
    <w:rsid w:val="00DA0AEC"/>
    <w:rsid w:val="00DA2619"/>
    <w:rsid w:val="00DA4239"/>
    <w:rsid w:val="00DB0B61"/>
    <w:rsid w:val="00DC090B"/>
    <w:rsid w:val="00DC1679"/>
    <w:rsid w:val="00DC2CF1"/>
    <w:rsid w:val="00DC4FCF"/>
    <w:rsid w:val="00DC50E0"/>
    <w:rsid w:val="00DC6386"/>
    <w:rsid w:val="00DD1130"/>
    <w:rsid w:val="00DD1951"/>
    <w:rsid w:val="00DD6628"/>
    <w:rsid w:val="00DE3250"/>
    <w:rsid w:val="00DE6028"/>
    <w:rsid w:val="00DE78A3"/>
    <w:rsid w:val="00DF1A71"/>
    <w:rsid w:val="00DF68C7"/>
    <w:rsid w:val="00DF731A"/>
    <w:rsid w:val="00E170DC"/>
    <w:rsid w:val="00E26818"/>
    <w:rsid w:val="00E27FFC"/>
    <w:rsid w:val="00E30B15"/>
    <w:rsid w:val="00E40181"/>
    <w:rsid w:val="00E56A01"/>
    <w:rsid w:val="00E629A1"/>
    <w:rsid w:val="00E6794C"/>
    <w:rsid w:val="00E71591"/>
    <w:rsid w:val="00E82C55"/>
    <w:rsid w:val="00E92AC3"/>
    <w:rsid w:val="00EB00E0"/>
    <w:rsid w:val="00EC059F"/>
    <w:rsid w:val="00EC1F24"/>
    <w:rsid w:val="00EC22F6"/>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50A9"/>
    <w:rsid w:val="00F30FF4"/>
    <w:rsid w:val="00F3122E"/>
    <w:rsid w:val="00F331AD"/>
    <w:rsid w:val="00F35287"/>
    <w:rsid w:val="00F43A37"/>
    <w:rsid w:val="00F4641B"/>
    <w:rsid w:val="00F46EB8"/>
    <w:rsid w:val="00F511E4"/>
    <w:rsid w:val="00F52D09"/>
    <w:rsid w:val="00F52E08"/>
    <w:rsid w:val="00F55B21"/>
    <w:rsid w:val="00F56EF6"/>
    <w:rsid w:val="00F61A9F"/>
    <w:rsid w:val="00F64696"/>
    <w:rsid w:val="00F65AA9"/>
    <w:rsid w:val="00F6768F"/>
    <w:rsid w:val="00F72C2C"/>
    <w:rsid w:val="00F76CAB"/>
    <w:rsid w:val="00F772C6"/>
    <w:rsid w:val="00F815B5"/>
    <w:rsid w:val="00F85195"/>
    <w:rsid w:val="00F938BA"/>
    <w:rsid w:val="00FA2C46"/>
    <w:rsid w:val="00FA3525"/>
    <w:rsid w:val="00FB0BC0"/>
    <w:rsid w:val="00FB4769"/>
    <w:rsid w:val="00FB4CDA"/>
    <w:rsid w:val="00FC0F81"/>
    <w:rsid w:val="00FC395C"/>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1E00E1"/>
    <w:rPr>
      <w:rFonts w:ascii="Cambria" w:hAnsi="Cambria"/>
      <w:lang w:eastAsia="en-US"/>
    </w:rPr>
  </w:style>
  <w:style w:type="paragraph" w:styleId="Heading1">
    <w:name w:val="heading 1"/>
    <w:next w:val="DHHSbody"/>
    <w:link w:val="Heading1Char"/>
    <w:uiPriority w:val="1"/>
    <w:qFormat/>
    <w:rsid w:val="000A6666"/>
    <w:pPr>
      <w:keepNext/>
      <w:keepLines/>
      <w:spacing w:before="320" w:after="200" w:line="440" w:lineRule="atLeast"/>
      <w:outlineLvl w:val="0"/>
    </w:pPr>
    <w:rPr>
      <w:rFonts w:ascii="Arial" w:eastAsia="MS Gothic" w:hAnsi="Arial" w:cs="Arial"/>
      <w:bCs/>
      <w:color w:val="004EA8"/>
      <w:kern w:val="32"/>
      <w:sz w:val="36"/>
      <w:szCs w:val="40"/>
      <w:lang w:eastAsia="en-US"/>
    </w:rPr>
  </w:style>
  <w:style w:type="paragraph" w:styleId="Heading2">
    <w:name w:val="heading 2"/>
    <w:next w:val="DHHSbody"/>
    <w:link w:val="Heading2Char"/>
    <w:uiPriority w:val="1"/>
    <w:qFormat/>
    <w:rsid w:val="000A6666"/>
    <w:pPr>
      <w:keepNext/>
      <w:keepLines/>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0A6666"/>
    <w:rPr>
      <w:rFonts w:ascii="Arial" w:eastAsia="MS Gothic" w:hAnsi="Arial" w:cs="Arial"/>
      <w:bCs/>
      <w:color w:val="004EA8"/>
      <w:kern w:val="32"/>
      <w:sz w:val="36"/>
      <w:szCs w:val="40"/>
      <w:lang w:eastAsia="en-US"/>
    </w:rPr>
  </w:style>
  <w:style w:type="character" w:customStyle="1" w:styleId="Heading2Char">
    <w:name w:val="Heading 2 Char"/>
    <w:link w:val="Heading2"/>
    <w:uiPriority w:val="1"/>
    <w:rsid w:val="000A6666"/>
    <w:rPr>
      <w:rFonts w:ascii="Arial" w:hAnsi="Arial"/>
      <w:b/>
      <w:color w:val="004EA8"/>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0A6666"/>
    <w:pPr>
      <w:spacing w:before="0" w:after="200"/>
      <w:outlineLvl w:val="9"/>
    </w:pPr>
  </w:style>
  <w:style w:type="character" w:customStyle="1" w:styleId="DHHSTOCheadingfactsheetChar">
    <w:name w:val="DHHS TOC heading fact sheet Char"/>
    <w:link w:val="DHHSTOCheadingfactsheet"/>
    <w:uiPriority w:val="4"/>
    <w:rsid w:val="000A6666"/>
    <w:rPr>
      <w:rFonts w:ascii="Arial" w:hAnsi="Arial"/>
      <w:b/>
      <w:color w:val="004EA8"/>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0A6666"/>
    <w:pPr>
      <w:spacing w:before="80" w:after="60"/>
    </w:pPr>
    <w:rPr>
      <w:rFonts w:ascii="Arial" w:hAnsi="Arial"/>
      <w:b/>
      <w:color w:val="004EA8"/>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1E00E1"/>
    <w:rPr>
      <w:rFonts w:ascii="Cambria" w:hAnsi="Cambria"/>
      <w:lang w:eastAsia="en-US"/>
    </w:rPr>
  </w:style>
  <w:style w:type="paragraph" w:styleId="Heading1">
    <w:name w:val="heading 1"/>
    <w:next w:val="DHHSbody"/>
    <w:link w:val="Heading1Char"/>
    <w:uiPriority w:val="1"/>
    <w:qFormat/>
    <w:rsid w:val="000A6666"/>
    <w:pPr>
      <w:keepNext/>
      <w:keepLines/>
      <w:spacing w:before="320" w:after="200" w:line="440" w:lineRule="atLeast"/>
      <w:outlineLvl w:val="0"/>
    </w:pPr>
    <w:rPr>
      <w:rFonts w:ascii="Arial" w:eastAsia="MS Gothic" w:hAnsi="Arial" w:cs="Arial"/>
      <w:bCs/>
      <w:color w:val="004EA8"/>
      <w:kern w:val="32"/>
      <w:sz w:val="36"/>
      <w:szCs w:val="40"/>
      <w:lang w:eastAsia="en-US"/>
    </w:rPr>
  </w:style>
  <w:style w:type="paragraph" w:styleId="Heading2">
    <w:name w:val="heading 2"/>
    <w:next w:val="DHHSbody"/>
    <w:link w:val="Heading2Char"/>
    <w:uiPriority w:val="1"/>
    <w:qFormat/>
    <w:rsid w:val="000A6666"/>
    <w:pPr>
      <w:keepNext/>
      <w:keepLines/>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0A6666"/>
    <w:rPr>
      <w:rFonts w:ascii="Arial" w:eastAsia="MS Gothic" w:hAnsi="Arial" w:cs="Arial"/>
      <w:bCs/>
      <w:color w:val="004EA8"/>
      <w:kern w:val="32"/>
      <w:sz w:val="36"/>
      <w:szCs w:val="40"/>
      <w:lang w:eastAsia="en-US"/>
    </w:rPr>
  </w:style>
  <w:style w:type="character" w:customStyle="1" w:styleId="Heading2Char">
    <w:name w:val="Heading 2 Char"/>
    <w:link w:val="Heading2"/>
    <w:uiPriority w:val="1"/>
    <w:rsid w:val="000A6666"/>
    <w:rPr>
      <w:rFonts w:ascii="Arial" w:hAnsi="Arial"/>
      <w:b/>
      <w:color w:val="004EA8"/>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0A6666"/>
    <w:pPr>
      <w:spacing w:before="0" w:after="200"/>
      <w:outlineLvl w:val="9"/>
    </w:pPr>
  </w:style>
  <w:style w:type="character" w:customStyle="1" w:styleId="DHHSTOCheadingfactsheetChar">
    <w:name w:val="DHHS TOC heading fact sheet Char"/>
    <w:link w:val="DHHSTOCheadingfactsheet"/>
    <w:uiPriority w:val="4"/>
    <w:rsid w:val="000A6666"/>
    <w:rPr>
      <w:rFonts w:ascii="Arial" w:hAnsi="Arial"/>
      <w:b/>
      <w:color w:val="004EA8"/>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0A6666"/>
    <w:pPr>
      <w:spacing w:before="80" w:after="60"/>
    </w:pPr>
    <w:rPr>
      <w:rFonts w:ascii="Arial" w:hAnsi="Arial"/>
      <w:b/>
      <w:color w:val="004EA8"/>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providers.dhhs.vic.gov.au/public-housing-policy-and-practice-manual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Factsheet%2003%20Blue%20294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513A39C7-E3CC-4F6C-A862-7C3BA9645CB3}"/>
</file>

<file path=customXml/itemProps2.xml><?xml version="1.0" encoding="utf-8"?>
<ds:datastoreItem xmlns:ds="http://schemas.openxmlformats.org/officeDocument/2006/customXml" ds:itemID="{6E0FE1CD-E138-499F-AC7A-0E38239EC61C}"/>
</file>

<file path=customXml/itemProps3.xml><?xml version="1.0" encoding="utf-8"?>
<ds:datastoreItem xmlns:ds="http://schemas.openxmlformats.org/officeDocument/2006/customXml" ds:itemID="{EF738BB3-3069-4C5C-BEED-658D3309E3FA}"/>
</file>

<file path=docProps/app.xml><?xml version="1.0" encoding="utf-8"?>
<Properties xmlns="http://schemas.openxmlformats.org/officeDocument/2006/extended-properties" xmlns:vt="http://schemas.openxmlformats.org/officeDocument/2006/docPropsVTypes">
  <Template>DHHS Factsheet 03 Blue 2945.dot</Template>
  <TotalTime>1</TotalTime>
  <Pages>5</Pages>
  <Words>1350</Words>
  <Characters>7701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Rental references operational guidelines</vt:lpstr>
    </vt:vector>
  </TitlesOfParts>
  <Company>Department of Health and Human Services</Company>
  <LinksUpToDate>false</LinksUpToDate>
  <CharactersWithSpaces>9033</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Rental references operational guidelines</dc:title>
  <dc:subject>Public housing</dc:subject>
  <dc:creator/>
  <cp:lastModifiedBy>Sarah Luscombe (DHHS)</cp:lastModifiedBy>
  <cp:revision>3</cp:revision>
  <cp:lastPrinted>2015-08-21T04:17:00Z</cp:lastPrinted>
  <dcterms:created xsi:type="dcterms:W3CDTF">2017-08-07T03:57:00Z</dcterms:created>
  <dcterms:modified xsi:type="dcterms:W3CDTF">2017-08-07T04:19:00Z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