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CDB0E" w14:textId="77777777" w:rsidR="00056EC4" w:rsidRDefault="00A01FB1" w:rsidP="00056EC4">
      <w:pPr>
        <w:pStyle w:val="Body"/>
      </w:pPr>
      <w:r>
        <w:rPr>
          <w:noProof/>
        </w:rPr>
        <w:drawing>
          <wp:anchor distT="0" distB="0" distL="114300" distR="114300" simplePos="0" relativeHeight="251658240" behindDoc="1" locked="1" layoutInCell="1" allowOverlap="1" wp14:anchorId="21966DC4" wp14:editId="33DF6721">
            <wp:simplePos x="0" y="0"/>
            <wp:positionH relativeFrom="page">
              <wp:posOffset>0</wp:posOffset>
            </wp:positionH>
            <wp:positionV relativeFrom="page">
              <wp:posOffset>0</wp:posOffset>
            </wp:positionV>
            <wp:extent cx="7562850" cy="10158730"/>
            <wp:effectExtent l="0" t="0" r="0" b="0"/>
            <wp:wrapNone/>
            <wp:docPr id="2" name="Picture 2"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Victoria State Government Families, Fairness and Housing"/>
                    <pic:cNvPicPr/>
                  </pic:nvPicPr>
                  <pic:blipFill>
                    <a:blip r:embed="rId11"/>
                    <a:stretch>
                      <a:fillRect/>
                    </a:stretch>
                  </pic:blipFill>
                  <pic:spPr>
                    <a:xfrm>
                      <a:off x="0" y="0"/>
                      <a:ext cx="7562850" cy="10158730"/>
                    </a:xfrm>
                    <a:prstGeom prst="rect">
                      <a:avLst/>
                    </a:prstGeom>
                  </pic:spPr>
                </pic:pic>
              </a:graphicData>
            </a:graphic>
            <wp14:sizeRelH relativeFrom="margin">
              <wp14:pctWidth>0</wp14:pctWidth>
            </wp14:sizeRelH>
            <wp14:sizeRelV relativeFrom="margin">
              <wp14:pctHeight>0</wp14:pctHeight>
            </wp14:sizeRelV>
          </wp:anchor>
        </w:drawing>
      </w:r>
    </w:p>
    <w:tbl>
      <w:tblPr>
        <w:tblW w:w="9299" w:type="dxa"/>
        <w:tblLook w:val="04A0" w:firstRow="1" w:lastRow="0" w:firstColumn="1" w:lastColumn="0" w:noHBand="0" w:noVBand="1"/>
      </w:tblPr>
      <w:tblGrid>
        <w:gridCol w:w="9299"/>
      </w:tblGrid>
      <w:tr w:rsidR="00F91B76" w:rsidRPr="00431F42" w14:paraId="75EF6E08" w14:textId="77777777">
        <w:tc>
          <w:tcPr>
            <w:tcW w:w="0" w:type="auto"/>
            <w:vAlign w:val="bottom"/>
          </w:tcPr>
          <w:p w14:paraId="3D580CCA" w14:textId="77777777" w:rsidR="00F91B76" w:rsidRPr="00431F42" w:rsidRDefault="00F91B76">
            <w:pPr>
              <w:pStyle w:val="Documenttitle"/>
            </w:pPr>
            <w:r>
              <w:t>Housing Appeals Management Operational Guidelines</w:t>
            </w:r>
          </w:p>
        </w:tc>
      </w:tr>
      <w:tr w:rsidR="00F91B76" w:rsidRPr="00A1389F" w14:paraId="78F39505" w14:textId="77777777">
        <w:tc>
          <w:tcPr>
            <w:tcW w:w="0" w:type="auto"/>
          </w:tcPr>
          <w:p w14:paraId="7D5D2223" w14:textId="4E541F27" w:rsidR="00F91B76" w:rsidRPr="00A1389F" w:rsidRDefault="00975780">
            <w:pPr>
              <w:pStyle w:val="Documentsubtitle"/>
            </w:pPr>
            <w:r>
              <w:t>September</w:t>
            </w:r>
            <w:r w:rsidR="00F91B76">
              <w:t xml:space="preserve"> 2026</w:t>
            </w:r>
          </w:p>
        </w:tc>
      </w:tr>
    </w:tbl>
    <w:p w14:paraId="255EEC10" w14:textId="77777777" w:rsidR="00595C2A" w:rsidRDefault="00EF1C28" w:rsidP="00430393">
      <w:pPr>
        <w:pStyle w:val="Bannermarking"/>
      </w:pPr>
      <w:fldSimple w:instr="FILLIN  &quot;Type the protective marking&quot; \d OFFICIAL \o  \* MERGEFORMAT">
        <w:r>
          <w:t>OFFICIAL</w:t>
        </w:r>
      </w:fldSimple>
    </w:p>
    <w:p w14:paraId="4592DAC2" w14:textId="77777777" w:rsidR="00FE4081" w:rsidRDefault="00FE4081" w:rsidP="00FE4081">
      <w:pPr>
        <w:pStyle w:val="Body"/>
      </w:pPr>
    </w:p>
    <w:p w14:paraId="2DDF201E" w14:textId="77777777" w:rsidR="00FE4081" w:rsidRPr="00FE4081" w:rsidRDefault="00FE4081" w:rsidP="00FE4081">
      <w:pPr>
        <w:pStyle w:val="Body"/>
        <w:sectPr w:rsidR="00FE4081" w:rsidRPr="00FE4081" w:rsidSect="00F15144">
          <w:footerReference w:type="even" r:id="rId12"/>
          <w:footerReference w:type="default" r:id="rId13"/>
          <w:footerReference w:type="first" r:id="rId14"/>
          <w:type w:val="continuous"/>
          <w:pgSz w:w="11906" w:h="16838" w:code="9"/>
          <w:pgMar w:top="3969" w:right="1304" w:bottom="851" w:left="1304" w:header="680" w:footer="567" w:gutter="0"/>
          <w:cols w:space="340"/>
          <w:titlePg/>
          <w:docGrid w:linePitch="360"/>
        </w:sectPr>
      </w:pPr>
    </w:p>
    <w:p w14:paraId="5FDA2828" w14:textId="77777777" w:rsidR="00C674C2" w:rsidRPr="00DE21C7" w:rsidRDefault="00C674C2" w:rsidP="00C674C2">
      <w:pPr>
        <w:pStyle w:val="Accessibilitypara"/>
      </w:pPr>
      <w:r w:rsidRPr="00DE21C7">
        <w:lastRenderedPageBreak/>
        <w:t xml:space="preserve">Contact us to receive this document in another format. Please email </w:t>
      </w:r>
      <w:hyperlink r:id="rId15" w:history="1">
        <w:r w:rsidRPr="008576B9">
          <w:rPr>
            <w:rStyle w:val="Hyperlink"/>
          </w:rPr>
          <w:t>policyandguidelines@homes.vic.gov.au</w:t>
        </w:r>
      </w:hyperlink>
      <w:r>
        <w:t xml:space="preserve">. </w:t>
      </w:r>
    </w:p>
    <w:p w14:paraId="4F437294" w14:textId="77777777" w:rsidR="00C674C2" w:rsidRPr="00DE21C7" w:rsidRDefault="00C674C2" w:rsidP="00C674C2">
      <w:pPr>
        <w:pStyle w:val="Accessibilitypara"/>
      </w:pPr>
      <w:r w:rsidRPr="00DE21C7">
        <w:rPr>
          <w:b/>
          <w:bCs/>
        </w:rPr>
        <w:t>If you are d/Deaf, hard of hearing, or have a speech/communication difficulty</w:t>
      </w:r>
      <w:r w:rsidRPr="00DE21C7">
        <w:t xml:space="preserve"> please contact us through your preferred </w:t>
      </w:r>
      <w:hyperlink r:id="rId16" w:history="1">
        <w:r w:rsidRPr="00DE21C7">
          <w:rPr>
            <w:rStyle w:val="Hyperlink"/>
            <w:szCs w:val="24"/>
          </w:rPr>
          <w:t>National Relay Service (NRS) call channel</w:t>
        </w:r>
      </w:hyperlink>
      <w:r>
        <w:rPr>
          <w:rStyle w:val="FootnoteReference"/>
        </w:rPr>
        <w:footnoteReference w:id="2"/>
      </w:r>
      <w:r w:rsidRPr="00DE21C7">
        <w:t xml:space="preserve"> For more information, visit </w:t>
      </w:r>
      <w:hyperlink r:id="rId17" w:history="1">
        <w:r w:rsidRPr="00DE21C7">
          <w:rPr>
            <w:rStyle w:val="Hyperlink"/>
            <w:szCs w:val="24"/>
          </w:rPr>
          <w:t>About the National Relay Service</w:t>
        </w:r>
      </w:hyperlink>
      <w:r>
        <w:rPr>
          <w:rStyle w:val="FootnoteReference"/>
        </w:rPr>
        <w:footnoteReference w:id="3"/>
      </w:r>
    </w:p>
    <w:p w14:paraId="698F6EC1" w14:textId="77777777" w:rsidR="00C674C2" w:rsidRPr="00DE21C7" w:rsidRDefault="00C674C2" w:rsidP="00C674C2">
      <w:pPr>
        <w:pStyle w:val="Imprint"/>
      </w:pPr>
      <w:r w:rsidRPr="00DE21C7">
        <w:t>Authorised and published by the Victorian Government, 1 Treasury Place, Melbourne.</w:t>
      </w:r>
    </w:p>
    <w:p w14:paraId="3E98DDE5" w14:textId="77777777" w:rsidR="00C674C2" w:rsidRPr="00DE21C7" w:rsidRDefault="00C674C2" w:rsidP="00C674C2">
      <w:pPr>
        <w:pStyle w:val="Imprint"/>
      </w:pPr>
      <w:r w:rsidRPr="00DE21C7">
        <w:t xml:space="preserve">© State of Victoria, Australia, Department of Families, Fairness and Housing, </w:t>
      </w:r>
      <w:r w:rsidRPr="00807D10">
        <w:t>September 2026.</w:t>
      </w:r>
    </w:p>
    <w:p w14:paraId="098576BB" w14:textId="3652722E" w:rsidR="00C674C2" w:rsidRPr="00DE21C7" w:rsidRDefault="00C674C2" w:rsidP="00C674C2">
      <w:pPr>
        <w:pStyle w:val="Imprint"/>
      </w:pPr>
      <w:bookmarkStart w:id="0" w:name="_Hlk62746129"/>
      <w:r w:rsidRPr="00DE21C7">
        <w:t>ISBN</w:t>
      </w:r>
      <w:r w:rsidR="1338BEA0">
        <w:t xml:space="preserve"> </w:t>
      </w:r>
      <w:r w:rsidR="1338BEA0" w:rsidRPr="75001B1C">
        <w:rPr>
          <w:rFonts w:eastAsia="Arial" w:cs="Arial"/>
          <w:color w:val="000000" w:themeColor="text1"/>
          <w:sz w:val="22"/>
          <w:szCs w:val="22"/>
        </w:rPr>
        <w:t>978-1-76171-245-6</w:t>
      </w:r>
      <w:r w:rsidRPr="00DE21C7">
        <w:t xml:space="preserve"> </w:t>
      </w:r>
      <w:r w:rsidRPr="00AB3680">
        <w:t>(</w:t>
      </w:r>
      <w:r w:rsidRPr="00DE21C7">
        <w:t xml:space="preserve">pdf/online/MS word) </w:t>
      </w:r>
    </w:p>
    <w:p w14:paraId="6028A3EC" w14:textId="77777777" w:rsidR="00C674C2" w:rsidRPr="00DE21C7" w:rsidRDefault="00C674C2" w:rsidP="00C674C2">
      <w:pPr>
        <w:pStyle w:val="Imprint"/>
      </w:pPr>
      <w:r w:rsidRPr="00DE21C7">
        <w:t xml:space="preserve">Available at </w:t>
      </w:r>
      <w:hyperlink r:id="rId18" w:history="1">
        <w:r w:rsidRPr="0080110A">
          <w:rPr>
            <w:rStyle w:val="Hyperlink"/>
          </w:rPr>
          <w:t>Department of Families, Fairness and Housing Providers website</w:t>
        </w:r>
      </w:hyperlink>
      <w:r>
        <w:rPr>
          <w:rStyle w:val="FootnoteReference"/>
        </w:rPr>
        <w:footnoteReference w:id="4"/>
      </w:r>
      <w:r>
        <w:t xml:space="preserve">. </w:t>
      </w:r>
    </w:p>
    <w:bookmarkEnd w:id="0"/>
    <w:p w14:paraId="6A4ACD46" w14:textId="77777777" w:rsidR="007F7776" w:rsidRDefault="007F7776" w:rsidP="007F7776">
      <w:pPr>
        <w:pStyle w:val="Body"/>
      </w:pPr>
      <w:r>
        <w:br w:type="page"/>
      </w:r>
    </w:p>
    <w:p w14:paraId="789C063B" w14:textId="4C36B857" w:rsidR="00F91B76" w:rsidRPr="00B57329" w:rsidRDefault="00F91B76" w:rsidP="007F7776">
      <w:pPr>
        <w:pStyle w:val="TOCheadingreport"/>
      </w:pPr>
      <w:r w:rsidRPr="00B57329">
        <w:lastRenderedPageBreak/>
        <w:t>Contents</w:t>
      </w:r>
    </w:p>
    <w:p w14:paraId="7921BA42" w14:textId="1594B9EC" w:rsidR="00AB1B15" w:rsidRDefault="00F91B76">
      <w:pPr>
        <w:pStyle w:val="TOC1"/>
        <w:tabs>
          <w:tab w:val="left" w:pos="567"/>
        </w:tabs>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 </w:instrText>
      </w:r>
      <w:r>
        <w:fldChar w:fldCharType="separate"/>
      </w:r>
      <w:hyperlink w:anchor="_Toc243568449" w:history="1">
        <w:r w:rsidR="00AB1B15" w:rsidRPr="00D72711">
          <w:rPr>
            <w:rStyle w:val="Hyperlink"/>
          </w:rPr>
          <w:t>2</w:t>
        </w:r>
        <w:r w:rsidR="00AB1B15">
          <w:rPr>
            <w:rFonts w:asciiTheme="minorHAnsi" w:eastAsiaTheme="minorEastAsia" w:hAnsiTheme="minorHAnsi" w:cstheme="minorBidi"/>
            <w:b w:val="0"/>
            <w:kern w:val="2"/>
            <w:sz w:val="24"/>
            <w:szCs w:val="24"/>
            <w:lang w:eastAsia="en-AU"/>
            <w14:ligatures w14:val="standardContextual"/>
          </w:rPr>
          <w:tab/>
        </w:r>
        <w:r w:rsidR="00AB1B15" w:rsidRPr="00D72711">
          <w:rPr>
            <w:rStyle w:val="Hyperlink"/>
          </w:rPr>
          <w:t>Revision history </w:t>
        </w:r>
        <w:r w:rsidR="00AB1B15">
          <w:rPr>
            <w:webHidden/>
          </w:rPr>
          <w:tab/>
        </w:r>
        <w:r w:rsidR="00AB1B15">
          <w:rPr>
            <w:webHidden/>
          </w:rPr>
          <w:fldChar w:fldCharType="begin"/>
        </w:r>
        <w:r w:rsidR="00AB1B15">
          <w:rPr>
            <w:webHidden/>
          </w:rPr>
          <w:instrText xml:space="preserve"> PAGEREF _Toc243568449 \h </w:instrText>
        </w:r>
        <w:r w:rsidR="00AB1B15">
          <w:rPr>
            <w:webHidden/>
          </w:rPr>
        </w:r>
        <w:r w:rsidR="00AB1B15">
          <w:rPr>
            <w:webHidden/>
          </w:rPr>
          <w:fldChar w:fldCharType="separate"/>
        </w:r>
        <w:r w:rsidR="00AB1B15">
          <w:rPr>
            <w:webHidden/>
          </w:rPr>
          <w:t>4</w:t>
        </w:r>
        <w:r w:rsidR="00AB1B15">
          <w:rPr>
            <w:webHidden/>
          </w:rPr>
          <w:fldChar w:fldCharType="end"/>
        </w:r>
      </w:hyperlink>
    </w:p>
    <w:p w14:paraId="1DF3610D" w14:textId="63711707" w:rsidR="00AB1B15" w:rsidRDefault="00AB1B15">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68450" w:history="1">
        <w:r w:rsidRPr="00D72711">
          <w:rPr>
            <w:rStyle w:val="Hyperlink"/>
          </w:rPr>
          <w:t>3</w:t>
        </w:r>
        <w:r>
          <w:rPr>
            <w:rFonts w:asciiTheme="minorHAnsi" w:eastAsiaTheme="minorEastAsia" w:hAnsiTheme="minorHAnsi" w:cstheme="minorBidi"/>
            <w:b w:val="0"/>
            <w:kern w:val="2"/>
            <w:sz w:val="24"/>
            <w:szCs w:val="24"/>
            <w:lang w:eastAsia="en-AU"/>
            <w14:ligatures w14:val="standardContextual"/>
          </w:rPr>
          <w:tab/>
        </w:r>
        <w:r w:rsidRPr="00D72711">
          <w:rPr>
            <w:rStyle w:val="Hyperlink"/>
          </w:rPr>
          <w:t>Overview</w:t>
        </w:r>
        <w:r>
          <w:rPr>
            <w:webHidden/>
          </w:rPr>
          <w:tab/>
        </w:r>
        <w:r>
          <w:rPr>
            <w:webHidden/>
          </w:rPr>
          <w:fldChar w:fldCharType="begin"/>
        </w:r>
        <w:r>
          <w:rPr>
            <w:webHidden/>
          </w:rPr>
          <w:instrText xml:space="preserve"> PAGEREF _Toc243568450 \h </w:instrText>
        </w:r>
        <w:r>
          <w:rPr>
            <w:webHidden/>
          </w:rPr>
        </w:r>
        <w:r>
          <w:rPr>
            <w:webHidden/>
          </w:rPr>
          <w:fldChar w:fldCharType="separate"/>
        </w:r>
        <w:r>
          <w:rPr>
            <w:webHidden/>
          </w:rPr>
          <w:t>5</w:t>
        </w:r>
        <w:r>
          <w:rPr>
            <w:webHidden/>
          </w:rPr>
          <w:fldChar w:fldCharType="end"/>
        </w:r>
      </w:hyperlink>
    </w:p>
    <w:p w14:paraId="1CDEF8EE" w14:textId="3E846B10" w:rsidR="00AB1B15" w:rsidRDefault="00AB1B15">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68451" w:history="1">
        <w:r w:rsidRPr="00D72711">
          <w:rPr>
            <w:rStyle w:val="Hyperlink"/>
          </w:rPr>
          <w:t>4</w:t>
        </w:r>
        <w:r>
          <w:rPr>
            <w:rFonts w:asciiTheme="minorHAnsi" w:eastAsiaTheme="minorEastAsia" w:hAnsiTheme="minorHAnsi" w:cstheme="minorBidi"/>
            <w:b w:val="0"/>
            <w:kern w:val="2"/>
            <w:sz w:val="24"/>
            <w:szCs w:val="24"/>
            <w:lang w:eastAsia="en-AU"/>
            <w14:ligatures w14:val="standardContextual"/>
          </w:rPr>
          <w:tab/>
        </w:r>
        <w:r w:rsidRPr="00D72711">
          <w:rPr>
            <w:rStyle w:val="Hyperlink"/>
          </w:rPr>
          <w:t>Appealable and non-appealable matters</w:t>
        </w:r>
        <w:r>
          <w:rPr>
            <w:webHidden/>
          </w:rPr>
          <w:tab/>
        </w:r>
        <w:r>
          <w:rPr>
            <w:webHidden/>
          </w:rPr>
          <w:fldChar w:fldCharType="begin"/>
        </w:r>
        <w:r>
          <w:rPr>
            <w:webHidden/>
          </w:rPr>
          <w:instrText xml:space="preserve"> PAGEREF _Toc243568451 \h </w:instrText>
        </w:r>
        <w:r>
          <w:rPr>
            <w:webHidden/>
          </w:rPr>
        </w:r>
        <w:r>
          <w:rPr>
            <w:webHidden/>
          </w:rPr>
          <w:fldChar w:fldCharType="separate"/>
        </w:r>
        <w:r>
          <w:rPr>
            <w:webHidden/>
          </w:rPr>
          <w:t>5</w:t>
        </w:r>
        <w:r>
          <w:rPr>
            <w:webHidden/>
          </w:rPr>
          <w:fldChar w:fldCharType="end"/>
        </w:r>
      </w:hyperlink>
    </w:p>
    <w:p w14:paraId="310087B2" w14:textId="5DD622CF" w:rsidR="00AB1B15" w:rsidRDefault="00AB1B15">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68452" w:history="1">
        <w:r w:rsidRPr="00D72711">
          <w:rPr>
            <w:rStyle w:val="Hyperlink"/>
          </w:rPr>
          <w:t>5</w:t>
        </w:r>
        <w:r>
          <w:rPr>
            <w:rFonts w:asciiTheme="minorHAnsi" w:eastAsiaTheme="minorEastAsia" w:hAnsiTheme="minorHAnsi" w:cstheme="minorBidi"/>
            <w:b w:val="0"/>
            <w:kern w:val="2"/>
            <w:sz w:val="24"/>
            <w:szCs w:val="24"/>
            <w:lang w:eastAsia="en-AU"/>
            <w14:ligatures w14:val="standardContextual"/>
          </w:rPr>
          <w:tab/>
        </w:r>
        <w:r w:rsidRPr="00D72711">
          <w:rPr>
            <w:rStyle w:val="Hyperlink"/>
          </w:rPr>
          <w:t>Review and decision-making process</w:t>
        </w:r>
        <w:r>
          <w:rPr>
            <w:webHidden/>
          </w:rPr>
          <w:tab/>
        </w:r>
        <w:r>
          <w:rPr>
            <w:webHidden/>
          </w:rPr>
          <w:fldChar w:fldCharType="begin"/>
        </w:r>
        <w:r>
          <w:rPr>
            <w:webHidden/>
          </w:rPr>
          <w:instrText xml:space="preserve"> PAGEREF _Toc243568452 \h </w:instrText>
        </w:r>
        <w:r>
          <w:rPr>
            <w:webHidden/>
          </w:rPr>
        </w:r>
        <w:r>
          <w:rPr>
            <w:webHidden/>
          </w:rPr>
          <w:fldChar w:fldCharType="separate"/>
        </w:r>
        <w:r>
          <w:rPr>
            <w:webHidden/>
          </w:rPr>
          <w:t>8</w:t>
        </w:r>
        <w:r>
          <w:rPr>
            <w:webHidden/>
          </w:rPr>
          <w:fldChar w:fldCharType="end"/>
        </w:r>
      </w:hyperlink>
    </w:p>
    <w:p w14:paraId="7C628B35" w14:textId="20F0F3AF" w:rsidR="00AB1B15" w:rsidRDefault="00AB1B15">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68453" w:history="1">
        <w:r w:rsidRPr="00D72711">
          <w:rPr>
            <w:rStyle w:val="Hyperlink"/>
          </w:rPr>
          <w:t>5.1</w:t>
        </w:r>
        <w:r>
          <w:rPr>
            <w:rFonts w:asciiTheme="minorHAnsi" w:eastAsiaTheme="minorEastAsia" w:hAnsiTheme="minorHAnsi" w:cstheme="minorBidi"/>
            <w:kern w:val="2"/>
            <w:sz w:val="24"/>
            <w:szCs w:val="24"/>
            <w:lang w:eastAsia="en-AU"/>
            <w14:ligatures w14:val="standardContextual"/>
          </w:rPr>
          <w:tab/>
        </w:r>
        <w:r w:rsidRPr="00D72711">
          <w:rPr>
            <w:rStyle w:val="Hyperlink"/>
          </w:rPr>
          <w:t>Submitting an appeal</w:t>
        </w:r>
        <w:r>
          <w:rPr>
            <w:webHidden/>
          </w:rPr>
          <w:tab/>
        </w:r>
        <w:r>
          <w:rPr>
            <w:webHidden/>
          </w:rPr>
          <w:fldChar w:fldCharType="begin"/>
        </w:r>
        <w:r>
          <w:rPr>
            <w:webHidden/>
          </w:rPr>
          <w:instrText xml:space="preserve"> PAGEREF _Toc243568453 \h </w:instrText>
        </w:r>
        <w:r>
          <w:rPr>
            <w:webHidden/>
          </w:rPr>
        </w:r>
        <w:r>
          <w:rPr>
            <w:webHidden/>
          </w:rPr>
          <w:fldChar w:fldCharType="separate"/>
        </w:r>
        <w:r>
          <w:rPr>
            <w:webHidden/>
          </w:rPr>
          <w:t>8</w:t>
        </w:r>
        <w:r>
          <w:rPr>
            <w:webHidden/>
          </w:rPr>
          <w:fldChar w:fldCharType="end"/>
        </w:r>
      </w:hyperlink>
    </w:p>
    <w:p w14:paraId="6B835E65" w14:textId="4FF905BC" w:rsidR="00AB1B15" w:rsidRDefault="00AB1B15">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68454" w:history="1">
        <w:r w:rsidRPr="00D72711">
          <w:rPr>
            <w:rStyle w:val="Hyperlink"/>
          </w:rPr>
          <w:t>5.2</w:t>
        </w:r>
        <w:r>
          <w:rPr>
            <w:rFonts w:asciiTheme="minorHAnsi" w:eastAsiaTheme="minorEastAsia" w:hAnsiTheme="minorHAnsi" w:cstheme="minorBidi"/>
            <w:kern w:val="2"/>
            <w:sz w:val="24"/>
            <w:szCs w:val="24"/>
            <w:lang w:eastAsia="en-AU"/>
            <w14:ligatures w14:val="standardContextual"/>
          </w:rPr>
          <w:tab/>
        </w:r>
        <w:r w:rsidRPr="00D72711">
          <w:rPr>
            <w:rStyle w:val="Hyperlink"/>
          </w:rPr>
          <w:t>Timeframes for assessment</w:t>
        </w:r>
        <w:r>
          <w:rPr>
            <w:webHidden/>
          </w:rPr>
          <w:tab/>
        </w:r>
        <w:r>
          <w:rPr>
            <w:webHidden/>
          </w:rPr>
          <w:fldChar w:fldCharType="begin"/>
        </w:r>
        <w:r>
          <w:rPr>
            <w:webHidden/>
          </w:rPr>
          <w:instrText xml:space="preserve"> PAGEREF _Toc243568454 \h </w:instrText>
        </w:r>
        <w:r>
          <w:rPr>
            <w:webHidden/>
          </w:rPr>
        </w:r>
        <w:r>
          <w:rPr>
            <w:webHidden/>
          </w:rPr>
          <w:fldChar w:fldCharType="separate"/>
        </w:r>
        <w:r>
          <w:rPr>
            <w:webHidden/>
          </w:rPr>
          <w:t>8</w:t>
        </w:r>
        <w:r>
          <w:rPr>
            <w:webHidden/>
          </w:rPr>
          <w:fldChar w:fldCharType="end"/>
        </w:r>
      </w:hyperlink>
    </w:p>
    <w:p w14:paraId="29C9497F" w14:textId="6F385E31" w:rsidR="00AB1B15" w:rsidRDefault="00AB1B15">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68455" w:history="1">
        <w:r w:rsidRPr="00D72711">
          <w:rPr>
            <w:rStyle w:val="Hyperlink"/>
          </w:rPr>
          <w:t>5.3</w:t>
        </w:r>
        <w:r>
          <w:rPr>
            <w:rFonts w:asciiTheme="minorHAnsi" w:eastAsiaTheme="minorEastAsia" w:hAnsiTheme="minorHAnsi" w:cstheme="minorBidi"/>
            <w:kern w:val="2"/>
            <w:sz w:val="24"/>
            <w:szCs w:val="24"/>
            <w:lang w:eastAsia="en-AU"/>
            <w14:ligatures w14:val="standardContextual"/>
          </w:rPr>
          <w:tab/>
        </w:r>
        <w:r w:rsidRPr="00D72711">
          <w:rPr>
            <w:rStyle w:val="Hyperlink"/>
          </w:rPr>
          <w:t>Initial appeal review</w:t>
        </w:r>
        <w:r>
          <w:rPr>
            <w:webHidden/>
          </w:rPr>
          <w:tab/>
        </w:r>
        <w:r>
          <w:rPr>
            <w:webHidden/>
          </w:rPr>
          <w:fldChar w:fldCharType="begin"/>
        </w:r>
        <w:r>
          <w:rPr>
            <w:webHidden/>
          </w:rPr>
          <w:instrText xml:space="preserve"> PAGEREF _Toc243568455 \h </w:instrText>
        </w:r>
        <w:r>
          <w:rPr>
            <w:webHidden/>
          </w:rPr>
        </w:r>
        <w:r>
          <w:rPr>
            <w:webHidden/>
          </w:rPr>
          <w:fldChar w:fldCharType="separate"/>
        </w:r>
        <w:r>
          <w:rPr>
            <w:webHidden/>
          </w:rPr>
          <w:t>9</w:t>
        </w:r>
        <w:r>
          <w:rPr>
            <w:webHidden/>
          </w:rPr>
          <w:fldChar w:fldCharType="end"/>
        </w:r>
      </w:hyperlink>
    </w:p>
    <w:p w14:paraId="2A1549E8" w14:textId="0956BC0B" w:rsidR="00AB1B15" w:rsidRDefault="00AB1B15">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68456" w:history="1">
        <w:r w:rsidRPr="00D72711">
          <w:rPr>
            <w:rStyle w:val="Hyperlink"/>
          </w:rPr>
          <w:t>5.4</w:t>
        </w:r>
        <w:r>
          <w:rPr>
            <w:rFonts w:asciiTheme="minorHAnsi" w:eastAsiaTheme="minorEastAsia" w:hAnsiTheme="minorHAnsi" w:cstheme="minorBidi"/>
            <w:kern w:val="2"/>
            <w:sz w:val="24"/>
            <w:szCs w:val="24"/>
            <w:lang w:eastAsia="en-AU"/>
            <w14:ligatures w14:val="standardContextual"/>
          </w:rPr>
          <w:tab/>
        </w:r>
        <w:r w:rsidRPr="00D72711">
          <w:rPr>
            <w:rStyle w:val="Hyperlink"/>
          </w:rPr>
          <w:t>Advanced appeal review</w:t>
        </w:r>
        <w:r>
          <w:rPr>
            <w:webHidden/>
          </w:rPr>
          <w:tab/>
        </w:r>
        <w:r>
          <w:rPr>
            <w:webHidden/>
          </w:rPr>
          <w:fldChar w:fldCharType="begin"/>
        </w:r>
        <w:r>
          <w:rPr>
            <w:webHidden/>
          </w:rPr>
          <w:instrText xml:space="preserve"> PAGEREF _Toc243568456 \h </w:instrText>
        </w:r>
        <w:r>
          <w:rPr>
            <w:webHidden/>
          </w:rPr>
        </w:r>
        <w:r>
          <w:rPr>
            <w:webHidden/>
          </w:rPr>
          <w:fldChar w:fldCharType="separate"/>
        </w:r>
        <w:r>
          <w:rPr>
            <w:webHidden/>
          </w:rPr>
          <w:t>10</w:t>
        </w:r>
        <w:r>
          <w:rPr>
            <w:webHidden/>
          </w:rPr>
          <w:fldChar w:fldCharType="end"/>
        </w:r>
      </w:hyperlink>
    </w:p>
    <w:p w14:paraId="0DC108AD" w14:textId="3508E6C1" w:rsidR="00AB1B15" w:rsidRDefault="00AB1B15">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68457" w:history="1">
        <w:r w:rsidRPr="00D72711">
          <w:rPr>
            <w:rStyle w:val="Hyperlink"/>
          </w:rPr>
          <w:t>5.5</w:t>
        </w:r>
        <w:r>
          <w:rPr>
            <w:rFonts w:asciiTheme="minorHAnsi" w:eastAsiaTheme="minorEastAsia" w:hAnsiTheme="minorHAnsi" w:cstheme="minorBidi"/>
            <w:kern w:val="2"/>
            <w:sz w:val="24"/>
            <w:szCs w:val="24"/>
            <w:lang w:eastAsia="en-AU"/>
            <w14:ligatures w14:val="standardContextual"/>
          </w:rPr>
          <w:tab/>
        </w:r>
        <w:r w:rsidRPr="00D72711">
          <w:rPr>
            <w:rStyle w:val="Hyperlink"/>
          </w:rPr>
          <w:t>Human rights to consider during the appeals process</w:t>
        </w:r>
        <w:r>
          <w:rPr>
            <w:webHidden/>
          </w:rPr>
          <w:tab/>
        </w:r>
        <w:r>
          <w:rPr>
            <w:webHidden/>
          </w:rPr>
          <w:fldChar w:fldCharType="begin"/>
        </w:r>
        <w:r>
          <w:rPr>
            <w:webHidden/>
          </w:rPr>
          <w:instrText xml:space="preserve"> PAGEREF _Toc243568457 \h </w:instrText>
        </w:r>
        <w:r>
          <w:rPr>
            <w:webHidden/>
          </w:rPr>
        </w:r>
        <w:r>
          <w:rPr>
            <w:webHidden/>
          </w:rPr>
          <w:fldChar w:fldCharType="separate"/>
        </w:r>
        <w:r>
          <w:rPr>
            <w:webHidden/>
          </w:rPr>
          <w:t>11</w:t>
        </w:r>
        <w:r>
          <w:rPr>
            <w:webHidden/>
          </w:rPr>
          <w:fldChar w:fldCharType="end"/>
        </w:r>
      </w:hyperlink>
    </w:p>
    <w:p w14:paraId="41767B96" w14:textId="7D665DCD" w:rsidR="00AB1B15" w:rsidRDefault="00AB1B15">
      <w:pPr>
        <w:pStyle w:val="TOC1"/>
        <w:tabs>
          <w:tab w:val="left" w:pos="567"/>
        </w:tabs>
        <w:rPr>
          <w:rFonts w:asciiTheme="minorHAnsi" w:eastAsiaTheme="minorEastAsia" w:hAnsiTheme="minorHAnsi" w:cstheme="minorBidi"/>
          <w:b w:val="0"/>
          <w:kern w:val="2"/>
          <w:sz w:val="24"/>
          <w:szCs w:val="24"/>
          <w:lang w:eastAsia="en-AU"/>
          <w14:ligatures w14:val="standardContextual"/>
        </w:rPr>
      </w:pPr>
      <w:hyperlink w:anchor="_Toc243568458" w:history="1">
        <w:r w:rsidRPr="00D72711">
          <w:rPr>
            <w:rStyle w:val="Hyperlink"/>
          </w:rPr>
          <w:t>6</w:t>
        </w:r>
        <w:r>
          <w:rPr>
            <w:rFonts w:asciiTheme="minorHAnsi" w:eastAsiaTheme="minorEastAsia" w:hAnsiTheme="minorHAnsi" w:cstheme="minorBidi"/>
            <w:b w:val="0"/>
            <w:kern w:val="2"/>
            <w:sz w:val="24"/>
            <w:szCs w:val="24"/>
            <w:lang w:eastAsia="en-AU"/>
            <w14:ligatures w14:val="standardContextual"/>
          </w:rPr>
          <w:tab/>
        </w:r>
        <w:r w:rsidRPr="00D72711">
          <w:rPr>
            <w:rStyle w:val="Hyperlink"/>
          </w:rPr>
          <w:t>Managing and documenting appeals</w:t>
        </w:r>
        <w:r>
          <w:rPr>
            <w:webHidden/>
          </w:rPr>
          <w:tab/>
        </w:r>
        <w:r>
          <w:rPr>
            <w:webHidden/>
          </w:rPr>
          <w:fldChar w:fldCharType="begin"/>
        </w:r>
        <w:r>
          <w:rPr>
            <w:webHidden/>
          </w:rPr>
          <w:instrText xml:space="preserve"> PAGEREF _Toc243568458 \h </w:instrText>
        </w:r>
        <w:r>
          <w:rPr>
            <w:webHidden/>
          </w:rPr>
        </w:r>
        <w:r>
          <w:rPr>
            <w:webHidden/>
          </w:rPr>
          <w:fldChar w:fldCharType="separate"/>
        </w:r>
        <w:r>
          <w:rPr>
            <w:webHidden/>
          </w:rPr>
          <w:t>13</w:t>
        </w:r>
        <w:r>
          <w:rPr>
            <w:webHidden/>
          </w:rPr>
          <w:fldChar w:fldCharType="end"/>
        </w:r>
      </w:hyperlink>
    </w:p>
    <w:p w14:paraId="796FFFCE" w14:textId="5F16618F" w:rsidR="00AB1B15" w:rsidRDefault="00AB1B15">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43568459" w:history="1">
        <w:r w:rsidRPr="00D72711">
          <w:rPr>
            <w:rStyle w:val="Hyperlink"/>
          </w:rPr>
          <w:t>6.1</w:t>
        </w:r>
        <w:r>
          <w:rPr>
            <w:rFonts w:asciiTheme="minorHAnsi" w:eastAsiaTheme="minorEastAsia" w:hAnsiTheme="minorHAnsi" w:cstheme="minorBidi"/>
            <w:kern w:val="2"/>
            <w:sz w:val="24"/>
            <w:szCs w:val="24"/>
            <w:lang w:eastAsia="en-AU"/>
            <w14:ligatures w14:val="standardContextual"/>
          </w:rPr>
          <w:tab/>
        </w:r>
        <w:r w:rsidRPr="00D72711">
          <w:rPr>
            <w:rStyle w:val="Hyperlink"/>
          </w:rPr>
          <w:t>Overdue appeals</w:t>
        </w:r>
        <w:r>
          <w:rPr>
            <w:webHidden/>
          </w:rPr>
          <w:tab/>
        </w:r>
        <w:r>
          <w:rPr>
            <w:webHidden/>
          </w:rPr>
          <w:fldChar w:fldCharType="begin"/>
        </w:r>
        <w:r>
          <w:rPr>
            <w:webHidden/>
          </w:rPr>
          <w:instrText xml:space="preserve"> PAGEREF _Toc243568459 \h </w:instrText>
        </w:r>
        <w:r>
          <w:rPr>
            <w:webHidden/>
          </w:rPr>
        </w:r>
        <w:r>
          <w:rPr>
            <w:webHidden/>
          </w:rPr>
          <w:fldChar w:fldCharType="separate"/>
        </w:r>
        <w:r>
          <w:rPr>
            <w:webHidden/>
          </w:rPr>
          <w:t>13</w:t>
        </w:r>
        <w:r>
          <w:rPr>
            <w:webHidden/>
          </w:rPr>
          <w:fldChar w:fldCharType="end"/>
        </w:r>
      </w:hyperlink>
    </w:p>
    <w:p w14:paraId="44E1F8D5" w14:textId="58B58BA1" w:rsidR="00F91B76" w:rsidRDefault="00F91B76" w:rsidP="00F91B76">
      <w:pPr>
        <w:pStyle w:val="Body"/>
      </w:pPr>
      <w:r>
        <w:fldChar w:fldCharType="end"/>
      </w:r>
    </w:p>
    <w:p w14:paraId="2C13E456" w14:textId="77777777" w:rsidR="00F91B76" w:rsidRDefault="00F91B76" w:rsidP="00B36DD0">
      <w:pPr>
        <w:pStyle w:val="Body"/>
      </w:pPr>
      <w:r>
        <w:br w:type="page"/>
      </w:r>
    </w:p>
    <w:p w14:paraId="122B92BC" w14:textId="77777777" w:rsidR="00F91B76" w:rsidRPr="00A92FFC" w:rsidRDefault="00F91B76" w:rsidP="00F91B76">
      <w:pPr>
        <w:pStyle w:val="Heading1"/>
      </w:pPr>
      <w:bookmarkStart w:id="1" w:name="_Toc243568449"/>
      <w:r w:rsidRPr="00264277">
        <w:lastRenderedPageBreak/>
        <w:t>Revision</w:t>
      </w:r>
      <w:r w:rsidRPr="00A92FFC">
        <w:t> history </w:t>
      </w:r>
      <w:bookmarkEnd w:id="1"/>
      <w:r w:rsidRPr="00A92FFC">
        <w:t> </w:t>
      </w:r>
    </w:p>
    <w:tbl>
      <w:tblPr>
        <w:tblStyle w:val="TableGridLight"/>
        <w:tblW w:w="9288" w:type="dxa"/>
        <w:tblLook w:val="04A0" w:firstRow="1" w:lastRow="0" w:firstColumn="1" w:lastColumn="0" w:noHBand="0" w:noVBand="1"/>
      </w:tblPr>
      <w:tblGrid>
        <w:gridCol w:w="1224"/>
        <w:gridCol w:w="2149"/>
        <w:gridCol w:w="2632"/>
        <w:gridCol w:w="3283"/>
      </w:tblGrid>
      <w:tr w:rsidR="00F91B76" w:rsidRPr="00A92FFC" w14:paraId="584C7163" w14:textId="77777777">
        <w:trPr>
          <w:trHeight w:val="300"/>
        </w:trPr>
        <w:tc>
          <w:tcPr>
            <w:tcW w:w="1224" w:type="dxa"/>
            <w:hideMark/>
          </w:tcPr>
          <w:p w14:paraId="2CA8E175" w14:textId="77777777" w:rsidR="00F91B76" w:rsidRPr="00A92FFC" w:rsidRDefault="00F91B76">
            <w:pPr>
              <w:pStyle w:val="Tablecolhead"/>
              <w:rPr>
                <w:rFonts w:eastAsia="Times"/>
              </w:rPr>
            </w:pPr>
            <w:r w:rsidRPr="00A92FFC">
              <w:rPr>
                <w:rFonts w:eastAsia="Times"/>
              </w:rPr>
              <w:t>Version  </w:t>
            </w:r>
          </w:p>
        </w:tc>
        <w:tc>
          <w:tcPr>
            <w:tcW w:w="2149" w:type="dxa"/>
            <w:hideMark/>
          </w:tcPr>
          <w:p w14:paraId="65DE10F4" w14:textId="77777777" w:rsidR="00F91B76" w:rsidRPr="00A92FFC" w:rsidRDefault="00F91B76">
            <w:pPr>
              <w:pStyle w:val="Tablecolhead"/>
              <w:rPr>
                <w:rFonts w:eastAsia="Times"/>
              </w:rPr>
            </w:pPr>
            <w:r w:rsidRPr="00A92FFC">
              <w:rPr>
                <w:rFonts w:eastAsia="Times"/>
              </w:rPr>
              <w:t>Amended section  </w:t>
            </w:r>
          </w:p>
        </w:tc>
        <w:tc>
          <w:tcPr>
            <w:tcW w:w="2632" w:type="dxa"/>
            <w:hideMark/>
          </w:tcPr>
          <w:p w14:paraId="133D5D79" w14:textId="77777777" w:rsidR="00F91B76" w:rsidRPr="00A92FFC" w:rsidRDefault="00F91B76">
            <w:pPr>
              <w:pStyle w:val="Tablecolhead"/>
              <w:rPr>
                <w:rFonts w:eastAsia="Times"/>
              </w:rPr>
            </w:pPr>
            <w:r w:rsidRPr="00A92FFC">
              <w:rPr>
                <w:rFonts w:eastAsia="Times"/>
              </w:rPr>
              <w:t>Effective  </w:t>
            </w:r>
          </w:p>
        </w:tc>
        <w:tc>
          <w:tcPr>
            <w:tcW w:w="3283" w:type="dxa"/>
            <w:hideMark/>
          </w:tcPr>
          <w:p w14:paraId="3437B5F6" w14:textId="77777777" w:rsidR="00F91B76" w:rsidRPr="00A92FFC" w:rsidRDefault="00F91B76">
            <w:pPr>
              <w:pStyle w:val="Tablecolhead"/>
              <w:rPr>
                <w:rFonts w:eastAsia="Times"/>
              </w:rPr>
            </w:pPr>
            <w:r w:rsidRPr="00A92FFC">
              <w:rPr>
                <w:rFonts w:eastAsia="Times"/>
              </w:rPr>
              <w:t>Detail  </w:t>
            </w:r>
          </w:p>
        </w:tc>
      </w:tr>
      <w:tr w:rsidR="00F91B76" w:rsidRPr="00A92FFC" w14:paraId="311A6196" w14:textId="77777777">
        <w:trPr>
          <w:trHeight w:val="300"/>
        </w:trPr>
        <w:tc>
          <w:tcPr>
            <w:tcW w:w="1224" w:type="dxa"/>
          </w:tcPr>
          <w:p w14:paraId="07A6C6B3" w14:textId="77777777" w:rsidR="00F91B76" w:rsidRPr="00A92FFC" w:rsidRDefault="00F91B76">
            <w:pPr>
              <w:pStyle w:val="Tabletext"/>
              <w:rPr>
                <w:rFonts w:eastAsia="Times"/>
              </w:rPr>
            </w:pPr>
            <w:r>
              <w:rPr>
                <w:rFonts w:eastAsia="Times"/>
              </w:rPr>
              <w:t>1.0</w:t>
            </w:r>
          </w:p>
        </w:tc>
        <w:tc>
          <w:tcPr>
            <w:tcW w:w="2149" w:type="dxa"/>
          </w:tcPr>
          <w:p w14:paraId="24216B70" w14:textId="77777777" w:rsidR="00F91B76" w:rsidRPr="00A92FFC" w:rsidRDefault="00F91B76">
            <w:pPr>
              <w:pStyle w:val="Tabletext"/>
              <w:rPr>
                <w:rFonts w:eastAsia="Times"/>
              </w:rPr>
            </w:pPr>
          </w:p>
        </w:tc>
        <w:tc>
          <w:tcPr>
            <w:tcW w:w="2632" w:type="dxa"/>
          </w:tcPr>
          <w:p w14:paraId="31237A2F" w14:textId="77777777" w:rsidR="00F91B76" w:rsidRDefault="00F91B76">
            <w:pPr>
              <w:pStyle w:val="Tabletext"/>
              <w:rPr>
                <w:rFonts w:eastAsia="Times"/>
              </w:rPr>
            </w:pPr>
            <w:r w:rsidRPr="0049351A">
              <w:rPr>
                <w:rFonts w:eastAsia="Times"/>
              </w:rPr>
              <w:t>May 2017</w:t>
            </w:r>
          </w:p>
        </w:tc>
        <w:tc>
          <w:tcPr>
            <w:tcW w:w="3283" w:type="dxa"/>
          </w:tcPr>
          <w:p w14:paraId="39133664" w14:textId="77777777" w:rsidR="00F91B76" w:rsidRPr="00A92FFC" w:rsidRDefault="00F91B76">
            <w:pPr>
              <w:pStyle w:val="Tablebullet1"/>
              <w:rPr>
                <w:rFonts w:eastAsia="Times"/>
              </w:rPr>
            </w:pPr>
            <w:r>
              <w:rPr>
                <w:rFonts w:eastAsia="Times"/>
              </w:rPr>
              <w:t>First publication</w:t>
            </w:r>
          </w:p>
        </w:tc>
      </w:tr>
      <w:tr w:rsidR="00F91B76" w:rsidRPr="00A92FFC" w14:paraId="4C457514" w14:textId="77777777">
        <w:trPr>
          <w:trHeight w:val="300"/>
        </w:trPr>
        <w:tc>
          <w:tcPr>
            <w:tcW w:w="1224" w:type="dxa"/>
            <w:hideMark/>
          </w:tcPr>
          <w:p w14:paraId="5C1E875D" w14:textId="77777777" w:rsidR="00F91B76" w:rsidRPr="00A92FFC" w:rsidRDefault="00F91B76">
            <w:pPr>
              <w:pStyle w:val="Tabletext"/>
              <w:rPr>
                <w:rFonts w:eastAsia="Times"/>
              </w:rPr>
            </w:pPr>
            <w:r>
              <w:rPr>
                <w:rFonts w:eastAsia="Times"/>
              </w:rPr>
              <w:t>2.0</w:t>
            </w:r>
          </w:p>
        </w:tc>
        <w:tc>
          <w:tcPr>
            <w:tcW w:w="2149" w:type="dxa"/>
            <w:hideMark/>
          </w:tcPr>
          <w:p w14:paraId="1A3BECC1" w14:textId="77777777" w:rsidR="00F91B76" w:rsidRPr="00A92FFC" w:rsidRDefault="00F91B76">
            <w:pPr>
              <w:pStyle w:val="Tabletext"/>
              <w:rPr>
                <w:rFonts w:eastAsia="Times"/>
              </w:rPr>
            </w:pPr>
            <w:r>
              <w:rPr>
                <w:rFonts w:eastAsia="Times"/>
              </w:rPr>
              <w:t>Throughout</w:t>
            </w:r>
          </w:p>
        </w:tc>
        <w:tc>
          <w:tcPr>
            <w:tcW w:w="2632" w:type="dxa"/>
            <w:hideMark/>
          </w:tcPr>
          <w:p w14:paraId="07F66628" w14:textId="109AFD8A" w:rsidR="00F91B76" w:rsidRPr="0045107E" w:rsidRDefault="00975780">
            <w:pPr>
              <w:pStyle w:val="Tabletext"/>
              <w:rPr>
                <w:rFonts w:eastAsia="Times"/>
                <w:highlight w:val="yellow"/>
              </w:rPr>
            </w:pPr>
            <w:r>
              <w:rPr>
                <w:rFonts w:eastAsia="Times"/>
              </w:rPr>
              <w:t>September</w:t>
            </w:r>
            <w:r w:rsidR="00F91B76" w:rsidRPr="00540A79">
              <w:rPr>
                <w:rFonts w:eastAsia="Times"/>
              </w:rPr>
              <w:t xml:space="preserve"> 2026  </w:t>
            </w:r>
          </w:p>
        </w:tc>
        <w:tc>
          <w:tcPr>
            <w:tcW w:w="3283" w:type="dxa"/>
            <w:hideMark/>
          </w:tcPr>
          <w:p w14:paraId="12B9CF4C" w14:textId="77777777" w:rsidR="00F91B76" w:rsidRDefault="00F91B76">
            <w:pPr>
              <w:pStyle w:val="Tablebullet1"/>
              <w:rPr>
                <w:rFonts w:eastAsia="Times"/>
              </w:rPr>
            </w:pPr>
            <w:r>
              <w:rPr>
                <w:rFonts w:eastAsia="Times"/>
              </w:rPr>
              <w:t>Revision table added</w:t>
            </w:r>
          </w:p>
          <w:p w14:paraId="7D524403" w14:textId="1FD473DA" w:rsidR="00F91B76" w:rsidRPr="00943736" w:rsidRDefault="00F91B76">
            <w:pPr>
              <w:pStyle w:val="Tablebullet1"/>
              <w:rPr>
                <w:rFonts w:eastAsia="Times"/>
              </w:rPr>
            </w:pPr>
            <w:r w:rsidRPr="00943736">
              <w:rPr>
                <w:rFonts w:eastAsia="Times"/>
              </w:rPr>
              <w:t>Policy settings updated to reflect current practice and requirements</w:t>
            </w:r>
          </w:p>
          <w:p w14:paraId="58082A23" w14:textId="6D0CD1AB" w:rsidR="00F91B76" w:rsidRPr="0049351A" w:rsidRDefault="00F91B76">
            <w:pPr>
              <w:pStyle w:val="Tablebullet1"/>
              <w:rPr>
                <w:rFonts w:eastAsia="Times"/>
              </w:rPr>
            </w:pPr>
            <w:r w:rsidRPr="00943736">
              <w:rPr>
                <w:rFonts w:eastAsia="Times"/>
              </w:rPr>
              <w:t>Guideline rewritten end</w:t>
            </w:r>
            <w:r w:rsidRPr="00943736">
              <w:rPr>
                <w:rFonts w:ascii="Cambria Math" w:eastAsia="Times" w:hAnsi="Cambria Math" w:cs="Cambria Math"/>
              </w:rPr>
              <w:t>‑</w:t>
            </w:r>
            <w:r w:rsidRPr="00943736">
              <w:rPr>
                <w:rFonts w:eastAsia="Times"/>
              </w:rPr>
              <w:t>to</w:t>
            </w:r>
            <w:r w:rsidRPr="00943736">
              <w:rPr>
                <w:rFonts w:ascii="Cambria Math" w:eastAsia="Times" w:hAnsi="Cambria Math" w:cs="Cambria Math"/>
              </w:rPr>
              <w:t>‑</w:t>
            </w:r>
            <w:r w:rsidRPr="00943736">
              <w:rPr>
                <w:rFonts w:eastAsia="Times"/>
              </w:rPr>
              <w:t>end, with sections reorganised for improved readability and usability</w:t>
            </w:r>
          </w:p>
        </w:tc>
      </w:tr>
    </w:tbl>
    <w:p w14:paraId="1FA95D7B" w14:textId="77777777" w:rsidR="00F91B76" w:rsidRDefault="00F91B76" w:rsidP="00F91B76">
      <w:pPr>
        <w:pStyle w:val="Body"/>
      </w:pPr>
    </w:p>
    <w:p w14:paraId="3F73E9A9" w14:textId="77777777" w:rsidR="00F91B76" w:rsidRDefault="00F91B76" w:rsidP="00B36DD0">
      <w:pPr>
        <w:pStyle w:val="Body"/>
      </w:pPr>
      <w:r>
        <w:br w:type="page"/>
      </w:r>
    </w:p>
    <w:p w14:paraId="5CD7D827" w14:textId="77777777" w:rsidR="00F91B76" w:rsidRDefault="00F91B76" w:rsidP="00F91B76">
      <w:pPr>
        <w:pStyle w:val="Heading1"/>
      </w:pPr>
      <w:bookmarkStart w:id="2" w:name="_Toc219289816"/>
      <w:bookmarkStart w:id="3" w:name="_Toc243568450"/>
      <w:r>
        <w:lastRenderedPageBreak/>
        <w:t>Overview</w:t>
      </w:r>
      <w:bookmarkEnd w:id="2"/>
      <w:bookmarkEnd w:id="3"/>
    </w:p>
    <w:p w14:paraId="5F8C2F40" w14:textId="77777777" w:rsidR="00F91B76" w:rsidRDefault="00F91B76" w:rsidP="00F91B76">
      <w:pPr>
        <w:pStyle w:val="Body"/>
      </w:pPr>
      <w:r w:rsidRPr="000B4413">
        <w:t>Homes Victoria and the Department of Families, Fairness and Housing</w:t>
      </w:r>
      <w:r>
        <w:t xml:space="preserve"> (the department)</w:t>
      </w:r>
      <w:r w:rsidRPr="000B4413">
        <w:t xml:space="preserve"> are committed to managing a housing appeals system that delivers the review of public housing decisions in a manner that is fair, transparent, accessible, and rights compliant</w:t>
      </w:r>
      <w:r>
        <w:t xml:space="preserve">. </w:t>
      </w:r>
      <w:r w:rsidRPr="006A0757">
        <w:t>This framework operates on a 'local resolution, central escalation' model, where the local housing office first reviews its initial decision against operational guidelines. If a local resolution is achieved and the decision is changed, the matter is finalised without progressing to a secondary central review</w:t>
      </w:r>
      <w:r>
        <w:t xml:space="preserve"> (advanced appeal review).</w:t>
      </w:r>
    </w:p>
    <w:p w14:paraId="1FFD9759" w14:textId="77777777" w:rsidR="00F91B76" w:rsidRDefault="00F91B76" w:rsidP="00F91B76">
      <w:pPr>
        <w:pStyle w:val="Body"/>
      </w:pPr>
      <w:r>
        <w:t>The operation of the appeals system is governed by legislative obligations, including the:</w:t>
      </w:r>
    </w:p>
    <w:p w14:paraId="5EA3F6CA" w14:textId="77777777" w:rsidR="00F91B76" w:rsidRPr="00F02F65" w:rsidRDefault="00F91B76" w:rsidP="00F91B76">
      <w:pPr>
        <w:pStyle w:val="Bullet1"/>
        <w:rPr>
          <w:i/>
          <w:iCs/>
        </w:rPr>
      </w:pPr>
      <w:r w:rsidRPr="00F02F65">
        <w:rPr>
          <w:i/>
          <w:iCs/>
        </w:rPr>
        <w:t>Housing Act 1983</w:t>
      </w:r>
    </w:p>
    <w:p w14:paraId="533F8BD5" w14:textId="0AEA7648" w:rsidR="00F91B76" w:rsidRPr="00F02F65" w:rsidRDefault="00F91B76" w:rsidP="00F91B76">
      <w:pPr>
        <w:pStyle w:val="Bullet1"/>
        <w:rPr>
          <w:i/>
          <w:iCs/>
        </w:rPr>
      </w:pPr>
      <w:r w:rsidRPr="00F02F65">
        <w:rPr>
          <w:i/>
          <w:iCs/>
        </w:rPr>
        <w:t>Residential Tenancies Act 1997</w:t>
      </w:r>
      <w:r>
        <w:rPr>
          <w:i/>
          <w:iCs/>
        </w:rPr>
        <w:t xml:space="preserve"> </w:t>
      </w:r>
      <w:r w:rsidRPr="00F02F65">
        <w:t>(RTA)</w:t>
      </w:r>
    </w:p>
    <w:p w14:paraId="47E44C29" w14:textId="579DB346" w:rsidR="00F91B76" w:rsidRPr="00F02F65" w:rsidRDefault="00F91B76" w:rsidP="00F91B76">
      <w:pPr>
        <w:pStyle w:val="Bullet1"/>
        <w:rPr>
          <w:i/>
          <w:iCs/>
        </w:rPr>
      </w:pPr>
      <w:r w:rsidRPr="00F02F65">
        <w:rPr>
          <w:i/>
          <w:iCs/>
        </w:rPr>
        <w:t>Victorian Civil and Administrative Tribunal Act 1998</w:t>
      </w:r>
    </w:p>
    <w:p w14:paraId="1C4A9C4F" w14:textId="77777777" w:rsidR="00F91B76" w:rsidRDefault="00F91B76" w:rsidP="00F91B76">
      <w:pPr>
        <w:pStyle w:val="Bullet1"/>
        <w:rPr>
          <w:i/>
          <w:iCs/>
        </w:rPr>
      </w:pPr>
      <w:r w:rsidRPr="00F02F65">
        <w:rPr>
          <w:i/>
          <w:iCs/>
        </w:rPr>
        <w:t xml:space="preserve">Charter of Human Rights and Responsibilities Act 2006. </w:t>
      </w:r>
    </w:p>
    <w:p w14:paraId="755B4D40" w14:textId="77777777" w:rsidR="00F91B76" w:rsidRPr="00E61696" w:rsidRDefault="00F91B76" w:rsidP="00FB062C">
      <w:pPr>
        <w:pStyle w:val="Bodyafterbullets"/>
      </w:pPr>
      <w:r w:rsidRPr="00E61696">
        <w:t>These statutory frameworks, alongside privacy, equal opportunity, and public sector conduct legislation, shape how housing decisions are made and reviewed. They obligate the department to act lawfully, transparently, and with respect for human rights.</w:t>
      </w:r>
    </w:p>
    <w:p w14:paraId="4AAF8630" w14:textId="77777777" w:rsidR="00F91B76" w:rsidRPr="002E1C48" w:rsidRDefault="00F91B76" w:rsidP="00F91B76">
      <w:pPr>
        <w:pStyle w:val="Heading1"/>
      </w:pPr>
      <w:bookmarkStart w:id="4" w:name="_Toc224656443"/>
      <w:bookmarkStart w:id="5" w:name="_Toc224656444"/>
      <w:bookmarkStart w:id="6" w:name="_Toc224656445"/>
      <w:bookmarkStart w:id="7" w:name="_Toc219289817"/>
      <w:bookmarkStart w:id="8" w:name="_Toc243568451"/>
      <w:bookmarkEnd w:id="4"/>
      <w:bookmarkEnd w:id="5"/>
      <w:bookmarkEnd w:id="6"/>
      <w:r>
        <w:t>Appealable and non-appealable matters</w:t>
      </w:r>
      <w:bookmarkEnd w:id="7"/>
      <w:bookmarkEnd w:id="8"/>
    </w:p>
    <w:p w14:paraId="4ABBB5AE" w14:textId="423D40E6" w:rsidR="00F91B76" w:rsidRDefault="00F91B76" w:rsidP="00F91B76">
      <w:pPr>
        <w:pStyle w:val="Body"/>
        <w:rPr>
          <w:rStyle w:val="BodyChar"/>
          <w:lang w:eastAsia="en-AU"/>
        </w:rPr>
      </w:pPr>
      <w:r w:rsidRPr="0057748E">
        <w:rPr>
          <w:rStyle w:val="BodyChar"/>
          <w:lang w:eastAsia="en-AU"/>
        </w:rPr>
        <w:t xml:space="preserve">An </w:t>
      </w:r>
      <w:r w:rsidRPr="009221E4">
        <w:rPr>
          <w:rStyle w:val="BodyChar"/>
          <w:b/>
          <w:bCs/>
          <w:lang w:eastAsia="en-AU"/>
        </w:rPr>
        <w:t>appealable</w:t>
      </w:r>
      <w:r w:rsidRPr="0057748E">
        <w:rPr>
          <w:rStyle w:val="BodyChar"/>
          <w:lang w:eastAsia="en-AU"/>
        </w:rPr>
        <w:t xml:space="preserve"> matter is a </w:t>
      </w:r>
      <w:r w:rsidRPr="009E3990">
        <w:rPr>
          <w:rStyle w:val="BodyChar"/>
          <w:lang w:eastAsia="en-AU"/>
        </w:rPr>
        <w:t>housing decision t</w:t>
      </w:r>
      <w:r w:rsidRPr="0057748E">
        <w:rPr>
          <w:rStyle w:val="BodyChar"/>
          <w:lang w:eastAsia="en-AU"/>
        </w:rPr>
        <w:t xml:space="preserve">he department has the authority to review and change. These decisions usually involve the application of </w:t>
      </w:r>
      <w:r>
        <w:rPr>
          <w:rStyle w:val="BodyChar"/>
          <w:lang w:eastAsia="en-AU"/>
        </w:rPr>
        <w:t xml:space="preserve">operational </w:t>
      </w:r>
      <w:r w:rsidRPr="0057748E">
        <w:rPr>
          <w:rStyle w:val="BodyChar"/>
          <w:lang w:eastAsia="en-AU"/>
        </w:rPr>
        <w:t>policy</w:t>
      </w:r>
      <w:r w:rsidR="009C0888">
        <w:rPr>
          <w:rStyle w:val="BodyChar"/>
          <w:lang w:eastAsia="en-AU"/>
        </w:rPr>
        <w:t xml:space="preserve"> or </w:t>
      </w:r>
      <w:r>
        <w:rPr>
          <w:rStyle w:val="BodyChar"/>
          <w:lang w:eastAsia="en-AU"/>
        </w:rPr>
        <w:t>operational guidelines</w:t>
      </w:r>
      <w:r w:rsidRPr="0057748E">
        <w:rPr>
          <w:rStyle w:val="BodyChar"/>
          <w:lang w:eastAsia="en-AU"/>
        </w:rPr>
        <w:t>, such as</w:t>
      </w:r>
      <w:r>
        <w:rPr>
          <w:rStyle w:val="BodyChar"/>
          <w:lang w:eastAsia="en-AU"/>
        </w:rPr>
        <w:t>:</w:t>
      </w:r>
    </w:p>
    <w:p w14:paraId="1E35B0AD" w14:textId="0799797C" w:rsidR="00B9000C" w:rsidRPr="00B9000C" w:rsidRDefault="00B9000C" w:rsidP="00B9000C">
      <w:pPr>
        <w:pStyle w:val="Bullet1"/>
        <w:rPr>
          <w:rStyle w:val="BodyChar"/>
          <w:lang w:eastAsia="en-AU"/>
        </w:rPr>
      </w:pPr>
      <w:r w:rsidRPr="00B9000C">
        <w:rPr>
          <w:rStyle w:val="BodyChar"/>
          <w:lang w:eastAsia="en-AU"/>
        </w:rPr>
        <w:t>assessment of eligibility for the Victorian Housing Register</w:t>
      </w:r>
    </w:p>
    <w:p w14:paraId="0CC795DF" w14:textId="07FB004B" w:rsidR="00B9000C" w:rsidRPr="00C96E19" w:rsidRDefault="00B9000C" w:rsidP="00B9000C">
      <w:pPr>
        <w:pStyle w:val="Bullet1"/>
        <w:rPr>
          <w:rStyle w:val="BodyChar"/>
        </w:rPr>
      </w:pPr>
      <w:r w:rsidRPr="00B9000C">
        <w:rPr>
          <w:rStyle w:val="BodyChar"/>
          <w:lang w:eastAsia="en-AU"/>
        </w:rPr>
        <w:t>assessment of eligibility for a rental rebate.</w:t>
      </w:r>
    </w:p>
    <w:p w14:paraId="5FCD4841" w14:textId="77777777" w:rsidR="00F91B76" w:rsidRPr="00E61696" w:rsidRDefault="00F91B76" w:rsidP="00FB062C">
      <w:pPr>
        <w:pStyle w:val="Bodyafterbullets"/>
        <w:rPr>
          <w:rStyle w:val="BodyChar"/>
        </w:rPr>
      </w:pPr>
      <w:r w:rsidRPr="00E61696">
        <w:t>A non</w:t>
      </w:r>
      <w:r w:rsidRPr="00E61696">
        <w:rPr>
          <w:rFonts w:ascii="Cambria Math" w:hAnsi="Cambria Math" w:cs="Cambria Math"/>
        </w:rPr>
        <w:t>‑</w:t>
      </w:r>
      <w:r w:rsidRPr="00E61696">
        <w:t>appealable matter is a decision that is not within the department’s authority to review or is determined by legislative or operational/program requirements. This includes matters that</w:t>
      </w:r>
      <w:r w:rsidRPr="00E61696">
        <w:rPr>
          <w:rStyle w:val="BodyChar"/>
        </w:rPr>
        <w:t>:</w:t>
      </w:r>
    </w:p>
    <w:p w14:paraId="6159C0F3" w14:textId="77777777" w:rsidR="00B9000C" w:rsidRPr="00B9000C" w:rsidRDefault="00B9000C" w:rsidP="00B9000C">
      <w:pPr>
        <w:pStyle w:val="Bullet1"/>
        <w:rPr>
          <w:rStyle w:val="BodyChar"/>
        </w:rPr>
      </w:pPr>
      <w:r w:rsidRPr="00B9000C">
        <w:rPr>
          <w:rStyle w:val="BodyChar"/>
        </w:rPr>
        <w:t>are governed by statutory frameworks, such as market rent increases</w:t>
      </w:r>
    </w:p>
    <w:p w14:paraId="4B4C143A" w14:textId="37782DE7" w:rsidR="00B9000C" w:rsidRPr="00B9000C" w:rsidRDefault="00B9000C" w:rsidP="00B9000C">
      <w:pPr>
        <w:pStyle w:val="Bullet1"/>
        <w:rPr>
          <w:rStyle w:val="BodyChar"/>
        </w:rPr>
      </w:pPr>
      <w:r w:rsidRPr="00B9000C">
        <w:rPr>
          <w:rStyle w:val="BodyChar"/>
        </w:rPr>
        <w:t>fall under the jurisdiction of external dispute resolution bodies</w:t>
      </w:r>
    </w:p>
    <w:p w14:paraId="40B0C8C4" w14:textId="4347028E" w:rsidR="00B9000C" w:rsidRPr="00B9000C" w:rsidRDefault="00B9000C" w:rsidP="00B9000C">
      <w:pPr>
        <w:pStyle w:val="Bullet1"/>
        <w:rPr>
          <w:rStyle w:val="BodyChar"/>
        </w:rPr>
      </w:pPr>
      <w:r w:rsidRPr="00B9000C">
        <w:rPr>
          <w:rStyle w:val="BodyChar"/>
        </w:rPr>
        <w:t>arise from program or policy settings that the appeals process cannot change.</w:t>
      </w:r>
    </w:p>
    <w:p w14:paraId="5912DCEB" w14:textId="72B76262" w:rsidR="00B9000C" w:rsidRDefault="00B9000C" w:rsidP="00B9000C">
      <w:pPr>
        <w:pStyle w:val="Bodyafterbullets"/>
        <w:rPr>
          <w:rStyle w:val="BodyChar"/>
        </w:rPr>
      </w:pPr>
      <w:r w:rsidRPr="00B9000C">
        <w:rPr>
          <w:rStyle w:val="BodyChar"/>
        </w:rPr>
        <w:t>The tables below set out appealable and non</w:t>
      </w:r>
      <w:r w:rsidRPr="00B9000C">
        <w:rPr>
          <w:rStyle w:val="BodyChar"/>
          <w:rFonts w:ascii="Cambria Math" w:hAnsi="Cambria Math" w:cs="Cambria Math"/>
        </w:rPr>
        <w:t>‑</w:t>
      </w:r>
      <w:r w:rsidRPr="00B9000C">
        <w:rPr>
          <w:rStyle w:val="BodyChar"/>
        </w:rPr>
        <w:t>appealable matters and identify the alternative dispute resolution pathways for matters that cannot be appealed. Each appealable category includes all related decisions and processes. Renter enquiries regarding non-appealable matters should be directed to the local housing office in the first instance.</w:t>
      </w:r>
    </w:p>
    <w:p w14:paraId="43B21BC8" w14:textId="77777777" w:rsidR="00F91B76" w:rsidRPr="00ED7865" w:rsidRDefault="00F91B76" w:rsidP="00F91B76">
      <w:pPr>
        <w:pStyle w:val="Tablecaption"/>
      </w:pPr>
      <w:r>
        <w:t>Table 1: Appealable matters</w:t>
      </w:r>
    </w:p>
    <w:tbl>
      <w:tblPr>
        <w:tblStyle w:val="TableGrid"/>
        <w:tblW w:w="0" w:type="auto"/>
        <w:tblLook w:val="04A0" w:firstRow="1" w:lastRow="0" w:firstColumn="1" w:lastColumn="0" w:noHBand="0" w:noVBand="1"/>
      </w:tblPr>
      <w:tblGrid>
        <w:gridCol w:w="2294"/>
        <w:gridCol w:w="6994"/>
      </w:tblGrid>
      <w:tr w:rsidR="00F91B76" w14:paraId="339B3062" w14:textId="77777777">
        <w:trPr>
          <w:tblHeader/>
        </w:trPr>
        <w:tc>
          <w:tcPr>
            <w:tcW w:w="0" w:type="auto"/>
          </w:tcPr>
          <w:p w14:paraId="22E09D87" w14:textId="77777777" w:rsidR="00F91B76" w:rsidRDefault="00F91B76">
            <w:pPr>
              <w:pStyle w:val="Tablecolhead"/>
            </w:pPr>
            <w:r>
              <w:t>Category</w:t>
            </w:r>
          </w:p>
        </w:tc>
        <w:tc>
          <w:tcPr>
            <w:tcW w:w="0" w:type="auto"/>
          </w:tcPr>
          <w:p w14:paraId="1E07FDAA" w14:textId="77777777" w:rsidR="00F91B76" w:rsidRDefault="00F91B76">
            <w:pPr>
              <w:pStyle w:val="Tablecolhead"/>
            </w:pPr>
            <w:r>
              <w:t>Detail</w:t>
            </w:r>
          </w:p>
        </w:tc>
      </w:tr>
      <w:tr w:rsidR="00F91B76" w14:paraId="2410E18A" w14:textId="77777777">
        <w:tc>
          <w:tcPr>
            <w:tcW w:w="0" w:type="auto"/>
          </w:tcPr>
          <w:p w14:paraId="639C0055" w14:textId="77777777" w:rsidR="00F91B76" w:rsidRDefault="00F91B76">
            <w:pPr>
              <w:pStyle w:val="Tabletext"/>
            </w:pPr>
            <w:r>
              <w:t>Transfers of tenancy</w:t>
            </w:r>
          </w:p>
        </w:tc>
        <w:tc>
          <w:tcPr>
            <w:tcW w:w="0" w:type="auto"/>
          </w:tcPr>
          <w:p w14:paraId="72C5A9D2" w14:textId="77777777" w:rsidR="00F91B76" w:rsidRDefault="00F91B76">
            <w:pPr>
              <w:pStyle w:val="Tabletext"/>
            </w:pPr>
            <w:r>
              <w:t>Eligibility assessments</w:t>
            </w:r>
            <w:r w:rsidRPr="004178E1">
              <w:t xml:space="preserve"> for individuals seeking to alter the leaseholder status at their current address</w:t>
            </w:r>
            <w:r>
              <w:t xml:space="preserve">. </w:t>
            </w:r>
            <w:r w:rsidRPr="002242E1">
              <w:t>This includes assessments for all transfer types (</w:t>
            </w:r>
            <w:r>
              <w:t xml:space="preserve">e.g. </w:t>
            </w:r>
            <w:r w:rsidRPr="002242E1">
              <w:t xml:space="preserve">single-to-joint, </w:t>
            </w:r>
            <w:r w:rsidRPr="00683B1C">
              <w:t>single</w:t>
            </w:r>
            <w:r w:rsidRPr="00683B1C">
              <w:rPr>
                <w:rFonts w:ascii="Cambria Math" w:hAnsi="Cambria Math" w:cs="Cambria Math"/>
              </w:rPr>
              <w:t>‑</w:t>
            </w:r>
            <w:r w:rsidRPr="00683B1C">
              <w:t>to</w:t>
            </w:r>
            <w:r w:rsidRPr="00683B1C">
              <w:rPr>
                <w:rFonts w:ascii="Cambria Math" w:hAnsi="Cambria Math" w:cs="Cambria Math"/>
              </w:rPr>
              <w:t>‑</w:t>
            </w:r>
            <w:r w:rsidRPr="00683B1C">
              <w:t>joint, joint</w:t>
            </w:r>
            <w:r w:rsidRPr="00683B1C">
              <w:rPr>
                <w:rFonts w:ascii="Cambria Math" w:hAnsi="Cambria Math" w:cs="Cambria Math"/>
              </w:rPr>
              <w:t>‑</w:t>
            </w:r>
            <w:r w:rsidRPr="00683B1C">
              <w:t>to</w:t>
            </w:r>
            <w:r w:rsidRPr="00683B1C">
              <w:rPr>
                <w:rFonts w:ascii="Cambria Math" w:hAnsi="Cambria Math" w:cs="Cambria Math"/>
              </w:rPr>
              <w:t>‑</w:t>
            </w:r>
            <w:r w:rsidRPr="00683B1C">
              <w:t>joint, and joint</w:t>
            </w:r>
            <w:r w:rsidRPr="00683B1C">
              <w:rPr>
                <w:rFonts w:ascii="Cambria Math" w:hAnsi="Cambria Math" w:cs="Cambria Math"/>
              </w:rPr>
              <w:t>‑</w:t>
            </w:r>
            <w:r w:rsidRPr="00683B1C">
              <w:t>to</w:t>
            </w:r>
            <w:r w:rsidRPr="00683B1C">
              <w:rPr>
                <w:rFonts w:ascii="Cambria Math" w:hAnsi="Cambria Math" w:cs="Cambria Math"/>
              </w:rPr>
              <w:t>‑</w:t>
            </w:r>
            <w:r w:rsidRPr="00683B1C">
              <w:t>single</w:t>
            </w:r>
            <w:r w:rsidRPr="002242E1">
              <w:t>)</w:t>
            </w:r>
            <w:r>
              <w:t>.</w:t>
            </w:r>
          </w:p>
        </w:tc>
      </w:tr>
      <w:tr w:rsidR="00F91B76" w14:paraId="4EC553E7" w14:textId="77777777">
        <w:tc>
          <w:tcPr>
            <w:tcW w:w="0" w:type="auto"/>
          </w:tcPr>
          <w:p w14:paraId="36A9358A" w14:textId="77777777" w:rsidR="00F91B76" w:rsidRDefault="00F91B76">
            <w:pPr>
              <w:pStyle w:val="Tabletext"/>
            </w:pPr>
            <w:r>
              <w:t>Victorian Housing Register applications</w:t>
            </w:r>
          </w:p>
        </w:tc>
        <w:tc>
          <w:tcPr>
            <w:tcW w:w="0" w:type="auto"/>
          </w:tcPr>
          <w:p w14:paraId="1477B0C6" w14:textId="7226112C" w:rsidR="00F91B76" w:rsidRDefault="00F91B76">
            <w:pPr>
              <w:pStyle w:val="Tabletext"/>
            </w:pPr>
            <w:r>
              <w:t>E</w:t>
            </w:r>
            <w:r w:rsidRPr="00276825">
              <w:t>ligibility</w:t>
            </w:r>
            <w:r>
              <w:t xml:space="preserve"> assessments</w:t>
            </w:r>
            <w:r w:rsidRPr="00276825">
              <w:t xml:space="preserve"> for the V</w:t>
            </w:r>
            <w:r>
              <w:t>ictorian Housing Register</w:t>
            </w:r>
            <w:r w:rsidRPr="00276825">
              <w:t xml:space="preserve"> waiting list. This includes assessments of both Register of Interest and </w:t>
            </w:r>
            <w:r>
              <w:t>P</w:t>
            </w:r>
            <w:r w:rsidRPr="00276825">
              <w:t>riority</w:t>
            </w:r>
            <w:r>
              <w:t xml:space="preserve"> </w:t>
            </w:r>
            <w:r w:rsidR="009208D0">
              <w:t>A</w:t>
            </w:r>
            <w:r w:rsidRPr="00276825">
              <w:t>ccess applications, application removals or revivals, effective dates, and split applications</w:t>
            </w:r>
            <w:r>
              <w:t>.</w:t>
            </w:r>
          </w:p>
        </w:tc>
      </w:tr>
      <w:tr w:rsidR="00F91B76" w14:paraId="1EABD4CD" w14:textId="77777777">
        <w:tc>
          <w:tcPr>
            <w:tcW w:w="0" w:type="auto"/>
          </w:tcPr>
          <w:p w14:paraId="033092B3" w14:textId="77777777" w:rsidR="00F91B76" w:rsidDel="00B77E4C" w:rsidRDefault="00F91B76">
            <w:pPr>
              <w:pStyle w:val="Tabletext"/>
            </w:pPr>
            <w:r>
              <w:lastRenderedPageBreak/>
              <w:t xml:space="preserve">Moveable unit </w:t>
            </w:r>
          </w:p>
        </w:tc>
        <w:tc>
          <w:tcPr>
            <w:tcW w:w="0" w:type="auto"/>
          </w:tcPr>
          <w:p w14:paraId="79787EF7" w14:textId="77777777" w:rsidR="00F91B76" w:rsidRPr="00EE14C8" w:rsidRDefault="00F91B76">
            <w:pPr>
              <w:pStyle w:val="Tabletext"/>
            </w:pPr>
            <w:r w:rsidRPr="00514CC4">
              <w:t>Tier 1 eligibility assessments, which assess whether the applicant who will be living in the movable unit meets the required criteria.</w:t>
            </w:r>
          </w:p>
        </w:tc>
      </w:tr>
      <w:tr w:rsidR="00F91B76" w14:paraId="5438B8FE" w14:textId="77777777">
        <w:tc>
          <w:tcPr>
            <w:tcW w:w="0" w:type="auto"/>
          </w:tcPr>
          <w:p w14:paraId="410F8BD2" w14:textId="77777777" w:rsidR="00F91B76" w:rsidRDefault="00F91B76">
            <w:pPr>
              <w:pStyle w:val="Tabletext"/>
            </w:pPr>
            <w:r>
              <w:t>Offers of Social Housing</w:t>
            </w:r>
          </w:p>
        </w:tc>
        <w:tc>
          <w:tcPr>
            <w:tcW w:w="0" w:type="auto"/>
          </w:tcPr>
          <w:p w14:paraId="0C73DED8" w14:textId="77777777" w:rsidR="00F91B76" w:rsidRDefault="00F91B76">
            <w:pPr>
              <w:pStyle w:val="Tabletext"/>
            </w:pPr>
            <w:r w:rsidRPr="00DD1D28">
              <w:t xml:space="preserve">Offers of </w:t>
            </w:r>
            <w:r>
              <w:t xml:space="preserve">public and community </w:t>
            </w:r>
            <w:r w:rsidRPr="00DD1D28">
              <w:t>housing, including those made as part of department</w:t>
            </w:r>
            <w:r w:rsidRPr="00DD1D28">
              <w:rPr>
                <w:rFonts w:ascii="Cambria Math" w:hAnsi="Cambria Math" w:cs="Cambria Math"/>
              </w:rPr>
              <w:t>‑</w:t>
            </w:r>
            <w:r w:rsidRPr="00DD1D28">
              <w:t>initiated relocations (e.g., redevelopment or property disposal)</w:t>
            </w:r>
            <w:r>
              <w:t>.</w:t>
            </w:r>
          </w:p>
        </w:tc>
      </w:tr>
      <w:tr w:rsidR="00F91B76" w14:paraId="6DA0462A" w14:textId="77777777">
        <w:tc>
          <w:tcPr>
            <w:tcW w:w="0" w:type="auto"/>
          </w:tcPr>
          <w:p w14:paraId="1F1DCEC7" w14:textId="77777777" w:rsidR="00F91B76" w:rsidRDefault="00F91B76">
            <w:pPr>
              <w:pStyle w:val="Tabletext"/>
            </w:pPr>
            <w:r>
              <w:t>RentAssist bond loan scheme</w:t>
            </w:r>
          </w:p>
        </w:tc>
        <w:tc>
          <w:tcPr>
            <w:tcW w:w="0" w:type="auto"/>
          </w:tcPr>
          <w:p w14:paraId="55926E5A" w14:textId="77777777" w:rsidR="00F91B76" w:rsidRDefault="00F91B76">
            <w:pPr>
              <w:pStyle w:val="Tabletext"/>
            </w:pPr>
            <w:r w:rsidRPr="00704B45">
              <w:t>Eligibility assessments, including the</w:t>
            </w:r>
            <w:r>
              <w:t xml:space="preserve"> determination of the</w:t>
            </w:r>
            <w:r w:rsidRPr="00704B45">
              <w:t xml:space="preserve"> resulting loan amount.</w:t>
            </w:r>
          </w:p>
        </w:tc>
      </w:tr>
      <w:tr w:rsidR="00F91B76" w14:paraId="1EB100EA" w14:textId="77777777">
        <w:tc>
          <w:tcPr>
            <w:tcW w:w="0" w:type="auto"/>
          </w:tcPr>
          <w:p w14:paraId="38B0A06F" w14:textId="77777777" w:rsidR="00F91B76" w:rsidRDefault="00F91B76">
            <w:pPr>
              <w:pStyle w:val="Tabletext"/>
            </w:pPr>
            <w:r>
              <w:t>Public housing rent eligibility assessments</w:t>
            </w:r>
          </w:p>
        </w:tc>
        <w:tc>
          <w:tcPr>
            <w:tcW w:w="0" w:type="auto"/>
          </w:tcPr>
          <w:p w14:paraId="6B07A0CE" w14:textId="77777777" w:rsidR="00F91B76" w:rsidRDefault="00F91B76">
            <w:pPr>
              <w:pStyle w:val="Tabletext"/>
            </w:pPr>
            <w:r w:rsidRPr="00112962">
              <w:t>Rental rebate and subsidy</w:t>
            </w:r>
            <w:r>
              <w:t xml:space="preserve"> eligibility</w:t>
            </w:r>
            <w:r w:rsidRPr="00112962">
              <w:t xml:space="preserve"> assessments (client or property related), including duration, calculation of amounts, and arrears resulting from backdated decisions</w:t>
            </w:r>
            <w:r>
              <w:t>.</w:t>
            </w:r>
          </w:p>
        </w:tc>
      </w:tr>
      <w:tr w:rsidR="00F91B76" w14:paraId="3693DBDE" w14:textId="77777777">
        <w:tc>
          <w:tcPr>
            <w:tcW w:w="0" w:type="auto"/>
          </w:tcPr>
          <w:p w14:paraId="077CD113" w14:textId="77777777" w:rsidR="00F91B76" w:rsidRDefault="00F91B76">
            <w:pPr>
              <w:pStyle w:val="Tabletext"/>
            </w:pPr>
            <w:r>
              <w:t xml:space="preserve">Special Accommodation Requirements </w:t>
            </w:r>
          </w:p>
        </w:tc>
        <w:tc>
          <w:tcPr>
            <w:tcW w:w="0" w:type="auto"/>
          </w:tcPr>
          <w:p w14:paraId="5A6D84FE" w14:textId="77777777" w:rsidR="00F91B76" w:rsidRDefault="00F91B76">
            <w:pPr>
              <w:pStyle w:val="Tabletext"/>
            </w:pPr>
            <w:r w:rsidRPr="00EF4025">
              <w:t>Eligibility assessments</w:t>
            </w:r>
            <w:r>
              <w:t xml:space="preserve"> that</w:t>
            </w:r>
            <w:r w:rsidRPr="00EF4025">
              <w:t xml:space="preserve"> determine whether a person qualifies for a property modification or a specific property feature</w:t>
            </w:r>
            <w:r>
              <w:t xml:space="preserve">. </w:t>
            </w:r>
            <w:r w:rsidRPr="00992890">
              <w:t>This includes requests relating to both new applications and existing tenancies</w:t>
            </w:r>
            <w:r>
              <w:t>.</w:t>
            </w:r>
          </w:p>
        </w:tc>
      </w:tr>
      <w:tr w:rsidR="00F91B76" w14:paraId="778CD415" w14:textId="77777777">
        <w:tc>
          <w:tcPr>
            <w:tcW w:w="0" w:type="auto"/>
          </w:tcPr>
          <w:p w14:paraId="61669416" w14:textId="77777777" w:rsidR="00F91B76" w:rsidRDefault="00F91B76">
            <w:pPr>
              <w:pStyle w:val="Tabletext"/>
            </w:pPr>
            <w:r>
              <w:t>Renter requests for property modifications</w:t>
            </w:r>
          </w:p>
        </w:tc>
        <w:tc>
          <w:tcPr>
            <w:tcW w:w="0" w:type="auto"/>
          </w:tcPr>
          <w:p w14:paraId="374BF1ED" w14:textId="77777777" w:rsidR="00F91B76" w:rsidRDefault="00F91B76">
            <w:pPr>
              <w:pStyle w:val="Tabletext"/>
            </w:pPr>
            <w:r w:rsidRPr="00624686">
              <w:t>Eligibility assessments for internal or external property modifications that require departmental approval.</w:t>
            </w:r>
          </w:p>
        </w:tc>
      </w:tr>
      <w:tr w:rsidR="00F91B76" w14:paraId="3960A464" w14:textId="77777777">
        <w:tc>
          <w:tcPr>
            <w:tcW w:w="0" w:type="auto"/>
          </w:tcPr>
          <w:p w14:paraId="70B1124D" w14:textId="77777777" w:rsidR="00F91B76" w:rsidRPr="0024501E" w:rsidRDefault="00F91B76">
            <w:pPr>
              <w:pStyle w:val="Tabletext"/>
            </w:pPr>
            <w:r w:rsidRPr="0024501E">
              <w:t>Relocation related expenses</w:t>
            </w:r>
          </w:p>
        </w:tc>
        <w:tc>
          <w:tcPr>
            <w:tcW w:w="0" w:type="auto"/>
          </w:tcPr>
          <w:p w14:paraId="54180ABC" w14:textId="77777777" w:rsidR="00F91B76" w:rsidRPr="00B6001B" w:rsidRDefault="00F91B76">
            <w:pPr>
              <w:pStyle w:val="Tabletext"/>
              <w:rPr>
                <w:highlight w:val="yellow"/>
              </w:rPr>
            </w:pPr>
            <w:r w:rsidRPr="00E62EA0">
              <w:t>Eligibility assessments of the costs the department will cover when a renter is moved for department-initiated reasons. This confirms if the expenses are reasonable and directly linked to the move, such as utility reconnection or packing services.</w:t>
            </w:r>
          </w:p>
        </w:tc>
      </w:tr>
      <w:tr w:rsidR="00F91B76" w14:paraId="0C5D3226" w14:textId="77777777">
        <w:tc>
          <w:tcPr>
            <w:tcW w:w="0" w:type="auto"/>
          </w:tcPr>
          <w:p w14:paraId="4B8F5EDA" w14:textId="77777777" w:rsidR="00F91B76" w:rsidRPr="002726A7" w:rsidRDefault="00F91B76">
            <w:pPr>
              <w:pStyle w:val="Tabletext"/>
            </w:pPr>
            <w:r w:rsidRPr="002726A7">
              <w:t>Tenancy condition reports</w:t>
            </w:r>
          </w:p>
        </w:tc>
        <w:tc>
          <w:tcPr>
            <w:tcW w:w="0" w:type="auto"/>
          </w:tcPr>
          <w:p w14:paraId="5636B8D2" w14:textId="77777777" w:rsidR="00F91B76" w:rsidRPr="002726A7" w:rsidRDefault="00F91B76">
            <w:pPr>
              <w:pStyle w:val="Tabletext"/>
            </w:pPr>
            <w:r w:rsidRPr="008E5BA9">
              <w:t>Assessments of contested property condition details recorded by staff on the Tenancy Condition Report, provided the appeal is submitted within 28 days of the tenancy commencing</w:t>
            </w:r>
            <w:r>
              <w:t>.</w:t>
            </w:r>
          </w:p>
        </w:tc>
      </w:tr>
      <w:tr w:rsidR="00F91B76" w14:paraId="03015BF2" w14:textId="77777777">
        <w:tc>
          <w:tcPr>
            <w:tcW w:w="0" w:type="auto"/>
          </w:tcPr>
          <w:p w14:paraId="6E5997D2" w14:textId="77777777" w:rsidR="00F91B76" w:rsidRPr="002726A7" w:rsidRDefault="00F91B76">
            <w:pPr>
              <w:pStyle w:val="Tabletext"/>
            </w:pPr>
            <w:r w:rsidRPr="00BB5259">
              <w:t>Maintenance claims against renters</w:t>
            </w:r>
          </w:p>
        </w:tc>
        <w:tc>
          <w:tcPr>
            <w:tcW w:w="0" w:type="auto"/>
          </w:tcPr>
          <w:p w14:paraId="7E224015" w14:textId="77777777" w:rsidR="00F91B76" w:rsidRPr="002726A7" w:rsidRDefault="00F91B76">
            <w:pPr>
              <w:pStyle w:val="Tabletext"/>
            </w:pPr>
            <w:r w:rsidRPr="007B5F12">
              <w:t xml:space="preserve">Assessments of </w:t>
            </w:r>
            <w:r>
              <w:t xml:space="preserve">renter </w:t>
            </w:r>
            <w:r w:rsidRPr="007B5F12">
              <w:t xml:space="preserve">liability for property damage costs </w:t>
            </w:r>
            <w:r>
              <w:t xml:space="preserve">prior to the matter being referred to the </w:t>
            </w:r>
            <w:r w:rsidRPr="00113224">
              <w:t xml:space="preserve">Victorian Civil and Administrative Tribunal </w:t>
            </w:r>
            <w:r>
              <w:t>(VCAT)</w:t>
            </w:r>
            <w:r w:rsidRPr="007B5F12">
              <w:t xml:space="preserve">. </w:t>
            </w:r>
          </w:p>
        </w:tc>
      </w:tr>
    </w:tbl>
    <w:p w14:paraId="6630FF32" w14:textId="77777777" w:rsidR="00F91B76" w:rsidRDefault="00F91B76" w:rsidP="00F91B76">
      <w:pPr>
        <w:pStyle w:val="Tablecaption"/>
        <w:rPr>
          <w:lang w:eastAsia="en-AU"/>
        </w:rPr>
      </w:pPr>
      <w:r>
        <w:rPr>
          <w:lang w:eastAsia="en-AU"/>
        </w:rPr>
        <w:t xml:space="preserve">Table 2: Non-appealable matters </w:t>
      </w:r>
    </w:p>
    <w:tbl>
      <w:tblPr>
        <w:tblStyle w:val="TableGrid"/>
        <w:tblW w:w="9288" w:type="dxa"/>
        <w:tblLayout w:type="fixed"/>
        <w:tblLook w:val="04A0" w:firstRow="1" w:lastRow="0" w:firstColumn="1" w:lastColumn="0" w:noHBand="0" w:noVBand="1"/>
      </w:tblPr>
      <w:tblGrid>
        <w:gridCol w:w="2263"/>
        <w:gridCol w:w="4230"/>
        <w:gridCol w:w="2795"/>
      </w:tblGrid>
      <w:tr w:rsidR="00F91B76" w14:paraId="688D06D9" w14:textId="77777777" w:rsidTr="06B29C2C">
        <w:trPr>
          <w:tblHeader/>
        </w:trPr>
        <w:tc>
          <w:tcPr>
            <w:tcW w:w="2263" w:type="dxa"/>
          </w:tcPr>
          <w:p w14:paraId="00BB086C" w14:textId="77777777" w:rsidR="00F91B76" w:rsidRDefault="00F91B76">
            <w:pPr>
              <w:pStyle w:val="Tablecolhead"/>
            </w:pPr>
            <w:r>
              <w:t>Category</w:t>
            </w:r>
          </w:p>
        </w:tc>
        <w:tc>
          <w:tcPr>
            <w:tcW w:w="4230" w:type="dxa"/>
          </w:tcPr>
          <w:p w14:paraId="223EC6E4" w14:textId="77777777" w:rsidR="00F91B76" w:rsidRDefault="00F91B76">
            <w:pPr>
              <w:pStyle w:val="Tablecolhead"/>
            </w:pPr>
            <w:r>
              <w:t>Detail</w:t>
            </w:r>
          </w:p>
        </w:tc>
        <w:tc>
          <w:tcPr>
            <w:tcW w:w="2795" w:type="dxa"/>
          </w:tcPr>
          <w:p w14:paraId="5D60E062" w14:textId="77777777" w:rsidR="00F91B76" w:rsidDel="00166FAE" w:rsidRDefault="00F91B76">
            <w:pPr>
              <w:pStyle w:val="Tablecolhead"/>
            </w:pPr>
            <w:r w:rsidRPr="00265748">
              <w:t>Alternative</w:t>
            </w:r>
            <w:r>
              <w:t xml:space="preserve"> resolution pathway </w:t>
            </w:r>
          </w:p>
        </w:tc>
      </w:tr>
      <w:tr w:rsidR="00F91B76" w14:paraId="13DF672F" w14:textId="77777777" w:rsidTr="06B29C2C">
        <w:tc>
          <w:tcPr>
            <w:tcW w:w="2263" w:type="dxa"/>
          </w:tcPr>
          <w:p w14:paraId="054CA2EE" w14:textId="77777777" w:rsidR="00F91B76" w:rsidRDefault="00F91B76">
            <w:pPr>
              <w:pStyle w:val="Tabletext"/>
            </w:pPr>
            <w:r w:rsidRPr="003A7F80">
              <w:t>Property assessments for modifications</w:t>
            </w:r>
          </w:p>
        </w:tc>
        <w:tc>
          <w:tcPr>
            <w:tcW w:w="4230" w:type="dxa"/>
          </w:tcPr>
          <w:p w14:paraId="68132DBF" w14:textId="77777777" w:rsidR="00F91B76" w:rsidRPr="00286552" w:rsidRDefault="00F91B76">
            <w:pPr>
              <w:pStyle w:val="Tabletext"/>
            </w:pPr>
            <w:r w:rsidRPr="00B24BAA">
              <w:t>Property assessments for modifications (e.g., disability</w:t>
            </w:r>
            <w:r w:rsidRPr="00B24BAA">
              <w:rPr>
                <w:rFonts w:ascii="Cambria Math" w:hAnsi="Cambria Math" w:cs="Cambria Math"/>
              </w:rPr>
              <w:t>‑</w:t>
            </w:r>
            <w:r w:rsidRPr="00B24BAA">
              <w:t>related), carried out by specialist trades</w:t>
            </w:r>
            <w:r>
              <w:t xml:space="preserve"> (casual or head contractors)</w:t>
            </w:r>
            <w:r w:rsidRPr="00B24BAA">
              <w:t>.</w:t>
            </w:r>
            <w:r w:rsidRPr="001340A1">
              <w:rPr>
                <w:rFonts w:cs="Arial"/>
                <w:color w:val="0A0A0A"/>
                <w:szCs w:val="21"/>
                <w:shd w:val="clear" w:color="auto" w:fill="FFFFFF"/>
              </w:rPr>
              <w:t xml:space="preserve"> </w:t>
            </w:r>
            <w:r w:rsidRPr="001340A1">
              <w:t>This relates to property assessments conducted by specialist trades (such as casual or head contractors) to determine if a requested modification</w:t>
            </w:r>
            <w:r>
              <w:t xml:space="preserve"> </w:t>
            </w:r>
            <w:r w:rsidRPr="001340A1">
              <w:t>is</w:t>
            </w:r>
            <w:r w:rsidRPr="0009240B">
              <w:t xml:space="preserve"> possible</w:t>
            </w:r>
            <w:r w:rsidRPr="001340A1">
              <w:t xml:space="preserve"> based on </w:t>
            </w:r>
            <w:r>
              <w:t xml:space="preserve">building limitations. </w:t>
            </w:r>
          </w:p>
        </w:tc>
        <w:tc>
          <w:tcPr>
            <w:tcW w:w="2795" w:type="dxa"/>
          </w:tcPr>
          <w:p w14:paraId="42CED573" w14:textId="77777777" w:rsidR="00F91B76" w:rsidRPr="00286552" w:rsidRDefault="00F91B76">
            <w:pPr>
              <w:pStyle w:val="Tablebullet1"/>
            </w:pPr>
            <w:r>
              <w:t>Local housing office</w:t>
            </w:r>
          </w:p>
        </w:tc>
      </w:tr>
      <w:tr w:rsidR="00F91B76" w14:paraId="5FD3498C" w14:textId="77777777" w:rsidTr="06B29C2C">
        <w:tc>
          <w:tcPr>
            <w:tcW w:w="2263" w:type="dxa"/>
          </w:tcPr>
          <w:p w14:paraId="7C8637B5" w14:textId="77777777" w:rsidR="00F91B76" w:rsidRDefault="00F91B76">
            <w:pPr>
              <w:pStyle w:val="Tabletext"/>
            </w:pPr>
            <w:r>
              <w:t>Victorian Housing Register waiting times</w:t>
            </w:r>
          </w:p>
        </w:tc>
        <w:tc>
          <w:tcPr>
            <w:tcW w:w="4230" w:type="dxa"/>
          </w:tcPr>
          <w:p w14:paraId="44141F74" w14:textId="77777777" w:rsidR="00F91B76" w:rsidRPr="00B24BAA" w:rsidRDefault="00F91B76">
            <w:pPr>
              <w:pStyle w:val="Tabletext"/>
            </w:pPr>
            <w:r w:rsidRPr="00D3579F">
              <w:t>The length of time an applicant remains on the waiting list.</w:t>
            </w:r>
          </w:p>
        </w:tc>
        <w:tc>
          <w:tcPr>
            <w:tcW w:w="2795" w:type="dxa"/>
          </w:tcPr>
          <w:p w14:paraId="530772FE" w14:textId="77777777" w:rsidR="00F91B76" w:rsidRDefault="00F91B76">
            <w:pPr>
              <w:pStyle w:val="Tablebullet1"/>
            </w:pPr>
            <w:r>
              <w:t>Local housing office</w:t>
            </w:r>
          </w:p>
        </w:tc>
      </w:tr>
      <w:tr w:rsidR="00F91B76" w14:paraId="4070F94D" w14:textId="77777777" w:rsidTr="06B29C2C">
        <w:tc>
          <w:tcPr>
            <w:tcW w:w="2263" w:type="dxa"/>
          </w:tcPr>
          <w:p w14:paraId="47B96071" w14:textId="77777777" w:rsidR="00F91B76" w:rsidRDefault="00F91B76">
            <w:pPr>
              <w:pStyle w:val="Tabletext"/>
            </w:pPr>
            <w:r>
              <w:t>Market rent</w:t>
            </w:r>
          </w:p>
        </w:tc>
        <w:tc>
          <w:tcPr>
            <w:tcW w:w="4230" w:type="dxa"/>
          </w:tcPr>
          <w:p w14:paraId="2DB5AE10" w14:textId="77777777" w:rsidR="00F91B76" w:rsidRDefault="00F91B76">
            <w:pPr>
              <w:pStyle w:val="Tabletext"/>
            </w:pPr>
            <w:r w:rsidRPr="00286552">
              <w:t>Market rent amounts set under legislative and valuation frameworks</w:t>
            </w:r>
            <w:r>
              <w:t>.</w:t>
            </w:r>
          </w:p>
        </w:tc>
        <w:tc>
          <w:tcPr>
            <w:tcW w:w="2795" w:type="dxa"/>
          </w:tcPr>
          <w:p w14:paraId="2DE35B94" w14:textId="77777777" w:rsidR="00F91B76" w:rsidRDefault="00F91B76">
            <w:pPr>
              <w:pStyle w:val="Tablebullet1"/>
            </w:pPr>
            <w:r>
              <w:t>Local housing office</w:t>
            </w:r>
          </w:p>
          <w:p w14:paraId="063D0659" w14:textId="77777777" w:rsidR="00F91B76" w:rsidRDefault="00F91B76">
            <w:pPr>
              <w:pStyle w:val="Tablebullet1"/>
            </w:pPr>
            <w:r w:rsidRPr="00286552">
              <w:t>Consumer Affairs Victoria (CAV)</w:t>
            </w:r>
          </w:p>
          <w:p w14:paraId="6E29460B" w14:textId="77777777" w:rsidR="00F91B76" w:rsidRDefault="00F91B76">
            <w:pPr>
              <w:pStyle w:val="Tablebullet1"/>
            </w:pPr>
            <w:r>
              <w:t>VCAT/</w:t>
            </w:r>
            <w:r w:rsidRPr="000E45F1">
              <w:t xml:space="preserve">Rental Dispute Resolution Victoria </w:t>
            </w:r>
            <w:r>
              <w:t>(RDRV)</w:t>
            </w:r>
            <w:r>
              <w:rPr>
                <w:rStyle w:val="Strong"/>
                <w:color w:val="FFFFFF"/>
              </w:rPr>
              <w:t>)</w:t>
            </w:r>
            <w:r>
              <w:rPr>
                <w:rFonts w:ascii="-webkit-standard" w:hAnsi="-webkit-standard"/>
                <w:color w:val="FFFFFF"/>
                <w:sz w:val="27"/>
                <w:szCs w:val="27"/>
              </w:rPr>
              <w:t>.</w:t>
            </w:r>
          </w:p>
        </w:tc>
      </w:tr>
      <w:tr w:rsidR="00F91B76" w14:paraId="09F71333" w14:textId="77777777" w:rsidTr="06B29C2C">
        <w:tc>
          <w:tcPr>
            <w:tcW w:w="2263" w:type="dxa"/>
          </w:tcPr>
          <w:p w14:paraId="4918C8A0" w14:textId="77777777" w:rsidR="00F91B76" w:rsidRDefault="00F91B76">
            <w:pPr>
              <w:pStyle w:val="Tabletext"/>
            </w:pPr>
            <w:r>
              <w:lastRenderedPageBreak/>
              <w:t>Service charges</w:t>
            </w:r>
          </w:p>
        </w:tc>
        <w:tc>
          <w:tcPr>
            <w:tcW w:w="4230" w:type="dxa"/>
          </w:tcPr>
          <w:p w14:paraId="56D5912B" w14:textId="77777777" w:rsidR="00F91B76" w:rsidRDefault="00F91B76">
            <w:pPr>
              <w:pStyle w:val="Tabletext"/>
            </w:pPr>
            <w:r>
              <w:t>C</w:t>
            </w:r>
            <w:r w:rsidRPr="0079105F">
              <w:t>osts for specific services connected to a property or building. These may include car parking fees, bulk energy costs where electricity is supplied through a central system, bulk water charges where individual metering is not available, and other shared utility or building</w:t>
            </w:r>
            <w:r w:rsidRPr="0079105F">
              <w:rPr>
                <w:rFonts w:ascii="Cambria Math" w:hAnsi="Cambria Math" w:cs="Cambria Math"/>
              </w:rPr>
              <w:t>‑</w:t>
            </w:r>
            <w:r w:rsidRPr="0079105F">
              <w:t>related services.</w:t>
            </w:r>
          </w:p>
        </w:tc>
        <w:tc>
          <w:tcPr>
            <w:tcW w:w="2795" w:type="dxa"/>
          </w:tcPr>
          <w:p w14:paraId="5A2EFFCD" w14:textId="77777777" w:rsidR="00F91B76" w:rsidRDefault="00F91B76">
            <w:pPr>
              <w:pStyle w:val="Tablebullet1"/>
            </w:pPr>
            <w:r>
              <w:t>Local housing office</w:t>
            </w:r>
          </w:p>
          <w:p w14:paraId="58184BDD" w14:textId="77777777" w:rsidR="00F91B76" w:rsidRDefault="00F91B76">
            <w:pPr>
              <w:pStyle w:val="Tablebullet1"/>
            </w:pPr>
            <w:r>
              <w:t>Housing Revenue Team, Homes Victoria</w:t>
            </w:r>
          </w:p>
          <w:p w14:paraId="372348CF" w14:textId="77777777" w:rsidR="00F91B76" w:rsidRDefault="00F91B76">
            <w:pPr>
              <w:pStyle w:val="Tablebullet1"/>
            </w:pPr>
            <w:r>
              <w:t>CAV</w:t>
            </w:r>
          </w:p>
          <w:p w14:paraId="5FACF9C6" w14:textId="77777777" w:rsidR="00F91B76" w:rsidRDefault="00F91B76">
            <w:pPr>
              <w:pStyle w:val="Tablebullet1"/>
            </w:pPr>
            <w:r w:rsidRPr="004633D6">
              <w:t>VCAT/</w:t>
            </w:r>
            <w:r>
              <w:t>RDRV</w:t>
            </w:r>
          </w:p>
        </w:tc>
      </w:tr>
      <w:tr w:rsidR="00F91B76" w14:paraId="2049FCE3" w14:textId="77777777" w:rsidTr="06B29C2C">
        <w:tc>
          <w:tcPr>
            <w:tcW w:w="2263" w:type="dxa"/>
          </w:tcPr>
          <w:p w14:paraId="66A83F13" w14:textId="77777777" w:rsidR="00F91B76" w:rsidRDefault="00F91B76">
            <w:pPr>
              <w:pStyle w:val="Tabletext"/>
            </w:pPr>
            <w:r>
              <w:t>Income based rent</w:t>
            </w:r>
          </w:p>
        </w:tc>
        <w:tc>
          <w:tcPr>
            <w:tcW w:w="4230" w:type="dxa"/>
          </w:tcPr>
          <w:p w14:paraId="5F88BAE7" w14:textId="77777777" w:rsidR="00F91B76" w:rsidRPr="006C2513" w:rsidRDefault="00F91B76" w:rsidP="006C2513">
            <w:pPr>
              <w:pStyle w:val="Tabletext"/>
            </w:pPr>
            <w:r w:rsidRPr="006C2513">
              <w:t>The standard calculation (</w:t>
            </w:r>
            <w:r w:rsidRPr="006C2513">
              <w:rPr>
                <w:rStyle w:val="Strong"/>
                <w:b w:val="0"/>
                <w:bCs w:val="0"/>
              </w:rPr>
              <w:t>25% of income + 15% of family payments</w:t>
            </w:r>
            <w:r w:rsidRPr="006C2513">
              <w:t>). While the </w:t>
            </w:r>
            <w:r w:rsidRPr="006C2513">
              <w:rPr>
                <w:rStyle w:val="Emphasis"/>
                <w:i w:val="0"/>
                <w:iCs w:val="0"/>
              </w:rPr>
              <w:t>data</w:t>
            </w:r>
            <w:r w:rsidRPr="006C2513">
              <w:t> used can be appealed, the </w:t>
            </w:r>
            <w:r w:rsidRPr="006C2513">
              <w:rPr>
                <w:rStyle w:val="Emphasis"/>
                <w:i w:val="0"/>
                <w:iCs w:val="0"/>
              </w:rPr>
              <w:t>formula</w:t>
            </w:r>
            <w:r w:rsidRPr="006C2513">
              <w:t> itself is a fixed government policy.</w:t>
            </w:r>
          </w:p>
        </w:tc>
        <w:tc>
          <w:tcPr>
            <w:tcW w:w="2795" w:type="dxa"/>
          </w:tcPr>
          <w:p w14:paraId="1B772B8D" w14:textId="77777777" w:rsidR="00F91B76" w:rsidRDefault="00F91B76">
            <w:pPr>
              <w:pStyle w:val="Tablebullet1"/>
            </w:pPr>
            <w:r>
              <w:t>Housing Minister</w:t>
            </w:r>
          </w:p>
          <w:p w14:paraId="45CE8ED3" w14:textId="77777777" w:rsidR="00F91B76" w:rsidRDefault="00F91B76">
            <w:pPr>
              <w:pStyle w:val="Tablebullet1"/>
            </w:pPr>
            <w:r>
              <w:t>Victorian Ombudsman</w:t>
            </w:r>
          </w:p>
        </w:tc>
      </w:tr>
      <w:tr w:rsidR="00F91B76" w14:paraId="13DE5036" w14:textId="77777777" w:rsidTr="06B29C2C">
        <w:tc>
          <w:tcPr>
            <w:tcW w:w="2263" w:type="dxa"/>
          </w:tcPr>
          <w:p w14:paraId="517747D6" w14:textId="77777777" w:rsidR="00F91B76" w:rsidRDefault="00F91B76">
            <w:pPr>
              <w:pStyle w:val="Tabletext"/>
            </w:pPr>
            <w:r>
              <w:t>Action taken under the RTA</w:t>
            </w:r>
          </w:p>
        </w:tc>
        <w:tc>
          <w:tcPr>
            <w:tcW w:w="4230" w:type="dxa"/>
          </w:tcPr>
          <w:p w14:paraId="680BBF7F" w14:textId="77777777" w:rsidR="00F91B76" w:rsidRDefault="00F91B76">
            <w:pPr>
              <w:pStyle w:val="Tabletext"/>
            </w:pPr>
            <w:r w:rsidRPr="00794851">
              <w:t xml:space="preserve">Enforcement of tenancy obligations and actions taken under the </w:t>
            </w:r>
            <w:r>
              <w:t>RTA,</w:t>
            </w:r>
            <w:r w:rsidRPr="00F52013">
              <w:t xml:space="preserve"> such a</w:t>
            </w:r>
            <w:r>
              <w:t>s:</w:t>
            </w:r>
          </w:p>
          <w:p w14:paraId="25BE546A" w14:textId="13F91D9A" w:rsidR="00F91B76" w:rsidRDefault="00F91B76">
            <w:pPr>
              <w:pStyle w:val="Tablebullet1"/>
            </w:pPr>
            <w:r>
              <w:t>B</w:t>
            </w:r>
            <w:r w:rsidRPr="00794851">
              <w:t xml:space="preserve">reach of </w:t>
            </w:r>
            <w:r w:rsidR="008D5AF4">
              <w:t>d</w:t>
            </w:r>
            <w:r w:rsidRPr="00794851">
              <w:t xml:space="preserve">uty </w:t>
            </w:r>
            <w:r w:rsidR="008D5AF4">
              <w:t>n</w:t>
            </w:r>
            <w:r w:rsidRPr="00794851">
              <w:t>otices</w:t>
            </w:r>
          </w:p>
          <w:p w14:paraId="11B921DB" w14:textId="02033848" w:rsidR="00F91B76" w:rsidRDefault="00F91B76">
            <w:pPr>
              <w:pStyle w:val="Tablebullet1"/>
            </w:pPr>
            <w:r>
              <w:t>N</w:t>
            </w:r>
            <w:r w:rsidRPr="00794851">
              <w:t xml:space="preserve">otices to </w:t>
            </w:r>
            <w:r w:rsidR="008D5AF4">
              <w:t>v</w:t>
            </w:r>
            <w:r w:rsidRPr="00794851">
              <w:t>acate</w:t>
            </w:r>
          </w:p>
          <w:p w14:paraId="06547CA5" w14:textId="77777777" w:rsidR="00F91B76" w:rsidRDefault="00F91B76">
            <w:pPr>
              <w:pStyle w:val="Tablebullet1"/>
            </w:pPr>
            <w:r>
              <w:t>V</w:t>
            </w:r>
            <w:r w:rsidRPr="00794851">
              <w:t>CAT orders (</w:t>
            </w:r>
            <w:r>
              <w:t>e.g.</w:t>
            </w:r>
            <w:r w:rsidRPr="00794851">
              <w:t xml:space="preserve"> legal agreements</w:t>
            </w:r>
            <w:r>
              <w:t>, compliance orders</w:t>
            </w:r>
            <w:r w:rsidRPr="00794851">
              <w:t>)</w:t>
            </w:r>
          </w:p>
          <w:p w14:paraId="723E6E40" w14:textId="77777777" w:rsidR="00F91B76" w:rsidRDefault="00F91B76">
            <w:pPr>
              <w:pStyle w:val="Tablebullet1"/>
            </w:pPr>
            <w:r>
              <w:t>P</w:t>
            </w:r>
            <w:r w:rsidRPr="00794851">
              <w:t xml:space="preserve">ossession </w:t>
            </w:r>
            <w:r>
              <w:t>O</w:t>
            </w:r>
            <w:r w:rsidRPr="00794851">
              <w:t>rders</w:t>
            </w:r>
          </w:p>
          <w:p w14:paraId="601882D0" w14:textId="6BAC71DE" w:rsidR="00F91B76" w:rsidRDefault="00F91B76">
            <w:pPr>
              <w:pStyle w:val="Tablebullet1"/>
            </w:pPr>
            <w:r>
              <w:t>W</w:t>
            </w:r>
            <w:r w:rsidRPr="00794851">
              <w:t xml:space="preserve">arrants of </w:t>
            </w:r>
            <w:r w:rsidR="00B70F9B">
              <w:t>p</w:t>
            </w:r>
            <w:r w:rsidRPr="00794851">
              <w:t>ossession</w:t>
            </w:r>
            <w:r>
              <w:t>s</w:t>
            </w:r>
          </w:p>
          <w:p w14:paraId="275F3F41" w14:textId="77777777" w:rsidR="00F91B76" w:rsidRDefault="00F91B76" w:rsidP="006C2513">
            <w:pPr>
              <w:pStyle w:val="Tabletext"/>
            </w:pPr>
            <w:r>
              <w:t>This includes</w:t>
            </w:r>
            <w:r w:rsidRPr="00F52013">
              <w:t xml:space="preserve"> matters where the legal process has commence</w:t>
            </w:r>
            <w:r>
              <w:t>d.</w:t>
            </w:r>
          </w:p>
        </w:tc>
        <w:tc>
          <w:tcPr>
            <w:tcW w:w="2795" w:type="dxa"/>
          </w:tcPr>
          <w:p w14:paraId="0C0A645A" w14:textId="77777777" w:rsidR="00F91B76" w:rsidRDefault="00F91B76">
            <w:pPr>
              <w:pStyle w:val="Tablebullet1"/>
            </w:pPr>
            <w:r>
              <w:t xml:space="preserve">Local housing office </w:t>
            </w:r>
          </w:p>
          <w:p w14:paraId="05B88BF8" w14:textId="77777777" w:rsidR="00F91B76" w:rsidRDefault="00F91B76">
            <w:pPr>
              <w:pStyle w:val="Tablebullet1"/>
            </w:pPr>
            <w:r w:rsidRPr="007558BD">
              <w:t>VCAT</w:t>
            </w:r>
            <w:r>
              <w:t>/RDRV</w:t>
            </w:r>
            <w:r w:rsidRPr="007558BD">
              <w:t xml:space="preserve"> for review or a decision.</w:t>
            </w:r>
          </w:p>
        </w:tc>
      </w:tr>
      <w:tr w:rsidR="00F91B76" w14:paraId="6188A08D" w14:textId="77777777" w:rsidTr="06B29C2C">
        <w:tc>
          <w:tcPr>
            <w:tcW w:w="2263" w:type="dxa"/>
          </w:tcPr>
          <w:p w14:paraId="52B7D40D" w14:textId="77777777" w:rsidR="00F91B76" w:rsidRPr="00BB5259" w:rsidRDefault="00F91B76">
            <w:pPr>
              <w:pStyle w:val="Tabletext"/>
            </w:pPr>
            <w:r w:rsidRPr="00BB5259">
              <w:t>Maintenance claims against renters</w:t>
            </w:r>
          </w:p>
        </w:tc>
        <w:tc>
          <w:tcPr>
            <w:tcW w:w="4230" w:type="dxa"/>
          </w:tcPr>
          <w:p w14:paraId="714EC58B" w14:textId="77777777" w:rsidR="00F91B76" w:rsidRPr="00BB5259" w:rsidRDefault="00F91B76">
            <w:pPr>
              <w:pStyle w:val="Tabletext"/>
            </w:pPr>
            <w:r>
              <w:t xml:space="preserve">Cases </w:t>
            </w:r>
            <w:r w:rsidRPr="001778B6">
              <w:t>where the department has already commenced action at VCAT to substantiate the claim</w:t>
            </w:r>
            <w:r>
              <w:t>.</w:t>
            </w:r>
          </w:p>
        </w:tc>
        <w:tc>
          <w:tcPr>
            <w:tcW w:w="2795" w:type="dxa"/>
          </w:tcPr>
          <w:p w14:paraId="75FD68FE" w14:textId="77777777" w:rsidR="00F91B76" w:rsidRPr="001F351E" w:rsidRDefault="00F91B76">
            <w:pPr>
              <w:pStyle w:val="Tablebullet1"/>
            </w:pPr>
            <w:r w:rsidRPr="001F351E">
              <w:t>Local housing office</w:t>
            </w:r>
          </w:p>
          <w:p w14:paraId="15B1D016" w14:textId="77777777" w:rsidR="00F91B76" w:rsidRPr="001F351E" w:rsidRDefault="00F91B76">
            <w:pPr>
              <w:pStyle w:val="Tablebullet1"/>
            </w:pPr>
            <w:r>
              <w:t>VCAT/</w:t>
            </w:r>
            <w:r w:rsidRPr="001F351E">
              <w:t>RDRV</w:t>
            </w:r>
          </w:p>
        </w:tc>
      </w:tr>
      <w:tr w:rsidR="00F91B76" w14:paraId="68C87DC4" w14:textId="77777777" w:rsidTr="06B29C2C">
        <w:tc>
          <w:tcPr>
            <w:tcW w:w="2263" w:type="dxa"/>
          </w:tcPr>
          <w:p w14:paraId="518422C7" w14:textId="77777777" w:rsidR="00F91B76" w:rsidRDefault="00F91B76">
            <w:pPr>
              <w:pStyle w:val="Tabletext"/>
            </w:pPr>
            <w:r>
              <w:t>Compensation for damage or loss of goods</w:t>
            </w:r>
          </w:p>
        </w:tc>
        <w:tc>
          <w:tcPr>
            <w:tcW w:w="4230" w:type="dxa"/>
          </w:tcPr>
          <w:p w14:paraId="5537192A" w14:textId="48A17E36" w:rsidR="00F91B76" w:rsidRDefault="00F91B76">
            <w:pPr>
              <w:pStyle w:val="Tabletext"/>
            </w:pPr>
            <w:r>
              <w:t xml:space="preserve">Outcomes of liability claims assessed under the </w:t>
            </w:r>
            <w:hyperlink r:id="rId19" w:history="1">
              <w:r w:rsidRPr="006278FE">
                <w:rPr>
                  <w:rStyle w:val="Hyperlink"/>
                </w:rPr>
                <w:t>Managing Claims Operational Guidelines</w:t>
              </w:r>
            </w:hyperlink>
            <w:r w:rsidR="006278FE">
              <w:rPr>
                <w:rStyle w:val="FootnoteReference"/>
              </w:rPr>
              <w:footnoteReference w:id="5"/>
            </w:r>
            <w:r>
              <w:t xml:space="preserve"> and relevant legislation.</w:t>
            </w:r>
          </w:p>
        </w:tc>
        <w:tc>
          <w:tcPr>
            <w:tcW w:w="2795" w:type="dxa"/>
          </w:tcPr>
          <w:p w14:paraId="3DCD372D" w14:textId="77777777" w:rsidR="00F91B76" w:rsidRDefault="00F91B76">
            <w:pPr>
              <w:pStyle w:val="Tablebullet1"/>
            </w:pPr>
            <w:r w:rsidRPr="003261F7">
              <w:t>Local housing office</w:t>
            </w:r>
          </w:p>
          <w:p w14:paraId="04CA87CD" w14:textId="77777777" w:rsidR="00F91B76" w:rsidRDefault="00F91B76">
            <w:pPr>
              <w:pStyle w:val="Tablebullet1"/>
            </w:pPr>
            <w:r>
              <w:t>VCAT/RDRV</w:t>
            </w:r>
          </w:p>
        </w:tc>
      </w:tr>
      <w:tr w:rsidR="00F91B76" w14:paraId="4EE5BEAA" w14:textId="77777777" w:rsidTr="06B29C2C">
        <w:tc>
          <w:tcPr>
            <w:tcW w:w="2263" w:type="dxa"/>
          </w:tcPr>
          <w:p w14:paraId="6E8DAE2E" w14:textId="77777777" w:rsidR="00F91B76" w:rsidRDefault="00F91B76">
            <w:pPr>
              <w:pStyle w:val="Tabletext"/>
            </w:pPr>
            <w:r>
              <w:t xml:space="preserve">Temporary absence </w:t>
            </w:r>
          </w:p>
        </w:tc>
        <w:tc>
          <w:tcPr>
            <w:tcW w:w="4230" w:type="dxa"/>
          </w:tcPr>
          <w:p w14:paraId="4C5FFCB7" w14:textId="77777777" w:rsidR="00F91B76" w:rsidRDefault="00F91B76">
            <w:pPr>
              <w:pStyle w:val="Tabletext"/>
            </w:pPr>
            <w:r>
              <w:t>Discretionary decisions on maximum absence periods and corresponding rental charges, as assessed under the Temporary Absence Operational Guidelines.</w:t>
            </w:r>
          </w:p>
        </w:tc>
        <w:tc>
          <w:tcPr>
            <w:tcW w:w="2795" w:type="dxa"/>
          </w:tcPr>
          <w:p w14:paraId="196EE8CD" w14:textId="77777777" w:rsidR="00F91B76" w:rsidRDefault="00F91B76">
            <w:pPr>
              <w:pStyle w:val="Tablebullet1"/>
            </w:pPr>
            <w:r w:rsidRPr="003261F7">
              <w:t xml:space="preserve">Local </w:t>
            </w:r>
            <w:r>
              <w:t>housing</w:t>
            </w:r>
            <w:r w:rsidRPr="003261F7">
              <w:t xml:space="preserve"> office</w:t>
            </w:r>
          </w:p>
        </w:tc>
      </w:tr>
      <w:tr w:rsidR="00F91B76" w14:paraId="68FB4AEC" w14:textId="77777777" w:rsidTr="06B29C2C">
        <w:tc>
          <w:tcPr>
            <w:tcW w:w="2263" w:type="dxa"/>
          </w:tcPr>
          <w:p w14:paraId="5ED05074" w14:textId="77777777" w:rsidR="00F91B76" w:rsidRDefault="00F91B76">
            <w:pPr>
              <w:pStyle w:val="Tabletext"/>
            </w:pPr>
            <w:r>
              <w:t>Moveable units</w:t>
            </w:r>
          </w:p>
        </w:tc>
        <w:tc>
          <w:tcPr>
            <w:tcW w:w="4230" w:type="dxa"/>
          </w:tcPr>
          <w:p w14:paraId="78AB6407" w14:textId="77777777" w:rsidR="00F91B76" w:rsidRDefault="00F91B76">
            <w:pPr>
              <w:pStyle w:val="Tabletext"/>
            </w:pPr>
            <w:r w:rsidRPr="00D10A88">
              <w:t>Tier 2 eligibility assessments, which assess whether the proposed site meets required criteria</w:t>
            </w:r>
            <w:r>
              <w:t>.</w:t>
            </w:r>
          </w:p>
        </w:tc>
        <w:tc>
          <w:tcPr>
            <w:tcW w:w="2795" w:type="dxa"/>
          </w:tcPr>
          <w:p w14:paraId="62296457" w14:textId="6A14E097" w:rsidR="00F91B76" w:rsidRDefault="006844DE">
            <w:pPr>
              <w:pStyle w:val="Tablebullet1"/>
            </w:pPr>
            <w:r>
              <w:t xml:space="preserve">Email: </w:t>
            </w:r>
            <w:hyperlink r:id="rId20" w:history="1">
              <w:r w:rsidRPr="00254DDE">
                <w:rPr>
                  <w:rStyle w:val="Hyperlink"/>
                </w:rPr>
                <w:t>movable.units@dffh.vic.gov.au</w:t>
              </w:r>
            </w:hyperlink>
            <w:r w:rsidR="00F91B76">
              <w:t xml:space="preserve"> </w:t>
            </w:r>
          </w:p>
        </w:tc>
      </w:tr>
      <w:tr w:rsidR="00F91B76" w14:paraId="33FDF538" w14:textId="77777777" w:rsidTr="06B29C2C">
        <w:tc>
          <w:tcPr>
            <w:tcW w:w="2263" w:type="dxa"/>
          </w:tcPr>
          <w:p w14:paraId="0B764077" w14:textId="77777777" w:rsidR="00F91B76" w:rsidRDefault="00F91B76">
            <w:pPr>
              <w:pStyle w:val="Tabletext"/>
            </w:pPr>
            <w:r>
              <w:t xml:space="preserve">Swimming pools </w:t>
            </w:r>
          </w:p>
        </w:tc>
        <w:tc>
          <w:tcPr>
            <w:tcW w:w="4230" w:type="dxa"/>
          </w:tcPr>
          <w:p w14:paraId="5293CAF4" w14:textId="77777777" w:rsidR="00F91B76" w:rsidRPr="00D10A88" w:rsidRDefault="00F91B76">
            <w:pPr>
              <w:pStyle w:val="Tabletext"/>
            </w:pPr>
            <w:r w:rsidRPr="00481561">
              <w:t>Swimming pools of any kind or for any purpose, in accordance with Homes Victoria’s no-pools polic</w:t>
            </w:r>
            <w:r>
              <w:t>y.</w:t>
            </w:r>
          </w:p>
        </w:tc>
        <w:tc>
          <w:tcPr>
            <w:tcW w:w="2795" w:type="dxa"/>
          </w:tcPr>
          <w:p w14:paraId="0ADDD58D" w14:textId="77777777" w:rsidR="00F91B76" w:rsidRDefault="00F91B76">
            <w:pPr>
              <w:pStyle w:val="Tablebullet1"/>
            </w:pPr>
            <w:r w:rsidRPr="00CF296B">
              <w:t>Local housing office</w:t>
            </w:r>
          </w:p>
          <w:p w14:paraId="7B562CB4" w14:textId="77777777" w:rsidR="00F91B76" w:rsidRDefault="00F91B76">
            <w:pPr>
              <w:pStyle w:val="Tablebullet1"/>
            </w:pPr>
            <w:r w:rsidRPr="00CF296B">
              <w:t>VCAT/</w:t>
            </w:r>
            <w:r>
              <w:t>RDRV</w:t>
            </w:r>
          </w:p>
        </w:tc>
      </w:tr>
      <w:tr w:rsidR="00F91B76" w14:paraId="1F6A5A92" w14:textId="77777777" w:rsidTr="06B29C2C">
        <w:tc>
          <w:tcPr>
            <w:tcW w:w="2263" w:type="dxa"/>
          </w:tcPr>
          <w:p w14:paraId="30B53AB0" w14:textId="77777777" w:rsidR="00F91B76" w:rsidRDefault="00F91B76">
            <w:pPr>
              <w:pStyle w:val="Tabletext"/>
            </w:pPr>
            <w:r>
              <w:t>Renter house sales program</w:t>
            </w:r>
          </w:p>
        </w:tc>
        <w:tc>
          <w:tcPr>
            <w:tcW w:w="4230" w:type="dxa"/>
          </w:tcPr>
          <w:p w14:paraId="33994782" w14:textId="77777777" w:rsidR="00F91B76" w:rsidRDefault="00F91B76">
            <w:pPr>
              <w:pStyle w:val="Tabletext"/>
            </w:pPr>
            <w:r>
              <w:t>Program eligibility assessments including:</w:t>
            </w:r>
          </w:p>
          <w:p w14:paraId="1A590A57" w14:textId="77777777" w:rsidR="00F91B76" w:rsidRDefault="00F91B76">
            <w:pPr>
              <w:pStyle w:val="Tablebullet1"/>
            </w:pPr>
            <w:r>
              <w:t>renter eligibility criteria</w:t>
            </w:r>
          </w:p>
          <w:p w14:paraId="64EE635A" w14:textId="77777777" w:rsidR="00F91B76" w:rsidRDefault="00F91B76">
            <w:pPr>
              <w:pStyle w:val="Tablebullet1"/>
            </w:pPr>
            <w:r>
              <w:t>property eligibility criteria</w:t>
            </w:r>
          </w:p>
          <w:p w14:paraId="286652EE" w14:textId="77777777" w:rsidR="00F91B76" w:rsidRPr="006504CC" w:rsidRDefault="00F91B76">
            <w:pPr>
              <w:pStyle w:val="Tablebullet1"/>
            </w:pPr>
            <w:r>
              <w:t>determination of sale price</w:t>
            </w:r>
          </w:p>
        </w:tc>
        <w:tc>
          <w:tcPr>
            <w:tcW w:w="2795" w:type="dxa"/>
          </w:tcPr>
          <w:p w14:paraId="78884920" w14:textId="3C8F0828" w:rsidR="00F91B76" w:rsidRDefault="00F91B76">
            <w:pPr>
              <w:pStyle w:val="Tablebullet1"/>
            </w:pPr>
            <w:r>
              <w:t>Renter House Sales Team, Homes Victoria</w:t>
            </w:r>
            <w:r w:rsidR="006844DE">
              <w:t xml:space="preserve"> on email:</w:t>
            </w:r>
            <w:r>
              <w:t xml:space="preserve"> </w:t>
            </w:r>
            <w:hyperlink r:id="rId21" w:history="1">
              <w:r w:rsidRPr="00A938EE">
                <w:rPr>
                  <w:rStyle w:val="Hyperlink"/>
                </w:rPr>
                <w:t>divestments@homes.vic.gov.au</w:t>
              </w:r>
            </w:hyperlink>
            <w:r w:rsidRPr="00A938EE">
              <w:rPr>
                <w:rStyle w:val="Hyperlink"/>
              </w:rPr>
              <w:t xml:space="preserve"> </w:t>
            </w:r>
          </w:p>
        </w:tc>
      </w:tr>
      <w:tr w:rsidR="00F91B76" w14:paraId="521F4606" w14:textId="77777777" w:rsidTr="06B29C2C">
        <w:tc>
          <w:tcPr>
            <w:tcW w:w="2263" w:type="dxa"/>
          </w:tcPr>
          <w:p w14:paraId="4E2155F3" w14:textId="77777777" w:rsidR="00F91B76" w:rsidRDefault="00F91B76">
            <w:pPr>
              <w:pStyle w:val="Tabletext"/>
            </w:pPr>
            <w:r>
              <w:lastRenderedPageBreak/>
              <w:t>Carparking allocations</w:t>
            </w:r>
          </w:p>
        </w:tc>
        <w:tc>
          <w:tcPr>
            <w:tcW w:w="4230" w:type="dxa"/>
          </w:tcPr>
          <w:p w14:paraId="6FEB2CFB" w14:textId="77777777" w:rsidR="00F91B76" w:rsidRPr="006504CC" w:rsidRDefault="00F91B76">
            <w:pPr>
              <w:pStyle w:val="Tabletext"/>
            </w:pPr>
            <w:r>
              <w:t xml:space="preserve">Allocations determined by eligibility criteria and priority needs, </w:t>
            </w:r>
            <w:r w:rsidRPr="00C9353A">
              <w:t>subject to parking availability within specific housing estates.</w:t>
            </w:r>
          </w:p>
        </w:tc>
        <w:tc>
          <w:tcPr>
            <w:tcW w:w="2795" w:type="dxa"/>
          </w:tcPr>
          <w:p w14:paraId="2C2993FE" w14:textId="77777777" w:rsidR="00F91B76" w:rsidRDefault="00F91B76">
            <w:pPr>
              <w:pStyle w:val="Tablebullet1"/>
            </w:pPr>
            <w:r w:rsidRPr="003261F7">
              <w:t xml:space="preserve">Local </w:t>
            </w:r>
            <w:r>
              <w:t>housing</w:t>
            </w:r>
            <w:r w:rsidRPr="003261F7">
              <w:t xml:space="preserve"> office</w:t>
            </w:r>
          </w:p>
        </w:tc>
      </w:tr>
      <w:tr w:rsidR="00F91B76" w14:paraId="5AABAFC3" w14:textId="77777777" w:rsidTr="06B29C2C">
        <w:tc>
          <w:tcPr>
            <w:tcW w:w="2263" w:type="dxa"/>
          </w:tcPr>
          <w:p w14:paraId="14CE2A5A" w14:textId="77777777" w:rsidR="00F91B76" w:rsidRPr="00CE16FC" w:rsidRDefault="00F91B76">
            <w:pPr>
              <w:pStyle w:val="Tabletext"/>
            </w:pPr>
            <w:r w:rsidRPr="00CE16FC">
              <w:t>Tenancy condition reports</w:t>
            </w:r>
          </w:p>
        </w:tc>
        <w:tc>
          <w:tcPr>
            <w:tcW w:w="4230" w:type="dxa"/>
          </w:tcPr>
          <w:p w14:paraId="443B6DD3" w14:textId="77777777" w:rsidR="00F91B76" w:rsidRPr="00CE16FC" w:rsidRDefault="00F91B76">
            <w:pPr>
              <w:pStyle w:val="Tabletext"/>
            </w:pPr>
            <w:r w:rsidRPr="003461E3">
              <w:t>Property condition details recorded by staff more than 28 days after the tenancy commenced.</w:t>
            </w:r>
          </w:p>
        </w:tc>
        <w:tc>
          <w:tcPr>
            <w:tcW w:w="2795" w:type="dxa"/>
          </w:tcPr>
          <w:p w14:paraId="36F11B28" w14:textId="77777777" w:rsidR="00F91B76" w:rsidRPr="00CE16FC" w:rsidRDefault="00F91B76">
            <w:pPr>
              <w:pStyle w:val="Tablebullet1"/>
            </w:pPr>
            <w:r w:rsidRPr="00CE16FC">
              <w:t>Local housing office</w:t>
            </w:r>
          </w:p>
        </w:tc>
      </w:tr>
      <w:tr w:rsidR="00F91B76" w14:paraId="0002A1D4" w14:textId="77777777" w:rsidTr="06B29C2C">
        <w:tc>
          <w:tcPr>
            <w:tcW w:w="2263" w:type="dxa"/>
          </w:tcPr>
          <w:p w14:paraId="0782AAB4" w14:textId="77777777" w:rsidR="00F91B76" w:rsidRPr="005667E2" w:rsidRDefault="00F91B76">
            <w:pPr>
              <w:pStyle w:val="Tabletext"/>
            </w:pPr>
            <w:r>
              <w:t>S</w:t>
            </w:r>
            <w:r w:rsidRPr="005667E2">
              <w:t xml:space="preserve">ervice </w:t>
            </w:r>
            <w:r>
              <w:t>c</w:t>
            </w:r>
            <w:r w:rsidRPr="005667E2">
              <w:t>omplaints</w:t>
            </w:r>
          </w:p>
        </w:tc>
        <w:tc>
          <w:tcPr>
            <w:tcW w:w="4230" w:type="dxa"/>
          </w:tcPr>
          <w:p w14:paraId="3ADB6D38" w14:textId="77777777" w:rsidR="00F91B76" w:rsidRPr="00B913AA" w:rsidRDefault="00F91B76">
            <w:pPr>
              <w:pStyle w:val="Tabletext"/>
            </w:pPr>
            <w:r w:rsidRPr="00B913AA">
              <w:t>Concerns regarding the quality of service provided by housing staff</w:t>
            </w:r>
            <w:r>
              <w:t>.</w:t>
            </w:r>
          </w:p>
        </w:tc>
        <w:tc>
          <w:tcPr>
            <w:tcW w:w="2795" w:type="dxa"/>
          </w:tcPr>
          <w:p w14:paraId="0EF9CF2B" w14:textId="77777777" w:rsidR="00F91B76" w:rsidRPr="00B913AA" w:rsidRDefault="00F91B76">
            <w:pPr>
              <w:pStyle w:val="Tablebullet1"/>
            </w:pPr>
            <w:r w:rsidRPr="00B913AA">
              <w:t>Local housing office</w:t>
            </w:r>
          </w:p>
          <w:p w14:paraId="208D6596" w14:textId="01AB740D" w:rsidR="00F91B76" w:rsidRPr="00B913AA" w:rsidRDefault="00F91B76">
            <w:pPr>
              <w:pStyle w:val="Tablebullet1"/>
            </w:pPr>
            <w:hyperlink r:id="rId22" w:history="1">
              <w:r w:rsidRPr="006C3F09">
                <w:rPr>
                  <w:rStyle w:val="Hyperlink"/>
                </w:rPr>
                <w:t>The departments feedback service</w:t>
              </w:r>
            </w:hyperlink>
            <w:r w:rsidR="002D1A67">
              <w:rPr>
                <w:rStyle w:val="FootnoteReference"/>
              </w:rPr>
              <w:footnoteReference w:id="6"/>
            </w:r>
            <w:r w:rsidRPr="00B913AA">
              <w:t xml:space="preserve"> </w:t>
            </w:r>
          </w:p>
          <w:p w14:paraId="6B7EF179" w14:textId="77777777" w:rsidR="00F91B76" w:rsidRPr="00B913AA" w:rsidRDefault="00F91B76">
            <w:pPr>
              <w:pStyle w:val="Tablebullet1"/>
            </w:pPr>
            <w:r w:rsidRPr="00B913AA">
              <w:t>Victorian Ombudsman</w:t>
            </w:r>
          </w:p>
        </w:tc>
      </w:tr>
    </w:tbl>
    <w:p w14:paraId="0006E0AA" w14:textId="77777777" w:rsidR="00F91B76" w:rsidRDefault="00F91B76" w:rsidP="00F91B76">
      <w:pPr>
        <w:pStyle w:val="Heading1"/>
      </w:pPr>
      <w:bookmarkStart w:id="9" w:name="_Toc224656447"/>
      <w:bookmarkStart w:id="10" w:name="_Toc224656484"/>
      <w:bookmarkStart w:id="11" w:name="_Toc224656491"/>
      <w:bookmarkStart w:id="12" w:name="_Toc224656498"/>
      <w:bookmarkStart w:id="13" w:name="_Toc224656505"/>
      <w:bookmarkStart w:id="14" w:name="_Toc224656506"/>
      <w:bookmarkStart w:id="15" w:name="_Toc224656507"/>
      <w:bookmarkStart w:id="16" w:name="_Toc224656508"/>
      <w:bookmarkStart w:id="17" w:name="_Toc224656509"/>
      <w:bookmarkStart w:id="18" w:name="_Toc224656510"/>
      <w:bookmarkStart w:id="19" w:name="_Toc224656511"/>
      <w:bookmarkStart w:id="20" w:name="_Toc224656512"/>
      <w:bookmarkStart w:id="21" w:name="_Toc224656513"/>
      <w:bookmarkStart w:id="22" w:name="_Toc224656514"/>
      <w:bookmarkStart w:id="23" w:name="_Toc224656515"/>
      <w:bookmarkStart w:id="24" w:name="_Toc224656516"/>
      <w:bookmarkStart w:id="25" w:name="_Toc224656517"/>
      <w:bookmarkStart w:id="26" w:name="_Toc224656518"/>
      <w:bookmarkStart w:id="27" w:name="_Toc224656519"/>
      <w:bookmarkStart w:id="28" w:name="_Toc224656520"/>
      <w:bookmarkStart w:id="29" w:name="_Toc224656521"/>
      <w:bookmarkStart w:id="30" w:name="_Toc224656522"/>
      <w:bookmarkStart w:id="31" w:name="_Toc219289821"/>
      <w:bookmarkStart w:id="32" w:name="_Toc243568452"/>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t>Review and decision-making proces</w:t>
      </w:r>
      <w:bookmarkEnd w:id="31"/>
      <w:r>
        <w:t>s</w:t>
      </w:r>
      <w:bookmarkEnd w:id="32"/>
    </w:p>
    <w:p w14:paraId="22E59867" w14:textId="77777777" w:rsidR="00F91B76" w:rsidRDefault="00F91B76" w:rsidP="00F91B76">
      <w:pPr>
        <w:pStyle w:val="Heading2"/>
      </w:pPr>
      <w:bookmarkStart w:id="33" w:name="_Toc243568453"/>
      <w:r>
        <w:t>Submitting an appeal</w:t>
      </w:r>
      <w:bookmarkEnd w:id="33"/>
      <w:r>
        <w:t xml:space="preserve"> </w:t>
      </w:r>
    </w:p>
    <w:p w14:paraId="5D146308" w14:textId="77777777" w:rsidR="00F91B76" w:rsidRPr="00631D5D" w:rsidRDefault="00F91B76" w:rsidP="00F91B76">
      <w:pPr>
        <w:pStyle w:val="Body"/>
        <w:rPr>
          <w:bCs/>
        </w:rPr>
      </w:pPr>
      <w:r>
        <w:rPr>
          <w:bCs/>
        </w:rPr>
        <w:t xml:space="preserve">An appeal </w:t>
      </w:r>
      <w:r w:rsidRPr="00631D5D">
        <w:rPr>
          <w:bCs/>
        </w:rPr>
        <w:t>application (appeal) may be submitted using:</w:t>
      </w:r>
    </w:p>
    <w:p w14:paraId="72281F04" w14:textId="77777777" w:rsidR="00F91B76" w:rsidRPr="00631D5D" w:rsidRDefault="00F91B76" w:rsidP="00F91B76">
      <w:pPr>
        <w:pStyle w:val="Bullet1"/>
      </w:pPr>
      <w:r w:rsidRPr="00631D5D">
        <w:t>a paper application form, available from any local housing office or online at:</w:t>
      </w:r>
    </w:p>
    <w:p w14:paraId="083AD8FD" w14:textId="6A80046D" w:rsidR="00F91B76" w:rsidRPr="00631D5D" w:rsidRDefault="00F91B76" w:rsidP="00F91B76">
      <w:pPr>
        <w:pStyle w:val="Bullet2"/>
      </w:pPr>
      <w:hyperlink r:id="rId23" w:history="1">
        <w:r w:rsidRPr="00631D5D">
          <w:rPr>
            <w:rStyle w:val="Hyperlink"/>
          </w:rPr>
          <w:t xml:space="preserve">Forms &amp; Guides </w:t>
        </w:r>
        <w:r w:rsidR="007F7776">
          <w:rPr>
            <w:rStyle w:val="Hyperlink"/>
          </w:rPr>
          <w:t>on</w:t>
        </w:r>
        <w:r w:rsidRPr="00631D5D">
          <w:rPr>
            <w:rStyle w:val="Hyperlink"/>
          </w:rPr>
          <w:t xml:space="preserve"> Housing.vic.gov.au</w:t>
        </w:r>
      </w:hyperlink>
      <w:r w:rsidR="002D1A67">
        <w:rPr>
          <w:rStyle w:val="FootnoteReference"/>
        </w:rPr>
        <w:footnoteReference w:id="7"/>
      </w:r>
      <w:r w:rsidRPr="00631D5D">
        <w:t xml:space="preserve"> </w:t>
      </w:r>
    </w:p>
    <w:p w14:paraId="24920502" w14:textId="77777777" w:rsidR="00240101" w:rsidRDefault="00F91B76">
      <w:pPr>
        <w:pStyle w:val="Bullet1"/>
        <w:rPr>
          <w:rStyle w:val="Strong"/>
          <w:b w:val="0"/>
          <w:bCs w:val="0"/>
        </w:rPr>
      </w:pPr>
      <w:r w:rsidRPr="00631D5D">
        <w:t xml:space="preserve">the </w:t>
      </w:r>
      <w:hyperlink r:id="rId24" w:history="1">
        <w:r w:rsidRPr="00240101">
          <w:rPr>
            <w:rStyle w:val="Hyperlink"/>
            <w:rFonts w:cs="Arial"/>
            <w:szCs w:val="21"/>
          </w:rPr>
          <w:t>online housing appeal application form</w:t>
        </w:r>
      </w:hyperlink>
      <w:r w:rsidR="002D1A67">
        <w:rPr>
          <w:rStyle w:val="FootnoteReference"/>
        </w:rPr>
        <w:footnoteReference w:id="8"/>
      </w:r>
      <w:r w:rsidRPr="00240101">
        <w:rPr>
          <w:rStyle w:val="Strong"/>
          <w:rFonts w:cs="Arial"/>
          <w:b w:val="0"/>
          <w:bCs w:val="0"/>
          <w:szCs w:val="21"/>
        </w:rPr>
        <w:t xml:space="preserve"> </w:t>
      </w:r>
    </w:p>
    <w:p w14:paraId="0ED74FE2" w14:textId="3B04071F" w:rsidR="00F91B76" w:rsidRPr="00E61696" w:rsidRDefault="00F91B76" w:rsidP="00497354">
      <w:pPr>
        <w:pStyle w:val="Bodyafterbullets"/>
      </w:pPr>
      <w:r w:rsidRPr="00E61696">
        <w:t>The submission must outline:</w:t>
      </w:r>
    </w:p>
    <w:p w14:paraId="752044B9" w14:textId="77777777" w:rsidR="00F91B76" w:rsidRPr="00631D5D" w:rsidRDefault="00F91B76" w:rsidP="00F91B76">
      <w:pPr>
        <w:pStyle w:val="Bullet1"/>
      </w:pPr>
      <w:r w:rsidRPr="00631D5D">
        <w:t>the service the appeal relates to (</w:t>
      </w:r>
      <w:r>
        <w:t>e.g.</w:t>
      </w:r>
      <w:r w:rsidRPr="00631D5D">
        <w:t xml:space="preserve"> Victorian Housing Register, RentAssist Bond Loan)</w:t>
      </w:r>
    </w:p>
    <w:p w14:paraId="71F9732D" w14:textId="77777777" w:rsidR="00F91B76" w:rsidRPr="00631D5D" w:rsidRDefault="00F91B76" w:rsidP="00F91B76">
      <w:pPr>
        <w:pStyle w:val="Bullet1"/>
      </w:pPr>
      <w:r w:rsidRPr="00631D5D">
        <w:t xml:space="preserve">the </w:t>
      </w:r>
      <w:r>
        <w:t>decision being appealed</w:t>
      </w:r>
    </w:p>
    <w:p w14:paraId="09C47CDD" w14:textId="6AD9F1B0" w:rsidR="00F91B76" w:rsidRPr="00631D5D" w:rsidRDefault="00F91B76" w:rsidP="00F91B76">
      <w:pPr>
        <w:pStyle w:val="Bullet1"/>
      </w:pPr>
      <w:r w:rsidRPr="00631D5D">
        <w:t>any new information staff should consider</w:t>
      </w:r>
      <w:r w:rsidR="00AE4512">
        <w:t>.</w:t>
      </w:r>
    </w:p>
    <w:p w14:paraId="51F6D2F8" w14:textId="77777777" w:rsidR="00F91B76" w:rsidRPr="00BE0CD0" w:rsidRDefault="00F91B76" w:rsidP="00F91B76">
      <w:pPr>
        <w:pStyle w:val="Heading2"/>
      </w:pPr>
      <w:bookmarkStart w:id="34" w:name="_Toc243568454"/>
      <w:r>
        <w:t>Timeframes for assessment</w:t>
      </w:r>
      <w:bookmarkEnd w:id="34"/>
      <w:r>
        <w:t xml:space="preserve"> </w:t>
      </w:r>
    </w:p>
    <w:p w14:paraId="05086623" w14:textId="77777777" w:rsidR="00F91B76" w:rsidRPr="00BE0CD0" w:rsidRDefault="00F91B76" w:rsidP="00F91B76">
      <w:pPr>
        <w:pStyle w:val="Body"/>
      </w:pPr>
      <w:r w:rsidRPr="00BE0CD0">
        <w:t>All incoming appeals must undergo initial triage within 24 hours of receipt to determine urgency, identify missing documentation, and initiate one of the following mandated processing paths:</w:t>
      </w:r>
    </w:p>
    <w:p w14:paraId="2E4311BA" w14:textId="3BDDD3D8" w:rsidR="00F91B76" w:rsidRPr="00BE0CD0" w:rsidRDefault="00F91B76" w:rsidP="00F91B76">
      <w:pPr>
        <w:pStyle w:val="Bullet1"/>
      </w:pPr>
      <w:r w:rsidRPr="00BE0CD0">
        <w:rPr>
          <w:b/>
          <w:bCs/>
        </w:rPr>
        <w:t>Urgent (48 hours turnaround):</w:t>
      </w:r>
      <w:r w:rsidRPr="00BE0CD0">
        <w:t xml:space="preserve"> </w:t>
      </w:r>
      <w:r w:rsidR="004E53B0">
        <w:t>a</w:t>
      </w:r>
      <w:r w:rsidRPr="00BE0CD0">
        <w:t>pplies to appeals involving high-risk family violence safety concerns or immediate financial crises, such as urgent RentAssist bond loan eligibility. These cases must be prioritised for immediate actioning.</w:t>
      </w:r>
    </w:p>
    <w:p w14:paraId="5E0BCB35" w14:textId="10A994F5" w:rsidR="00F91B76" w:rsidRPr="00BE0CD0" w:rsidRDefault="00F91B76" w:rsidP="00F91B76">
      <w:pPr>
        <w:pStyle w:val="Bullet1"/>
      </w:pPr>
      <w:r w:rsidRPr="00BE0CD0">
        <w:rPr>
          <w:b/>
          <w:bCs/>
        </w:rPr>
        <w:t>Non-urgent (14 business days turnaround):</w:t>
      </w:r>
      <w:r w:rsidR="004E53B0">
        <w:t xml:space="preserve"> a</w:t>
      </w:r>
      <w:r w:rsidRPr="00BE0CD0">
        <w:t>pplies to all standard, non-crisis appeal types. The 14-day limit is a fixed total timeframe that begins upon receipt of the appeal. While the applicant is given 5 business days to provide missing documents, the assessment team must still complete and finalise the case within the original 14 business day window.</w:t>
      </w:r>
    </w:p>
    <w:p w14:paraId="057FAAC4" w14:textId="764EB1E5" w:rsidR="00F91B76" w:rsidRPr="00E61696" w:rsidRDefault="00F91B76" w:rsidP="00380236">
      <w:pPr>
        <w:pStyle w:val="Bodyafterbullets"/>
      </w:pPr>
      <w:r w:rsidRPr="00E61696">
        <w:t xml:space="preserve">Only under exceptional circumstances can a further 14 business day processing extension be applied and logged within the Housing Information Integrated Program (HiiP). Proposed extensions must be assessed and approved by a </w:t>
      </w:r>
      <w:r w:rsidR="009E34E5">
        <w:t>T</w:t>
      </w:r>
      <w:r w:rsidRPr="00E61696">
        <w:t xml:space="preserve">eam </w:t>
      </w:r>
      <w:r w:rsidR="009E34E5">
        <w:t>M</w:t>
      </w:r>
      <w:r w:rsidRPr="00E61696">
        <w:t xml:space="preserve">anager or above before being applied in the system. </w:t>
      </w:r>
      <w:r w:rsidRPr="00E61696">
        <w:lastRenderedPageBreak/>
        <w:t>Extensions must not be utilised to grant additional processing time due to standard administrative delays.</w:t>
      </w:r>
    </w:p>
    <w:p w14:paraId="0DC6D402" w14:textId="77777777" w:rsidR="00F91B76" w:rsidRDefault="00F91B76" w:rsidP="00F91B76">
      <w:pPr>
        <w:pStyle w:val="Heading3"/>
      </w:pPr>
      <w:r w:rsidRPr="007F6386">
        <w:t xml:space="preserve">Outcomes and </w:t>
      </w:r>
      <w:r>
        <w:t>a</w:t>
      </w:r>
      <w:r w:rsidRPr="007F6386">
        <w:t>dvanced</w:t>
      </w:r>
      <w:r>
        <w:t xml:space="preserve"> a</w:t>
      </w:r>
      <w:r w:rsidRPr="007F6386">
        <w:t xml:space="preserve">ppeal </w:t>
      </w:r>
      <w:r>
        <w:t>r</w:t>
      </w:r>
      <w:r w:rsidRPr="007F6386">
        <w:t>eviews</w:t>
      </w:r>
    </w:p>
    <w:p w14:paraId="1FC00A0D" w14:textId="77777777" w:rsidR="00F91B76" w:rsidRDefault="00F91B76" w:rsidP="00240101">
      <w:pPr>
        <w:pStyle w:val="Body"/>
      </w:pPr>
      <w:r w:rsidRPr="007F6386">
        <w:t xml:space="preserve">Following a successful </w:t>
      </w:r>
      <w:r w:rsidRPr="00BC6AF4">
        <w:rPr>
          <w:b/>
          <w:bCs/>
        </w:rPr>
        <w:t>initial appeal review (Tier 1 review)</w:t>
      </w:r>
      <w:r w:rsidRPr="007F6386">
        <w:t xml:space="preserve"> appeal determination, all operational actions required to overturn or amend the original decision must be completed within 5 business days of the decision date.</w:t>
      </w:r>
    </w:p>
    <w:p w14:paraId="254E467A" w14:textId="77777777" w:rsidR="00F91B76" w:rsidRDefault="00F91B76" w:rsidP="00240101">
      <w:pPr>
        <w:pStyle w:val="Body"/>
      </w:pPr>
      <w:r w:rsidRPr="007F6386">
        <w:t xml:space="preserve">Where an appeal requires an </w:t>
      </w:r>
      <w:r w:rsidRPr="00BC6AF4">
        <w:rPr>
          <w:b/>
          <w:bCs/>
        </w:rPr>
        <w:t>advanced appeal review (Tier 2</w:t>
      </w:r>
      <w:r>
        <w:rPr>
          <w:b/>
          <w:bCs/>
        </w:rPr>
        <w:t xml:space="preserve"> review</w:t>
      </w:r>
      <w:r w:rsidRPr="00BC6AF4">
        <w:rPr>
          <w:b/>
          <w:bCs/>
        </w:rPr>
        <w:t>),</w:t>
      </w:r>
      <w:r w:rsidRPr="007F6386">
        <w:t xml:space="preserve"> the Housing Appeals Team is subject to the </w:t>
      </w:r>
      <w:r>
        <w:t>same</w:t>
      </w:r>
      <w:r w:rsidRPr="007F6386">
        <w:t xml:space="preserve"> processing timelines and requirements initiated at Tier 1. The team must triage the appeal within 24 hours of receipt to independently determine urgency, allow up to 5 business days for any requested information, and complete the full assessment within 14 business days from the date of Tier 2 receipt.</w:t>
      </w:r>
    </w:p>
    <w:p w14:paraId="46F2812C" w14:textId="77777777" w:rsidR="00F91B76" w:rsidRDefault="00F91B76" w:rsidP="00240101">
      <w:pPr>
        <w:pStyle w:val="Body"/>
      </w:pPr>
      <w:r>
        <w:t xml:space="preserve">Including all potential standard periods and approved extensions across both tiers, the entire process must </w:t>
      </w:r>
      <w:r w:rsidRPr="53B49EB7">
        <w:rPr>
          <w:b/>
          <w:bCs/>
        </w:rPr>
        <w:t>not exceed a maximum of 8 weeks end-to-end</w:t>
      </w:r>
      <w:r>
        <w:t>.</w:t>
      </w:r>
    </w:p>
    <w:p w14:paraId="59EA050F" w14:textId="6A97C220" w:rsidR="00576F19" w:rsidRPr="00BE0CD0" w:rsidRDefault="000E080A" w:rsidP="00240101">
      <w:pPr>
        <w:pStyle w:val="Body"/>
      </w:pPr>
      <w:r w:rsidRPr="000E080A">
        <w:t xml:space="preserve">The housing appeals team monitors these timeframes and regularly contacts </w:t>
      </w:r>
      <w:r w:rsidR="003B04B2">
        <w:t xml:space="preserve">client </w:t>
      </w:r>
      <w:r w:rsidR="0015728E">
        <w:t>support</w:t>
      </w:r>
      <w:r w:rsidRPr="000E080A">
        <w:t xml:space="preserve"> and housing s</w:t>
      </w:r>
      <w:r w:rsidR="0015728E">
        <w:t>ervices</w:t>
      </w:r>
      <w:r w:rsidRPr="000E080A">
        <w:t xml:space="preserve"> (CSHS) managers to follow up on pending appeals. If a manager does not respond within the required timeframe, the </w:t>
      </w:r>
      <w:r w:rsidR="009E34E5">
        <w:t>H</w:t>
      </w:r>
      <w:r w:rsidRPr="000E080A">
        <w:t xml:space="preserve">ousing </w:t>
      </w:r>
      <w:r w:rsidR="009E34E5">
        <w:t>A</w:t>
      </w:r>
      <w:r w:rsidRPr="000E080A">
        <w:t xml:space="preserve">ppeals </w:t>
      </w:r>
      <w:r w:rsidR="009E34E5">
        <w:t>T</w:t>
      </w:r>
      <w:r w:rsidRPr="000E080A">
        <w:t>eam will escalate the matter to the relevant area executive director for resolution.</w:t>
      </w:r>
    </w:p>
    <w:p w14:paraId="6052606E" w14:textId="77777777" w:rsidR="00F91B76" w:rsidRPr="00631D5D" w:rsidRDefault="7A90A83F" w:rsidP="00F91B76">
      <w:pPr>
        <w:pStyle w:val="Heading2"/>
      </w:pPr>
      <w:bookmarkStart w:id="35" w:name="_Toc224656525"/>
      <w:bookmarkStart w:id="36" w:name="_Toc224656526"/>
      <w:bookmarkStart w:id="37" w:name="_Toc224656527"/>
      <w:bookmarkStart w:id="38" w:name="_Toc219289823"/>
      <w:bookmarkStart w:id="39" w:name="_Toc243568455"/>
      <w:bookmarkEnd w:id="35"/>
      <w:bookmarkEnd w:id="36"/>
      <w:bookmarkEnd w:id="37"/>
      <w:r>
        <w:t>Initial appeal review</w:t>
      </w:r>
      <w:bookmarkEnd w:id="38"/>
      <w:bookmarkEnd w:id="39"/>
    </w:p>
    <w:p w14:paraId="534A47EF" w14:textId="7BDEC1B3" w:rsidR="00F91B76" w:rsidRPr="00631D5D" w:rsidRDefault="00F91B76" w:rsidP="00F91B76">
      <w:pPr>
        <w:pStyle w:val="Body"/>
      </w:pPr>
      <w:r>
        <w:t xml:space="preserve">The </w:t>
      </w:r>
      <w:r w:rsidRPr="0A5EB4F3">
        <w:rPr>
          <w:b/>
          <w:bCs/>
        </w:rPr>
        <w:t>initial appeal review</w:t>
      </w:r>
      <w:r>
        <w:rPr>
          <w:b/>
          <w:bCs/>
        </w:rPr>
        <w:t xml:space="preserve"> </w:t>
      </w:r>
      <w:r w:rsidR="00226850">
        <w:t xml:space="preserve">should </w:t>
      </w:r>
      <w:r>
        <w:t xml:space="preserve"> be completed by the local housing office and completed by staff who were </w:t>
      </w:r>
      <w:r w:rsidRPr="0A5EB4F3">
        <w:rPr>
          <w:b/>
          <w:bCs/>
        </w:rPr>
        <w:t>not involved</w:t>
      </w:r>
      <w:r>
        <w:t xml:space="preserve"> in the original decision.</w:t>
      </w:r>
    </w:p>
    <w:p w14:paraId="63B66BD9" w14:textId="77777777" w:rsidR="00F91B76" w:rsidRDefault="00F91B76" w:rsidP="00F91B76">
      <w:pPr>
        <w:pStyle w:val="Body"/>
      </w:pPr>
      <w:r w:rsidRPr="00A26ACF">
        <w:t>The following table</w:t>
      </w:r>
      <w:r>
        <w:t xml:space="preserve"> outlines</w:t>
      </w:r>
      <w:r w:rsidRPr="0066779C">
        <w:t xml:space="preserve"> the mandatory actions required during this review:</w:t>
      </w:r>
    </w:p>
    <w:p w14:paraId="68543D5F" w14:textId="77777777" w:rsidR="00F91B76" w:rsidRPr="00631D5D" w:rsidRDefault="00F91B76" w:rsidP="00F91B76">
      <w:pPr>
        <w:pStyle w:val="Tablecaption"/>
      </w:pPr>
      <w:r>
        <w:t>Table 3: Staff appeal actions</w:t>
      </w:r>
    </w:p>
    <w:tbl>
      <w:tblPr>
        <w:tblStyle w:val="TableGridLight"/>
        <w:tblW w:w="9720" w:type="dxa"/>
        <w:tblLook w:val="04A0" w:firstRow="1" w:lastRow="0" w:firstColumn="1" w:lastColumn="0" w:noHBand="0" w:noVBand="1"/>
      </w:tblPr>
      <w:tblGrid>
        <w:gridCol w:w="2554"/>
        <w:gridCol w:w="7166"/>
      </w:tblGrid>
      <w:tr w:rsidR="00F91B76" w:rsidRPr="0018186A" w14:paraId="07938F28" w14:textId="77777777">
        <w:trPr>
          <w:tblHeader/>
        </w:trPr>
        <w:tc>
          <w:tcPr>
            <w:tcW w:w="0" w:type="auto"/>
            <w:hideMark/>
          </w:tcPr>
          <w:p w14:paraId="02C341AD" w14:textId="77777777" w:rsidR="00F91B76" w:rsidRPr="0018186A" w:rsidRDefault="00F91B76">
            <w:pPr>
              <w:pStyle w:val="Tablecolhead"/>
              <w:rPr>
                <w:rFonts w:eastAsia="Times"/>
              </w:rPr>
            </w:pPr>
            <w:r w:rsidRPr="0018186A">
              <w:rPr>
                <w:rFonts w:eastAsia="Times"/>
              </w:rPr>
              <w:t>Action</w:t>
            </w:r>
          </w:p>
        </w:tc>
        <w:tc>
          <w:tcPr>
            <w:tcW w:w="0" w:type="auto"/>
            <w:hideMark/>
          </w:tcPr>
          <w:p w14:paraId="17BB4D5C" w14:textId="77777777" w:rsidR="00F91B76" w:rsidRPr="0018186A" w:rsidRDefault="00F91B76">
            <w:pPr>
              <w:pStyle w:val="Tablecolhead"/>
              <w:rPr>
                <w:rFonts w:eastAsia="Times"/>
              </w:rPr>
            </w:pPr>
            <w:r w:rsidRPr="0018186A">
              <w:rPr>
                <w:rFonts w:eastAsia="Times"/>
              </w:rPr>
              <w:t>Detail</w:t>
            </w:r>
            <w:r>
              <w:rPr>
                <w:rFonts w:eastAsia="Times"/>
              </w:rPr>
              <w:t>/ Process</w:t>
            </w:r>
          </w:p>
        </w:tc>
      </w:tr>
      <w:tr w:rsidR="00F91B76" w:rsidRPr="0018186A" w14:paraId="3AA2C9DC" w14:textId="77777777">
        <w:tc>
          <w:tcPr>
            <w:tcW w:w="0" w:type="auto"/>
            <w:hideMark/>
          </w:tcPr>
          <w:p w14:paraId="42E795A6" w14:textId="77777777" w:rsidR="00F91B76" w:rsidRPr="0019145A" w:rsidRDefault="00F91B76">
            <w:pPr>
              <w:pStyle w:val="Tabletext"/>
              <w:rPr>
                <w:rFonts w:eastAsia="Times"/>
              </w:rPr>
            </w:pPr>
            <w:r w:rsidRPr="0019145A">
              <w:rPr>
                <w:rFonts w:eastAsia="Times"/>
              </w:rPr>
              <w:t>Registration and acknowledgment</w:t>
            </w:r>
          </w:p>
        </w:tc>
        <w:tc>
          <w:tcPr>
            <w:tcW w:w="0" w:type="auto"/>
            <w:hideMark/>
          </w:tcPr>
          <w:p w14:paraId="4964C9E9" w14:textId="77777777" w:rsidR="00F91B76" w:rsidRPr="0018186A" w:rsidRDefault="00F91B76">
            <w:pPr>
              <w:pStyle w:val="Tabletext"/>
              <w:rPr>
                <w:rFonts w:eastAsia="Times"/>
              </w:rPr>
            </w:pPr>
            <w:r w:rsidRPr="0018186A">
              <w:rPr>
                <w:rFonts w:eastAsia="Times"/>
              </w:rPr>
              <w:t>Register the appeal in HiiP and send an acknowledgment letter to the client and their advocate within 24 hours of receiving the appeal.</w:t>
            </w:r>
          </w:p>
        </w:tc>
      </w:tr>
      <w:tr w:rsidR="00F91B76" w:rsidRPr="0018186A" w14:paraId="1A759C0A" w14:textId="77777777">
        <w:tc>
          <w:tcPr>
            <w:tcW w:w="0" w:type="auto"/>
          </w:tcPr>
          <w:p w14:paraId="1226CB13" w14:textId="77777777" w:rsidR="00F91B76" w:rsidRPr="0019145A" w:rsidRDefault="00F91B76">
            <w:pPr>
              <w:pStyle w:val="Tabletext"/>
              <w:rPr>
                <w:rFonts w:eastAsia="Times"/>
              </w:rPr>
            </w:pPr>
            <w:r w:rsidRPr="0019145A">
              <w:rPr>
                <w:rFonts w:eastAsia="Times"/>
              </w:rPr>
              <w:t>Client consultation</w:t>
            </w:r>
          </w:p>
        </w:tc>
        <w:tc>
          <w:tcPr>
            <w:tcW w:w="0" w:type="auto"/>
          </w:tcPr>
          <w:p w14:paraId="75495CAF" w14:textId="77777777" w:rsidR="00F91B76" w:rsidRPr="0018186A" w:rsidRDefault="00F91B76">
            <w:pPr>
              <w:pStyle w:val="Tabletext"/>
              <w:rPr>
                <w:rFonts w:eastAsia="Times"/>
              </w:rPr>
            </w:pPr>
            <w:r w:rsidRPr="0018186A">
              <w:rPr>
                <w:rFonts w:eastAsia="Times"/>
              </w:rPr>
              <w:t>Contact the client to confirm their reasons for appealing and check that all required documents have been provided.</w:t>
            </w:r>
          </w:p>
        </w:tc>
      </w:tr>
      <w:tr w:rsidR="00F91B76" w:rsidRPr="0018186A" w14:paraId="7C87A004" w14:textId="77777777">
        <w:tc>
          <w:tcPr>
            <w:tcW w:w="0" w:type="auto"/>
          </w:tcPr>
          <w:p w14:paraId="2CEFE5DB" w14:textId="77777777" w:rsidR="00F91B76" w:rsidRPr="0019145A" w:rsidRDefault="00F91B76">
            <w:pPr>
              <w:pStyle w:val="Tabletext"/>
              <w:rPr>
                <w:rFonts w:eastAsia="Times"/>
              </w:rPr>
            </w:pPr>
            <w:r w:rsidRPr="0019145A">
              <w:rPr>
                <w:rFonts w:eastAsia="Times"/>
              </w:rPr>
              <w:t>Evidence gathering</w:t>
            </w:r>
          </w:p>
        </w:tc>
        <w:tc>
          <w:tcPr>
            <w:tcW w:w="0" w:type="auto"/>
          </w:tcPr>
          <w:p w14:paraId="0A51BB35" w14:textId="77777777" w:rsidR="00F91B76" w:rsidRPr="0018186A" w:rsidRDefault="00F91B76">
            <w:pPr>
              <w:pStyle w:val="Tabletext"/>
              <w:rPr>
                <w:rFonts w:eastAsia="Times"/>
              </w:rPr>
            </w:pPr>
            <w:r>
              <w:rPr>
                <w:rFonts w:eastAsia="Times"/>
              </w:rPr>
              <w:t xml:space="preserve">Consider </w:t>
            </w:r>
            <w:r w:rsidRPr="00B206B2">
              <w:rPr>
                <w:rFonts w:eastAsia="Times"/>
              </w:rPr>
              <w:t>all existing information and determine whether additional evidence is required to ensure a fair and balanced decision.</w:t>
            </w:r>
          </w:p>
        </w:tc>
      </w:tr>
      <w:tr w:rsidR="00F91B76" w:rsidRPr="0018186A" w14:paraId="54475752" w14:textId="77777777">
        <w:tc>
          <w:tcPr>
            <w:tcW w:w="0" w:type="auto"/>
            <w:hideMark/>
          </w:tcPr>
          <w:p w14:paraId="7A12A965" w14:textId="77777777" w:rsidR="00F91B76" w:rsidRPr="0019145A" w:rsidRDefault="00F91B76">
            <w:pPr>
              <w:pStyle w:val="Tabletext"/>
              <w:rPr>
                <w:rFonts w:eastAsia="Times"/>
              </w:rPr>
            </w:pPr>
            <w:r>
              <w:rPr>
                <w:rFonts w:eastAsia="Times"/>
              </w:rPr>
              <w:t>Operational guideline</w:t>
            </w:r>
            <w:r w:rsidRPr="0019145A">
              <w:rPr>
                <w:rFonts w:eastAsia="Times"/>
              </w:rPr>
              <w:t xml:space="preserve"> review</w:t>
            </w:r>
          </w:p>
        </w:tc>
        <w:tc>
          <w:tcPr>
            <w:tcW w:w="0" w:type="auto"/>
            <w:hideMark/>
          </w:tcPr>
          <w:p w14:paraId="38F96FEB" w14:textId="77777777" w:rsidR="00F91B76" w:rsidRPr="0018186A" w:rsidRDefault="00F91B76">
            <w:pPr>
              <w:pStyle w:val="Tabletext"/>
              <w:rPr>
                <w:rFonts w:eastAsia="Times"/>
              </w:rPr>
            </w:pPr>
            <w:r w:rsidRPr="0018186A">
              <w:rPr>
                <w:rFonts w:eastAsia="Times"/>
              </w:rPr>
              <w:t>Assess the original decision against the relevant operational guidelines.</w:t>
            </w:r>
          </w:p>
        </w:tc>
      </w:tr>
    </w:tbl>
    <w:p w14:paraId="4FEDD388" w14:textId="77777777" w:rsidR="00F91B76" w:rsidRDefault="00F91B76" w:rsidP="00F91B76">
      <w:pPr>
        <w:pStyle w:val="Heading3"/>
      </w:pPr>
      <w:r>
        <w:t>Review and decision</w:t>
      </w:r>
      <w:r w:rsidRPr="00BE6995">
        <w:t>-making workflow</w:t>
      </w:r>
    </w:p>
    <w:p w14:paraId="71D8F413" w14:textId="682A61D1" w:rsidR="00F91B76" w:rsidRPr="00744B45" w:rsidRDefault="00F91B76" w:rsidP="00F91B76">
      <w:pPr>
        <w:pStyle w:val="Body"/>
      </w:pPr>
      <w:r>
        <w:t>As part of the review of the original decision, staff</w:t>
      </w:r>
      <w:r w:rsidRPr="00BE6995">
        <w:t xml:space="preserve">, </w:t>
      </w:r>
      <w:r w:rsidR="001851D8">
        <w:t>t</w:t>
      </w:r>
      <w:r w:rsidRPr="00BE6995">
        <w:t xml:space="preserve">eam </w:t>
      </w:r>
      <w:r w:rsidR="001851D8">
        <w:t>l</w:t>
      </w:r>
      <w:r w:rsidRPr="00BE6995">
        <w:t xml:space="preserve">eaders and </w:t>
      </w:r>
      <w:r w:rsidR="001851D8">
        <w:t>t</w:t>
      </w:r>
      <w:r w:rsidRPr="00BE6995">
        <w:t xml:space="preserve">eam </w:t>
      </w:r>
      <w:r w:rsidR="001851D8">
        <w:t>m</w:t>
      </w:r>
      <w:r w:rsidRPr="00BE6995">
        <w:t xml:space="preserve">anagers/CSHS </w:t>
      </w:r>
      <w:r w:rsidR="001851D8">
        <w:t>m</w:t>
      </w:r>
      <w:r w:rsidRPr="00BE6995">
        <w:t>anagers</w:t>
      </w:r>
      <w:r>
        <w:t xml:space="preserve"> must:</w:t>
      </w:r>
    </w:p>
    <w:p w14:paraId="2B187DC8" w14:textId="27DB73F7" w:rsidR="00F91B76" w:rsidRDefault="00F91B76" w:rsidP="00F91B76">
      <w:pPr>
        <w:pStyle w:val="Bullet1"/>
      </w:pPr>
      <w:r>
        <w:t xml:space="preserve">document their review in </w:t>
      </w:r>
      <w:r w:rsidR="00202432">
        <w:t xml:space="preserve">the </w:t>
      </w:r>
      <w:r>
        <w:t>HiiP</w:t>
      </w:r>
      <w:r w:rsidR="00202432">
        <w:t xml:space="preserve"> </w:t>
      </w:r>
      <w:r>
        <w:t>internal appeal memorandum, including:</w:t>
      </w:r>
    </w:p>
    <w:p w14:paraId="659E2551" w14:textId="77777777" w:rsidR="00F91B76" w:rsidRDefault="00F91B76" w:rsidP="00F91B76">
      <w:pPr>
        <w:pStyle w:val="Bullet2"/>
      </w:pPr>
      <w:r>
        <w:t>the basis on which the original decision was made, including reference to relevant operational guidelines</w:t>
      </w:r>
    </w:p>
    <w:p w14:paraId="7F0A6F16" w14:textId="77777777" w:rsidR="00F91B76" w:rsidRDefault="00F91B76" w:rsidP="00F91B76">
      <w:pPr>
        <w:pStyle w:val="Bullet2"/>
      </w:pPr>
      <w:r>
        <w:t>any new or different information provided since the original decision</w:t>
      </w:r>
    </w:p>
    <w:p w14:paraId="4E5496F4" w14:textId="77777777" w:rsidR="00F91B76" w:rsidRPr="00BE6995" w:rsidRDefault="00F91B76" w:rsidP="00F91B76">
      <w:pPr>
        <w:pStyle w:val="Bullet2"/>
      </w:pPr>
      <w:r w:rsidRPr="00BE6995">
        <w:t>address any missed evidence or errors in how the operational guidelines were applied</w:t>
      </w:r>
    </w:p>
    <w:p w14:paraId="1E2FE124" w14:textId="2F426959" w:rsidR="00F91B76" w:rsidRDefault="00F91B76" w:rsidP="00F91B76">
      <w:pPr>
        <w:pStyle w:val="Bullet2"/>
      </w:pPr>
      <w:r>
        <w:t xml:space="preserve">assess any impact the decision has on the client's </w:t>
      </w:r>
      <w:r w:rsidR="000C3422">
        <w:t>h</w:t>
      </w:r>
      <w:r w:rsidRPr="00F52FA0">
        <w:t xml:space="preserve">uman </w:t>
      </w:r>
      <w:r w:rsidR="000C3422">
        <w:t>r</w:t>
      </w:r>
      <w:r w:rsidRPr="00F52FA0">
        <w:t>ights</w:t>
      </w:r>
      <w:r>
        <w:t xml:space="preserve"> (see </w:t>
      </w:r>
      <w:hyperlink w:anchor="_Human_rights_potentially" w:history="1">
        <w:r w:rsidRPr="00F52FA0">
          <w:rPr>
            <w:rStyle w:val="Hyperlink"/>
          </w:rPr>
          <w:t>Section 5.4 Human rights potentially engaged during the appeals process</w:t>
        </w:r>
      </w:hyperlink>
      <w:r>
        <w:t>)</w:t>
      </w:r>
    </w:p>
    <w:p w14:paraId="2DDCD508" w14:textId="77777777" w:rsidR="00F91B76" w:rsidRDefault="00F91B76" w:rsidP="00F91B76">
      <w:pPr>
        <w:pStyle w:val="Bullet2"/>
      </w:pPr>
      <w:r>
        <w:lastRenderedPageBreak/>
        <w:t>provide a recommendation regarding the outcome of the appeal based on this information</w:t>
      </w:r>
      <w:r w:rsidRPr="00BE6995">
        <w:t>.</w:t>
      </w:r>
      <w:r>
        <w:t xml:space="preserve"> </w:t>
      </w:r>
    </w:p>
    <w:p w14:paraId="0BE55B2B" w14:textId="77777777" w:rsidR="00F91B76" w:rsidRDefault="00F91B76" w:rsidP="00F91B76">
      <w:pPr>
        <w:pStyle w:val="Heading3"/>
      </w:pPr>
      <w:r>
        <w:t>Outcomes</w:t>
      </w:r>
    </w:p>
    <w:p w14:paraId="78E72A21" w14:textId="439DFD77" w:rsidR="00F91B76" w:rsidRDefault="00F91B76" w:rsidP="00B1368E">
      <w:pPr>
        <w:pStyle w:val="Body"/>
      </w:pPr>
      <w:r>
        <w:t xml:space="preserve">Where the original decision remains unchanged, the appeal is considered unsuccessful. As part of this outcome, the </w:t>
      </w:r>
      <w:r w:rsidR="00D92CEF">
        <w:t>t</w:t>
      </w:r>
      <w:r w:rsidRPr="00FE100C">
        <w:t xml:space="preserve">eam </w:t>
      </w:r>
      <w:r w:rsidR="00D92CEF">
        <w:t>m</w:t>
      </w:r>
      <w:r w:rsidRPr="00FE100C">
        <w:t>anager</w:t>
      </w:r>
      <w:r>
        <w:t xml:space="preserve">/CSHS </w:t>
      </w:r>
      <w:r w:rsidR="00D92CEF">
        <w:t>m</w:t>
      </w:r>
      <w:r>
        <w:t>anager must:</w:t>
      </w:r>
    </w:p>
    <w:p w14:paraId="574825F4" w14:textId="77777777" w:rsidR="00F91B76" w:rsidRDefault="00F91B76" w:rsidP="00F91B76">
      <w:pPr>
        <w:pStyle w:val="Bullet1"/>
      </w:pPr>
      <w:r>
        <w:t>record the outcome as unsuccessful in HiiP</w:t>
      </w:r>
    </w:p>
    <w:p w14:paraId="05E4E620" w14:textId="735F78D7" w:rsidR="00F91B76" w:rsidRDefault="00F91B76" w:rsidP="00F91B76">
      <w:pPr>
        <w:pStyle w:val="Bullet1"/>
      </w:pPr>
      <w:r>
        <w:t xml:space="preserve">send an outcome letter to the client and their advocate, advising them of the decision and that the appeal will be escalated to an advanced appeal </w:t>
      </w:r>
      <w:r w:rsidR="0067523E">
        <w:t>review</w:t>
      </w:r>
    </w:p>
    <w:p w14:paraId="395CFCFE" w14:textId="77777777" w:rsidR="00F91B76" w:rsidRPr="001460BF" w:rsidRDefault="00F91B76" w:rsidP="00F91B76">
      <w:pPr>
        <w:pStyle w:val="Bullet1"/>
      </w:pPr>
      <w:r>
        <w:t>e</w:t>
      </w:r>
      <w:r w:rsidRPr="001460BF">
        <w:t xml:space="preserve">scalate the appeal in HiiP for further review by the Housing Appeals </w:t>
      </w:r>
      <w:r w:rsidRPr="00B9770C">
        <w:t>Team</w:t>
      </w:r>
      <w:r w:rsidRPr="001460BF">
        <w:t>; this process is automatically triggered when the "unsuccessful" box is selected in the HiiP record.</w:t>
      </w:r>
    </w:p>
    <w:p w14:paraId="3F626BEC" w14:textId="3DBC3D26" w:rsidR="00F91B76" w:rsidRPr="00E61696" w:rsidRDefault="7A90A83F" w:rsidP="00380236">
      <w:pPr>
        <w:pStyle w:val="Bodyafterbullets"/>
      </w:pPr>
      <w:r w:rsidRPr="00E61696">
        <w:t xml:space="preserve">Where the appeal is successful, the </w:t>
      </w:r>
      <w:r w:rsidR="00D92CEF" w:rsidRPr="00E61696">
        <w:t>t</w:t>
      </w:r>
      <w:r w:rsidRPr="00E61696">
        <w:t xml:space="preserve">eam </w:t>
      </w:r>
      <w:r w:rsidR="00D92CEF" w:rsidRPr="00E61696">
        <w:t>m</w:t>
      </w:r>
      <w:r w:rsidRPr="00E61696">
        <w:t xml:space="preserve">anager/CSHS </w:t>
      </w:r>
      <w:r w:rsidR="00D92CEF" w:rsidRPr="00E61696">
        <w:t>m</w:t>
      </w:r>
      <w:r w:rsidRPr="00E61696">
        <w:t>anager must:</w:t>
      </w:r>
    </w:p>
    <w:p w14:paraId="3DD319CC" w14:textId="77777777" w:rsidR="00F91B76" w:rsidRPr="004D3A5A" w:rsidRDefault="00F91B76" w:rsidP="004D3A5A">
      <w:pPr>
        <w:pStyle w:val="Bullet1"/>
      </w:pPr>
      <w:r w:rsidRPr="004D3A5A">
        <w:t>record the outcome as successful in HiiP</w:t>
      </w:r>
    </w:p>
    <w:p w14:paraId="66917183" w14:textId="30ABCAD7" w:rsidR="00F91B76" w:rsidRDefault="7A90A83F" w:rsidP="004D3A5A">
      <w:pPr>
        <w:pStyle w:val="Bullet1"/>
      </w:pPr>
      <w:r w:rsidRPr="004D3A5A">
        <w:t>update the original decision and ensure all recommended actions are completed. For example, if a Victorian Housing Register application status is changed from 'not approved' to 'approved', you must complete all subsequent steps to activate the updated status</w:t>
      </w:r>
    </w:p>
    <w:p w14:paraId="7908A019" w14:textId="0EB38B0F" w:rsidR="001D1C0E" w:rsidRPr="004D3A5A" w:rsidRDefault="001D1C0E" w:rsidP="001D1C0E">
      <w:pPr>
        <w:pStyle w:val="Bullet1"/>
      </w:pPr>
      <w:r w:rsidRPr="001D1C0E">
        <w:t>where appropriate, discuss outcomes with staff to support continuous improvement, upskill decision-makers and improve alignment with operational guidelines.</w:t>
      </w:r>
    </w:p>
    <w:p w14:paraId="74BC9696" w14:textId="77777777" w:rsidR="00F91B76" w:rsidRPr="00631D5D" w:rsidRDefault="00F91B76" w:rsidP="00F91B76">
      <w:pPr>
        <w:pStyle w:val="Heading2"/>
      </w:pPr>
      <w:bookmarkStart w:id="40" w:name="_Advanced_appeal_review"/>
      <w:bookmarkStart w:id="41" w:name="_Toc219289824"/>
      <w:bookmarkStart w:id="42" w:name="_Toc243568456"/>
      <w:bookmarkEnd w:id="40"/>
      <w:r>
        <w:t>Advanced appeal review</w:t>
      </w:r>
      <w:bookmarkEnd w:id="41"/>
      <w:bookmarkEnd w:id="42"/>
    </w:p>
    <w:p w14:paraId="01E9FD32" w14:textId="77777777" w:rsidR="00F91B76" w:rsidRDefault="00F91B76" w:rsidP="00F91B76">
      <w:pPr>
        <w:pStyle w:val="Body"/>
      </w:pPr>
      <w:r w:rsidRPr="00631D5D">
        <w:t xml:space="preserve">The </w:t>
      </w:r>
      <w:r w:rsidRPr="00474D2F">
        <w:rPr>
          <w:b/>
          <w:bCs/>
        </w:rPr>
        <w:t>advanced appeal review</w:t>
      </w:r>
      <w:r>
        <w:t xml:space="preserve"> </w:t>
      </w:r>
      <w:r w:rsidRPr="00631D5D">
        <w:t xml:space="preserve">must be conducted by the Housing Appeals </w:t>
      </w:r>
      <w:r>
        <w:t>Team</w:t>
      </w:r>
      <w:r w:rsidRPr="00631D5D">
        <w:t>.</w:t>
      </w:r>
      <w:r>
        <w:t xml:space="preserve"> </w:t>
      </w:r>
      <w:r w:rsidRPr="00CD494E">
        <w:t xml:space="preserve">As the formal escalation point for unresolved matters, the </w:t>
      </w:r>
      <w:r w:rsidRPr="00FF0878">
        <w:t>Housing Appeals Team</w:t>
      </w:r>
      <w:r w:rsidRPr="00CD494E">
        <w:t xml:space="preserve"> has the authority to recommend amendments to original decisions.</w:t>
      </w:r>
    </w:p>
    <w:p w14:paraId="08A30EA8" w14:textId="77777777" w:rsidR="00F91B76" w:rsidRDefault="00F91B76" w:rsidP="00F91B76">
      <w:pPr>
        <w:pStyle w:val="Body"/>
      </w:pPr>
      <w:r>
        <w:t xml:space="preserve">As part of the </w:t>
      </w:r>
      <w:r w:rsidRPr="00237162">
        <w:rPr>
          <w:b/>
          <w:bCs/>
        </w:rPr>
        <w:t>advanced appeal review</w:t>
      </w:r>
      <w:r>
        <w:t xml:space="preserve"> process, the </w:t>
      </w:r>
      <w:r w:rsidRPr="00FF0878">
        <w:t>Housing Appeals Team</w:t>
      </w:r>
      <w:r>
        <w:t xml:space="preserve"> must:</w:t>
      </w:r>
    </w:p>
    <w:p w14:paraId="7275EBF1" w14:textId="77777777" w:rsidR="00F91B76" w:rsidRDefault="00F91B76" w:rsidP="00F91B76">
      <w:pPr>
        <w:pStyle w:val="Bullet1"/>
      </w:pPr>
      <w:r>
        <w:t>undertake an independent assessment of the original decision, including:</w:t>
      </w:r>
    </w:p>
    <w:p w14:paraId="30E97421" w14:textId="77777777" w:rsidR="00F91B76" w:rsidRDefault="00F91B76" w:rsidP="00F91B76">
      <w:pPr>
        <w:pStyle w:val="Bullet2"/>
      </w:pPr>
      <w:r>
        <w:t>how the decision was made</w:t>
      </w:r>
    </w:p>
    <w:p w14:paraId="0718DCCD" w14:textId="77777777" w:rsidR="00F91B76" w:rsidRDefault="00F91B76" w:rsidP="00F91B76">
      <w:pPr>
        <w:pStyle w:val="Bullet2"/>
      </w:pPr>
      <w:r>
        <w:t>whether any relevant operational guidelines were applied correctly</w:t>
      </w:r>
    </w:p>
    <w:p w14:paraId="5FDB4A89" w14:textId="77777777" w:rsidR="00F91B76" w:rsidRDefault="00F91B76" w:rsidP="00F91B76">
      <w:pPr>
        <w:pStyle w:val="Bullet2"/>
      </w:pPr>
      <w:r>
        <w:t>relevant human rights were thoroughly considered</w:t>
      </w:r>
    </w:p>
    <w:p w14:paraId="7AC74E18" w14:textId="77777777" w:rsidR="00F91B76" w:rsidRDefault="00F91B76" w:rsidP="00F91B76">
      <w:pPr>
        <w:pStyle w:val="Bullet2"/>
      </w:pPr>
      <w:r>
        <w:t>review all information relevant to the appeal, including any new or additional documentation provided by the client</w:t>
      </w:r>
    </w:p>
    <w:p w14:paraId="4B0BF73D" w14:textId="29DEF0EC" w:rsidR="00F91B76" w:rsidRDefault="00F91B76" w:rsidP="00F91B76">
      <w:pPr>
        <w:pStyle w:val="Bullet1"/>
      </w:pPr>
      <w:r>
        <w:t>form a view on whether the original decision should remain unchanged or be amended and discuss findings with the local housing office</w:t>
      </w:r>
    </w:p>
    <w:p w14:paraId="2518B734" w14:textId="68CD6792" w:rsidR="00F91B76" w:rsidRDefault="00F91B76" w:rsidP="00F91B76">
      <w:pPr>
        <w:pStyle w:val="Bullet1"/>
      </w:pPr>
      <w:r>
        <w:t xml:space="preserve">document all actions in an internal assessment memorandum and upload it to appeal record in HiiP. The memorandum must clearly outline the key issues considered, any additional information reviewed, how operational guidelines were applied, an assessment of </w:t>
      </w:r>
      <w:r w:rsidR="009D58BF">
        <w:t>h</w:t>
      </w:r>
      <w:r>
        <w:t xml:space="preserve">uman </w:t>
      </w:r>
      <w:r w:rsidR="009D58BF">
        <w:t>r</w:t>
      </w:r>
      <w:r>
        <w:t>ights impacted and a recommendation</w:t>
      </w:r>
    </w:p>
    <w:p w14:paraId="403909C7" w14:textId="77777777" w:rsidR="00F91B76" w:rsidRDefault="00F91B76" w:rsidP="00F91B76">
      <w:pPr>
        <w:pStyle w:val="Bullet1"/>
      </w:pPr>
      <w:r>
        <w:t>prepare a written outcome for the client at the end of the review process.</w:t>
      </w:r>
    </w:p>
    <w:p w14:paraId="6738E07F" w14:textId="77777777" w:rsidR="00F91B76" w:rsidRDefault="00F91B76" w:rsidP="00F91B76">
      <w:pPr>
        <w:pStyle w:val="Heading3"/>
      </w:pPr>
      <w:r w:rsidRPr="00260C73">
        <w:t xml:space="preserve">Implementing </w:t>
      </w:r>
      <w:r w:rsidRPr="00FF0878">
        <w:t>Housing Appeals Team</w:t>
      </w:r>
      <w:r>
        <w:t xml:space="preserve"> </w:t>
      </w:r>
      <w:r w:rsidRPr="00260C73">
        <w:t>recommendations</w:t>
      </w:r>
    </w:p>
    <w:p w14:paraId="0C0953BD" w14:textId="77777777" w:rsidR="00F91B76" w:rsidRDefault="00F91B76" w:rsidP="00DE29A2">
      <w:pPr>
        <w:pStyle w:val="Body"/>
      </w:pPr>
      <w:r w:rsidRPr="004A4DFD">
        <w:t>Prior to formalising any recommendation, the Housing Appeals Team must discuss the matter with the local housing office. Following this discussion, the final recommendation must:</w:t>
      </w:r>
    </w:p>
    <w:p w14:paraId="229DF14D" w14:textId="77777777" w:rsidR="00DD20C6" w:rsidRPr="00EA3B15" w:rsidRDefault="00DD20C6" w:rsidP="00DD20C6">
      <w:pPr>
        <w:pStyle w:val="Bullet1"/>
      </w:pPr>
      <w:r w:rsidRPr="00EA3B15">
        <w:t>be recorded in HiiP</w:t>
      </w:r>
    </w:p>
    <w:p w14:paraId="203ECCA0" w14:textId="77777777" w:rsidR="00DD20C6" w:rsidRPr="00EA3B15" w:rsidRDefault="00DD20C6" w:rsidP="00DD20C6">
      <w:pPr>
        <w:pStyle w:val="Bullet1"/>
      </w:pPr>
      <w:r w:rsidRPr="00EA3B15">
        <w:t>be sent to the responsible team manager and CSHS manager to action</w:t>
      </w:r>
    </w:p>
    <w:p w14:paraId="243CD734" w14:textId="77777777" w:rsidR="00DD20C6" w:rsidRPr="00EA3B15" w:rsidRDefault="00DD20C6" w:rsidP="00DD20C6">
      <w:pPr>
        <w:pStyle w:val="Bullet1"/>
      </w:pPr>
      <w:r w:rsidRPr="00EA3B15">
        <w:t>include clear implementation timeframes and the rationale behind them</w:t>
      </w:r>
    </w:p>
    <w:p w14:paraId="4D18A325" w14:textId="77777777" w:rsidR="00DD20C6" w:rsidRPr="00EA3B15" w:rsidRDefault="00DD20C6" w:rsidP="00DD20C6">
      <w:pPr>
        <w:pStyle w:val="Bullet1"/>
      </w:pPr>
      <w:r w:rsidRPr="00EA3B15">
        <w:t>apply shorter timeframes if the urgency of the decision requires it</w:t>
      </w:r>
    </w:p>
    <w:p w14:paraId="45379BF1" w14:textId="4ACBED58" w:rsidR="00DD20C6" w:rsidRDefault="00DD20C6" w:rsidP="00DD20C6">
      <w:pPr>
        <w:pStyle w:val="Bullet1"/>
      </w:pPr>
      <w:r w:rsidRPr="00EA3B15">
        <w:t>adhere to a strict maximum limit of 28 total days to completely finalise the appeal</w:t>
      </w:r>
      <w:r w:rsidR="00F92990">
        <w:t>.</w:t>
      </w:r>
    </w:p>
    <w:p w14:paraId="7C96243F" w14:textId="77777777" w:rsidR="00F91B76" w:rsidRPr="00E61696" w:rsidRDefault="00F91B76" w:rsidP="00B61A3F">
      <w:pPr>
        <w:pStyle w:val="Bodyafterbullets"/>
      </w:pPr>
      <w:r w:rsidRPr="00E61696">
        <w:lastRenderedPageBreak/>
        <w:t>Once the recommendation has been returned to the local housing office, the Housing Appeals Team should monitor the implementation of the recommendation.</w:t>
      </w:r>
    </w:p>
    <w:p w14:paraId="26F99247" w14:textId="77777777" w:rsidR="00F91B76" w:rsidRDefault="7A90A83F" w:rsidP="00196AB4">
      <w:pPr>
        <w:pStyle w:val="Heading4"/>
      </w:pPr>
      <w:r>
        <w:t>Escalation pathway</w:t>
      </w:r>
    </w:p>
    <w:p w14:paraId="2EDDF8D6" w14:textId="77777777" w:rsidR="00835055" w:rsidRPr="00835055" w:rsidRDefault="00835055" w:rsidP="00835055">
      <w:pPr>
        <w:pStyle w:val="Body"/>
      </w:pPr>
      <w:r w:rsidRPr="00835055">
        <w:t>If the local housing office disagrees with a recommendation, the CSHS manager must:</w:t>
      </w:r>
    </w:p>
    <w:p w14:paraId="149FEFA7" w14:textId="77777777" w:rsidR="00835055" w:rsidRPr="00835055" w:rsidRDefault="00835055" w:rsidP="00835055">
      <w:pPr>
        <w:pStyle w:val="Bullet1"/>
      </w:pPr>
      <w:r w:rsidRPr="00835055">
        <w:t xml:space="preserve">discuss the matter with the housing appeals team </w:t>
      </w:r>
      <w:r w:rsidRPr="00835055">
        <w:rPr>
          <w:b/>
          <w:bCs/>
        </w:rPr>
        <w:t>within 7 days</w:t>
      </w:r>
      <w:r w:rsidRPr="00835055">
        <w:t xml:space="preserve"> of being notified of the outcome</w:t>
      </w:r>
    </w:p>
    <w:p w14:paraId="56B99F33" w14:textId="77777777" w:rsidR="00835055" w:rsidRPr="00835055" w:rsidRDefault="00835055" w:rsidP="00835055">
      <w:pPr>
        <w:pStyle w:val="Bullet1"/>
      </w:pPr>
      <w:r w:rsidRPr="00835055">
        <w:t>document the rationale for the disagreement.</w:t>
      </w:r>
    </w:p>
    <w:p w14:paraId="2A1D56F3" w14:textId="77777777" w:rsidR="00835055" w:rsidRPr="00E61696" w:rsidRDefault="00835055" w:rsidP="00380236">
      <w:pPr>
        <w:pStyle w:val="Bodyafterbullets"/>
      </w:pPr>
      <w:r w:rsidRPr="00E61696">
        <w:t>Any agreed next steps must be coordinated directly between the CSHS manager and the housing appeals team decision-maker.</w:t>
      </w:r>
    </w:p>
    <w:p w14:paraId="429D5F93" w14:textId="77777777" w:rsidR="00835055" w:rsidRPr="00835055" w:rsidRDefault="00835055" w:rsidP="00835055">
      <w:pPr>
        <w:pStyle w:val="Body"/>
      </w:pPr>
      <w:r w:rsidRPr="00835055">
        <w:t>If the matter remains unresolved after this discussion, it must be escalated immediately for final resolution to:</w:t>
      </w:r>
    </w:p>
    <w:p w14:paraId="2A686631" w14:textId="77777777" w:rsidR="00835055" w:rsidRPr="00835055" w:rsidRDefault="00835055" w:rsidP="00835055">
      <w:pPr>
        <w:pStyle w:val="Bullet1"/>
      </w:pPr>
      <w:r w:rsidRPr="00835055">
        <w:t>the director of the Housing Outcomes Unit at Homes Victoria</w:t>
      </w:r>
    </w:p>
    <w:p w14:paraId="649843FB" w14:textId="27C6DDC7" w:rsidR="00835055" w:rsidRPr="00835055" w:rsidRDefault="00835055">
      <w:pPr>
        <w:pStyle w:val="Bullet1"/>
      </w:pPr>
      <w:r w:rsidRPr="00835055">
        <w:t>the executive director of the relevant operational area.</w:t>
      </w:r>
    </w:p>
    <w:p w14:paraId="01B95AA2" w14:textId="77777777" w:rsidR="00F91B76" w:rsidRPr="00EB2436" w:rsidRDefault="00F91B76" w:rsidP="00F91B76">
      <w:pPr>
        <w:pStyle w:val="Heading2"/>
      </w:pPr>
      <w:bookmarkStart w:id="43" w:name="_Human_rights_potentially"/>
      <w:bookmarkStart w:id="44" w:name="_Toc243568457"/>
      <w:bookmarkEnd w:id="43"/>
      <w:r w:rsidRPr="00011E1F">
        <w:t xml:space="preserve">Human rights </w:t>
      </w:r>
      <w:r>
        <w:t>to consider during</w:t>
      </w:r>
      <w:r w:rsidRPr="00011E1F">
        <w:t xml:space="preserve"> the appeals process</w:t>
      </w:r>
      <w:bookmarkEnd w:id="44"/>
    </w:p>
    <w:p w14:paraId="3ED6989F" w14:textId="77777777" w:rsidR="00F91B76" w:rsidRDefault="00F91B76" w:rsidP="00F91B76">
      <w:pPr>
        <w:pStyle w:val="Body"/>
        <w:rPr>
          <w:b/>
          <w:lang w:eastAsia="en-AU"/>
        </w:rPr>
      </w:pPr>
      <w:r w:rsidRPr="0039723A">
        <w:rPr>
          <w:lang w:eastAsia="en-AU"/>
        </w:rPr>
        <w:t xml:space="preserve">The appeals process involves reviewing decisions that may affect a person’s housing, privacy, stability and overall wellbeing. Because of this, several rights under the </w:t>
      </w:r>
      <w:r w:rsidRPr="00D1681E">
        <w:rPr>
          <w:i/>
          <w:iCs/>
          <w:lang w:eastAsia="en-AU"/>
        </w:rPr>
        <w:t>Charter of Human Rights and Responsibilities Act 2006</w:t>
      </w:r>
      <w:r w:rsidRPr="0039723A">
        <w:rPr>
          <w:lang w:eastAsia="en-AU"/>
        </w:rPr>
        <w:t xml:space="preserve"> may be engaged. </w:t>
      </w:r>
    </w:p>
    <w:p w14:paraId="49A9E634" w14:textId="77777777" w:rsidR="00F91B76" w:rsidRPr="00370DA6" w:rsidRDefault="00F91B76" w:rsidP="00F91B76">
      <w:pPr>
        <w:pStyle w:val="Body"/>
        <w:rPr>
          <w:lang w:eastAsia="en-AU"/>
        </w:rPr>
      </w:pPr>
      <w:r w:rsidRPr="0039723A">
        <w:rPr>
          <w:lang w:eastAsia="en-AU"/>
        </w:rPr>
        <w:t>Staff must take these rights into account when completing both initial and advanced appeal reviews</w:t>
      </w:r>
      <w:r>
        <w:rPr>
          <w:b/>
          <w:lang w:eastAsia="en-AU"/>
        </w:rPr>
        <w:t xml:space="preserve">. </w:t>
      </w:r>
      <w:r w:rsidRPr="00370DA6">
        <w:rPr>
          <w:lang w:eastAsia="en-AU"/>
        </w:rPr>
        <w:t>This requires assessing the potential impact of a decision on:</w:t>
      </w:r>
    </w:p>
    <w:p w14:paraId="15F12C97" w14:textId="0A575B64" w:rsidR="00F91B76" w:rsidRPr="00370DA6" w:rsidRDefault="00653738" w:rsidP="00F91B76">
      <w:pPr>
        <w:pStyle w:val="Bullet1"/>
        <w:rPr>
          <w:lang w:eastAsia="en-AU"/>
        </w:rPr>
      </w:pPr>
      <w:r>
        <w:rPr>
          <w:b/>
          <w:bCs/>
          <w:lang w:eastAsia="en-AU"/>
        </w:rPr>
        <w:t>t</w:t>
      </w:r>
      <w:r w:rsidR="00F91B76" w:rsidRPr="00370DA6">
        <w:rPr>
          <w:b/>
          <w:bCs/>
          <w:lang w:eastAsia="en-AU"/>
        </w:rPr>
        <w:t xml:space="preserve">he </w:t>
      </w:r>
      <w:r w:rsidR="00F91B76">
        <w:rPr>
          <w:b/>
          <w:bCs/>
          <w:lang w:eastAsia="en-AU"/>
        </w:rPr>
        <w:t>p</w:t>
      </w:r>
      <w:r w:rsidR="00F91B76" w:rsidRPr="00370DA6">
        <w:rPr>
          <w:b/>
          <w:bCs/>
          <w:lang w:eastAsia="en-AU"/>
        </w:rPr>
        <w:t>erson:</w:t>
      </w:r>
      <w:r w:rsidR="00F91B76" w:rsidRPr="00370DA6">
        <w:rPr>
          <w:lang w:eastAsia="en-AU"/>
        </w:rPr>
        <w:t xml:space="preserve"> </w:t>
      </w:r>
      <w:r w:rsidR="008D4D2B">
        <w:rPr>
          <w:lang w:eastAsia="en-AU"/>
        </w:rPr>
        <w:t>c</w:t>
      </w:r>
      <w:r w:rsidR="00F91B76" w:rsidRPr="00370DA6">
        <w:rPr>
          <w:lang w:eastAsia="en-AU"/>
        </w:rPr>
        <w:t>onsidering their physical and mental health, personal safety, and dignity</w:t>
      </w:r>
    </w:p>
    <w:p w14:paraId="60484C35" w14:textId="5459CA58" w:rsidR="00F91B76" w:rsidRPr="00370DA6" w:rsidRDefault="00653738" w:rsidP="00F91B76">
      <w:pPr>
        <w:pStyle w:val="Bullet1"/>
        <w:rPr>
          <w:lang w:eastAsia="en-AU"/>
        </w:rPr>
      </w:pPr>
      <w:r>
        <w:rPr>
          <w:b/>
          <w:bCs/>
          <w:lang w:eastAsia="en-AU"/>
        </w:rPr>
        <w:t>t</w:t>
      </w:r>
      <w:r w:rsidR="7A90A83F" w:rsidRPr="428EFFA4">
        <w:rPr>
          <w:b/>
          <w:bCs/>
          <w:lang w:eastAsia="en-AU"/>
        </w:rPr>
        <w:t>he household:</w:t>
      </w:r>
      <w:r w:rsidR="7A90A83F" w:rsidRPr="428EFFA4">
        <w:rPr>
          <w:lang w:eastAsia="en-AU"/>
        </w:rPr>
        <w:t xml:space="preserve"> </w:t>
      </w:r>
      <w:r w:rsidR="008D4D2B">
        <w:rPr>
          <w:lang w:eastAsia="en-AU"/>
        </w:rPr>
        <w:t>c</w:t>
      </w:r>
      <w:r w:rsidR="7A90A83F" w:rsidRPr="428EFFA4">
        <w:rPr>
          <w:lang w:eastAsia="en-AU"/>
        </w:rPr>
        <w:t xml:space="preserve">onsidering the impact on the family unit’s stability, financial security, and </w:t>
      </w:r>
      <w:r w:rsidR="005B433F">
        <w:rPr>
          <w:lang w:eastAsia="en-AU"/>
        </w:rPr>
        <w:t>housing stability</w:t>
      </w:r>
    </w:p>
    <w:p w14:paraId="50A085AA" w14:textId="34465C80" w:rsidR="00F91B76" w:rsidRPr="00370DA6" w:rsidRDefault="00653738" w:rsidP="00F91B76">
      <w:pPr>
        <w:pStyle w:val="Bullet1"/>
        <w:rPr>
          <w:lang w:eastAsia="en-AU"/>
        </w:rPr>
      </w:pPr>
      <w:r>
        <w:rPr>
          <w:b/>
          <w:bCs/>
          <w:lang w:eastAsia="en-AU"/>
        </w:rPr>
        <w:t>o</w:t>
      </w:r>
      <w:r w:rsidR="00F91B76" w:rsidRPr="00370DA6">
        <w:rPr>
          <w:b/>
          <w:bCs/>
          <w:lang w:eastAsia="en-AU"/>
        </w:rPr>
        <w:t>thers:</w:t>
      </w:r>
      <w:r w:rsidR="00F91B76" w:rsidRPr="00370DA6">
        <w:rPr>
          <w:lang w:eastAsia="en-AU"/>
        </w:rPr>
        <w:t xml:space="preserve"> </w:t>
      </w:r>
      <w:r w:rsidR="008D4D2B">
        <w:rPr>
          <w:lang w:eastAsia="en-AU"/>
        </w:rPr>
        <w:t>i</w:t>
      </w:r>
      <w:r w:rsidR="00F91B76" w:rsidRPr="00370DA6">
        <w:rPr>
          <w:lang w:eastAsia="en-AU"/>
        </w:rPr>
        <w:t>ncluding the specific needs and protections required for children, dependents, or others living in or connected to the property.</w:t>
      </w:r>
    </w:p>
    <w:p w14:paraId="3934A0A0" w14:textId="77777777" w:rsidR="00F91B76" w:rsidRPr="0039723A" w:rsidRDefault="00F91B76" w:rsidP="00F91B76">
      <w:pPr>
        <w:pStyle w:val="Tablecaption"/>
      </w:pPr>
      <w:r>
        <w:t>T</w:t>
      </w:r>
      <w:r w:rsidRPr="0A5EB4F3">
        <w:rPr>
          <w:rFonts w:eastAsia="Times"/>
        </w:rPr>
        <w:t>able </w:t>
      </w:r>
      <w:r>
        <w:rPr>
          <w:rFonts w:eastAsia="Times"/>
        </w:rPr>
        <w:t>4</w:t>
      </w:r>
      <w:r w:rsidRPr="0A5EB4F3">
        <w:rPr>
          <w:rFonts w:eastAsia="Times"/>
        </w:rPr>
        <w:t xml:space="preserve">: Human rights </w:t>
      </w:r>
      <w:r>
        <w:rPr>
          <w:rFonts w:eastAsia="Times"/>
        </w:rPr>
        <w:t>commonly engaged</w:t>
      </w:r>
      <w:r w:rsidRPr="0A5EB4F3">
        <w:rPr>
          <w:rFonts w:eastAsia="Times"/>
        </w:rPr>
        <w:t xml:space="preserve"> during the appeals process </w:t>
      </w:r>
    </w:p>
    <w:tbl>
      <w:tblPr>
        <w:tblStyle w:val="TableGridLight"/>
        <w:tblW w:w="0" w:type="auto"/>
        <w:tblLook w:val="04A0" w:firstRow="1" w:lastRow="0" w:firstColumn="1" w:lastColumn="0" w:noHBand="0" w:noVBand="1"/>
      </w:tblPr>
      <w:tblGrid>
        <w:gridCol w:w="2263"/>
        <w:gridCol w:w="7025"/>
      </w:tblGrid>
      <w:tr w:rsidR="00F91B76" w:rsidRPr="005908A2" w14:paraId="3C1A5FD8" w14:textId="77777777">
        <w:trPr>
          <w:tblHeader/>
        </w:trPr>
        <w:tc>
          <w:tcPr>
            <w:tcW w:w="2263" w:type="dxa"/>
            <w:hideMark/>
          </w:tcPr>
          <w:p w14:paraId="3302FA1C" w14:textId="77777777" w:rsidR="00F91B76" w:rsidRPr="005908A2" w:rsidRDefault="00F91B76">
            <w:pPr>
              <w:pStyle w:val="Tablecolhead"/>
              <w:rPr>
                <w:rFonts w:eastAsia="Times"/>
              </w:rPr>
            </w:pPr>
            <w:r w:rsidRPr="005908A2">
              <w:rPr>
                <w:rFonts w:eastAsia="Times"/>
              </w:rPr>
              <w:t>Right</w:t>
            </w:r>
          </w:p>
        </w:tc>
        <w:tc>
          <w:tcPr>
            <w:tcW w:w="7025" w:type="dxa"/>
            <w:hideMark/>
          </w:tcPr>
          <w:p w14:paraId="1441D1CD" w14:textId="77777777" w:rsidR="00F91B76" w:rsidRPr="005908A2" w:rsidRDefault="00F91B76">
            <w:pPr>
              <w:pStyle w:val="Tablecolhead"/>
              <w:rPr>
                <w:rFonts w:eastAsia="Times"/>
              </w:rPr>
            </w:pPr>
            <w:r w:rsidRPr="005908A2">
              <w:rPr>
                <w:rFonts w:eastAsia="Times"/>
              </w:rPr>
              <w:t>Description</w:t>
            </w:r>
          </w:p>
        </w:tc>
      </w:tr>
      <w:tr w:rsidR="00F91B76" w:rsidRPr="00DB223E" w14:paraId="7BE4A2FF" w14:textId="77777777">
        <w:tc>
          <w:tcPr>
            <w:tcW w:w="2263" w:type="dxa"/>
            <w:hideMark/>
          </w:tcPr>
          <w:p w14:paraId="5ADBA80D" w14:textId="77777777" w:rsidR="00F91B76" w:rsidRPr="00DB223E" w:rsidRDefault="00F91B76">
            <w:pPr>
              <w:pStyle w:val="Tabletext"/>
            </w:pPr>
            <w:r w:rsidRPr="2802E101">
              <w:rPr>
                <w:rFonts w:eastAsia="MS Gothic"/>
              </w:rPr>
              <w:t>Right to recognition and equality before the law – Section 8</w:t>
            </w:r>
          </w:p>
        </w:tc>
        <w:tc>
          <w:tcPr>
            <w:tcW w:w="7025" w:type="dxa"/>
            <w:hideMark/>
          </w:tcPr>
          <w:p w14:paraId="37CAD89C" w14:textId="77777777" w:rsidR="00F91B76" w:rsidRPr="00DB223E" w:rsidRDefault="00F91B76">
            <w:pPr>
              <w:pStyle w:val="Tabletext"/>
            </w:pPr>
            <w:r w:rsidRPr="00DB223E">
              <w:t>All clients must be treated equally and fairly, without discrimination. Decisions must be based on relevant information and applied consistently.</w:t>
            </w:r>
          </w:p>
        </w:tc>
      </w:tr>
      <w:tr w:rsidR="00F91B76" w:rsidRPr="00DB223E" w14:paraId="0862160F" w14:textId="77777777">
        <w:tc>
          <w:tcPr>
            <w:tcW w:w="2263" w:type="dxa"/>
            <w:hideMark/>
          </w:tcPr>
          <w:p w14:paraId="0D4E1809" w14:textId="77777777" w:rsidR="00F91B76" w:rsidRPr="00DB223E" w:rsidRDefault="00F91B76">
            <w:pPr>
              <w:pStyle w:val="Tabletext"/>
              <w:rPr>
                <w:rFonts w:eastAsia="MS Gothic"/>
              </w:rPr>
            </w:pPr>
            <w:r w:rsidRPr="2802E101">
              <w:rPr>
                <w:rFonts w:eastAsia="MS Gothic"/>
              </w:rPr>
              <w:t>Right to privacy and reputation – Section 13</w:t>
            </w:r>
          </w:p>
        </w:tc>
        <w:tc>
          <w:tcPr>
            <w:tcW w:w="7025" w:type="dxa"/>
            <w:hideMark/>
          </w:tcPr>
          <w:p w14:paraId="07FCCD71" w14:textId="77777777" w:rsidR="00F91B76" w:rsidRPr="00DB223E" w:rsidRDefault="00F91B76">
            <w:pPr>
              <w:pStyle w:val="Tabletext"/>
            </w:pPr>
            <w:r w:rsidRPr="00DB223E">
              <w:t>Appeal decisions may involve sensitive personal information. Staff must handle all information respectfully and only use or share it for lawful purposes connected to the appeal.</w:t>
            </w:r>
          </w:p>
        </w:tc>
      </w:tr>
      <w:tr w:rsidR="00F91B76" w:rsidRPr="00DB223E" w14:paraId="391B5E70" w14:textId="77777777">
        <w:tc>
          <w:tcPr>
            <w:tcW w:w="2263" w:type="dxa"/>
            <w:hideMark/>
          </w:tcPr>
          <w:p w14:paraId="35F50528" w14:textId="77777777" w:rsidR="00F91B76" w:rsidRPr="00DB223E" w:rsidRDefault="00F91B76">
            <w:pPr>
              <w:pStyle w:val="Tabletext"/>
            </w:pPr>
            <w:r w:rsidRPr="2802E101">
              <w:rPr>
                <w:rFonts w:eastAsia="MS Gothic"/>
              </w:rPr>
              <w:t>Right to protection of families and children – Section 17</w:t>
            </w:r>
          </w:p>
        </w:tc>
        <w:tc>
          <w:tcPr>
            <w:tcW w:w="7025" w:type="dxa"/>
            <w:hideMark/>
          </w:tcPr>
          <w:p w14:paraId="13D3A2DB" w14:textId="77777777" w:rsidR="00F91B76" w:rsidRPr="00DB223E" w:rsidRDefault="00F91B76">
            <w:pPr>
              <w:pStyle w:val="Tabletext"/>
            </w:pPr>
            <w:r w:rsidRPr="00DB223E">
              <w:t>Appeal decisions can affect household stability, access to housing, and safety. Staff must consider the impact of their decisions on families and children.</w:t>
            </w:r>
          </w:p>
        </w:tc>
      </w:tr>
      <w:tr w:rsidR="00F91B76" w:rsidRPr="00DB223E" w14:paraId="7BFD9D27" w14:textId="77777777">
        <w:tc>
          <w:tcPr>
            <w:tcW w:w="2263" w:type="dxa"/>
            <w:hideMark/>
          </w:tcPr>
          <w:p w14:paraId="6A02AEF9" w14:textId="77777777" w:rsidR="00F91B76" w:rsidRPr="00DB223E" w:rsidRDefault="00F91B76">
            <w:pPr>
              <w:pStyle w:val="Tabletext"/>
            </w:pPr>
            <w:r w:rsidRPr="2802E101">
              <w:rPr>
                <w:rFonts w:eastAsia="MS Gothic"/>
              </w:rPr>
              <w:t>Right to a fair hearing – Section 24</w:t>
            </w:r>
          </w:p>
        </w:tc>
        <w:tc>
          <w:tcPr>
            <w:tcW w:w="7025" w:type="dxa"/>
            <w:hideMark/>
          </w:tcPr>
          <w:p w14:paraId="03FF80D2" w14:textId="77777777" w:rsidR="00F91B76" w:rsidRPr="00DB223E" w:rsidRDefault="00F91B76">
            <w:pPr>
              <w:pStyle w:val="Tabletext"/>
            </w:pPr>
            <w:r w:rsidRPr="00DB223E">
              <w:t>Clients have the right to have decisions reviewed by staff who were not involved in the original decision, with a process that is transparent, unbiased and based on evidence.</w:t>
            </w:r>
          </w:p>
        </w:tc>
      </w:tr>
      <w:tr w:rsidR="00F91B76" w:rsidRPr="00DB223E" w14:paraId="2FC07EC3" w14:textId="77777777">
        <w:tc>
          <w:tcPr>
            <w:tcW w:w="2263" w:type="dxa"/>
            <w:hideMark/>
          </w:tcPr>
          <w:p w14:paraId="4B82C918" w14:textId="77777777" w:rsidR="00F91B76" w:rsidRPr="00C60492" w:rsidRDefault="00F91B76">
            <w:pPr>
              <w:pStyle w:val="Tabletext"/>
              <w:rPr>
                <w:rFonts w:eastAsia="MS Gothic"/>
              </w:rPr>
            </w:pPr>
            <w:r w:rsidRPr="00C60492">
              <w:t>Right to a Fair Hearing (Procedural Fairness) – Section 24</w:t>
            </w:r>
          </w:p>
        </w:tc>
        <w:tc>
          <w:tcPr>
            <w:tcW w:w="7025" w:type="dxa"/>
            <w:hideMark/>
          </w:tcPr>
          <w:p w14:paraId="73697528" w14:textId="77777777" w:rsidR="00F91B76" w:rsidRPr="00DB223E" w:rsidRDefault="00F91B76">
            <w:pPr>
              <w:pStyle w:val="Tabletext"/>
            </w:pPr>
            <w:r w:rsidRPr="00DB223E">
              <w:t>Clients must be given clear information about how the appeal will be reviewed, what is required from them, expected timeframes, and the outcome.</w:t>
            </w:r>
          </w:p>
        </w:tc>
      </w:tr>
      <w:tr w:rsidR="00F91B76" w:rsidRPr="005908A2" w14:paraId="725B5B6A" w14:textId="77777777">
        <w:tc>
          <w:tcPr>
            <w:tcW w:w="2263" w:type="dxa"/>
            <w:hideMark/>
          </w:tcPr>
          <w:p w14:paraId="06CBC2CE" w14:textId="77777777" w:rsidR="00F91B76" w:rsidRPr="00DB223E" w:rsidRDefault="00F91B76">
            <w:pPr>
              <w:pStyle w:val="Tabletext"/>
            </w:pPr>
            <w:r w:rsidRPr="2802E101">
              <w:rPr>
                <w:rFonts w:eastAsia="MS Gothic"/>
              </w:rPr>
              <w:lastRenderedPageBreak/>
              <w:t>Right to freedom of expression – Section 15</w:t>
            </w:r>
          </w:p>
        </w:tc>
        <w:tc>
          <w:tcPr>
            <w:tcW w:w="7025" w:type="dxa"/>
            <w:hideMark/>
          </w:tcPr>
          <w:p w14:paraId="51FD02A5" w14:textId="77777777" w:rsidR="00F91B76" w:rsidRPr="005908A2" w:rsidRDefault="00F91B76">
            <w:pPr>
              <w:pStyle w:val="Tabletext"/>
            </w:pPr>
            <w:r w:rsidRPr="00DB223E">
              <w:t>Clients must be given an opportunity to provide information, documents or statements relevant to the appeal, and to have that material considered.</w:t>
            </w:r>
          </w:p>
        </w:tc>
      </w:tr>
      <w:tr w:rsidR="00F91B76" w14:paraId="3AD30569" w14:textId="77777777">
        <w:trPr>
          <w:trHeight w:val="300"/>
        </w:trPr>
        <w:tc>
          <w:tcPr>
            <w:tcW w:w="2263" w:type="dxa"/>
            <w:hideMark/>
          </w:tcPr>
          <w:p w14:paraId="35CEEBCB" w14:textId="77777777" w:rsidR="00F91B76" w:rsidRDefault="00F91B76">
            <w:pPr>
              <w:pStyle w:val="Tabletext"/>
              <w:rPr>
                <w:rFonts w:eastAsia="MS Gothic"/>
              </w:rPr>
            </w:pPr>
            <w:r w:rsidRPr="2802E101">
              <w:rPr>
                <w:rFonts w:eastAsia="MS Gothic"/>
              </w:rPr>
              <w:t xml:space="preserve">Property Rights– Section 20 </w:t>
            </w:r>
          </w:p>
        </w:tc>
        <w:tc>
          <w:tcPr>
            <w:tcW w:w="7025" w:type="dxa"/>
            <w:hideMark/>
          </w:tcPr>
          <w:p w14:paraId="5E388F01" w14:textId="77777777" w:rsidR="00F91B76" w:rsidRDefault="00F91B76">
            <w:pPr>
              <w:pStyle w:val="Tabletext"/>
            </w:pPr>
            <w:r>
              <w:t xml:space="preserve">Clients must be given the opportunity to have consideration as to tenancy rights through proper process and ensure public housing decisions are legally grounded </w:t>
            </w:r>
          </w:p>
        </w:tc>
      </w:tr>
    </w:tbl>
    <w:p w14:paraId="4C836423" w14:textId="77777777" w:rsidR="00F91B76" w:rsidRDefault="00F91B76" w:rsidP="00F91B76">
      <w:pPr>
        <w:pStyle w:val="Tablecaption"/>
        <w:rPr>
          <w:rFonts w:eastAsia="Times"/>
        </w:rPr>
      </w:pPr>
      <w:r w:rsidRPr="00EC3CAE">
        <w:rPr>
          <w:rFonts w:eastAsia="Times"/>
        </w:rPr>
        <w:t>Table </w:t>
      </w:r>
      <w:r>
        <w:rPr>
          <w:rFonts w:eastAsia="Times"/>
        </w:rPr>
        <w:t xml:space="preserve">5: </w:t>
      </w:r>
      <w:r w:rsidRPr="00EC3CAE">
        <w:rPr>
          <w:rFonts w:eastAsia="Times"/>
        </w:rPr>
        <w:t xml:space="preserve">General principles </w:t>
      </w:r>
      <w:r>
        <w:rPr>
          <w:rFonts w:eastAsia="Times"/>
        </w:rPr>
        <w:t>for upholding rights during the appeals process</w:t>
      </w:r>
      <w:r w:rsidRPr="00EC3CAE">
        <w:rPr>
          <w:rFonts w:eastAsia="Times"/>
        </w:rPr>
        <w:t> </w:t>
      </w:r>
    </w:p>
    <w:tbl>
      <w:tblPr>
        <w:tblStyle w:val="TableGridLight"/>
        <w:tblW w:w="0" w:type="auto"/>
        <w:tblLook w:val="04A0" w:firstRow="1" w:lastRow="0" w:firstColumn="1" w:lastColumn="0" w:noHBand="0" w:noVBand="1"/>
      </w:tblPr>
      <w:tblGrid>
        <w:gridCol w:w="2122"/>
        <w:gridCol w:w="3402"/>
        <w:gridCol w:w="3764"/>
      </w:tblGrid>
      <w:tr w:rsidR="00F91B76" w:rsidRPr="00A51024" w14:paraId="77AACE68" w14:textId="77777777" w:rsidTr="428EFFA4">
        <w:trPr>
          <w:tblHeader/>
        </w:trPr>
        <w:tc>
          <w:tcPr>
            <w:tcW w:w="2122" w:type="dxa"/>
            <w:hideMark/>
          </w:tcPr>
          <w:p w14:paraId="67A56822" w14:textId="77777777" w:rsidR="00F91B76" w:rsidRPr="00A51024" w:rsidRDefault="00F91B76">
            <w:pPr>
              <w:pStyle w:val="Tablecolhead"/>
              <w:rPr>
                <w:rFonts w:eastAsia="Times"/>
              </w:rPr>
            </w:pPr>
            <w:r w:rsidRPr="00A51024">
              <w:rPr>
                <w:rFonts w:eastAsia="Times"/>
              </w:rPr>
              <w:t>Principle</w:t>
            </w:r>
          </w:p>
        </w:tc>
        <w:tc>
          <w:tcPr>
            <w:tcW w:w="3402" w:type="dxa"/>
            <w:hideMark/>
          </w:tcPr>
          <w:p w14:paraId="4F98BCE3" w14:textId="77777777" w:rsidR="00F91B76" w:rsidRPr="00A51024" w:rsidRDefault="00F91B76">
            <w:pPr>
              <w:pStyle w:val="Tablecolhead"/>
              <w:rPr>
                <w:rFonts w:eastAsia="Times"/>
              </w:rPr>
            </w:pPr>
            <w:r w:rsidRPr="00A51024">
              <w:rPr>
                <w:rFonts w:eastAsia="Times"/>
              </w:rPr>
              <w:t>Description</w:t>
            </w:r>
          </w:p>
        </w:tc>
        <w:tc>
          <w:tcPr>
            <w:tcW w:w="3764" w:type="dxa"/>
            <w:hideMark/>
          </w:tcPr>
          <w:p w14:paraId="319336D1" w14:textId="77777777" w:rsidR="00F91B76" w:rsidRPr="00A51024" w:rsidRDefault="00F91B76">
            <w:pPr>
              <w:pStyle w:val="Tablecolhead"/>
              <w:rPr>
                <w:rFonts w:eastAsia="Times"/>
              </w:rPr>
            </w:pPr>
            <w:r w:rsidRPr="00A51024">
              <w:rPr>
                <w:rFonts w:eastAsia="Times"/>
              </w:rPr>
              <w:t>Key actions for staff</w:t>
            </w:r>
          </w:p>
        </w:tc>
      </w:tr>
      <w:tr w:rsidR="00F91B76" w:rsidRPr="00A51024" w14:paraId="70EA2D6A" w14:textId="77777777" w:rsidTr="428EFFA4">
        <w:tc>
          <w:tcPr>
            <w:tcW w:w="2122" w:type="dxa"/>
            <w:hideMark/>
          </w:tcPr>
          <w:p w14:paraId="6EBD6DDB" w14:textId="77777777" w:rsidR="00F91B76" w:rsidRPr="00A51024" w:rsidRDefault="00F91B76">
            <w:pPr>
              <w:pStyle w:val="Tabletext"/>
              <w:rPr>
                <w:rFonts w:eastAsia="Times"/>
              </w:rPr>
            </w:pPr>
            <w:r w:rsidRPr="00A51024">
              <w:rPr>
                <w:rFonts w:eastAsia="Times"/>
              </w:rPr>
              <w:t>Thorough assessment</w:t>
            </w:r>
          </w:p>
        </w:tc>
        <w:tc>
          <w:tcPr>
            <w:tcW w:w="3402" w:type="dxa"/>
            <w:hideMark/>
          </w:tcPr>
          <w:p w14:paraId="742C50FC" w14:textId="77777777" w:rsidR="00F91B76" w:rsidRPr="00A51024" w:rsidRDefault="00F91B76">
            <w:pPr>
              <w:pStyle w:val="Tabletext"/>
              <w:rPr>
                <w:rFonts w:eastAsia="Times"/>
              </w:rPr>
            </w:pPr>
            <w:r w:rsidRPr="00A51024">
              <w:rPr>
                <w:rFonts w:eastAsia="Times"/>
              </w:rPr>
              <w:t>Appeal reviews must be based on a full and accurate understanding of the client’s circumstances.</w:t>
            </w:r>
          </w:p>
        </w:tc>
        <w:tc>
          <w:tcPr>
            <w:tcW w:w="3764" w:type="dxa"/>
            <w:hideMark/>
          </w:tcPr>
          <w:p w14:paraId="632BB913" w14:textId="77777777" w:rsidR="00F91B76" w:rsidRDefault="00F91B76">
            <w:pPr>
              <w:pStyle w:val="Tablebullet1"/>
              <w:rPr>
                <w:rFonts w:eastAsia="Times"/>
              </w:rPr>
            </w:pPr>
            <w:r w:rsidRPr="00A51024">
              <w:rPr>
                <w:rFonts w:eastAsia="Times"/>
              </w:rPr>
              <w:t>Review HiiP records</w:t>
            </w:r>
            <w:r>
              <w:rPr>
                <w:rFonts w:eastAsia="Times"/>
              </w:rPr>
              <w:t xml:space="preserve"> </w:t>
            </w:r>
            <w:r w:rsidRPr="00A51024">
              <w:rPr>
                <w:rFonts w:eastAsia="Times"/>
              </w:rPr>
              <w:t>and any new information</w:t>
            </w:r>
          </w:p>
          <w:p w14:paraId="1F67EC8A" w14:textId="65632B4E" w:rsidR="00F91B76" w:rsidRPr="00A51024" w:rsidRDefault="7A90A83F">
            <w:pPr>
              <w:pStyle w:val="Tablebullet1"/>
              <w:rPr>
                <w:rFonts w:eastAsia="Times"/>
              </w:rPr>
            </w:pPr>
            <w:r w:rsidRPr="428EFFA4">
              <w:rPr>
                <w:rFonts w:eastAsia="Times"/>
              </w:rPr>
              <w:t>Confirm details with the client if needed</w:t>
            </w:r>
            <w:r w:rsidR="006F7880">
              <w:rPr>
                <w:rFonts w:eastAsia="Times"/>
              </w:rPr>
              <w:t xml:space="preserve"> and seek further </w:t>
            </w:r>
            <w:r w:rsidR="00993084">
              <w:rPr>
                <w:rFonts w:eastAsia="Times"/>
              </w:rPr>
              <w:t xml:space="preserve">information if necessary </w:t>
            </w:r>
          </w:p>
        </w:tc>
      </w:tr>
      <w:tr w:rsidR="00F91B76" w:rsidRPr="00A51024" w14:paraId="3F7563E3" w14:textId="77777777" w:rsidTr="428EFFA4">
        <w:tc>
          <w:tcPr>
            <w:tcW w:w="2122" w:type="dxa"/>
            <w:hideMark/>
          </w:tcPr>
          <w:p w14:paraId="62DD400E" w14:textId="77777777" w:rsidR="00F91B76" w:rsidRPr="00A51024" w:rsidRDefault="00F91B76">
            <w:pPr>
              <w:pStyle w:val="Tabletext"/>
              <w:rPr>
                <w:rFonts w:eastAsia="Times"/>
              </w:rPr>
            </w:pPr>
            <w:r w:rsidRPr="00A51024">
              <w:rPr>
                <w:rFonts w:eastAsia="Times"/>
              </w:rPr>
              <w:t>Clear processes</w:t>
            </w:r>
          </w:p>
        </w:tc>
        <w:tc>
          <w:tcPr>
            <w:tcW w:w="3402" w:type="dxa"/>
            <w:hideMark/>
          </w:tcPr>
          <w:p w14:paraId="5CEF3F5D" w14:textId="77777777" w:rsidR="00F91B76" w:rsidRPr="00A51024" w:rsidRDefault="00F91B76">
            <w:pPr>
              <w:pStyle w:val="Tabletext"/>
              <w:rPr>
                <w:rFonts w:eastAsia="Times"/>
              </w:rPr>
            </w:pPr>
            <w:r w:rsidRPr="00A51024">
              <w:rPr>
                <w:rFonts w:eastAsia="Times"/>
              </w:rPr>
              <w:t>Clients must understand what the appeal involves, what is expected of them and when they will receive an outcome.</w:t>
            </w:r>
          </w:p>
        </w:tc>
        <w:tc>
          <w:tcPr>
            <w:tcW w:w="3764" w:type="dxa"/>
            <w:hideMark/>
          </w:tcPr>
          <w:p w14:paraId="615EAA4D" w14:textId="77777777" w:rsidR="00F91B76" w:rsidRDefault="00F91B76">
            <w:pPr>
              <w:pStyle w:val="Tablebullet1"/>
              <w:rPr>
                <w:rFonts w:eastAsia="Times"/>
              </w:rPr>
            </w:pPr>
            <w:r w:rsidRPr="00A51024">
              <w:rPr>
                <w:rFonts w:eastAsia="Times"/>
              </w:rPr>
              <w:t>Provide clear verbal and written explanations</w:t>
            </w:r>
          </w:p>
          <w:p w14:paraId="07B82BCF" w14:textId="77777777" w:rsidR="00F91B76" w:rsidRPr="00A51024" w:rsidRDefault="00F91B76">
            <w:pPr>
              <w:pStyle w:val="Tablebullet1"/>
              <w:rPr>
                <w:rFonts w:eastAsia="Times"/>
              </w:rPr>
            </w:pPr>
            <w:r>
              <w:rPr>
                <w:rFonts w:eastAsia="Times"/>
              </w:rPr>
              <w:t>O</w:t>
            </w:r>
            <w:r w:rsidRPr="00A51024">
              <w:rPr>
                <w:rFonts w:eastAsia="Times"/>
              </w:rPr>
              <w:t>utline steps and timeframes.</w:t>
            </w:r>
          </w:p>
        </w:tc>
      </w:tr>
      <w:tr w:rsidR="00F91B76" w:rsidRPr="00A51024" w14:paraId="7C9C8150" w14:textId="77777777" w:rsidTr="428EFFA4">
        <w:tc>
          <w:tcPr>
            <w:tcW w:w="2122" w:type="dxa"/>
            <w:hideMark/>
          </w:tcPr>
          <w:p w14:paraId="1585E471" w14:textId="77777777" w:rsidR="00F91B76" w:rsidRPr="00A51024" w:rsidRDefault="00F91B76">
            <w:pPr>
              <w:pStyle w:val="Tabletext"/>
              <w:rPr>
                <w:rFonts w:eastAsia="Times"/>
              </w:rPr>
            </w:pPr>
            <w:r w:rsidRPr="00A51024">
              <w:rPr>
                <w:rFonts w:eastAsia="Times"/>
              </w:rPr>
              <w:t>Impartiality</w:t>
            </w:r>
          </w:p>
        </w:tc>
        <w:tc>
          <w:tcPr>
            <w:tcW w:w="3402" w:type="dxa"/>
            <w:hideMark/>
          </w:tcPr>
          <w:p w14:paraId="4C9988E2" w14:textId="77777777" w:rsidR="00F91B76" w:rsidRPr="00A51024" w:rsidRDefault="00F91B76">
            <w:pPr>
              <w:pStyle w:val="Tabletext"/>
              <w:rPr>
                <w:rFonts w:eastAsia="Times"/>
              </w:rPr>
            </w:pPr>
            <w:r w:rsidRPr="00A51024">
              <w:rPr>
                <w:rFonts w:eastAsia="Times"/>
              </w:rPr>
              <w:t>Reviews must be completed by staff who were not involved in the original decision and must be based only on the information relevant to the appeal.</w:t>
            </w:r>
          </w:p>
        </w:tc>
        <w:tc>
          <w:tcPr>
            <w:tcW w:w="3764" w:type="dxa"/>
            <w:hideMark/>
          </w:tcPr>
          <w:p w14:paraId="39252B08" w14:textId="77777777" w:rsidR="00F91B76" w:rsidRDefault="00F91B76">
            <w:pPr>
              <w:pStyle w:val="Tablebullet1"/>
              <w:rPr>
                <w:rFonts w:eastAsia="Times"/>
              </w:rPr>
            </w:pPr>
            <w:r w:rsidRPr="00A51024">
              <w:rPr>
                <w:rFonts w:eastAsia="Times"/>
              </w:rPr>
              <w:t>Allocate reviews to independent staff</w:t>
            </w:r>
          </w:p>
          <w:p w14:paraId="61F09F15" w14:textId="77777777" w:rsidR="00F91B76" w:rsidRDefault="00F91B76">
            <w:pPr>
              <w:pStyle w:val="Tablebullet1"/>
              <w:rPr>
                <w:rFonts w:eastAsia="Times"/>
              </w:rPr>
            </w:pPr>
            <w:r>
              <w:rPr>
                <w:rFonts w:eastAsia="Times"/>
              </w:rPr>
              <w:t>A</w:t>
            </w:r>
            <w:r w:rsidRPr="00A51024">
              <w:rPr>
                <w:rFonts w:eastAsia="Times"/>
              </w:rPr>
              <w:t>void assumptions</w:t>
            </w:r>
          </w:p>
          <w:p w14:paraId="6713C5EA" w14:textId="77777777" w:rsidR="00F91B76" w:rsidRPr="00A51024" w:rsidRDefault="00F91B76">
            <w:pPr>
              <w:pStyle w:val="Tablebullet1"/>
              <w:rPr>
                <w:rFonts w:eastAsia="Times"/>
              </w:rPr>
            </w:pPr>
            <w:r>
              <w:rPr>
                <w:rFonts w:eastAsia="Times"/>
              </w:rPr>
              <w:t>A</w:t>
            </w:r>
            <w:r w:rsidRPr="00A51024">
              <w:rPr>
                <w:rFonts w:eastAsia="Times"/>
              </w:rPr>
              <w:t>pply guidelines consistently.</w:t>
            </w:r>
          </w:p>
        </w:tc>
      </w:tr>
      <w:tr w:rsidR="00F91B76" w:rsidRPr="00A51024" w14:paraId="3A5CDF80" w14:textId="77777777" w:rsidTr="428EFFA4">
        <w:tc>
          <w:tcPr>
            <w:tcW w:w="2122" w:type="dxa"/>
            <w:hideMark/>
          </w:tcPr>
          <w:p w14:paraId="1B19DC11" w14:textId="77777777" w:rsidR="00F91B76" w:rsidRPr="00A51024" w:rsidRDefault="00F91B76">
            <w:pPr>
              <w:pStyle w:val="Tabletext"/>
              <w:rPr>
                <w:rFonts w:eastAsia="Times"/>
              </w:rPr>
            </w:pPr>
            <w:r w:rsidRPr="00A51024">
              <w:rPr>
                <w:rFonts w:eastAsia="Times"/>
              </w:rPr>
              <w:t>Accessibility</w:t>
            </w:r>
          </w:p>
        </w:tc>
        <w:tc>
          <w:tcPr>
            <w:tcW w:w="3402" w:type="dxa"/>
            <w:hideMark/>
          </w:tcPr>
          <w:p w14:paraId="4A1C3159" w14:textId="77777777" w:rsidR="00F91B76" w:rsidRPr="00A51024" w:rsidRDefault="00F91B76">
            <w:pPr>
              <w:pStyle w:val="Tabletext"/>
              <w:rPr>
                <w:rFonts w:eastAsia="Times"/>
              </w:rPr>
            </w:pPr>
            <w:r w:rsidRPr="00A51024">
              <w:rPr>
                <w:rFonts w:eastAsia="Times"/>
              </w:rPr>
              <w:t>Clients must be supported to participate in the appeal process.</w:t>
            </w:r>
          </w:p>
        </w:tc>
        <w:tc>
          <w:tcPr>
            <w:tcW w:w="3764" w:type="dxa"/>
            <w:hideMark/>
          </w:tcPr>
          <w:p w14:paraId="369DED83" w14:textId="77777777" w:rsidR="00F91B76" w:rsidRDefault="00F91B76">
            <w:pPr>
              <w:pStyle w:val="Tablebullet1"/>
              <w:rPr>
                <w:rFonts w:eastAsia="Times"/>
              </w:rPr>
            </w:pPr>
            <w:r w:rsidRPr="00A51024">
              <w:rPr>
                <w:rFonts w:eastAsia="Times"/>
              </w:rPr>
              <w:t>Offer interpreters</w:t>
            </w:r>
          </w:p>
          <w:p w14:paraId="63AD8DAF" w14:textId="77777777" w:rsidR="00F91B76" w:rsidRDefault="00F91B76">
            <w:pPr>
              <w:pStyle w:val="Tablebullet1"/>
              <w:rPr>
                <w:rFonts w:eastAsia="Times"/>
              </w:rPr>
            </w:pPr>
            <w:r>
              <w:rPr>
                <w:rFonts w:eastAsia="Times"/>
              </w:rPr>
              <w:t>T</w:t>
            </w:r>
            <w:r w:rsidRPr="00A51024">
              <w:rPr>
                <w:rFonts w:eastAsia="Times"/>
              </w:rPr>
              <w:t>ranslated materials</w:t>
            </w:r>
            <w:r>
              <w:rPr>
                <w:rFonts w:eastAsia="Times"/>
              </w:rPr>
              <w:t xml:space="preserve"> </w:t>
            </w:r>
          </w:p>
          <w:p w14:paraId="14215D46" w14:textId="77777777" w:rsidR="00F91B76" w:rsidRDefault="00F91B76">
            <w:pPr>
              <w:pStyle w:val="Tablebullet1"/>
              <w:rPr>
                <w:rFonts w:eastAsia="Times"/>
              </w:rPr>
            </w:pPr>
            <w:r>
              <w:rPr>
                <w:rFonts w:eastAsia="Times"/>
              </w:rPr>
              <w:t>A</w:t>
            </w:r>
            <w:r w:rsidRPr="00A51024">
              <w:rPr>
                <w:rFonts w:eastAsia="Times"/>
              </w:rPr>
              <w:t>lternative formats</w:t>
            </w:r>
          </w:p>
          <w:p w14:paraId="5F041314" w14:textId="4EB70385" w:rsidR="00F91B76" w:rsidRPr="00A51024" w:rsidRDefault="7A90A83F">
            <w:pPr>
              <w:pStyle w:val="Tablebullet1"/>
              <w:rPr>
                <w:rFonts w:eastAsia="Times"/>
              </w:rPr>
            </w:pPr>
            <w:proofErr w:type="gramStart"/>
            <w:r w:rsidRPr="428EFFA4">
              <w:rPr>
                <w:rFonts w:eastAsia="Times"/>
              </w:rPr>
              <w:t>Provide assistance</w:t>
            </w:r>
            <w:proofErr w:type="gramEnd"/>
            <w:r w:rsidRPr="428EFFA4">
              <w:rPr>
                <w:rFonts w:eastAsia="Times"/>
              </w:rPr>
              <w:t xml:space="preserve"> </w:t>
            </w:r>
            <w:r w:rsidR="00D7512B">
              <w:rPr>
                <w:rFonts w:eastAsia="Times"/>
              </w:rPr>
              <w:t>if required including referrals to advocacy services</w:t>
            </w:r>
            <w:r w:rsidR="00A042A5">
              <w:rPr>
                <w:rFonts w:eastAsia="Times"/>
              </w:rPr>
              <w:t xml:space="preserve"> if </w:t>
            </w:r>
            <w:r w:rsidR="00933050">
              <w:rPr>
                <w:rFonts w:eastAsia="Times"/>
              </w:rPr>
              <w:t>appropriate</w:t>
            </w:r>
            <w:r w:rsidRPr="428EFFA4">
              <w:rPr>
                <w:rFonts w:eastAsia="Times"/>
              </w:rPr>
              <w:t>.</w:t>
            </w:r>
          </w:p>
        </w:tc>
      </w:tr>
      <w:tr w:rsidR="00F91B76" w:rsidRPr="00A51024" w14:paraId="6F8F05A4" w14:textId="77777777" w:rsidTr="428EFFA4">
        <w:tc>
          <w:tcPr>
            <w:tcW w:w="2122" w:type="dxa"/>
            <w:hideMark/>
          </w:tcPr>
          <w:p w14:paraId="17F7074C" w14:textId="77777777" w:rsidR="00F91B76" w:rsidRPr="00A51024" w:rsidRDefault="00F91B76">
            <w:pPr>
              <w:pStyle w:val="Tabletext"/>
              <w:rPr>
                <w:rFonts w:eastAsia="Times"/>
              </w:rPr>
            </w:pPr>
            <w:r w:rsidRPr="00A51024">
              <w:rPr>
                <w:rFonts w:eastAsia="Times"/>
              </w:rPr>
              <w:t>Transparent communication</w:t>
            </w:r>
          </w:p>
        </w:tc>
        <w:tc>
          <w:tcPr>
            <w:tcW w:w="3402" w:type="dxa"/>
            <w:hideMark/>
          </w:tcPr>
          <w:p w14:paraId="7ADFA142" w14:textId="77777777" w:rsidR="00F91B76" w:rsidRPr="00A51024" w:rsidRDefault="00F91B76">
            <w:pPr>
              <w:pStyle w:val="Tabletext"/>
              <w:rPr>
                <w:rFonts w:eastAsia="Times"/>
              </w:rPr>
            </w:pPr>
            <w:r w:rsidRPr="00A51024">
              <w:rPr>
                <w:rFonts w:eastAsia="Times"/>
              </w:rPr>
              <w:t>Clients must receive regular updates and clear explanations of the outcome.</w:t>
            </w:r>
          </w:p>
        </w:tc>
        <w:tc>
          <w:tcPr>
            <w:tcW w:w="3764" w:type="dxa"/>
            <w:hideMark/>
          </w:tcPr>
          <w:p w14:paraId="703A5916" w14:textId="77777777" w:rsidR="00F91B76" w:rsidRDefault="00F91B76">
            <w:pPr>
              <w:pStyle w:val="Tablebullet1"/>
              <w:rPr>
                <w:rFonts w:eastAsia="Times"/>
              </w:rPr>
            </w:pPr>
            <w:r w:rsidRPr="00A51024">
              <w:rPr>
                <w:rFonts w:eastAsia="Times"/>
              </w:rPr>
              <w:t>Document all communication in HiiP</w:t>
            </w:r>
          </w:p>
          <w:p w14:paraId="0978816E" w14:textId="77777777" w:rsidR="00F91B76" w:rsidRDefault="00F91B76">
            <w:pPr>
              <w:pStyle w:val="Tablebullet1"/>
              <w:rPr>
                <w:rFonts w:eastAsia="Times"/>
              </w:rPr>
            </w:pPr>
            <w:r>
              <w:rPr>
                <w:rFonts w:eastAsia="Times"/>
              </w:rPr>
              <w:t>E</w:t>
            </w:r>
            <w:r w:rsidRPr="00A51024">
              <w:rPr>
                <w:rFonts w:eastAsia="Times"/>
              </w:rPr>
              <w:t>ncourage client engagement</w:t>
            </w:r>
          </w:p>
          <w:p w14:paraId="6F0A03BE" w14:textId="77777777" w:rsidR="00F91B76" w:rsidRDefault="00F91B76">
            <w:pPr>
              <w:pStyle w:val="Tablebullet1"/>
              <w:rPr>
                <w:rFonts w:eastAsia="Times"/>
              </w:rPr>
            </w:pPr>
            <w:r>
              <w:rPr>
                <w:rFonts w:eastAsia="Times"/>
              </w:rPr>
              <w:t>E</w:t>
            </w:r>
            <w:r w:rsidRPr="00A51024">
              <w:rPr>
                <w:rFonts w:eastAsia="Times"/>
              </w:rPr>
              <w:t xml:space="preserve">xplain alternative </w:t>
            </w:r>
            <w:r>
              <w:rPr>
                <w:rFonts w:eastAsia="Times"/>
              </w:rPr>
              <w:t>resolution pathways</w:t>
            </w:r>
            <w:r w:rsidRPr="00A51024">
              <w:rPr>
                <w:rFonts w:eastAsia="Times"/>
              </w:rPr>
              <w:t xml:space="preserve"> where the matter is not appealable.</w:t>
            </w:r>
          </w:p>
          <w:p w14:paraId="6E3E855C" w14:textId="77777777" w:rsidR="00F91B76" w:rsidRPr="00A51024" w:rsidRDefault="00F91B76">
            <w:pPr>
              <w:pStyle w:val="Tablebullet1"/>
              <w:rPr>
                <w:rFonts w:eastAsia="Times"/>
              </w:rPr>
            </w:pPr>
            <w:r w:rsidRPr="00C961BE">
              <w:rPr>
                <w:rFonts w:eastAsia="Times"/>
              </w:rPr>
              <w:t>Send status update letters, including the acknowledgment letter and initial and advanced appeal outcome letters.</w:t>
            </w:r>
          </w:p>
        </w:tc>
      </w:tr>
      <w:tr w:rsidR="00F91B76" w:rsidRPr="00A51024" w14:paraId="4AD33D87" w14:textId="77777777" w:rsidTr="428EFFA4">
        <w:tc>
          <w:tcPr>
            <w:tcW w:w="2122" w:type="dxa"/>
            <w:hideMark/>
          </w:tcPr>
          <w:p w14:paraId="5CD86215" w14:textId="77777777" w:rsidR="00F91B76" w:rsidRPr="00A51024" w:rsidRDefault="00F91B76">
            <w:pPr>
              <w:pStyle w:val="Tabletext"/>
              <w:rPr>
                <w:rFonts w:eastAsia="Times"/>
              </w:rPr>
            </w:pPr>
            <w:r w:rsidRPr="00A51024">
              <w:rPr>
                <w:rFonts w:eastAsia="Times"/>
              </w:rPr>
              <w:t>Clear reasoning and outcome</w:t>
            </w:r>
          </w:p>
        </w:tc>
        <w:tc>
          <w:tcPr>
            <w:tcW w:w="3402" w:type="dxa"/>
            <w:hideMark/>
          </w:tcPr>
          <w:p w14:paraId="7437A30E" w14:textId="77777777" w:rsidR="00F91B76" w:rsidRPr="00A51024" w:rsidRDefault="00F91B76">
            <w:pPr>
              <w:pStyle w:val="Tabletext"/>
              <w:rPr>
                <w:rFonts w:eastAsia="Times"/>
              </w:rPr>
            </w:pPr>
            <w:r w:rsidRPr="00A51024">
              <w:rPr>
                <w:rFonts w:eastAsia="Times"/>
              </w:rPr>
              <w:t>The outcome must be supported by documented evidence and clear reasoning.</w:t>
            </w:r>
          </w:p>
        </w:tc>
        <w:tc>
          <w:tcPr>
            <w:tcW w:w="3764" w:type="dxa"/>
            <w:hideMark/>
          </w:tcPr>
          <w:p w14:paraId="157751B7" w14:textId="77777777" w:rsidR="00F91B76" w:rsidRDefault="00F91B76">
            <w:pPr>
              <w:pStyle w:val="Tablebullet1"/>
              <w:rPr>
                <w:rFonts w:eastAsia="Times"/>
              </w:rPr>
            </w:pPr>
            <w:r w:rsidRPr="00A51024">
              <w:rPr>
                <w:rFonts w:eastAsia="Times"/>
              </w:rPr>
              <w:t>Record the assessment</w:t>
            </w:r>
          </w:p>
          <w:p w14:paraId="1D869640" w14:textId="629BE809" w:rsidR="00F91B76" w:rsidRDefault="00B976C5">
            <w:pPr>
              <w:pStyle w:val="Tablebullet1"/>
              <w:rPr>
                <w:rFonts w:eastAsia="Times"/>
              </w:rPr>
            </w:pPr>
            <w:r>
              <w:rPr>
                <w:rFonts w:eastAsia="Times"/>
              </w:rPr>
              <w:t xml:space="preserve">What </w:t>
            </w:r>
            <w:r w:rsidR="000614A5">
              <w:rPr>
                <w:rFonts w:eastAsia="Times"/>
              </w:rPr>
              <w:t>e</w:t>
            </w:r>
            <w:r w:rsidR="7A90A83F" w:rsidRPr="428EFFA4">
              <w:rPr>
                <w:rFonts w:eastAsia="Times"/>
              </w:rPr>
              <w:t xml:space="preserve">vidence </w:t>
            </w:r>
            <w:r w:rsidR="000614A5">
              <w:rPr>
                <w:rFonts w:eastAsia="Times"/>
              </w:rPr>
              <w:t xml:space="preserve">has been </w:t>
            </w:r>
            <w:r w:rsidR="7A90A83F" w:rsidRPr="428EFFA4">
              <w:rPr>
                <w:rFonts w:eastAsia="Times"/>
              </w:rPr>
              <w:t>considered and</w:t>
            </w:r>
            <w:r w:rsidR="000614A5">
              <w:rPr>
                <w:rFonts w:eastAsia="Times"/>
              </w:rPr>
              <w:t xml:space="preserve"> </w:t>
            </w:r>
            <w:r w:rsidR="00C27156">
              <w:rPr>
                <w:rFonts w:eastAsia="Times"/>
              </w:rPr>
              <w:t>how this has impacted the decision</w:t>
            </w:r>
          </w:p>
          <w:p w14:paraId="4F3ED4A4" w14:textId="77777777" w:rsidR="00F91B76" w:rsidRDefault="00F91B76">
            <w:pPr>
              <w:pStyle w:val="Tablebullet1"/>
              <w:rPr>
                <w:rFonts w:eastAsia="Times"/>
              </w:rPr>
            </w:pPr>
            <w:r>
              <w:rPr>
                <w:rFonts w:eastAsia="Times"/>
              </w:rPr>
              <w:t>C</w:t>
            </w:r>
            <w:r w:rsidRPr="00A51024">
              <w:rPr>
                <w:rFonts w:eastAsia="Times"/>
              </w:rPr>
              <w:t>ommunicate the outcome promptly</w:t>
            </w:r>
          </w:p>
          <w:p w14:paraId="387064AE" w14:textId="77777777" w:rsidR="00F91B76" w:rsidRPr="00A51024" w:rsidRDefault="00F91B76">
            <w:pPr>
              <w:pStyle w:val="Tablebullet1"/>
              <w:rPr>
                <w:rFonts w:eastAsia="Times"/>
              </w:rPr>
            </w:pPr>
            <w:r>
              <w:rPr>
                <w:rFonts w:eastAsia="Times"/>
              </w:rPr>
              <w:t>U</w:t>
            </w:r>
            <w:r w:rsidRPr="00A51024">
              <w:rPr>
                <w:rFonts w:eastAsia="Times"/>
              </w:rPr>
              <w:t>pload all documentation to HiiP.</w:t>
            </w:r>
          </w:p>
        </w:tc>
      </w:tr>
    </w:tbl>
    <w:p w14:paraId="177EC839" w14:textId="77777777" w:rsidR="00F91B76" w:rsidRPr="00B946EF" w:rsidRDefault="00F91B76" w:rsidP="00F91B76">
      <w:pPr>
        <w:pStyle w:val="Heading1"/>
      </w:pPr>
      <w:bookmarkStart w:id="45" w:name="_Toc243568458"/>
      <w:r>
        <w:lastRenderedPageBreak/>
        <w:t>Managing and documenting appeals</w:t>
      </w:r>
      <w:bookmarkEnd w:id="45"/>
    </w:p>
    <w:p w14:paraId="75D3EF52" w14:textId="77777777" w:rsidR="00F91B76" w:rsidRDefault="00F91B76" w:rsidP="00F91B76">
      <w:pPr>
        <w:pStyle w:val="Body"/>
        <w:rPr>
          <w:lang w:eastAsia="en-AU"/>
        </w:rPr>
      </w:pPr>
      <w:r w:rsidRPr="008A6419">
        <w:rPr>
          <w:lang w:eastAsia="en-AU"/>
        </w:rPr>
        <w:t>Staff</w:t>
      </w:r>
      <w:r w:rsidRPr="005D57B1">
        <w:rPr>
          <w:lang w:eastAsia="en-AU"/>
        </w:rPr>
        <w:t xml:space="preserve"> must ensure all actions are accurately documented in </w:t>
      </w:r>
      <w:r w:rsidRPr="008A6419">
        <w:rPr>
          <w:lang w:eastAsia="en-AU"/>
        </w:rPr>
        <w:t>HiiP t</w:t>
      </w:r>
      <w:r w:rsidRPr="005D57B1">
        <w:rPr>
          <w:lang w:eastAsia="en-AU"/>
        </w:rPr>
        <w:t>o maintain a complete audit trail</w:t>
      </w:r>
      <w:r w:rsidRPr="008A6419">
        <w:rPr>
          <w:lang w:eastAsia="en-AU"/>
        </w:rPr>
        <w:t xml:space="preserve"> – following the steps outlined in the table below</w:t>
      </w:r>
      <w:r w:rsidRPr="005D57B1">
        <w:rPr>
          <w:lang w:eastAsia="en-AU"/>
        </w:rPr>
        <w:t>.</w:t>
      </w:r>
    </w:p>
    <w:p w14:paraId="5E911AF7" w14:textId="77777777" w:rsidR="00F91B76" w:rsidRPr="005D57B1" w:rsidRDefault="00F91B76" w:rsidP="00F91B76">
      <w:pPr>
        <w:pStyle w:val="Tablecaption"/>
        <w:rPr>
          <w:lang w:eastAsia="en-AU"/>
        </w:rPr>
      </w:pPr>
      <w:r>
        <w:rPr>
          <w:lang w:eastAsia="en-AU"/>
        </w:rPr>
        <w:t>Table 6: HiiP processes</w:t>
      </w:r>
    </w:p>
    <w:tbl>
      <w:tblPr>
        <w:tblStyle w:val="TableGridLight"/>
        <w:tblW w:w="9720" w:type="dxa"/>
        <w:tblLook w:val="04A0" w:firstRow="1" w:lastRow="0" w:firstColumn="1" w:lastColumn="0" w:noHBand="0" w:noVBand="1"/>
      </w:tblPr>
      <w:tblGrid>
        <w:gridCol w:w="1921"/>
        <w:gridCol w:w="7799"/>
      </w:tblGrid>
      <w:tr w:rsidR="00F91B76" w:rsidRPr="00761BC0" w14:paraId="01F6C73E" w14:textId="77777777">
        <w:trPr>
          <w:tblHeader/>
        </w:trPr>
        <w:tc>
          <w:tcPr>
            <w:tcW w:w="0" w:type="auto"/>
            <w:hideMark/>
          </w:tcPr>
          <w:p w14:paraId="7FC4716F" w14:textId="77777777" w:rsidR="00F91B76" w:rsidRPr="00761BC0" w:rsidRDefault="00F91B76">
            <w:pPr>
              <w:pStyle w:val="Tablecolhead"/>
              <w:rPr>
                <w:lang w:eastAsia="en-AU"/>
              </w:rPr>
            </w:pPr>
            <w:r w:rsidRPr="00761BC0">
              <w:rPr>
                <w:lang w:eastAsia="en-AU"/>
              </w:rPr>
              <w:t>Action</w:t>
            </w:r>
          </w:p>
        </w:tc>
        <w:tc>
          <w:tcPr>
            <w:tcW w:w="0" w:type="auto"/>
            <w:hideMark/>
          </w:tcPr>
          <w:p w14:paraId="2E40AB42" w14:textId="77777777" w:rsidR="00F91B76" w:rsidRPr="00761BC0" w:rsidRDefault="00F91B76">
            <w:pPr>
              <w:pStyle w:val="Tablecolhead"/>
              <w:rPr>
                <w:lang w:eastAsia="en-AU"/>
              </w:rPr>
            </w:pPr>
            <w:r w:rsidRPr="00761BC0">
              <w:rPr>
                <w:lang w:eastAsia="en-AU"/>
              </w:rPr>
              <w:t>Detail</w:t>
            </w:r>
            <w:r>
              <w:rPr>
                <w:lang w:eastAsia="en-AU"/>
              </w:rPr>
              <w:t>s</w:t>
            </w:r>
          </w:p>
        </w:tc>
      </w:tr>
      <w:tr w:rsidR="00F91B76" w:rsidRPr="00761BC0" w14:paraId="52EBB04A" w14:textId="77777777">
        <w:tc>
          <w:tcPr>
            <w:tcW w:w="0" w:type="auto"/>
          </w:tcPr>
          <w:p w14:paraId="734634D7" w14:textId="77777777" w:rsidR="00F91B76" w:rsidRDefault="00F91B76">
            <w:pPr>
              <w:pStyle w:val="Tabletext"/>
              <w:rPr>
                <w:lang w:eastAsia="en-AU"/>
              </w:rPr>
            </w:pPr>
            <w:r>
              <w:rPr>
                <w:lang w:eastAsia="en-AU"/>
              </w:rPr>
              <w:t>Register</w:t>
            </w:r>
          </w:p>
        </w:tc>
        <w:tc>
          <w:tcPr>
            <w:tcW w:w="0" w:type="auto"/>
          </w:tcPr>
          <w:p w14:paraId="67661976" w14:textId="77777777" w:rsidR="00F91B76" w:rsidRPr="00761BC0" w:rsidRDefault="00F91B76">
            <w:pPr>
              <w:pStyle w:val="Tabletext"/>
              <w:rPr>
                <w:lang w:eastAsia="en-AU"/>
              </w:rPr>
            </w:pPr>
            <w:r>
              <w:rPr>
                <w:lang w:eastAsia="en-AU"/>
              </w:rPr>
              <w:t xml:space="preserve">Create an appeal record. </w:t>
            </w:r>
            <w:r w:rsidRPr="004230A2">
              <w:rPr>
                <w:lang w:eastAsia="en-AU"/>
              </w:rPr>
              <w:t xml:space="preserve">This includes </w:t>
            </w:r>
            <w:r>
              <w:rPr>
                <w:lang w:eastAsia="en-AU"/>
              </w:rPr>
              <w:t xml:space="preserve">appeals lodged for </w:t>
            </w:r>
            <w:r w:rsidRPr="004230A2">
              <w:rPr>
                <w:lang w:eastAsia="en-AU"/>
              </w:rPr>
              <w:t xml:space="preserve">non-appealable </w:t>
            </w:r>
            <w:r>
              <w:rPr>
                <w:lang w:eastAsia="en-AU"/>
              </w:rPr>
              <w:t>matters.</w:t>
            </w:r>
          </w:p>
        </w:tc>
      </w:tr>
      <w:tr w:rsidR="00F91B76" w:rsidRPr="00761BC0" w14:paraId="32196A6C" w14:textId="77777777">
        <w:tc>
          <w:tcPr>
            <w:tcW w:w="0" w:type="auto"/>
            <w:hideMark/>
          </w:tcPr>
          <w:p w14:paraId="36D6DA5B" w14:textId="77777777" w:rsidR="00F91B76" w:rsidRPr="00761BC0" w:rsidRDefault="00F91B76">
            <w:pPr>
              <w:pStyle w:val="Tabletext"/>
              <w:rPr>
                <w:lang w:eastAsia="en-AU"/>
              </w:rPr>
            </w:pPr>
            <w:r>
              <w:rPr>
                <w:lang w:eastAsia="en-AU"/>
              </w:rPr>
              <w:t>Allocation</w:t>
            </w:r>
          </w:p>
        </w:tc>
        <w:tc>
          <w:tcPr>
            <w:tcW w:w="0" w:type="auto"/>
            <w:hideMark/>
          </w:tcPr>
          <w:p w14:paraId="6B8395DF" w14:textId="77777777" w:rsidR="00F91B76" w:rsidRPr="00761BC0" w:rsidRDefault="00F91B76">
            <w:pPr>
              <w:pStyle w:val="Tabletext"/>
              <w:rPr>
                <w:lang w:eastAsia="en-AU"/>
              </w:rPr>
            </w:pPr>
            <w:r w:rsidRPr="00761BC0">
              <w:rPr>
                <w:lang w:eastAsia="en-AU"/>
              </w:rPr>
              <w:t>Allocate the correct appeal type to ensure accurate reporting and tracking.</w:t>
            </w:r>
            <w:r>
              <w:rPr>
                <w:lang w:eastAsia="en-AU"/>
              </w:rPr>
              <w:t xml:space="preserve"> </w:t>
            </w:r>
          </w:p>
        </w:tc>
      </w:tr>
      <w:tr w:rsidR="00F91B76" w:rsidRPr="00761BC0" w14:paraId="1C1BA53B" w14:textId="77777777">
        <w:tc>
          <w:tcPr>
            <w:tcW w:w="0" w:type="auto"/>
            <w:hideMark/>
          </w:tcPr>
          <w:p w14:paraId="141485FB" w14:textId="77777777" w:rsidR="00F91B76" w:rsidRPr="00761BC0" w:rsidRDefault="00F91B76">
            <w:pPr>
              <w:pStyle w:val="Tabletext"/>
              <w:rPr>
                <w:lang w:eastAsia="en-AU"/>
              </w:rPr>
            </w:pPr>
            <w:r w:rsidRPr="00761BC0">
              <w:rPr>
                <w:lang w:eastAsia="en-AU"/>
              </w:rPr>
              <w:t xml:space="preserve">Initial </w:t>
            </w:r>
            <w:r>
              <w:rPr>
                <w:lang w:eastAsia="en-AU"/>
              </w:rPr>
              <w:t>l</w:t>
            </w:r>
            <w:r w:rsidRPr="00761BC0">
              <w:rPr>
                <w:lang w:eastAsia="en-AU"/>
              </w:rPr>
              <w:t>ogging</w:t>
            </w:r>
          </w:p>
        </w:tc>
        <w:tc>
          <w:tcPr>
            <w:tcW w:w="0" w:type="auto"/>
            <w:hideMark/>
          </w:tcPr>
          <w:p w14:paraId="7264B25E" w14:textId="77777777" w:rsidR="00F91B76" w:rsidRPr="00761BC0" w:rsidRDefault="00F91B76">
            <w:pPr>
              <w:pStyle w:val="Tabletext"/>
              <w:rPr>
                <w:lang w:eastAsia="en-AU"/>
              </w:rPr>
            </w:pPr>
            <w:r w:rsidRPr="00761BC0">
              <w:rPr>
                <w:lang w:eastAsia="en-AU"/>
              </w:rPr>
              <w:t>Record the specific reason for the appeal and how the request was received (e.g., email, counter, or post).</w:t>
            </w:r>
            <w:r>
              <w:rPr>
                <w:lang w:eastAsia="en-AU"/>
              </w:rPr>
              <w:t xml:space="preserve"> </w:t>
            </w:r>
          </w:p>
        </w:tc>
      </w:tr>
      <w:tr w:rsidR="00F91B76" w:rsidRPr="00761BC0" w14:paraId="17894DDA" w14:textId="77777777">
        <w:tc>
          <w:tcPr>
            <w:tcW w:w="0" w:type="auto"/>
            <w:hideMark/>
          </w:tcPr>
          <w:p w14:paraId="6B9E7D41" w14:textId="77777777" w:rsidR="00F91B76" w:rsidRPr="00761BC0" w:rsidRDefault="00F91B76">
            <w:pPr>
              <w:pStyle w:val="Tabletext"/>
              <w:rPr>
                <w:lang w:eastAsia="en-AU"/>
              </w:rPr>
            </w:pPr>
            <w:r w:rsidRPr="00761BC0">
              <w:rPr>
                <w:lang w:eastAsia="en-AU"/>
              </w:rPr>
              <w:t xml:space="preserve">Stakeholder </w:t>
            </w:r>
            <w:r>
              <w:rPr>
                <w:lang w:eastAsia="en-AU"/>
              </w:rPr>
              <w:t>l</w:t>
            </w:r>
            <w:r w:rsidRPr="00761BC0">
              <w:rPr>
                <w:lang w:eastAsia="en-AU"/>
              </w:rPr>
              <w:t>inking</w:t>
            </w:r>
          </w:p>
        </w:tc>
        <w:tc>
          <w:tcPr>
            <w:tcW w:w="0" w:type="auto"/>
            <w:hideMark/>
          </w:tcPr>
          <w:p w14:paraId="3A3828FD" w14:textId="77777777" w:rsidR="00F91B76" w:rsidRPr="00761BC0" w:rsidRDefault="00F91B76">
            <w:pPr>
              <w:pStyle w:val="Tabletext"/>
              <w:rPr>
                <w:lang w:eastAsia="en-AU"/>
              </w:rPr>
            </w:pPr>
            <w:r w:rsidRPr="00761BC0">
              <w:rPr>
                <w:lang w:eastAsia="en-AU"/>
              </w:rPr>
              <w:t xml:space="preserve">Link the </w:t>
            </w:r>
            <w:r>
              <w:rPr>
                <w:lang w:eastAsia="en-AU"/>
              </w:rPr>
              <w:t>client</w:t>
            </w:r>
            <w:r w:rsidRPr="00761BC0">
              <w:rPr>
                <w:lang w:eastAsia="en-AU"/>
              </w:rPr>
              <w:t>, the respondent, and any authorised advocate to the appeal file.</w:t>
            </w:r>
          </w:p>
        </w:tc>
      </w:tr>
      <w:tr w:rsidR="00F91B76" w:rsidRPr="00761BC0" w14:paraId="5AA27C07" w14:textId="77777777">
        <w:tc>
          <w:tcPr>
            <w:tcW w:w="0" w:type="auto"/>
            <w:hideMark/>
          </w:tcPr>
          <w:p w14:paraId="097C52CE" w14:textId="77777777" w:rsidR="00F91B76" w:rsidRPr="00761BC0" w:rsidRDefault="00F91B76">
            <w:pPr>
              <w:pStyle w:val="Tabletext"/>
              <w:rPr>
                <w:lang w:eastAsia="en-AU"/>
              </w:rPr>
            </w:pPr>
            <w:r w:rsidRPr="00761BC0">
              <w:rPr>
                <w:lang w:eastAsia="en-AU"/>
              </w:rPr>
              <w:t>Documentation</w:t>
            </w:r>
          </w:p>
        </w:tc>
        <w:tc>
          <w:tcPr>
            <w:tcW w:w="0" w:type="auto"/>
            <w:hideMark/>
          </w:tcPr>
          <w:p w14:paraId="01815B91" w14:textId="77777777" w:rsidR="00F91B76" w:rsidRPr="00761BC0" w:rsidRDefault="00F91B76">
            <w:pPr>
              <w:pStyle w:val="Tabletext"/>
              <w:rPr>
                <w:lang w:eastAsia="en-AU"/>
              </w:rPr>
            </w:pPr>
            <w:r w:rsidRPr="00761BC0">
              <w:rPr>
                <w:lang w:eastAsia="en-AU"/>
              </w:rPr>
              <w:t>Upload all relevant evidence and documents provided by the client or gathered during the review.</w:t>
            </w:r>
          </w:p>
        </w:tc>
      </w:tr>
      <w:tr w:rsidR="00F91B76" w:rsidRPr="00761BC0" w14:paraId="58843E88" w14:textId="77777777">
        <w:tc>
          <w:tcPr>
            <w:tcW w:w="0" w:type="auto"/>
            <w:hideMark/>
          </w:tcPr>
          <w:p w14:paraId="267CF4C8" w14:textId="77777777" w:rsidR="00F91B76" w:rsidRPr="00761BC0" w:rsidRDefault="00F91B76">
            <w:pPr>
              <w:pStyle w:val="Tabletext"/>
              <w:rPr>
                <w:lang w:eastAsia="en-AU"/>
              </w:rPr>
            </w:pPr>
            <w:r w:rsidRPr="00761BC0">
              <w:rPr>
                <w:lang w:eastAsia="en-AU"/>
              </w:rPr>
              <w:t xml:space="preserve">File </w:t>
            </w:r>
            <w:r>
              <w:rPr>
                <w:lang w:eastAsia="en-AU"/>
              </w:rPr>
              <w:t>n</w:t>
            </w:r>
            <w:r w:rsidRPr="00761BC0">
              <w:rPr>
                <w:lang w:eastAsia="en-AU"/>
              </w:rPr>
              <w:t>otes</w:t>
            </w:r>
          </w:p>
        </w:tc>
        <w:tc>
          <w:tcPr>
            <w:tcW w:w="0" w:type="auto"/>
            <w:hideMark/>
          </w:tcPr>
          <w:p w14:paraId="22C7729A" w14:textId="77777777" w:rsidR="00F91B76" w:rsidRPr="00761BC0" w:rsidRDefault="00F91B76">
            <w:pPr>
              <w:pStyle w:val="Tabletext"/>
              <w:rPr>
                <w:lang w:eastAsia="en-AU"/>
              </w:rPr>
            </w:pPr>
            <w:r w:rsidRPr="00761BC0">
              <w:rPr>
                <w:lang w:eastAsia="en-AU"/>
              </w:rPr>
              <w:t>Create and link detailed file notes for every significant interaction or internal discussion regarding the appeal.</w:t>
            </w:r>
          </w:p>
        </w:tc>
      </w:tr>
      <w:tr w:rsidR="00F91B76" w:rsidRPr="00761BC0" w14:paraId="648D6631" w14:textId="77777777">
        <w:tc>
          <w:tcPr>
            <w:tcW w:w="0" w:type="auto"/>
            <w:hideMark/>
          </w:tcPr>
          <w:p w14:paraId="645FD746" w14:textId="77777777" w:rsidR="00F91B76" w:rsidRPr="00761BC0" w:rsidRDefault="00F91B76">
            <w:pPr>
              <w:pStyle w:val="Tabletext"/>
              <w:rPr>
                <w:lang w:eastAsia="en-AU"/>
              </w:rPr>
            </w:pPr>
            <w:r w:rsidRPr="00761BC0">
              <w:rPr>
                <w:lang w:eastAsia="en-AU"/>
              </w:rPr>
              <w:t>Correspondence</w:t>
            </w:r>
          </w:p>
        </w:tc>
        <w:tc>
          <w:tcPr>
            <w:tcW w:w="0" w:type="auto"/>
            <w:hideMark/>
          </w:tcPr>
          <w:p w14:paraId="4BD27989" w14:textId="77777777" w:rsidR="00F91B76" w:rsidRPr="00761BC0" w:rsidRDefault="00F91B76">
            <w:pPr>
              <w:pStyle w:val="Tabletext"/>
              <w:rPr>
                <w:lang w:eastAsia="en-AU"/>
              </w:rPr>
            </w:pPr>
            <w:r w:rsidRPr="00761BC0">
              <w:rPr>
                <w:lang w:eastAsia="en-AU"/>
              </w:rPr>
              <w:t>Generate and send all required formal letters and notices through the system to ensure they are saved to the file.</w:t>
            </w:r>
          </w:p>
        </w:tc>
      </w:tr>
      <w:tr w:rsidR="00F91B76" w:rsidRPr="00761BC0" w14:paraId="192EF6D3" w14:textId="77777777">
        <w:tc>
          <w:tcPr>
            <w:tcW w:w="0" w:type="auto"/>
            <w:hideMark/>
          </w:tcPr>
          <w:p w14:paraId="1F965572" w14:textId="77777777" w:rsidR="00F91B76" w:rsidRPr="00761BC0" w:rsidRDefault="00F91B76">
            <w:pPr>
              <w:pStyle w:val="Tabletext"/>
              <w:rPr>
                <w:lang w:eastAsia="en-AU"/>
              </w:rPr>
            </w:pPr>
            <w:r w:rsidRPr="00761BC0">
              <w:rPr>
                <w:lang w:eastAsia="en-AU"/>
              </w:rPr>
              <w:t xml:space="preserve">Workflow </w:t>
            </w:r>
            <w:r>
              <w:rPr>
                <w:lang w:eastAsia="en-AU"/>
              </w:rPr>
              <w:t>t</w:t>
            </w:r>
            <w:r w:rsidRPr="00761BC0">
              <w:rPr>
                <w:lang w:eastAsia="en-AU"/>
              </w:rPr>
              <w:t>racking</w:t>
            </w:r>
          </w:p>
        </w:tc>
        <w:tc>
          <w:tcPr>
            <w:tcW w:w="0" w:type="auto"/>
            <w:hideMark/>
          </w:tcPr>
          <w:p w14:paraId="6558C29D" w14:textId="77777777" w:rsidR="00F91B76" w:rsidRPr="00761BC0" w:rsidRDefault="00F91B76">
            <w:pPr>
              <w:pStyle w:val="Tabletext"/>
              <w:rPr>
                <w:lang w:eastAsia="en-AU"/>
              </w:rPr>
            </w:pPr>
            <w:r w:rsidRPr="00761BC0">
              <w:rPr>
                <w:lang w:eastAsia="en-AU"/>
              </w:rPr>
              <w:t>Update the appeal status immediately as it moves through each stage of the review process.</w:t>
            </w:r>
          </w:p>
        </w:tc>
      </w:tr>
      <w:tr w:rsidR="00F91B76" w:rsidRPr="00761BC0" w14:paraId="23E75D9C" w14:textId="77777777">
        <w:tc>
          <w:tcPr>
            <w:tcW w:w="0" w:type="auto"/>
            <w:hideMark/>
          </w:tcPr>
          <w:p w14:paraId="39BFC4CF" w14:textId="77777777" w:rsidR="00F91B76" w:rsidRPr="00761BC0" w:rsidRDefault="00F91B76">
            <w:pPr>
              <w:pStyle w:val="Tabletext"/>
              <w:rPr>
                <w:lang w:eastAsia="en-AU"/>
              </w:rPr>
            </w:pPr>
            <w:r w:rsidRPr="00761BC0">
              <w:rPr>
                <w:lang w:eastAsia="en-AU"/>
              </w:rPr>
              <w:t>Finalisation</w:t>
            </w:r>
          </w:p>
        </w:tc>
        <w:tc>
          <w:tcPr>
            <w:tcW w:w="0" w:type="auto"/>
            <w:hideMark/>
          </w:tcPr>
          <w:p w14:paraId="0CEE0FF8" w14:textId="77777777" w:rsidR="00F91B76" w:rsidRPr="00761BC0" w:rsidRDefault="00F91B76">
            <w:pPr>
              <w:pStyle w:val="Tabletext"/>
              <w:rPr>
                <w:lang w:eastAsia="en-AU"/>
              </w:rPr>
            </w:pPr>
            <w:r w:rsidRPr="00761BC0">
              <w:rPr>
                <w:lang w:eastAsia="en-AU"/>
              </w:rPr>
              <w:t>Formally close the appeal in HiiP only once all administrative actions and outcomes are fully completed.</w:t>
            </w:r>
          </w:p>
        </w:tc>
      </w:tr>
    </w:tbl>
    <w:p w14:paraId="7DFEEC34" w14:textId="77777777" w:rsidR="00F91B76" w:rsidRDefault="00F91B76" w:rsidP="00F91B76">
      <w:pPr>
        <w:pStyle w:val="Heading2"/>
      </w:pPr>
      <w:bookmarkStart w:id="46" w:name="_Toc243568459"/>
      <w:r>
        <w:t>Overdue appeals</w:t>
      </w:r>
      <w:bookmarkEnd w:id="46"/>
    </w:p>
    <w:p w14:paraId="37B8927C" w14:textId="77777777" w:rsidR="00F91B76" w:rsidRPr="007D7F72" w:rsidRDefault="00F91B76" w:rsidP="00F91B76">
      <w:pPr>
        <w:pStyle w:val="Body"/>
      </w:pPr>
      <w:r w:rsidRPr="007D7F72">
        <w:t xml:space="preserve">The department aims to complete all </w:t>
      </w:r>
      <w:r>
        <w:t>assessments</w:t>
      </w:r>
      <w:r w:rsidRPr="007D7F72">
        <w:t xml:space="preserve"> within </w:t>
      </w:r>
      <w:r>
        <w:t xml:space="preserve">reasonable </w:t>
      </w:r>
      <w:r w:rsidRPr="00E34EC8">
        <w:t>timeframe</w:t>
      </w:r>
      <w:r>
        <w:t>s</w:t>
      </w:r>
      <w:r w:rsidRPr="00E34EC8">
        <w:t>.</w:t>
      </w:r>
      <w:r w:rsidRPr="007D7F72">
        <w:t xml:space="preserve"> However, an appeal may become overdue if the matter is complex or requires extra information that is not immediately available. Common reasons for delays include:</w:t>
      </w:r>
    </w:p>
    <w:p w14:paraId="3ED861CF" w14:textId="2056DAFA" w:rsidR="00F91B76" w:rsidRPr="007D7F72" w:rsidRDefault="009F2DF5" w:rsidP="00F91B76">
      <w:pPr>
        <w:pStyle w:val="Bullet1"/>
      </w:pPr>
      <w:r>
        <w:t>r</w:t>
      </w:r>
      <w:r w:rsidR="00F91B76" w:rsidRPr="007D7F72">
        <w:t>equesting and waiting for</w:t>
      </w:r>
      <w:r w:rsidR="00B36DD0">
        <w:t xml:space="preserve"> </w:t>
      </w:r>
      <w:r w:rsidR="00F91B76" w:rsidRPr="007D7F72">
        <w:rPr>
          <w:b/>
          <w:bCs/>
        </w:rPr>
        <w:t>specialist medical evidence</w:t>
      </w:r>
      <w:r w:rsidR="00B36DD0">
        <w:t xml:space="preserve"> </w:t>
      </w:r>
      <w:r w:rsidR="00F91B76" w:rsidRPr="007D7F72">
        <w:t>or doctor's reports</w:t>
      </w:r>
    </w:p>
    <w:p w14:paraId="0E2D15F9" w14:textId="18ABB7C7" w:rsidR="00F91B76" w:rsidRPr="007D7F72" w:rsidRDefault="009F2DF5" w:rsidP="00F91B76">
      <w:pPr>
        <w:pStyle w:val="Bullet1"/>
      </w:pPr>
      <w:r>
        <w:t>a</w:t>
      </w:r>
      <w:r w:rsidR="00F91B76" w:rsidRPr="007D7F72">
        <w:t>rranging and completing</w:t>
      </w:r>
      <w:r w:rsidR="00B36DD0">
        <w:t xml:space="preserve"> </w:t>
      </w:r>
      <w:r w:rsidR="00F91B76" w:rsidRPr="007D7F72">
        <w:rPr>
          <w:b/>
          <w:bCs/>
        </w:rPr>
        <w:t>building inspections</w:t>
      </w:r>
      <w:r w:rsidR="00B36DD0">
        <w:t xml:space="preserve"> </w:t>
      </w:r>
      <w:r w:rsidR="00F91B76" w:rsidRPr="007D7F72">
        <w:t>or technical assessments</w:t>
      </w:r>
    </w:p>
    <w:p w14:paraId="72B0A7C7" w14:textId="3842A6BB" w:rsidR="00F91B76" w:rsidRPr="007D7F72" w:rsidRDefault="009F2DF5" w:rsidP="00F91B76">
      <w:pPr>
        <w:pStyle w:val="Bullet1"/>
      </w:pPr>
      <w:r>
        <w:t>o</w:t>
      </w:r>
      <w:r w:rsidR="00F91B76" w:rsidRPr="007D7F72">
        <w:t>rganising</w:t>
      </w:r>
      <w:r w:rsidR="00B36DD0">
        <w:t xml:space="preserve"> </w:t>
      </w:r>
      <w:r w:rsidR="00F91B76" w:rsidRPr="007D7F72">
        <w:rPr>
          <w:b/>
          <w:bCs/>
        </w:rPr>
        <w:t>home visits</w:t>
      </w:r>
      <w:r w:rsidR="00B36DD0">
        <w:t xml:space="preserve"> </w:t>
      </w:r>
      <w:r w:rsidR="00F91B76" w:rsidRPr="007D7F72">
        <w:t>or conducting detailed interviews with clients.</w:t>
      </w:r>
    </w:p>
    <w:p w14:paraId="7569C6DA" w14:textId="77777777" w:rsidR="00A219DC" w:rsidRPr="00E61696" w:rsidRDefault="00F91B76" w:rsidP="00BB7282">
      <w:pPr>
        <w:pStyle w:val="Bodyafterbullets"/>
      </w:pPr>
      <w:r w:rsidRPr="00E61696">
        <w:t xml:space="preserve">While these situations are less common, specific steps must be followed when they occur. These requirements make sure the client is kept up to date and that the appeal process stays fair and transparent. </w:t>
      </w:r>
    </w:p>
    <w:p w14:paraId="7E217194" w14:textId="3EF91A11" w:rsidR="00F91B76" w:rsidRDefault="00F91B76" w:rsidP="00A219DC">
      <w:pPr>
        <w:pStyle w:val="Body"/>
      </w:pPr>
      <w:r w:rsidRPr="00D441ED">
        <w:t>When managing appeals, staff must undertake the mandated actions outlined in Table 7:</w:t>
      </w:r>
    </w:p>
    <w:p w14:paraId="640F375F" w14:textId="77777777" w:rsidR="00F91B76" w:rsidRPr="007E6246" w:rsidRDefault="00F91B76" w:rsidP="00F91B76">
      <w:pPr>
        <w:pStyle w:val="Tablecaption"/>
        <w:rPr>
          <w:rFonts w:eastAsia="Times"/>
        </w:rPr>
      </w:pPr>
      <w:r w:rsidRPr="007E6246">
        <w:rPr>
          <w:rFonts w:eastAsia="Times"/>
        </w:rPr>
        <w:t xml:space="preserve">Table 7: Overdue </w:t>
      </w:r>
      <w:r>
        <w:rPr>
          <w:rFonts w:eastAsia="Times"/>
        </w:rPr>
        <w:t>a</w:t>
      </w:r>
      <w:r w:rsidRPr="007E6246">
        <w:rPr>
          <w:rFonts w:eastAsia="Times"/>
        </w:rPr>
        <w:t xml:space="preserve">ppeal </w:t>
      </w:r>
      <w:r>
        <w:rPr>
          <w:rFonts w:eastAsia="Times"/>
        </w:rPr>
        <w:t>a</w:t>
      </w:r>
      <w:r w:rsidRPr="007E6246">
        <w:rPr>
          <w:rFonts w:eastAsia="Times"/>
        </w:rPr>
        <w:t>ctions</w:t>
      </w:r>
    </w:p>
    <w:tbl>
      <w:tblPr>
        <w:tblStyle w:val="TableGridLight"/>
        <w:tblW w:w="9720" w:type="dxa"/>
        <w:tblLook w:val="04A0" w:firstRow="1" w:lastRow="0" w:firstColumn="1" w:lastColumn="0" w:noHBand="0" w:noVBand="1"/>
      </w:tblPr>
      <w:tblGrid>
        <w:gridCol w:w="1766"/>
        <w:gridCol w:w="1512"/>
        <w:gridCol w:w="6442"/>
      </w:tblGrid>
      <w:tr w:rsidR="00F91B76" w:rsidRPr="007D7F72" w14:paraId="51A129A8" w14:textId="77777777" w:rsidTr="428EFFA4">
        <w:trPr>
          <w:tblHeader/>
        </w:trPr>
        <w:tc>
          <w:tcPr>
            <w:tcW w:w="1770" w:type="dxa"/>
            <w:hideMark/>
          </w:tcPr>
          <w:p w14:paraId="36CC140D" w14:textId="77777777" w:rsidR="00F91B76" w:rsidRPr="007D7F72" w:rsidRDefault="00F91B76">
            <w:pPr>
              <w:pStyle w:val="Tablecolhead"/>
              <w:rPr>
                <w:rFonts w:eastAsia="Times"/>
              </w:rPr>
            </w:pPr>
            <w:r w:rsidRPr="007D7F72">
              <w:rPr>
                <w:rFonts w:eastAsia="Times"/>
              </w:rPr>
              <w:t>Step</w:t>
            </w:r>
          </w:p>
        </w:tc>
        <w:tc>
          <w:tcPr>
            <w:tcW w:w="1376" w:type="dxa"/>
            <w:hideMark/>
          </w:tcPr>
          <w:p w14:paraId="4E29F6B6" w14:textId="77777777" w:rsidR="00F91B76" w:rsidRPr="007D7F72" w:rsidRDefault="00F91B76">
            <w:pPr>
              <w:pStyle w:val="Tablecolhead"/>
              <w:rPr>
                <w:rFonts w:eastAsia="Times"/>
              </w:rPr>
            </w:pPr>
            <w:r w:rsidRPr="007D7F72">
              <w:rPr>
                <w:rFonts w:eastAsia="Times"/>
              </w:rPr>
              <w:t>Action</w:t>
            </w:r>
          </w:p>
        </w:tc>
        <w:tc>
          <w:tcPr>
            <w:tcW w:w="6574" w:type="dxa"/>
            <w:hideMark/>
          </w:tcPr>
          <w:p w14:paraId="3AEA829A" w14:textId="77777777" w:rsidR="00F91B76" w:rsidRPr="007D7F72" w:rsidRDefault="00F91B76">
            <w:pPr>
              <w:pStyle w:val="Tablecolhead"/>
              <w:rPr>
                <w:rFonts w:eastAsia="Times"/>
              </w:rPr>
            </w:pPr>
            <w:r w:rsidRPr="007D7F72">
              <w:rPr>
                <w:rFonts w:eastAsia="Times"/>
              </w:rPr>
              <w:t>Detail</w:t>
            </w:r>
          </w:p>
        </w:tc>
      </w:tr>
      <w:tr w:rsidR="00F91B76" w:rsidRPr="007D7F72" w14:paraId="773CB104" w14:textId="77777777" w:rsidTr="428EFFA4">
        <w:tc>
          <w:tcPr>
            <w:tcW w:w="1770" w:type="dxa"/>
            <w:hideMark/>
          </w:tcPr>
          <w:p w14:paraId="2EC7F876" w14:textId="77777777" w:rsidR="00F91B76" w:rsidRPr="007D7F72" w:rsidRDefault="00F91B76">
            <w:pPr>
              <w:pStyle w:val="Tabletext"/>
            </w:pPr>
            <w:r w:rsidRPr="007D7F72">
              <w:rPr>
                <w:rFonts w:eastAsia="Times"/>
              </w:rPr>
              <w:t>Update HiiP</w:t>
            </w:r>
          </w:p>
        </w:tc>
        <w:tc>
          <w:tcPr>
            <w:tcW w:w="1376" w:type="dxa"/>
            <w:hideMark/>
          </w:tcPr>
          <w:p w14:paraId="489385F5" w14:textId="77777777" w:rsidR="00F91B76" w:rsidRPr="007D7F72" w:rsidRDefault="00F91B76">
            <w:pPr>
              <w:pStyle w:val="Tabletext"/>
            </w:pPr>
            <w:r w:rsidRPr="007D7F72">
              <w:rPr>
                <w:rFonts w:eastAsia="Times"/>
              </w:rPr>
              <w:t xml:space="preserve">Record </w:t>
            </w:r>
            <w:r>
              <w:rPr>
                <w:rFonts w:eastAsia="Times"/>
              </w:rPr>
              <w:t>s</w:t>
            </w:r>
            <w:r w:rsidRPr="007D7F72">
              <w:rPr>
                <w:rFonts w:eastAsia="Times"/>
              </w:rPr>
              <w:t>tatus</w:t>
            </w:r>
          </w:p>
        </w:tc>
        <w:tc>
          <w:tcPr>
            <w:tcW w:w="6574" w:type="dxa"/>
            <w:hideMark/>
          </w:tcPr>
          <w:p w14:paraId="5E86DF98" w14:textId="77777777" w:rsidR="00F91B76" w:rsidRPr="007D7F72" w:rsidRDefault="00F91B76">
            <w:pPr>
              <w:pStyle w:val="Tabletext"/>
            </w:pPr>
            <w:r w:rsidRPr="007D7F72">
              <w:t>Update the appeal status to "Delayed" and record the specific reason for the delay (e.g., "Waiting on O</w:t>
            </w:r>
            <w:r>
              <w:t xml:space="preserve">ccupational </w:t>
            </w:r>
            <w:r w:rsidRPr="007D7F72">
              <w:t>T</w:t>
            </w:r>
            <w:r>
              <w:t>herapist</w:t>
            </w:r>
            <w:r w:rsidRPr="007D7F72">
              <w:t xml:space="preserve"> report").</w:t>
            </w:r>
          </w:p>
        </w:tc>
      </w:tr>
      <w:tr w:rsidR="00F91B76" w:rsidRPr="007D7F72" w14:paraId="39331C9E" w14:textId="77777777" w:rsidTr="428EFFA4">
        <w:tc>
          <w:tcPr>
            <w:tcW w:w="1770" w:type="dxa"/>
            <w:hideMark/>
          </w:tcPr>
          <w:p w14:paraId="6E5FEEBF" w14:textId="77777777" w:rsidR="00F91B76" w:rsidRPr="007D7F72" w:rsidRDefault="00F91B76">
            <w:pPr>
              <w:pStyle w:val="Tabletext"/>
            </w:pPr>
            <w:r w:rsidRPr="007D7F72">
              <w:rPr>
                <w:rFonts w:eastAsia="Times"/>
              </w:rPr>
              <w:t xml:space="preserve">Notify </w:t>
            </w:r>
            <w:r>
              <w:rPr>
                <w:rFonts w:eastAsia="Times"/>
              </w:rPr>
              <w:t>c</w:t>
            </w:r>
            <w:r w:rsidRPr="007D7F72">
              <w:rPr>
                <w:rFonts w:eastAsia="Times"/>
              </w:rPr>
              <w:t>lient</w:t>
            </w:r>
          </w:p>
        </w:tc>
        <w:tc>
          <w:tcPr>
            <w:tcW w:w="1376" w:type="dxa"/>
            <w:hideMark/>
          </w:tcPr>
          <w:p w14:paraId="7156FECF" w14:textId="77777777" w:rsidR="00F91B76" w:rsidRPr="007D7F72" w:rsidRDefault="00F91B76">
            <w:pPr>
              <w:pStyle w:val="Tabletext"/>
            </w:pPr>
            <w:r w:rsidRPr="007D7F72">
              <w:rPr>
                <w:rFonts w:eastAsia="Times"/>
              </w:rPr>
              <w:t>Communicate</w:t>
            </w:r>
          </w:p>
        </w:tc>
        <w:tc>
          <w:tcPr>
            <w:tcW w:w="6574" w:type="dxa"/>
            <w:hideMark/>
          </w:tcPr>
          <w:p w14:paraId="317A3AEB" w14:textId="14C2F6A8" w:rsidR="00F91B76" w:rsidRPr="007D7F72" w:rsidRDefault="7A90A83F">
            <w:pPr>
              <w:pStyle w:val="Tabletext"/>
            </w:pPr>
            <w:r>
              <w:t xml:space="preserve">Contact the client and their advocate to </w:t>
            </w:r>
            <w:r w:rsidR="001C7855">
              <w:t xml:space="preserve">verbally </w:t>
            </w:r>
            <w:r>
              <w:t>explain the delay and provide a </w:t>
            </w:r>
            <w:r w:rsidRPr="428EFFA4">
              <w:rPr>
                <w:rFonts w:eastAsia="Times"/>
              </w:rPr>
              <w:t>revised completion date</w:t>
            </w:r>
            <w:r>
              <w:t>.</w:t>
            </w:r>
          </w:p>
        </w:tc>
      </w:tr>
      <w:tr w:rsidR="00F91B76" w:rsidRPr="007D7F72" w14:paraId="30B79F42" w14:textId="77777777" w:rsidTr="428EFFA4">
        <w:tc>
          <w:tcPr>
            <w:tcW w:w="1770" w:type="dxa"/>
            <w:hideMark/>
          </w:tcPr>
          <w:p w14:paraId="78DDABAB" w14:textId="77777777" w:rsidR="00F91B76" w:rsidRPr="007D7F72" w:rsidRDefault="00F91B76">
            <w:pPr>
              <w:pStyle w:val="Tabletext"/>
            </w:pPr>
            <w:r w:rsidRPr="007D7F72">
              <w:rPr>
                <w:rFonts w:eastAsia="Times"/>
              </w:rPr>
              <w:lastRenderedPageBreak/>
              <w:t>Escalation</w:t>
            </w:r>
          </w:p>
        </w:tc>
        <w:tc>
          <w:tcPr>
            <w:tcW w:w="1376" w:type="dxa"/>
            <w:hideMark/>
          </w:tcPr>
          <w:p w14:paraId="6B0FA9E4" w14:textId="77777777" w:rsidR="00F91B76" w:rsidRPr="008F6B6D" w:rsidRDefault="00F91B76">
            <w:pPr>
              <w:pStyle w:val="Tabletext"/>
            </w:pPr>
            <w:r w:rsidRPr="008F6B6D">
              <w:rPr>
                <w:rFonts w:eastAsia="Times"/>
              </w:rPr>
              <w:t>Internal report</w:t>
            </w:r>
          </w:p>
        </w:tc>
        <w:tc>
          <w:tcPr>
            <w:tcW w:w="6574" w:type="dxa"/>
            <w:hideMark/>
          </w:tcPr>
          <w:p w14:paraId="52F589E3" w14:textId="03854E8A" w:rsidR="00F91B76" w:rsidRPr="007D7F72" w:rsidRDefault="00F91B76">
            <w:pPr>
              <w:pStyle w:val="Tabletext"/>
            </w:pPr>
            <w:r w:rsidRPr="007D7F72">
              <w:t xml:space="preserve">Alert the </w:t>
            </w:r>
            <w:r w:rsidR="0046139C">
              <w:t>t</w:t>
            </w:r>
            <w:r w:rsidRPr="007D7F72">
              <w:t xml:space="preserve">eam </w:t>
            </w:r>
            <w:r w:rsidR="0046139C">
              <w:t>l</w:t>
            </w:r>
            <w:r w:rsidRPr="007D7F72">
              <w:t>eader and above to provide oversight and direction on the matter.</w:t>
            </w:r>
          </w:p>
        </w:tc>
      </w:tr>
      <w:tr w:rsidR="00F91B76" w:rsidRPr="007D7F72" w14:paraId="43C79574" w14:textId="77777777" w:rsidTr="428EFFA4">
        <w:tc>
          <w:tcPr>
            <w:tcW w:w="1770" w:type="dxa"/>
            <w:hideMark/>
          </w:tcPr>
          <w:p w14:paraId="0F657FFF" w14:textId="77777777" w:rsidR="00F91B76" w:rsidRPr="007D7F72" w:rsidRDefault="00F91B76">
            <w:pPr>
              <w:pStyle w:val="Tabletext"/>
            </w:pPr>
            <w:r w:rsidRPr="007D7F72">
              <w:rPr>
                <w:rFonts w:eastAsia="Times"/>
              </w:rPr>
              <w:t xml:space="preserve">External </w:t>
            </w:r>
            <w:r>
              <w:rPr>
                <w:rFonts w:eastAsia="Times"/>
              </w:rPr>
              <w:t>n</w:t>
            </w:r>
            <w:r w:rsidRPr="007D7F72">
              <w:rPr>
                <w:rFonts w:eastAsia="Times"/>
              </w:rPr>
              <w:t>otice</w:t>
            </w:r>
          </w:p>
        </w:tc>
        <w:tc>
          <w:tcPr>
            <w:tcW w:w="1376" w:type="dxa"/>
            <w:hideMark/>
          </w:tcPr>
          <w:p w14:paraId="43EC0505" w14:textId="77777777" w:rsidR="00F91B76" w:rsidRPr="008F6B6D" w:rsidRDefault="00F91B76">
            <w:pPr>
              <w:pStyle w:val="Tabletext"/>
            </w:pPr>
            <w:r w:rsidRPr="008F6B6D">
              <w:rPr>
                <w:rFonts w:eastAsia="Times"/>
              </w:rPr>
              <w:t>Inform HA</w:t>
            </w:r>
            <w:r>
              <w:rPr>
                <w:rFonts w:eastAsia="Times"/>
              </w:rPr>
              <w:t>T</w:t>
            </w:r>
          </w:p>
        </w:tc>
        <w:tc>
          <w:tcPr>
            <w:tcW w:w="6574" w:type="dxa"/>
            <w:hideMark/>
          </w:tcPr>
          <w:p w14:paraId="5089712C" w14:textId="77777777" w:rsidR="00F91B76" w:rsidRPr="007D7F72" w:rsidRDefault="00F91B76">
            <w:pPr>
              <w:pStyle w:val="Tabletext"/>
            </w:pPr>
            <w:r w:rsidRPr="007D7F72">
              <w:t xml:space="preserve">Notify the Housing Appeals </w:t>
            </w:r>
            <w:r w:rsidRPr="005B4978">
              <w:t>Team</w:t>
            </w:r>
            <w:r w:rsidRPr="007D7F72">
              <w:t xml:space="preserve"> if the delay involves an </w:t>
            </w:r>
            <w:r w:rsidRPr="007D7F72">
              <w:rPr>
                <w:rFonts w:eastAsia="Times"/>
              </w:rPr>
              <w:t>Advanced Appeal Review</w:t>
            </w:r>
            <w:r w:rsidRPr="007D7F72">
              <w:t>.</w:t>
            </w:r>
          </w:p>
        </w:tc>
      </w:tr>
      <w:tr w:rsidR="00F91B76" w:rsidRPr="007D7F72" w14:paraId="17D7CF66" w14:textId="77777777" w:rsidTr="428EFFA4">
        <w:tc>
          <w:tcPr>
            <w:tcW w:w="1770" w:type="dxa"/>
            <w:hideMark/>
          </w:tcPr>
          <w:p w14:paraId="5ABD4F44" w14:textId="77777777" w:rsidR="00F91B76" w:rsidRPr="007D7F72" w:rsidRDefault="00F91B76">
            <w:pPr>
              <w:pStyle w:val="Tabletext"/>
            </w:pPr>
            <w:r w:rsidRPr="007D7F72">
              <w:rPr>
                <w:rFonts w:eastAsia="Times"/>
              </w:rPr>
              <w:t>Documentation</w:t>
            </w:r>
          </w:p>
        </w:tc>
        <w:tc>
          <w:tcPr>
            <w:tcW w:w="1376" w:type="dxa"/>
            <w:hideMark/>
          </w:tcPr>
          <w:p w14:paraId="2B96D286" w14:textId="77777777" w:rsidR="00F91B76" w:rsidRPr="008F6B6D" w:rsidRDefault="00F91B76">
            <w:pPr>
              <w:pStyle w:val="Tabletext"/>
            </w:pPr>
            <w:r>
              <w:t>File note</w:t>
            </w:r>
          </w:p>
        </w:tc>
        <w:tc>
          <w:tcPr>
            <w:tcW w:w="6574" w:type="dxa"/>
            <w:hideMark/>
          </w:tcPr>
          <w:p w14:paraId="54172AF5" w14:textId="77777777" w:rsidR="00F91B76" w:rsidRPr="007D7F72" w:rsidRDefault="00F91B76">
            <w:pPr>
              <w:pStyle w:val="Tabletext"/>
            </w:pPr>
            <w:r w:rsidRPr="007D7F72">
              <w:t>Continue to document all actions and communications in HiiP until the appeal is finalised.</w:t>
            </w:r>
          </w:p>
        </w:tc>
      </w:tr>
    </w:tbl>
    <w:p w14:paraId="4D3C4017" w14:textId="77777777" w:rsidR="00F91B76" w:rsidRPr="004075FF" w:rsidRDefault="7A90A83F" w:rsidP="00F91B76">
      <w:pPr>
        <w:pStyle w:val="Heading3"/>
      </w:pPr>
      <w:r>
        <w:t>Extensions</w:t>
      </w:r>
    </w:p>
    <w:p w14:paraId="593030B9" w14:textId="77777777" w:rsidR="00F24ED5" w:rsidRPr="00F24ED5" w:rsidRDefault="00F24ED5" w:rsidP="00F24ED5">
      <w:pPr>
        <w:pStyle w:val="Body"/>
        <w:rPr>
          <w:lang w:eastAsia="en-AU"/>
        </w:rPr>
      </w:pPr>
      <w:r w:rsidRPr="00F24ED5">
        <w:rPr>
          <w:lang w:eastAsia="en-AU"/>
        </w:rPr>
        <w:t>Extensions are not automatic. They must be handled as follows:</w:t>
      </w:r>
    </w:p>
    <w:p w14:paraId="28CA0AC4" w14:textId="5B634AEE" w:rsidR="00F24ED5" w:rsidRPr="00F24ED5" w:rsidRDefault="00FD3192" w:rsidP="00F24ED5">
      <w:pPr>
        <w:pStyle w:val="Bullet1"/>
        <w:rPr>
          <w:lang w:eastAsia="en-AU"/>
        </w:rPr>
      </w:pPr>
      <w:r>
        <w:rPr>
          <w:b/>
          <w:bCs/>
          <w:lang w:eastAsia="en-AU"/>
        </w:rPr>
        <w:t>A</w:t>
      </w:r>
      <w:r w:rsidR="00F24ED5" w:rsidRPr="00F24ED5">
        <w:rPr>
          <w:b/>
          <w:bCs/>
          <w:lang w:eastAsia="en-AU"/>
        </w:rPr>
        <w:t>pproval:</w:t>
      </w:r>
      <w:r w:rsidR="00F24ED5" w:rsidRPr="00F24ED5">
        <w:rPr>
          <w:lang w:eastAsia="en-AU"/>
        </w:rPr>
        <w:t xml:space="preserve"> must be approved by the manager of housing appeals</w:t>
      </w:r>
      <w:r>
        <w:rPr>
          <w:lang w:eastAsia="en-AU"/>
        </w:rPr>
        <w:t>.</w:t>
      </w:r>
    </w:p>
    <w:p w14:paraId="6A0BC7B5" w14:textId="0B3E761D" w:rsidR="00F24ED5" w:rsidRPr="00F24ED5" w:rsidRDefault="00FD3192" w:rsidP="00F24ED5">
      <w:pPr>
        <w:pStyle w:val="Bullet1"/>
        <w:rPr>
          <w:lang w:eastAsia="en-AU"/>
        </w:rPr>
      </w:pPr>
      <w:r>
        <w:rPr>
          <w:b/>
          <w:bCs/>
          <w:lang w:eastAsia="en-AU"/>
        </w:rPr>
        <w:t>C</w:t>
      </w:r>
      <w:r w:rsidR="00F24ED5" w:rsidRPr="00F24ED5">
        <w:rPr>
          <w:b/>
          <w:bCs/>
          <w:lang w:eastAsia="en-AU"/>
        </w:rPr>
        <w:t>riteria:</w:t>
      </w:r>
      <w:r w:rsidR="00F24ED5" w:rsidRPr="00F24ED5">
        <w:rPr>
          <w:lang w:eastAsia="en-AU"/>
        </w:rPr>
        <w:t xml:space="preserve"> only granted for unavoidable barriers (for example, waiting on specialist medical evidence or major operational issues)</w:t>
      </w:r>
      <w:r>
        <w:rPr>
          <w:lang w:eastAsia="en-AU"/>
        </w:rPr>
        <w:t>.</w:t>
      </w:r>
    </w:p>
    <w:p w14:paraId="60F96808" w14:textId="00BF2064" w:rsidR="00F24ED5" w:rsidRPr="00F24ED5" w:rsidRDefault="00FD3192" w:rsidP="00F24ED5">
      <w:pPr>
        <w:pStyle w:val="Bullet1"/>
        <w:rPr>
          <w:lang w:eastAsia="en-AU"/>
        </w:rPr>
      </w:pPr>
      <w:r>
        <w:rPr>
          <w:b/>
          <w:bCs/>
          <w:lang w:eastAsia="en-AU"/>
        </w:rPr>
        <w:t>D</w:t>
      </w:r>
      <w:r w:rsidR="00F24ED5" w:rsidRPr="00F24ED5">
        <w:rPr>
          <w:b/>
          <w:bCs/>
          <w:lang w:eastAsia="en-AU"/>
        </w:rPr>
        <w:t>ocumentation:</w:t>
      </w:r>
      <w:r w:rsidR="00F24ED5" w:rsidRPr="00F24ED5">
        <w:rPr>
          <w:lang w:eastAsia="en-AU"/>
        </w:rPr>
        <w:t xml:space="preserve"> the reason and approval must be recorded in HiiP and reported to the housing appeals team</w:t>
      </w:r>
      <w:r>
        <w:rPr>
          <w:lang w:eastAsia="en-AU"/>
        </w:rPr>
        <w:t>.</w:t>
      </w:r>
    </w:p>
    <w:p w14:paraId="5B18EFB8" w14:textId="3F4A5CC4" w:rsidR="00F24ED5" w:rsidRPr="00F24ED5" w:rsidRDefault="00FD3192" w:rsidP="00F24ED5">
      <w:pPr>
        <w:pStyle w:val="Bullet1"/>
        <w:rPr>
          <w:lang w:eastAsia="en-AU"/>
        </w:rPr>
      </w:pPr>
      <w:r>
        <w:rPr>
          <w:b/>
          <w:bCs/>
          <w:lang w:eastAsia="en-AU"/>
        </w:rPr>
        <w:t>C</w:t>
      </w:r>
      <w:r w:rsidR="00F24ED5" w:rsidRPr="00F24ED5">
        <w:rPr>
          <w:b/>
          <w:bCs/>
          <w:lang w:eastAsia="en-AU"/>
        </w:rPr>
        <w:t>lient update:</w:t>
      </w:r>
      <w:r w:rsidR="00F24ED5" w:rsidRPr="00F24ED5">
        <w:rPr>
          <w:lang w:eastAsia="en-AU"/>
        </w:rPr>
        <w:t xml:space="preserve"> the client and advocate must be formally notified of the new timeframe</w:t>
      </w:r>
      <w:r>
        <w:rPr>
          <w:lang w:eastAsia="en-AU"/>
        </w:rPr>
        <w:t>.</w:t>
      </w:r>
    </w:p>
    <w:p w14:paraId="66B14680" w14:textId="332D763F" w:rsidR="00F24ED5" w:rsidRPr="00F24ED5" w:rsidRDefault="00FD3192" w:rsidP="00F24ED5">
      <w:pPr>
        <w:pStyle w:val="Bullet1"/>
        <w:rPr>
          <w:lang w:eastAsia="en-AU"/>
        </w:rPr>
      </w:pPr>
      <w:r>
        <w:rPr>
          <w:b/>
          <w:bCs/>
          <w:lang w:eastAsia="en-AU"/>
        </w:rPr>
        <w:t>R</w:t>
      </w:r>
      <w:r w:rsidR="00F24ED5" w:rsidRPr="00F24ED5">
        <w:rPr>
          <w:b/>
          <w:bCs/>
          <w:lang w:eastAsia="en-AU"/>
        </w:rPr>
        <w:t>efusal:</w:t>
      </w:r>
      <w:r w:rsidR="00F24ED5" w:rsidRPr="00F24ED5">
        <w:rPr>
          <w:lang w:eastAsia="en-AU"/>
        </w:rPr>
        <w:t xml:space="preserve"> if an extension is refused, the appeal must still be completed within the original timeframe and may become overdue if delayed</w:t>
      </w:r>
      <w:r>
        <w:rPr>
          <w:lang w:eastAsia="en-AU"/>
        </w:rPr>
        <w:t>.</w:t>
      </w:r>
    </w:p>
    <w:p w14:paraId="6FE40EA9" w14:textId="77777777" w:rsidR="00F91B76" w:rsidRPr="007D7F72" w:rsidRDefault="00F91B76" w:rsidP="00F91B76">
      <w:pPr>
        <w:pStyle w:val="Heading3"/>
      </w:pPr>
      <w:r w:rsidRPr="007D7F72">
        <w:t xml:space="preserve">Management </w:t>
      </w:r>
      <w:r>
        <w:t>o</w:t>
      </w:r>
      <w:r w:rsidRPr="007D7F72">
        <w:t xml:space="preserve">versight </w:t>
      </w:r>
      <w:r>
        <w:t>r</w:t>
      </w:r>
      <w:r w:rsidRPr="007D7F72">
        <w:t>esponsibilities</w:t>
      </w:r>
    </w:p>
    <w:p w14:paraId="1B135392" w14:textId="0D65A9F4" w:rsidR="00F91B76" w:rsidRDefault="00F91B76" w:rsidP="00F91B76">
      <w:pPr>
        <w:pStyle w:val="Body"/>
      </w:pPr>
      <w:r w:rsidRPr="007D7F72">
        <w:t xml:space="preserve">Team </w:t>
      </w:r>
      <w:r w:rsidR="00C248A2">
        <w:t>l</w:t>
      </w:r>
      <w:r w:rsidRPr="007D7F72">
        <w:t xml:space="preserve">eaders and </w:t>
      </w:r>
      <w:r w:rsidR="00C248A2">
        <w:t>t</w:t>
      </w:r>
      <w:r w:rsidRPr="007D7F72">
        <w:t xml:space="preserve">eam </w:t>
      </w:r>
      <w:r w:rsidR="00C248A2">
        <w:t>m</w:t>
      </w:r>
      <w:r w:rsidRPr="007D7F72">
        <w:t>anagers hold the following responsibilities to ensure accountability:</w:t>
      </w:r>
    </w:p>
    <w:p w14:paraId="4F79CA5A" w14:textId="77777777" w:rsidR="00F91B76" w:rsidRPr="007D7F72" w:rsidRDefault="00F91B76" w:rsidP="00F91B76">
      <w:pPr>
        <w:pStyle w:val="Tablecaption"/>
        <w:rPr>
          <w:rFonts w:eastAsia="Times"/>
        </w:rPr>
      </w:pPr>
      <w:r>
        <w:t xml:space="preserve">Table 8: Management extension responsibilities </w:t>
      </w:r>
    </w:p>
    <w:tbl>
      <w:tblPr>
        <w:tblStyle w:val="TableGridLight"/>
        <w:tblW w:w="9720" w:type="dxa"/>
        <w:tblLook w:val="04A0" w:firstRow="1" w:lastRow="0" w:firstColumn="1" w:lastColumn="0" w:noHBand="0" w:noVBand="1"/>
      </w:tblPr>
      <w:tblGrid>
        <w:gridCol w:w="1652"/>
        <w:gridCol w:w="8068"/>
      </w:tblGrid>
      <w:tr w:rsidR="00F91B76" w:rsidRPr="00F93346" w14:paraId="48DF0D53" w14:textId="77777777">
        <w:tc>
          <w:tcPr>
            <w:tcW w:w="0" w:type="auto"/>
            <w:hideMark/>
          </w:tcPr>
          <w:p w14:paraId="0E54AF06" w14:textId="77777777" w:rsidR="00F91B76" w:rsidRPr="00F93346" w:rsidRDefault="00F91B76">
            <w:pPr>
              <w:pStyle w:val="Tablecolhead"/>
              <w:rPr>
                <w:rFonts w:eastAsia="Times"/>
              </w:rPr>
            </w:pPr>
            <w:r w:rsidRPr="00F93346">
              <w:rPr>
                <w:rFonts w:eastAsia="Times"/>
              </w:rPr>
              <w:t>Responsibility</w:t>
            </w:r>
          </w:p>
        </w:tc>
        <w:tc>
          <w:tcPr>
            <w:tcW w:w="0" w:type="auto"/>
            <w:hideMark/>
          </w:tcPr>
          <w:p w14:paraId="61CB21DD" w14:textId="77777777" w:rsidR="00F91B76" w:rsidRPr="00F93346" w:rsidRDefault="00F91B76">
            <w:pPr>
              <w:pStyle w:val="Tablecolhead"/>
              <w:rPr>
                <w:rFonts w:eastAsia="Times"/>
              </w:rPr>
            </w:pPr>
            <w:r w:rsidRPr="008F6B6D">
              <w:rPr>
                <w:rFonts w:eastAsia="Times"/>
              </w:rPr>
              <w:t>Management task</w:t>
            </w:r>
          </w:p>
        </w:tc>
      </w:tr>
      <w:tr w:rsidR="00F91B76" w:rsidRPr="00F93346" w14:paraId="24B236B8" w14:textId="77777777">
        <w:tc>
          <w:tcPr>
            <w:tcW w:w="0" w:type="auto"/>
            <w:hideMark/>
          </w:tcPr>
          <w:p w14:paraId="300F1487" w14:textId="77777777" w:rsidR="00F91B76" w:rsidRPr="00F93346" w:rsidRDefault="00F91B76">
            <w:pPr>
              <w:pStyle w:val="Tabletext"/>
              <w:rPr>
                <w:rFonts w:eastAsia="Times"/>
              </w:rPr>
            </w:pPr>
            <w:r w:rsidRPr="00F93346">
              <w:rPr>
                <w:rFonts w:eastAsia="Times"/>
              </w:rPr>
              <w:t>Monitoring</w:t>
            </w:r>
          </w:p>
        </w:tc>
        <w:tc>
          <w:tcPr>
            <w:tcW w:w="0" w:type="auto"/>
            <w:hideMark/>
          </w:tcPr>
          <w:p w14:paraId="4D933DAF" w14:textId="77777777" w:rsidR="00F91B76" w:rsidRPr="00F93346" w:rsidRDefault="00F91B76">
            <w:pPr>
              <w:pStyle w:val="Tabletext"/>
              <w:rPr>
                <w:rFonts w:eastAsia="Times"/>
              </w:rPr>
            </w:pPr>
            <w:r w:rsidRPr="00F93346">
              <w:rPr>
                <w:rFonts w:eastAsia="Times"/>
              </w:rPr>
              <w:t>Regularly check team appeal timeframes to prevent avoidable delays.</w:t>
            </w:r>
          </w:p>
        </w:tc>
      </w:tr>
      <w:tr w:rsidR="00F91B76" w:rsidRPr="00F93346" w14:paraId="15916A43" w14:textId="77777777">
        <w:tc>
          <w:tcPr>
            <w:tcW w:w="0" w:type="auto"/>
            <w:hideMark/>
          </w:tcPr>
          <w:p w14:paraId="63EA0A02" w14:textId="77777777" w:rsidR="00F91B76" w:rsidRPr="00F93346" w:rsidRDefault="00F91B76">
            <w:pPr>
              <w:pStyle w:val="Tabletext"/>
              <w:rPr>
                <w:rFonts w:eastAsia="Times"/>
              </w:rPr>
            </w:pPr>
            <w:r w:rsidRPr="00F93346">
              <w:rPr>
                <w:rFonts w:eastAsia="Times"/>
              </w:rPr>
              <w:t>Support</w:t>
            </w:r>
          </w:p>
        </w:tc>
        <w:tc>
          <w:tcPr>
            <w:tcW w:w="0" w:type="auto"/>
            <w:hideMark/>
          </w:tcPr>
          <w:p w14:paraId="248ECE69" w14:textId="77777777" w:rsidR="00F91B76" w:rsidRPr="00F93346" w:rsidRDefault="00F91B76">
            <w:pPr>
              <w:pStyle w:val="Tabletext"/>
              <w:rPr>
                <w:rFonts w:eastAsia="Times"/>
              </w:rPr>
            </w:pPr>
            <w:r w:rsidRPr="00F93346">
              <w:rPr>
                <w:rFonts w:eastAsia="Times"/>
              </w:rPr>
              <w:t>Help staff clear barriers so the appeal can progress.</w:t>
            </w:r>
          </w:p>
        </w:tc>
      </w:tr>
      <w:tr w:rsidR="00F91B76" w:rsidRPr="00F93346" w14:paraId="633A02DB" w14:textId="77777777">
        <w:tc>
          <w:tcPr>
            <w:tcW w:w="0" w:type="auto"/>
            <w:hideMark/>
          </w:tcPr>
          <w:p w14:paraId="06A65732" w14:textId="77777777" w:rsidR="00F91B76" w:rsidRPr="00F93346" w:rsidRDefault="00F91B76">
            <w:pPr>
              <w:pStyle w:val="Tabletext"/>
              <w:rPr>
                <w:rFonts w:eastAsia="Times"/>
              </w:rPr>
            </w:pPr>
            <w:r w:rsidRPr="00F93346">
              <w:rPr>
                <w:rFonts w:eastAsia="Times"/>
              </w:rPr>
              <w:t>Authorisation</w:t>
            </w:r>
          </w:p>
        </w:tc>
        <w:tc>
          <w:tcPr>
            <w:tcW w:w="0" w:type="auto"/>
            <w:hideMark/>
          </w:tcPr>
          <w:p w14:paraId="366BDE40" w14:textId="77777777" w:rsidR="00F91B76" w:rsidRPr="00F93346" w:rsidRDefault="00F91B76">
            <w:pPr>
              <w:pStyle w:val="Tabletext"/>
              <w:rPr>
                <w:rFonts w:eastAsia="Times"/>
              </w:rPr>
            </w:pPr>
            <w:r w:rsidRPr="00F93346">
              <w:rPr>
                <w:rFonts w:eastAsia="Times"/>
              </w:rPr>
              <w:t>Review, document, and authorise extension requests before escalation.</w:t>
            </w:r>
          </w:p>
        </w:tc>
      </w:tr>
      <w:tr w:rsidR="00F91B76" w:rsidRPr="00F93346" w14:paraId="49D2104D" w14:textId="77777777">
        <w:tc>
          <w:tcPr>
            <w:tcW w:w="0" w:type="auto"/>
            <w:hideMark/>
          </w:tcPr>
          <w:p w14:paraId="438C81F2" w14:textId="77777777" w:rsidR="00F91B76" w:rsidRPr="00F93346" w:rsidRDefault="00F91B76">
            <w:pPr>
              <w:pStyle w:val="Tabletext"/>
              <w:rPr>
                <w:rFonts w:eastAsia="Times"/>
              </w:rPr>
            </w:pPr>
            <w:r w:rsidRPr="00F93346">
              <w:rPr>
                <w:rFonts w:eastAsia="Times"/>
              </w:rPr>
              <w:t>Liaison</w:t>
            </w:r>
          </w:p>
        </w:tc>
        <w:tc>
          <w:tcPr>
            <w:tcW w:w="0" w:type="auto"/>
            <w:hideMark/>
          </w:tcPr>
          <w:p w14:paraId="0061FA75" w14:textId="38123332" w:rsidR="00F91B76" w:rsidRPr="00F93346" w:rsidRDefault="00F91B76">
            <w:pPr>
              <w:pStyle w:val="Tabletext"/>
              <w:rPr>
                <w:rFonts w:eastAsia="Times"/>
              </w:rPr>
            </w:pPr>
            <w:r w:rsidRPr="00F93346">
              <w:rPr>
                <w:rFonts w:eastAsia="Times"/>
              </w:rPr>
              <w:t xml:space="preserve">Maintain clear communication with the </w:t>
            </w:r>
            <w:r w:rsidR="00B4510D" w:rsidRPr="000A1A0B">
              <w:t>Housing Appeals Team</w:t>
            </w:r>
            <w:r w:rsidRPr="00F93346">
              <w:rPr>
                <w:rFonts w:eastAsia="Times"/>
              </w:rPr>
              <w:t xml:space="preserve"> regarding overdue or complex cases.</w:t>
            </w:r>
          </w:p>
        </w:tc>
      </w:tr>
      <w:tr w:rsidR="00F91B76" w:rsidRPr="00F93346" w14:paraId="147A36F6" w14:textId="77777777">
        <w:tc>
          <w:tcPr>
            <w:tcW w:w="0" w:type="auto"/>
            <w:hideMark/>
          </w:tcPr>
          <w:p w14:paraId="1AC843DA" w14:textId="77777777" w:rsidR="00F91B76" w:rsidRPr="00F93346" w:rsidRDefault="00F91B76">
            <w:pPr>
              <w:pStyle w:val="Tabletext"/>
              <w:rPr>
                <w:rFonts w:eastAsia="Times"/>
              </w:rPr>
            </w:pPr>
            <w:r w:rsidRPr="00F93346">
              <w:rPr>
                <w:rFonts w:eastAsia="Times"/>
              </w:rPr>
              <w:t>Compliance</w:t>
            </w:r>
          </w:p>
        </w:tc>
        <w:tc>
          <w:tcPr>
            <w:tcW w:w="0" w:type="auto"/>
            <w:hideMark/>
          </w:tcPr>
          <w:p w14:paraId="0FDFB6F3" w14:textId="77777777" w:rsidR="00F91B76" w:rsidRPr="00F93346" w:rsidRDefault="00F91B76">
            <w:pPr>
              <w:pStyle w:val="Tabletext"/>
              <w:rPr>
                <w:rFonts w:eastAsia="Times"/>
              </w:rPr>
            </w:pPr>
            <w:r w:rsidRPr="00F93346">
              <w:rPr>
                <w:rFonts w:eastAsia="Times"/>
              </w:rPr>
              <w:t>Ensure all updates in HiiP are accurate and completed on time.</w:t>
            </w:r>
          </w:p>
        </w:tc>
      </w:tr>
    </w:tbl>
    <w:p w14:paraId="2CFAF122" w14:textId="77777777" w:rsidR="00F91B76" w:rsidRDefault="00F91B76" w:rsidP="00F91B76">
      <w:pPr>
        <w:pStyle w:val="Accessibilitypara"/>
      </w:pPr>
    </w:p>
    <w:sectPr w:rsidR="00F91B76" w:rsidSect="00F15144">
      <w:headerReference w:type="even" r:id="rId25"/>
      <w:headerReference w:type="default" r:id="rId26"/>
      <w:footerReference w:type="even" r:id="rId27"/>
      <w:footerReference w:type="default" r:id="rId28"/>
      <w:pgSz w:w="11906" w:h="16838" w:code="9"/>
      <w:pgMar w:top="1418" w:right="1304" w:bottom="851" w:left="1304"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4D4C3" w14:textId="77777777" w:rsidR="007D3227" w:rsidRDefault="007D3227">
      <w:r>
        <w:separator/>
      </w:r>
    </w:p>
    <w:p w14:paraId="1DE316D5" w14:textId="77777777" w:rsidR="007D3227" w:rsidRDefault="007D3227"/>
  </w:endnote>
  <w:endnote w:type="continuationSeparator" w:id="0">
    <w:p w14:paraId="233EA546" w14:textId="77777777" w:rsidR="007D3227" w:rsidRDefault="007D3227">
      <w:r>
        <w:continuationSeparator/>
      </w:r>
    </w:p>
    <w:p w14:paraId="35573D68" w14:textId="77777777" w:rsidR="007D3227" w:rsidRDefault="007D3227"/>
  </w:endnote>
  <w:endnote w:type="continuationNotice" w:id="1">
    <w:p w14:paraId="765041E7" w14:textId="77777777" w:rsidR="007D3227" w:rsidRDefault="007D32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2D1BB" w14:textId="77777777" w:rsidR="00EB4BC7" w:rsidRDefault="00EB4BC7">
    <w:pPr>
      <w:pStyle w:val="Footer"/>
    </w:pPr>
    <w:r>
      <w:rPr>
        <w:noProof/>
      </w:rPr>
      <mc:AlternateContent>
        <mc:Choice Requires="wps">
          <w:drawing>
            <wp:anchor distT="0" distB="0" distL="114300" distR="114300" simplePos="0" relativeHeight="251658242" behindDoc="0" locked="0" layoutInCell="0" allowOverlap="1" wp14:anchorId="5F16E52C" wp14:editId="181E78CF">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608100"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F16E52C"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margin-left:0;margin-top:802.35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16608100"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2B6A0" w14:textId="77777777" w:rsidR="00431A70" w:rsidRDefault="00EB4BC7">
    <w:pPr>
      <w:pStyle w:val="Footer"/>
    </w:pPr>
    <w:r>
      <w:rPr>
        <w:noProof/>
        <w:lang w:eastAsia="en-AU"/>
      </w:rPr>
      <mc:AlternateContent>
        <mc:Choice Requires="wps">
          <w:drawing>
            <wp:anchor distT="0" distB="0" distL="114300" distR="114300" simplePos="0" relativeHeight="251658240" behindDoc="0" locked="0" layoutInCell="0" allowOverlap="1" wp14:anchorId="47C005B9" wp14:editId="033DE9C0">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5012F8"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C005B9"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635012F8"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FEA0" w14:textId="77777777" w:rsidR="00EB4BC7" w:rsidRDefault="00EB4BC7">
    <w:pPr>
      <w:pStyle w:val="Footer"/>
    </w:pPr>
    <w:r>
      <w:rPr>
        <w:noProof/>
      </w:rPr>
      <mc:AlternateContent>
        <mc:Choice Requires="wps">
          <w:drawing>
            <wp:anchor distT="0" distB="0" distL="114300" distR="114300" simplePos="0" relativeHeight="251658241" behindDoc="0" locked="0" layoutInCell="0" allowOverlap="1" wp14:anchorId="70BA23E7" wp14:editId="2F526DE4">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F22213"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0BA23E7"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40ZvxgCAAArBAAADgAAAAAAAAAAAAAAAAAuAgAAZHJzL2Uyb0RvYy54bWxQSwECLQAU&#10;AAYACAAAACEAL5BIl+AAAAALAQAADwAAAAAAAAAAAAAAAAByBAAAZHJzL2Rvd25yZXYueG1sUEsF&#10;BgAAAAAEAAQA8wAAAH8FAAAAAA==&#10;" o:allowincell="f" filled="f" stroked="f" strokeweight=".5pt">
              <v:textbox inset=",0,,0">
                <w:txbxContent>
                  <w:p w14:paraId="72F22213"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DA3F9" w14:textId="77777777" w:rsidR="00D63636" w:rsidRDefault="002C5B7C">
    <w:pPr>
      <w:pStyle w:val="Footer"/>
    </w:pPr>
    <w:r>
      <w:rPr>
        <w:noProof/>
        <w:lang w:eastAsia="en-AU"/>
      </w:rPr>
      <mc:AlternateContent>
        <mc:Choice Requires="wps">
          <w:drawing>
            <wp:anchor distT="0" distB="0" distL="114300" distR="114300" simplePos="0" relativeHeight="251658244" behindDoc="0" locked="0" layoutInCell="0" allowOverlap="1" wp14:anchorId="3B772BC9" wp14:editId="18CDC098">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2ED360"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772BC9" id="_x0000_t202" coordsize="21600,21600" o:spt="202" path="m,l,21600r21600,l21600,xe">
              <v:stroke joinstyle="miter"/>
              <v:path gradientshapeok="t" o:connecttype="rect"/>
            </v:shapetype>
            <v:shape id="MSIPCMd3f54469bd0204c6fb2f3fa8" o:spid="_x0000_s1029" type="#_x0000_t202" alt="{&quot;HashCode&quot;:904758361,&quot;Height&quot;:841.0,&quot;Width&quot;:595.0,&quot;Placement&quot;:&quot;Footer&quot;,&quot;Index&quot;:&quot;OddAndEven&quot;,&quot;Section&quot;:3,&quot;Top&quot;:0.0,&quot;Left&quot;:0.0}" style="position:absolute;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272ED360"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CDF16" w14:textId="77777777" w:rsidR="00431A70" w:rsidRDefault="001C7128" w:rsidP="00DC00C1">
    <w:pPr>
      <w:pStyle w:val="Footer"/>
      <w:tabs>
        <w:tab w:val="left" w:pos="3667"/>
      </w:tabs>
    </w:pPr>
    <w:r>
      <w:rPr>
        <w:noProof/>
        <w:lang w:eastAsia="en-AU"/>
      </w:rPr>
      <mc:AlternateContent>
        <mc:Choice Requires="wps">
          <w:drawing>
            <wp:anchor distT="0" distB="0" distL="114300" distR="114300" simplePos="0" relativeHeight="251658245" behindDoc="0" locked="0" layoutInCell="0" allowOverlap="1" wp14:anchorId="6EBCE929" wp14:editId="7CB17B6C">
              <wp:simplePos x="0" y="0"/>
              <wp:positionH relativeFrom="page">
                <wp:posOffset>0</wp:posOffset>
              </wp:positionH>
              <wp:positionV relativeFrom="page">
                <wp:posOffset>10189210</wp:posOffset>
              </wp:positionV>
              <wp:extent cx="7560310" cy="311785"/>
              <wp:effectExtent l="0" t="0" r="0" b="12065"/>
              <wp:wrapNone/>
              <wp:docPr id="3" name="MSIPCMcda5461fada7660fda7e169a"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13539E" w14:textId="77777777" w:rsidR="001C7128" w:rsidRPr="001C7128" w:rsidRDefault="001C7128" w:rsidP="001C7128">
                          <w:pPr>
                            <w:spacing w:after="0"/>
                            <w:jc w:val="center"/>
                            <w:rPr>
                              <w:rFonts w:ascii="Arial Black" w:hAnsi="Arial Black"/>
                              <w:color w:val="000000"/>
                              <w:sz w:val="20"/>
                            </w:rPr>
                          </w:pPr>
                          <w:r w:rsidRPr="001C7128">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EBCE929" id="_x0000_t202" coordsize="21600,21600" o:spt="202" path="m,l,21600r21600,l21600,xe">
              <v:stroke joinstyle="miter"/>
              <v:path gradientshapeok="t" o:connecttype="rect"/>
            </v:shapetype>
            <v:shape id="MSIPCMcda5461fada7660fda7e169a" o:spid="_x0000_s1030" type="#_x0000_t202" alt="{&quot;HashCode&quot;:904758361,&quot;Height&quot;:841.0,&quot;Width&quot;:595.0,&quot;Placement&quot;:&quot;Footer&quot;,&quot;Index&quot;:&quot;Primary&quot;,&quot;Section&quot;:2,&quot;Top&quot;:0.0,&quot;Left&quot;:0.0}" style="position:absolute;margin-left:0;margin-top:802.3pt;width:595.3pt;height:24.5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Zof46GAIAACsEAAAOAAAAAAAAAAAAAAAAAC4CAABkcnMvZTJvRG9jLnhtbFBLAQItABQA&#10;BgAIAAAAIQBIDV6a3wAAAAsBAAAPAAAAAAAAAAAAAAAAAHIEAABkcnMvZG93bnJldi54bWxQSwUG&#10;AAAAAAQABADzAAAAfgUAAAAA&#10;" o:allowincell="f" filled="f" stroked="f" strokeweight=".5pt">
              <v:textbox inset=",0,,0">
                <w:txbxContent>
                  <w:p w14:paraId="3C13539E" w14:textId="77777777" w:rsidR="001C7128" w:rsidRPr="001C7128" w:rsidRDefault="001C7128" w:rsidP="001C7128">
                    <w:pPr>
                      <w:spacing w:after="0"/>
                      <w:jc w:val="center"/>
                      <w:rPr>
                        <w:rFonts w:ascii="Arial Black" w:hAnsi="Arial Black"/>
                        <w:color w:val="000000"/>
                        <w:sz w:val="20"/>
                      </w:rPr>
                    </w:pPr>
                    <w:r w:rsidRPr="001C7128">
                      <w:rPr>
                        <w:rFonts w:ascii="Arial Black" w:hAnsi="Arial Black"/>
                        <w:color w:val="000000"/>
                        <w:sz w:val="20"/>
                      </w:rPr>
                      <w:t>OFFICIAL</w:t>
                    </w:r>
                  </w:p>
                </w:txbxContent>
              </v:textbox>
              <w10:wrap anchorx="page" anchory="page"/>
            </v:shape>
          </w:pict>
        </mc:Fallback>
      </mc:AlternateContent>
    </w:r>
    <w:r w:rsidR="00EB4BC7">
      <w:rPr>
        <w:noProof/>
        <w:lang w:eastAsia="en-AU"/>
      </w:rPr>
      <mc:AlternateContent>
        <mc:Choice Requires="wps">
          <w:drawing>
            <wp:anchor distT="0" distB="0" distL="114300" distR="114300" simplePos="0" relativeHeight="251658243" behindDoc="0" locked="0" layoutInCell="0" allowOverlap="1" wp14:anchorId="1BA32EAB" wp14:editId="2F53ADC6">
              <wp:simplePos x="0" y="0"/>
              <wp:positionH relativeFrom="page">
                <wp:posOffset>0</wp:posOffset>
              </wp:positionH>
              <wp:positionV relativeFrom="page">
                <wp:posOffset>10189845</wp:posOffset>
              </wp:positionV>
              <wp:extent cx="7560310" cy="311785"/>
              <wp:effectExtent l="0" t="0" r="0" b="12065"/>
              <wp:wrapNone/>
              <wp:docPr id="11" name="MSIPCM82764d688816a9dc96a1b608"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1D543D"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BA32EAB" id="MSIPCM82764d688816a9dc96a1b608" o:spid="_x0000_s1031" type="#_x0000_t202" alt="{&quot;HashCode&quot;:904758361,&quot;Height&quot;:841.0,&quot;Width&quot;:595.0,&quot;Placement&quot;:&quot;Footer&quot;,&quot;Index&quot;:&quot;Primary&quot;,&quot;Section&quot;:3,&quot;Top&quot;:0.0,&quot;Left&quot;:0.0}" style="position:absolute;margin-left:0;margin-top:802.35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" o:allowincell="f" filled="f" stroked="f" strokeweight=".5pt">
              <v:textbox inset=",0,,0">
                <w:txbxContent>
                  <w:p w14:paraId="3F1D543D"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8C21E" w14:textId="77777777" w:rsidR="007D3227" w:rsidRDefault="007D3227" w:rsidP="00207717">
      <w:pPr>
        <w:spacing w:before="120"/>
      </w:pPr>
      <w:r>
        <w:separator/>
      </w:r>
    </w:p>
  </w:footnote>
  <w:footnote w:type="continuationSeparator" w:id="0">
    <w:p w14:paraId="6852E260" w14:textId="77777777" w:rsidR="007D3227" w:rsidRDefault="007D3227">
      <w:r>
        <w:continuationSeparator/>
      </w:r>
    </w:p>
    <w:p w14:paraId="4EC36F37" w14:textId="77777777" w:rsidR="007D3227" w:rsidRDefault="007D3227"/>
  </w:footnote>
  <w:footnote w:type="continuationNotice" w:id="1">
    <w:p w14:paraId="05B2FFCF" w14:textId="77777777" w:rsidR="007D3227" w:rsidRDefault="007D3227">
      <w:pPr>
        <w:spacing w:after="0" w:line="240" w:lineRule="auto"/>
      </w:pPr>
    </w:p>
  </w:footnote>
  <w:footnote w:id="2">
    <w:p w14:paraId="12257339" w14:textId="7502EB1F" w:rsidR="00C674C2" w:rsidRPr="008A4C96" w:rsidRDefault="00C674C2" w:rsidP="00C674C2">
      <w:pPr>
        <w:pStyle w:val="FootnoteText"/>
        <w:rPr>
          <w:lang w:val="en-US"/>
        </w:rPr>
      </w:pPr>
      <w:r>
        <w:rPr>
          <w:rStyle w:val="FootnoteReference"/>
        </w:rPr>
        <w:footnoteRef/>
      </w:r>
      <w:r>
        <w:t xml:space="preserve"> </w:t>
      </w:r>
      <w:r w:rsidRPr="006844DE">
        <w:rPr>
          <w:szCs w:val="24"/>
        </w:rPr>
        <w:t>https://www.accesshub.gov.au/about-the-nrs/nrs-call-numbers-and-links</w:t>
      </w:r>
    </w:p>
  </w:footnote>
  <w:footnote w:id="3">
    <w:p w14:paraId="41C2070E" w14:textId="68FD6FED" w:rsidR="00C674C2" w:rsidRPr="008A4C96" w:rsidRDefault="00C674C2" w:rsidP="00C674C2">
      <w:pPr>
        <w:pStyle w:val="FootnoteText"/>
        <w:rPr>
          <w:lang w:val="en-US"/>
        </w:rPr>
      </w:pPr>
      <w:r>
        <w:rPr>
          <w:rStyle w:val="FootnoteReference"/>
        </w:rPr>
        <w:footnoteRef/>
      </w:r>
      <w:r>
        <w:t xml:space="preserve"> </w:t>
      </w:r>
      <w:r w:rsidRPr="006844DE">
        <w:rPr>
          <w:szCs w:val="24"/>
        </w:rPr>
        <w:t>https://www.accesshub.gov.au/about-the-nrs</w:t>
      </w:r>
    </w:p>
  </w:footnote>
  <w:footnote w:id="4">
    <w:p w14:paraId="4B958A83" w14:textId="07C9F2F8" w:rsidR="00C674C2" w:rsidRPr="008A4C96" w:rsidRDefault="00C674C2" w:rsidP="00C674C2">
      <w:pPr>
        <w:pStyle w:val="FootnoteText"/>
        <w:rPr>
          <w:lang w:val="en-US"/>
        </w:rPr>
      </w:pPr>
      <w:r>
        <w:rPr>
          <w:rStyle w:val="FootnoteReference"/>
        </w:rPr>
        <w:footnoteRef/>
      </w:r>
      <w:r>
        <w:t xml:space="preserve"> </w:t>
      </w:r>
      <w:r w:rsidRPr="006844DE">
        <w:t>https://providers.dffh.vic.gov.au/public-housing-operational-guidelines</w:t>
      </w:r>
    </w:p>
  </w:footnote>
  <w:footnote w:id="5">
    <w:p w14:paraId="7673AA91" w14:textId="33EF975D" w:rsidR="006278FE" w:rsidRPr="006278FE" w:rsidRDefault="006278FE">
      <w:pPr>
        <w:pStyle w:val="FootnoteText"/>
        <w:rPr>
          <w:lang w:val="en-US"/>
        </w:rPr>
      </w:pPr>
      <w:r>
        <w:rPr>
          <w:rStyle w:val="FootnoteReference"/>
        </w:rPr>
        <w:footnoteRef/>
      </w:r>
      <w:r>
        <w:t xml:space="preserve"> </w:t>
      </w:r>
      <w:r w:rsidRPr="006278FE">
        <w:t>https://providers.dffh.vic.gov.au/business-practice-operational-guidelines</w:t>
      </w:r>
    </w:p>
  </w:footnote>
  <w:footnote w:id="6">
    <w:p w14:paraId="66CF0CFB" w14:textId="298FCA93" w:rsidR="002D1A67" w:rsidRPr="002D1A67" w:rsidRDefault="002D1A67">
      <w:pPr>
        <w:pStyle w:val="FootnoteText"/>
        <w:rPr>
          <w:lang w:val="en-US"/>
        </w:rPr>
      </w:pPr>
      <w:r>
        <w:rPr>
          <w:rStyle w:val="FootnoteReference"/>
        </w:rPr>
        <w:footnoteRef/>
      </w:r>
      <w:r>
        <w:t xml:space="preserve"> </w:t>
      </w:r>
      <w:r w:rsidRPr="006C3F09">
        <w:t>https://www.dffh.vic.gov.au/making-complaint</w:t>
      </w:r>
    </w:p>
  </w:footnote>
  <w:footnote w:id="7">
    <w:p w14:paraId="226F1E60" w14:textId="4D0EB6B0" w:rsidR="002D1A67" w:rsidRPr="002D1A67" w:rsidRDefault="002D1A67">
      <w:pPr>
        <w:pStyle w:val="FootnoteText"/>
        <w:rPr>
          <w:lang w:val="en-US"/>
        </w:rPr>
      </w:pPr>
      <w:r>
        <w:rPr>
          <w:rStyle w:val="FootnoteReference"/>
        </w:rPr>
        <w:footnoteRef/>
      </w:r>
      <w:r>
        <w:t xml:space="preserve"> </w:t>
      </w:r>
      <w:r w:rsidRPr="00631D5D">
        <w:t>https://www.housing.vic.gov.au/about/forms-guides</w:t>
      </w:r>
    </w:p>
  </w:footnote>
  <w:footnote w:id="8">
    <w:p w14:paraId="181382F5" w14:textId="649E7D8F" w:rsidR="002D1A67" w:rsidRPr="002D1A67" w:rsidRDefault="002D1A67">
      <w:pPr>
        <w:pStyle w:val="FootnoteText"/>
        <w:rPr>
          <w:lang w:val="en-US"/>
        </w:rPr>
      </w:pPr>
      <w:r>
        <w:rPr>
          <w:rStyle w:val="FootnoteReference"/>
        </w:rPr>
        <w:footnoteRef/>
      </w:r>
      <w:r>
        <w:t xml:space="preserve"> </w:t>
      </w:r>
      <w:r w:rsidRPr="00631D5D">
        <w:rPr>
          <w:rStyle w:val="Strong"/>
          <w:b w:val="0"/>
          <w:bCs w:val="0"/>
        </w:rPr>
        <w:t>https://onlineappeals.housing.vic.gov.au/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3E626" w14:textId="77777777" w:rsidR="00431A70" w:rsidRDefault="00C60411">
    <w:pPr>
      <w:pStyle w:val="Header"/>
    </w:pPr>
    <w:r w:rsidRPr="00DE6C85">
      <w:rPr>
        <w:b w:val="0"/>
        <w:bCs/>
      </w:rPr>
      <w:fldChar w:fldCharType="begin"/>
    </w:r>
    <w:r w:rsidRPr="00DE6C85">
      <w:rPr>
        <w:bCs/>
      </w:rPr>
      <w:instrText xml:space="preserve"> PAGE </w:instrText>
    </w:r>
    <w:r w:rsidRPr="00DE6C85">
      <w:rPr>
        <w:b w:val="0"/>
        <w:bCs/>
      </w:rPr>
      <w:fldChar w:fldCharType="separate"/>
    </w:r>
    <w:r>
      <w:rPr>
        <w:bCs/>
      </w:rPr>
      <w:t>11</w:t>
    </w:r>
    <w:r w:rsidRPr="00DE6C85">
      <w:rPr>
        <w:b w:val="0"/>
        <w:bCs/>
      </w:rPr>
      <w:fldChar w:fldCharType="end"/>
    </w:r>
    <w:r>
      <w:rPr>
        <w:bCs/>
      </w:rPr>
      <w:ptab w:relativeTo="margin" w:alignment="right" w:leader="none"/>
    </w:r>
    <w:r>
      <w:t>Document title</w:t>
    </w:r>
    <w:r>
      <w:rPr>
        <w:noProof/>
      </w:rPr>
      <w:t xml:space="preserve"> </w:t>
    </w:r>
    <w:r w:rsidR="009C245E" w:rsidRPr="009C245E">
      <w:rPr>
        <w:noProof/>
      </w:rPr>
      <w:t>(use Header style)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DF7BE" w14:textId="3C2D6659" w:rsidR="00562811" w:rsidRPr="001C7128" w:rsidRDefault="008E552A" w:rsidP="001C7128">
    <w:pPr>
      <w:pStyle w:val="Header"/>
    </w:pPr>
    <w:r>
      <w:t>Housing Appeals Management Operational Guideline</w:t>
    </w:r>
    <w:r>
      <w:ptab w:relativeTo="margin" w:alignment="right" w:leader="none"/>
    </w:r>
    <w:r w:rsidRPr="00DE6C85">
      <w:rPr>
        <w:b w:val="0"/>
        <w:bCs/>
      </w:rPr>
      <w:fldChar w:fldCharType="begin"/>
    </w:r>
    <w:r w:rsidRPr="00DE6C85">
      <w:rPr>
        <w:bCs/>
      </w:rPr>
      <w:instrText xml:space="preserve"> PAGE </w:instrText>
    </w:r>
    <w:r w:rsidRPr="00DE6C85">
      <w:rPr>
        <w:b w:val="0"/>
        <w:bCs/>
      </w:rPr>
      <w:fldChar w:fldCharType="separate"/>
    </w:r>
    <w:r>
      <w:rPr>
        <w:b w:val="0"/>
        <w:bCs/>
      </w:rPr>
      <w:t>15</w:t>
    </w:r>
    <w:r w:rsidRPr="00DE6C85">
      <w:rPr>
        <w:b w:val="0"/>
        <w:bCs/>
      </w:rPr>
      <w:fldChar w:fldCharType="end"/>
    </w:r>
    <w:r w:rsidR="001C7128">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0AAE1EBA"/>
    <w:numStyleLink w:val="ZZNumbersloweralpha"/>
  </w:abstractNum>
  <w:abstractNum w:abstractNumId="13" w15:restartNumberingAfterBreak="0">
    <w:nsid w:val="0B8D43DB"/>
    <w:multiLevelType w:val="multilevel"/>
    <w:tmpl w:val="9D040EF8"/>
    <w:numStyleLink w:val="ZZNumbersdigit"/>
  </w:abstractNum>
  <w:abstractNum w:abstractNumId="14"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3B70C40"/>
    <w:multiLevelType w:val="multilevel"/>
    <w:tmpl w:val="62BC2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E733BD0"/>
    <w:multiLevelType w:val="multilevel"/>
    <w:tmpl w:val="0C090025"/>
    <w:lvl w:ilvl="0">
      <w:start w:val="1"/>
      <w:numFmt w:val="decimal"/>
      <w:pStyle w:val="Heading1"/>
      <w:lvlText w:val="%1"/>
      <w:lvlJc w:val="left"/>
      <w:pPr>
        <w:ind w:left="573"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37917ACA"/>
    <w:multiLevelType w:val="multilevel"/>
    <w:tmpl w:val="B414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0" w15:restartNumberingAfterBreak="0">
    <w:nsid w:val="3E6C68D4"/>
    <w:multiLevelType w:val="multilevel"/>
    <w:tmpl w:val="9D040EF8"/>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1"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46C41B48"/>
    <w:multiLevelType w:val="hybridMultilevel"/>
    <w:tmpl w:val="90B4BB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9"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7E211D67"/>
    <w:multiLevelType w:val="multilevel"/>
    <w:tmpl w:val="5D0C2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301866"/>
    <w:multiLevelType w:val="multilevel"/>
    <w:tmpl w:val="6D40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7132514">
    <w:abstractNumId w:val="10"/>
  </w:num>
  <w:num w:numId="2" w16cid:durableId="1774787977">
    <w:abstractNumId w:val="20"/>
  </w:num>
  <w:num w:numId="3" w16cid:durableId="2444594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574138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95556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46690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2066259">
    <w:abstractNumId w:val="25"/>
  </w:num>
  <w:num w:numId="8" w16cid:durableId="989020103">
    <w:abstractNumId w:val="19"/>
  </w:num>
  <w:num w:numId="9" w16cid:durableId="597568604">
    <w:abstractNumId w:val="24"/>
  </w:num>
  <w:num w:numId="10" w16cid:durableId="21103511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5532688">
    <w:abstractNumId w:val="26"/>
  </w:num>
  <w:num w:numId="12" w16cid:durableId="1371142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0564946">
    <w:abstractNumId w:val="21"/>
  </w:num>
  <w:num w:numId="14" w16cid:durableId="17892737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253862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80376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52659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9794429">
    <w:abstractNumId w:val="28"/>
  </w:num>
  <w:num w:numId="19" w16cid:durableId="4817796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41496931">
    <w:abstractNumId w:val="14"/>
  </w:num>
  <w:num w:numId="21" w16cid:durableId="1505514763">
    <w:abstractNumId w:val="12"/>
  </w:num>
  <w:num w:numId="22" w16cid:durableId="20468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3046607">
    <w:abstractNumId w:val="16"/>
  </w:num>
  <w:num w:numId="24" w16cid:durableId="804732987">
    <w:abstractNumId w:val="29"/>
  </w:num>
  <w:num w:numId="25" w16cid:durableId="943000330">
    <w:abstractNumId w:val="27"/>
  </w:num>
  <w:num w:numId="26" w16cid:durableId="1868835277">
    <w:abstractNumId w:val="23"/>
  </w:num>
  <w:num w:numId="27" w16cid:durableId="1921017726">
    <w:abstractNumId w:val="11"/>
  </w:num>
  <w:num w:numId="28" w16cid:durableId="1485706048">
    <w:abstractNumId w:val="30"/>
  </w:num>
  <w:num w:numId="29" w16cid:durableId="494341122">
    <w:abstractNumId w:val="9"/>
  </w:num>
  <w:num w:numId="30" w16cid:durableId="517043395">
    <w:abstractNumId w:val="7"/>
  </w:num>
  <w:num w:numId="31" w16cid:durableId="1813447565">
    <w:abstractNumId w:val="6"/>
  </w:num>
  <w:num w:numId="32" w16cid:durableId="900755044">
    <w:abstractNumId w:val="5"/>
  </w:num>
  <w:num w:numId="33" w16cid:durableId="1695112187">
    <w:abstractNumId w:val="4"/>
  </w:num>
  <w:num w:numId="34" w16cid:durableId="1500585800">
    <w:abstractNumId w:val="8"/>
  </w:num>
  <w:num w:numId="35" w16cid:durableId="1002975727">
    <w:abstractNumId w:val="3"/>
  </w:num>
  <w:num w:numId="36" w16cid:durableId="824206273">
    <w:abstractNumId w:val="2"/>
  </w:num>
  <w:num w:numId="37" w16cid:durableId="171727341">
    <w:abstractNumId w:val="1"/>
  </w:num>
  <w:num w:numId="38" w16cid:durableId="1175533472">
    <w:abstractNumId w:val="0"/>
  </w:num>
  <w:num w:numId="39" w16cid:durableId="16807681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58556553">
    <w:abstractNumId w:val="17"/>
  </w:num>
  <w:num w:numId="41" w16cid:durableId="1181625525">
    <w:abstractNumId w:val="22"/>
  </w:num>
  <w:num w:numId="42" w16cid:durableId="2011054771">
    <w:abstractNumId w:val="18"/>
  </w:num>
  <w:num w:numId="43" w16cid:durableId="13265093">
    <w:abstractNumId w:val="31"/>
  </w:num>
  <w:num w:numId="44" w16cid:durableId="1775127255">
    <w:abstractNumId w:val="15"/>
  </w:num>
  <w:num w:numId="45" w16cid:durableId="1530878510">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C28"/>
    <w:rsid w:val="000001B1"/>
    <w:rsid w:val="00000719"/>
    <w:rsid w:val="00001FB8"/>
    <w:rsid w:val="00002D68"/>
    <w:rsid w:val="000033F7"/>
    <w:rsid w:val="00003403"/>
    <w:rsid w:val="00005347"/>
    <w:rsid w:val="000072B6"/>
    <w:rsid w:val="0001021B"/>
    <w:rsid w:val="00011D89"/>
    <w:rsid w:val="00014AFF"/>
    <w:rsid w:val="000154FD"/>
    <w:rsid w:val="0002043A"/>
    <w:rsid w:val="00020678"/>
    <w:rsid w:val="00020D13"/>
    <w:rsid w:val="00022271"/>
    <w:rsid w:val="000232F8"/>
    <w:rsid w:val="000235E8"/>
    <w:rsid w:val="00024D89"/>
    <w:rsid w:val="000250B6"/>
    <w:rsid w:val="00031EF6"/>
    <w:rsid w:val="00033D81"/>
    <w:rsid w:val="00033DC9"/>
    <w:rsid w:val="00037366"/>
    <w:rsid w:val="00041BF0"/>
    <w:rsid w:val="00042C8A"/>
    <w:rsid w:val="0004536B"/>
    <w:rsid w:val="00046B68"/>
    <w:rsid w:val="00047514"/>
    <w:rsid w:val="000527DD"/>
    <w:rsid w:val="00056D4A"/>
    <w:rsid w:val="00056EC4"/>
    <w:rsid w:val="000578B2"/>
    <w:rsid w:val="00060959"/>
    <w:rsid w:val="00060C8F"/>
    <w:rsid w:val="000614A5"/>
    <w:rsid w:val="0006298A"/>
    <w:rsid w:val="000663CD"/>
    <w:rsid w:val="000733FE"/>
    <w:rsid w:val="00074219"/>
    <w:rsid w:val="00074ED5"/>
    <w:rsid w:val="00077560"/>
    <w:rsid w:val="0008170F"/>
    <w:rsid w:val="0008204A"/>
    <w:rsid w:val="0008508E"/>
    <w:rsid w:val="00085F50"/>
    <w:rsid w:val="00087951"/>
    <w:rsid w:val="0009113B"/>
    <w:rsid w:val="00093402"/>
    <w:rsid w:val="000939ED"/>
    <w:rsid w:val="00094DA3"/>
    <w:rsid w:val="00096CD1"/>
    <w:rsid w:val="000A012C"/>
    <w:rsid w:val="000A0EB9"/>
    <w:rsid w:val="000A186C"/>
    <w:rsid w:val="000A1EA4"/>
    <w:rsid w:val="000A2476"/>
    <w:rsid w:val="000A34D8"/>
    <w:rsid w:val="000A60B3"/>
    <w:rsid w:val="000A641A"/>
    <w:rsid w:val="000B3EDB"/>
    <w:rsid w:val="000B543D"/>
    <w:rsid w:val="000B55F9"/>
    <w:rsid w:val="000B5BF7"/>
    <w:rsid w:val="000B6BC8"/>
    <w:rsid w:val="000C0303"/>
    <w:rsid w:val="000C3170"/>
    <w:rsid w:val="000C3422"/>
    <w:rsid w:val="000C42EA"/>
    <w:rsid w:val="000C4546"/>
    <w:rsid w:val="000C63AD"/>
    <w:rsid w:val="000D02EC"/>
    <w:rsid w:val="000D0764"/>
    <w:rsid w:val="000D1242"/>
    <w:rsid w:val="000D2ABA"/>
    <w:rsid w:val="000E0219"/>
    <w:rsid w:val="000E0260"/>
    <w:rsid w:val="000E080A"/>
    <w:rsid w:val="000E0970"/>
    <w:rsid w:val="000E3BDB"/>
    <w:rsid w:val="000E3CC7"/>
    <w:rsid w:val="000E6BD4"/>
    <w:rsid w:val="000E6D6D"/>
    <w:rsid w:val="000F1F1E"/>
    <w:rsid w:val="000F2259"/>
    <w:rsid w:val="000F273B"/>
    <w:rsid w:val="000F2DDA"/>
    <w:rsid w:val="000F2EA0"/>
    <w:rsid w:val="000F3F0A"/>
    <w:rsid w:val="000F5213"/>
    <w:rsid w:val="00101001"/>
    <w:rsid w:val="00103276"/>
    <w:rsid w:val="0010392D"/>
    <w:rsid w:val="0010447F"/>
    <w:rsid w:val="00104FE3"/>
    <w:rsid w:val="0010714F"/>
    <w:rsid w:val="00111F74"/>
    <w:rsid w:val="001120C5"/>
    <w:rsid w:val="00120BD3"/>
    <w:rsid w:val="00122FEA"/>
    <w:rsid w:val="001232BD"/>
    <w:rsid w:val="00124ED5"/>
    <w:rsid w:val="001276FA"/>
    <w:rsid w:val="00127DE1"/>
    <w:rsid w:val="00131ECC"/>
    <w:rsid w:val="00135E80"/>
    <w:rsid w:val="00141ECE"/>
    <w:rsid w:val="001447B3"/>
    <w:rsid w:val="001457AF"/>
    <w:rsid w:val="00152073"/>
    <w:rsid w:val="00152329"/>
    <w:rsid w:val="00155F1F"/>
    <w:rsid w:val="00156598"/>
    <w:rsid w:val="0015728E"/>
    <w:rsid w:val="00161939"/>
    <w:rsid w:val="00161AA0"/>
    <w:rsid w:val="00161D2E"/>
    <w:rsid w:val="00161F3E"/>
    <w:rsid w:val="00162093"/>
    <w:rsid w:val="00162CA9"/>
    <w:rsid w:val="00165459"/>
    <w:rsid w:val="00165A57"/>
    <w:rsid w:val="00165D2F"/>
    <w:rsid w:val="001708A9"/>
    <w:rsid w:val="001712C2"/>
    <w:rsid w:val="00172BAF"/>
    <w:rsid w:val="00172ED0"/>
    <w:rsid w:val="0017674D"/>
    <w:rsid w:val="001771DD"/>
    <w:rsid w:val="00177995"/>
    <w:rsid w:val="00177A8C"/>
    <w:rsid w:val="0018244E"/>
    <w:rsid w:val="00183356"/>
    <w:rsid w:val="001851D8"/>
    <w:rsid w:val="00186B33"/>
    <w:rsid w:val="00187D9F"/>
    <w:rsid w:val="00192F9D"/>
    <w:rsid w:val="00196AB4"/>
    <w:rsid w:val="00196EB8"/>
    <w:rsid w:val="00196EFB"/>
    <w:rsid w:val="001979FF"/>
    <w:rsid w:val="00197B17"/>
    <w:rsid w:val="001A154D"/>
    <w:rsid w:val="001A1950"/>
    <w:rsid w:val="001A1C54"/>
    <w:rsid w:val="001A2E50"/>
    <w:rsid w:val="001A3ACE"/>
    <w:rsid w:val="001A6272"/>
    <w:rsid w:val="001B00AA"/>
    <w:rsid w:val="001B058F"/>
    <w:rsid w:val="001B33C8"/>
    <w:rsid w:val="001B6B96"/>
    <w:rsid w:val="001B738B"/>
    <w:rsid w:val="001B7773"/>
    <w:rsid w:val="001C09DB"/>
    <w:rsid w:val="001C277E"/>
    <w:rsid w:val="001C2A72"/>
    <w:rsid w:val="001C31B7"/>
    <w:rsid w:val="001C7128"/>
    <w:rsid w:val="001C7855"/>
    <w:rsid w:val="001D0B75"/>
    <w:rsid w:val="001D1C0E"/>
    <w:rsid w:val="001D39A5"/>
    <w:rsid w:val="001D3C09"/>
    <w:rsid w:val="001D44E8"/>
    <w:rsid w:val="001D5B14"/>
    <w:rsid w:val="001D60EC"/>
    <w:rsid w:val="001D6F59"/>
    <w:rsid w:val="001D6F5C"/>
    <w:rsid w:val="001E0FCD"/>
    <w:rsid w:val="001E44DF"/>
    <w:rsid w:val="001E68A5"/>
    <w:rsid w:val="001E6BB0"/>
    <w:rsid w:val="001E7282"/>
    <w:rsid w:val="001E7CE9"/>
    <w:rsid w:val="001F32D4"/>
    <w:rsid w:val="001F3826"/>
    <w:rsid w:val="001F6E46"/>
    <w:rsid w:val="001F7C91"/>
    <w:rsid w:val="00202432"/>
    <w:rsid w:val="00203114"/>
    <w:rsid w:val="002033B7"/>
    <w:rsid w:val="00206463"/>
    <w:rsid w:val="00206F2F"/>
    <w:rsid w:val="00207717"/>
    <w:rsid w:val="0021053D"/>
    <w:rsid w:val="00210A92"/>
    <w:rsid w:val="00212543"/>
    <w:rsid w:val="00212B70"/>
    <w:rsid w:val="00212B95"/>
    <w:rsid w:val="00215CC8"/>
    <w:rsid w:val="00216C03"/>
    <w:rsid w:val="00220A1A"/>
    <w:rsid w:val="00220C04"/>
    <w:rsid w:val="0022278D"/>
    <w:rsid w:val="00226850"/>
    <w:rsid w:val="0022701F"/>
    <w:rsid w:val="00227C68"/>
    <w:rsid w:val="002333F5"/>
    <w:rsid w:val="00233724"/>
    <w:rsid w:val="002365B4"/>
    <w:rsid w:val="00240101"/>
    <w:rsid w:val="002432E1"/>
    <w:rsid w:val="00244D98"/>
    <w:rsid w:val="00246207"/>
    <w:rsid w:val="00246C5E"/>
    <w:rsid w:val="00250960"/>
    <w:rsid w:val="00251343"/>
    <w:rsid w:val="002522EC"/>
    <w:rsid w:val="002536A4"/>
    <w:rsid w:val="00253A3E"/>
    <w:rsid w:val="00254F58"/>
    <w:rsid w:val="00255C23"/>
    <w:rsid w:val="002600BD"/>
    <w:rsid w:val="002620BC"/>
    <w:rsid w:val="00262802"/>
    <w:rsid w:val="00263A90"/>
    <w:rsid w:val="0026408B"/>
    <w:rsid w:val="00264849"/>
    <w:rsid w:val="00267C3E"/>
    <w:rsid w:val="002709BB"/>
    <w:rsid w:val="0027131C"/>
    <w:rsid w:val="00273BAC"/>
    <w:rsid w:val="002763B3"/>
    <w:rsid w:val="002802E3"/>
    <w:rsid w:val="0028213D"/>
    <w:rsid w:val="00282A7F"/>
    <w:rsid w:val="002862F1"/>
    <w:rsid w:val="00291373"/>
    <w:rsid w:val="00295551"/>
    <w:rsid w:val="0029597D"/>
    <w:rsid w:val="00295A05"/>
    <w:rsid w:val="002962C3"/>
    <w:rsid w:val="0029752B"/>
    <w:rsid w:val="002A0A9C"/>
    <w:rsid w:val="002A483C"/>
    <w:rsid w:val="002A53CA"/>
    <w:rsid w:val="002B0C7C"/>
    <w:rsid w:val="002B1729"/>
    <w:rsid w:val="002B36C7"/>
    <w:rsid w:val="002B4DD4"/>
    <w:rsid w:val="002B5277"/>
    <w:rsid w:val="002B5375"/>
    <w:rsid w:val="002B658F"/>
    <w:rsid w:val="002B77C1"/>
    <w:rsid w:val="002C0ED7"/>
    <w:rsid w:val="002C2728"/>
    <w:rsid w:val="002C5B7C"/>
    <w:rsid w:val="002D1A67"/>
    <w:rsid w:val="002D1E0D"/>
    <w:rsid w:val="002D26C4"/>
    <w:rsid w:val="002D5006"/>
    <w:rsid w:val="002D7C61"/>
    <w:rsid w:val="002E01D0"/>
    <w:rsid w:val="002E161D"/>
    <w:rsid w:val="002E28A2"/>
    <w:rsid w:val="002E3100"/>
    <w:rsid w:val="002E6C95"/>
    <w:rsid w:val="002E7C36"/>
    <w:rsid w:val="002F3D32"/>
    <w:rsid w:val="002F5F31"/>
    <w:rsid w:val="002F5F46"/>
    <w:rsid w:val="00300832"/>
    <w:rsid w:val="00302216"/>
    <w:rsid w:val="00303E53"/>
    <w:rsid w:val="00305CC1"/>
    <w:rsid w:val="00306E5F"/>
    <w:rsid w:val="00307E14"/>
    <w:rsid w:val="00314054"/>
    <w:rsid w:val="00316F27"/>
    <w:rsid w:val="00317D28"/>
    <w:rsid w:val="00320436"/>
    <w:rsid w:val="003214F1"/>
    <w:rsid w:val="003222B0"/>
    <w:rsid w:val="00322B1F"/>
    <w:rsid w:val="00322E4B"/>
    <w:rsid w:val="00327870"/>
    <w:rsid w:val="00330375"/>
    <w:rsid w:val="0033259D"/>
    <w:rsid w:val="00332F25"/>
    <w:rsid w:val="003333D2"/>
    <w:rsid w:val="00334686"/>
    <w:rsid w:val="00334E50"/>
    <w:rsid w:val="0033613C"/>
    <w:rsid w:val="00337339"/>
    <w:rsid w:val="00340345"/>
    <w:rsid w:val="003406C6"/>
    <w:rsid w:val="003418CC"/>
    <w:rsid w:val="003434EE"/>
    <w:rsid w:val="003444DA"/>
    <w:rsid w:val="003459BD"/>
    <w:rsid w:val="00350D38"/>
    <w:rsid w:val="00351B36"/>
    <w:rsid w:val="00357B4E"/>
    <w:rsid w:val="003716FD"/>
    <w:rsid w:val="0037204B"/>
    <w:rsid w:val="003744CF"/>
    <w:rsid w:val="00374717"/>
    <w:rsid w:val="003752A2"/>
    <w:rsid w:val="0037676C"/>
    <w:rsid w:val="00380236"/>
    <w:rsid w:val="00381043"/>
    <w:rsid w:val="003829E5"/>
    <w:rsid w:val="00386109"/>
    <w:rsid w:val="003866E1"/>
    <w:rsid w:val="00386944"/>
    <w:rsid w:val="00391864"/>
    <w:rsid w:val="003931D2"/>
    <w:rsid w:val="00394260"/>
    <w:rsid w:val="003956CC"/>
    <w:rsid w:val="00395C9A"/>
    <w:rsid w:val="003A0853"/>
    <w:rsid w:val="003A6B67"/>
    <w:rsid w:val="003B04B2"/>
    <w:rsid w:val="003B13B6"/>
    <w:rsid w:val="003B14C3"/>
    <w:rsid w:val="003B15E6"/>
    <w:rsid w:val="003B22EF"/>
    <w:rsid w:val="003B352C"/>
    <w:rsid w:val="003B408A"/>
    <w:rsid w:val="003B6FEC"/>
    <w:rsid w:val="003C08A2"/>
    <w:rsid w:val="003C2045"/>
    <w:rsid w:val="003C43A1"/>
    <w:rsid w:val="003C4FC0"/>
    <w:rsid w:val="003C55F4"/>
    <w:rsid w:val="003C6950"/>
    <w:rsid w:val="003C7897"/>
    <w:rsid w:val="003C7A3F"/>
    <w:rsid w:val="003D2766"/>
    <w:rsid w:val="003D2A74"/>
    <w:rsid w:val="003D3D88"/>
    <w:rsid w:val="003D3E8F"/>
    <w:rsid w:val="003D562B"/>
    <w:rsid w:val="003D6475"/>
    <w:rsid w:val="003D6EE6"/>
    <w:rsid w:val="003E306F"/>
    <w:rsid w:val="003E375C"/>
    <w:rsid w:val="003E4086"/>
    <w:rsid w:val="003E639E"/>
    <w:rsid w:val="003E6946"/>
    <w:rsid w:val="003E71E5"/>
    <w:rsid w:val="003F0445"/>
    <w:rsid w:val="003F0CF0"/>
    <w:rsid w:val="003F14B1"/>
    <w:rsid w:val="003F2B20"/>
    <w:rsid w:val="003F3289"/>
    <w:rsid w:val="003F3C62"/>
    <w:rsid w:val="003F5CB9"/>
    <w:rsid w:val="00401118"/>
    <w:rsid w:val="004013C7"/>
    <w:rsid w:val="00401FCF"/>
    <w:rsid w:val="00403236"/>
    <w:rsid w:val="00406285"/>
    <w:rsid w:val="004115A2"/>
    <w:rsid w:val="004148F9"/>
    <w:rsid w:val="00417BF4"/>
    <w:rsid w:val="0042084E"/>
    <w:rsid w:val="00421141"/>
    <w:rsid w:val="00421EEF"/>
    <w:rsid w:val="004221DB"/>
    <w:rsid w:val="00424D65"/>
    <w:rsid w:val="0042526D"/>
    <w:rsid w:val="00430393"/>
    <w:rsid w:val="00431806"/>
    <w:rsid w:val="00431A70"/>
    <w:rsid w:val="00431F42"/>
    <w:rsid w:val="004400BA"/>
    <w:rsid w:val="00440923"/>
    <w:rsid w:val="00442C6C"/>
    <w:rsid w:val="00443CBE"/>
    <w:rsid w:val="00443E8A"/>
    <w:rsid w:val="004441BC"/>
    <w:rsid w:val="004468B4"/>
    <w:rsid w:val="00446D86"/>
    <w:rsid w:val="0045230A"/>
    <w:rsid w:val="00454AD0"/>
    <w:rsid w:val="00455C9A"/>
    <w:rsid w:val="00457337"/>
    <w:rsid w:val="0046139C"/>
    <w:rsid w:val="00462E3D"/>
    <w:rsid w:val="00463515"/>
    <w:rsid w:val="00466E79"/>
    <w:rsid w:val="00470D7D"/>
    <w:rsid w:val="004718CA"/>
    <w:rsid w:val="0047372D"/>
    <w:rsid w:val="00473BA3"/>
    <w:rsid w:val="004743DD"/>
    <w:rsid w:val="00474CEA"/>
    <w:rsid w:val="0047699C"/>
    <w:rsid w:val="0048173C"/>
    <w:rsid w:val="00483968"/>
    <w:rsid w:val="004841BE"/>
    <w:rsid w:val="00484F86"/>
    <w:rsid w:val="00490746"/>
    <w:rsid w:val="00490852"/>
    <w:rsid w:val="00491C9C"/>
    <w:rsid w:val="00492F30"/>
    <w:rsid w:val="004946F4"/>
    <w:rsid w:val="0049487E"/>
    <w:rsid w:val="00497354"/>
    <w:rsid w:val="00497D51"/>
    <w:rsid w:val="004A160D"/>
    <w:rsid w:val="004A21F9"/>
    <w:rsid w:val="004A3E81"/>
    <w:rsid w:val="004A4195"/>
    <w:rsid w:val="004A5C62"/>
    <w:rsid w:val="004A5CE5"/>
    <w:rsid w:val="004A6C67"/>
    <w:rsid w:val="004A707D"/>
    <w:rsid w:val="004A726B"/>
    <w:rsid w:val="004B0974"/>
    <w:rsid w:val="004B35A5"/>
    <w:rsid w:val="004B4185"/>
    <w:rsid w:val="004C014B"/>
    <w:rsid w:val="004C3A27"/>
    <w:rsid w:val="004C5541"/>
    <w:rsid w:val="004C6EEE"/>
    <w:rsid w:val="004C702B"/>
    <w:rsid w:val="004D0033"/>
    <w:rsid w:val="004D016B"/>
    <w:rsid w:val="004D1B22"/>
    <w:rsid w:val="004D23CC"/>
    <w:rsid w:val="004D36F2"/>
    <w:rsid w:val="004D3A5A"/>
    <w:rsid w:val="004D5E04"/>
    <w:rsid w:val="004E1106"/>
    <w:rsid w:val="004E138F"/>
    <w:rsid w:val="004E4649"/>
    <w:rsid w:val="004E53B0"/>
    <w:rsid w:val="004E5C2B"/>
    <w:rsid w:val="004F00DD"/>
    <w:rsid w:val="004F2133"/>
    <w:rsid w:val="004F5398"/>
    <w:rsid w:val="004F55F1"/>
    <w:rsid w:val="004F6936"/>
    <w:rsid w:val="00503408"/>
    <w:rsid w:val="00503DC6"/>
    <w:rsid w:val="00506F5D"/>
    <w:rsid w:val="00510C37"/>
    <w:rsid w:val="005126D0"/>
    <w:rsid w:val="005135BB"/>
    <w:rsid w:val="00514667"/>
    <w:rsid w:val="0051568D"/>
    <w:rsid w:val="00526AC7"/>
    <w:rsid w:val="00526C15"/>
    <w:rsid w:val="005276F6"/>
    <w:rsid w:val="0053156B"/>
    <w:rsid w:val="00536499"/>
    <w:rsid w:val="00542A03"/>
    <w:rsid w:val="00543903"/>
    <w:rsid w:val="00543BCC"/>
    <w:rsid w:val="00543F11"/>
    <w:rsid w:val="00546305"/>
    <w:rsid w:val="00547A95"/>
    <w:rsid w:val="0055119B"/>
    <w:rsid w:val="00552175"/>
    <w:rsid w:val="00561202"/>
    <w:rsid w:val="00562507"/>
    <w:rsid w:val="00562811"/>
    <w:rsid w:val="00566945"/>
    <w:rsid w:val="00572031"/>
    <w:rsid w:val="00572282"/>
    <w:rsid w:val="00573398"/>
    <w:rsid w:val="00573CE3"/>
    <w:rsid w:val="00576E84"/>
    <w:rsid w:val="00576F19"/>
    <w:rsid w:val="00580394"/>
    <w:rsid w:val="005809CD"/>
    <w:rsid w:val="00582B8C"/>
    <w:rsid w:val="0058757E"/>
    <w:rsid w:val="00595C2A"/>
    <w:rsid w:val="00596A4B"/>
    <w:rsid w:val="00597507"/>
    <w:rsid w:val="005A479D"/>
    <w:rsid w:val="005A5673"/>
    <w:rsid w:val="005B1C6D"/>
    <w:rsid w:val="005B21B6"/>
    <w:rsid w:val="005B3A08"/>
    <w:rsid w:val="005B433F"/>
    <w:rsid w:val="005B6AB9"/>
    <w:rsid w:val="005B7A63"/>
    <w:rsid w:val="005C006D"/>
    <w:rsid w:val="005C0955"/>
    <w:rsid w:val="005C2C10"/>
    <w:rsid w:val="005C37D1"/>
    <w:rsid w:val="005C49DA"/>
    <w:rsid w:val="005C50F3"/>
    <w:rsid w:val="005C549F"/>
    <w:rsid w:val="005C54B5"/>
    <w:rsid w:val="005C5D80"/>
    <w:rsid w:val="005C5D91"/>
    <w:rsid w:val="005D07B8"/>
    <w:rsid w:val="005D6597"/>
    <w:rsid w:val="005E14E7"/>
    <w:rsid w:val="005E26A3"/>
    <w:rsid w:val="005E2ECB"/>
    <w:rsid w:val="005E447E"/>
    <w:rsid w:val="005E4FD1"/>
    <w:rsid w:val="005F0775"/>
    <w:rsid w:val="005F0CF5"/>
    <w:rsid w:val="005F21EB"/>
    <w:rsid w:val="005F4445"/>
    <w:rsid w:val="005F64CF"/>
    <w:rsid w:val="006041AD"/>
    <w:rsid w:val="00605908"/>
    <w:rsid w:val="00607850"/>
    <w:rsid w:val="00607EF7"/>
    <w:rsid w:val="00610D7C"/>
    <w:rsid w:val="00613414"/>
    <w:rsid w:val="00616D76"/>
    <w:rsid w:val="00620154"/>
    <w:rsid w:val="0062408D"/>
    <w:rsid w:val="006240CC"/>
    <w:rsid w:val="00624940"/>
    <w:rsid w:val="006254F8"/>
    <w:rsid w:val="006278FE"/>
    <w:rsid w:val="00627DA7"/>
    <w:rsid w:val="00630156"/>
    <w:rsid w:val="00630DA4"/>
    <w:rsid w:val="00631CD4"/>
    <w:rsid w:val="00632597"/>
    <w:rsid w:val="00634D13"/>
    <w:rsid w:val="006358B4"/>
    <w:rsid w:val="00641724"/>
    <w:rsid w:val="006419AA"/>
    <w:rsid w:val="00644B1F"/>
    <w:rsid w:val="00644B7E"/>
    <w:rsid w:val="006454E6"/>
    <w:rsid w:val="00646235"/>
    <w:rsid w:val="00646A68"/>
    <w:rsid w:val="006505BD"/>
    <w:rsid w:val="006508EA"/>
    <w:rsid w:val="0065092E"/>
    <w:rsid w:val="00653738"/>
    <w:rsid w:val="00654745"/>
    <w:rsid w:val="006557A7"/>
    <w:rsid w:val="00655A81"/>
    <w:rsid w:val="00655EC7"/>
    <w:rsid w:val="00656290"/>
    <w:rsid w:val="006601C9"/>
    <w:rsid w:val="00660459"/>
    <w:rsid w:val="006608D8"/>
    <w:rsid w:val="006621D7"/>
    <w:rsid w:val="0066302A"/>
    <w:rsid w:val="00667770"/>
    <w:rsid w:val="00670597"/>
    <w:rsid w:val="006706D0"/>
    <w:rsid w:val="0067523E"/>
    <w:rsid w:val="00677574"/>
    <w:rsid w:val="006812ED"/>
    <w:rsid w:val="00683878"/>
    <w:rsid w:val="00683AE2"/>
    <w:rsid w:val="00684380"/>
    <w:rsid w:val="006844DE"/>
    <w:rsid w:val="0068454C"/>
    <w:rsid w:val="00691B62"/>
    <w:rsid w:val="006933B5"/>
    <w:rsid w:val="00693546"/>
    <w:rsid w:val="00693D14"/>
    <w:rsid w:val="00696F27"/>
    <w:rsid w:val="006A18C2"/>
    <w:rsid w:val="006A2717"/>
    <w:rsid w:val="006A3383"/>
    <w:rsid w:val="006A4A57"/>
    <w:rsid w:val="006B077C"/>
    <w:rsid w:val="006B0C81"/>
    <w:rsid w:val="006B63B5"/>
    <w:rsid w:val="006B6803"/>
    <w:rsid w:val="006C2513"/>
    <w:rsid w:val="006C420F"/>
    <w:rsid w:val="006D0F16"/>
    <w:rsid w:val="006D2A3F"/>
    <w:rsid w:val="006D2FBC"/>
    <w:rsid w:val="006D3EF9"/>
    <w:rsid w:val="006D6E34"/>
    <w:rsid w:val="006E138B"/>
    <w:rsid w:val="006E1867"/>
    <w:rsid w:val="006E41ED"/>
    <w:rsid w:val="006F0330"/>
    <w:rsid w:val="006F064F"/>
    <w:rsid w:val="006F1FDC"/>
    <w:rsid w:val="006F2BF5"/>
    <w:rsid w:val="006F6B76"/>
    <w:rsid w:val="006F6B8C"/>
    <w:rsid w:val="006F7880"/>
    <w:rsid w:val="00701054"/>
    <w:rsid w:val="007013EF"/>
    <w:rsid w:val="00702591"/>
    <w:rsid w:val="00702907"/>
    <w:rsid w:val="007055BD"/>
    <w:rsid w:val="007058B0"/>
    <w:rsid w:val="00707AE0"/>
    <w:rsid w:val="007123D0"/>
    <w:rsid w:val="007173CA"/>
    <w:rsid w:val="00720145"/>
    <w:rsid w:val="007216AA"/>
    <w:rsid w:val="00721AB5"/>
    <w:rsid w:val="00721CFB"/>
    <w:rsid w:val="00721DEF"/>
    <w:rsid w:val="00724A43"/>
    <w:rsid w:val="007273AC"/>
    <w:rsid w:val="00727D1E"/>
    <w:rsid w:val="00727E67"/>
    <w:rsid w:val="00731AD4"/>
    <w:rsid w:val="007346E4"/>
    <w:rsid w:val="00735564"/>
    <w:rsid w:val="00740894"/>
    <w:rsid w:val="00740F22"/>
    <w:rsid w:val="00741CF0"/>
    <w:rsid w:val="00741F1A"/>
    <w:rsid w:val="007447DA"/>
    <w:rsid w:val="007450F8"/>
    <w:rsid w:val="0074696E"/>
    <w:rsid w:val="00750135"/>
    <w:rsid w:val="00750EC2"/>
    <w:rsid w:val="00752B28"/>
    <w:rsid w:val="007536BC"/>
    <w:rsid w:val="007541A9"/>
    <w:rsid w:val="00754E36"/>
    <w:rsid w:val="00763139"/>
    <w:rsid w:val="00764F58"/>
    <w:rsid w:val="00770F37"/>
    <w:rsid w:val="007711A0"/>
    <w:rsid w:val="00772D5E"/>
    <w:rsid w:val="0077463E"/>
    <w:rsid w:val="00776928"/>
    <w:rsid w:val="00776D56"/>
    <w:rsid w:val="00776E0F"/>
    <w:rsid w:val="007774B1"/>
    <w:rsid w:val="00777BE1"/>
    <w:rsid w:val="00782222"/>
    <w:rsid w:val="007833D8"/>
    <w:rsid w:val="00785677"/>
    <w:rsid w:val="00786F16"/>
    <w:rsid w:val="00787B44"/>
    <w:rsid w:val="00791BD7"/>
    <w:rsid w:val="007933F7"/>
    <w:rsid w:val="00796E20"/>
    <w:rsid w:val="00797C32"/>
    <w:rsid w:val="007A11E8"/>
    <w:rsid w:val="007B0914"/>
    <w:rsid w:val="007B1374"/>
    <w:rsid w:val="007B32E5"/>
    <w:rsid w:val="007B3DB9"/>
    <w:rsid w:val="007B589F"/>
    <w:rsid w:val="007B6186"/>
    <w:rsid w:val="007B73BC"/>
    <w:rsid w:val="007C08C2"/>
    <w:rsid w:val="007C1838"/>
    <w:rsid w:val="007C20B9"/>
    <w:rsid w:val="007C46F7"/>
    <w:rsid w:val="007C669D"/>
    <w:rsid w:val="007C7301"/>
    <w:rsid w:val="007C7859"/>
    <w:rsid w:val="007C7F28"/>
    <w:rsid w:val="007D1466"/>
    <w:rsid w:val="007D2BDE"/>
    <w:rsid w:val="007D2FB6"/>
    <w:rsid w:val="007D3227"/>
    <w:rsid w:val="007D49EB"/>
    <w:rsid w:val="007D4BA1"/>
    <w:rsid w:val="007D5E1C"/>
    <w:rsid w:val="007E0DE2"/>
    <w:rsid w:val="007E3667"/>
    <w:rsid w:val="007E3B98"/>
    <w:rsid w:val="007E4164"/>
    <w:rsid w:val="007E417A"/>
    <w:rsid w:val="007F0C24"/>
    <w:rsid w:val="007F1751"/>
    <w:rsid w:val="007F31B6"/>
    <w:rsid w:val="007F546C"/>
    <w:rsid w:val="007F625F"/>
    <w:rsid w:val="007F665E"/>
    <w:rsid w:val="007F7776"/>
    <w:rsid w:val="00800412"/>
    <w:rsid w:val="00802748"/>
    <w:rsid w:val="0080587B"/>
    <w:rsid w:val="00806468"/>
    <w:rsid w:val="008119CA"/>
    <w:rsid w:val="008130C4"/>
    <w:rsid w:val="008155F0"/>
    <w:rsid w:val="00816735"/>
    <w:rsid w:val="00816760"/>
    <w:rsid w:val="00820141"/>
    <w:rsid w:val="00820E0C"/>
    <w:rsid w:val="00823275"/>
    <w:rsid w:val="0082366F"/>
    <w:rsid w:val="00830147"/>
    <w:rsid w:val="00831B47"/>
    <w:rsid w:val="0083361C"/>
    <w:rsid w:val="008338A2"/>
    <w:rsid w:val="00835055"/>
    <w:rsid w:val="00841AA9"/>
    <w:rsid w:val="008474FE"/>
    <w:rsid w:val="00853EE4"/>
    <w:rsid w:val="00855535"/>
    <w:rsid w:val="00857C5A"/>
    <w:rsid w:val="0086255E"/>
    <w:rsid w:val="0086308D"/>
    <w:rsid w:val="008633F0"/>
    <w:rsid w:val="00863B7C"/>
    <w:rsid w:val="00867D9D"/>
    <w:rsid w:val="00872E0A"/>
    <w:rsid w:val="00873594"/>
    <w:rsid w:val="00875285"/>
    <w:rsid w:val="00877635"/>
    <w:rsid w:val="00884B62"/>
    <w:rsid w:val="0088529C"/>
    <w:rsid w:val="00887903"/>
    <w:rsid w:val="0089270A"/>
    <w:rsid w:val="00893AF6"/>
    <w:rsid w:val="00894978"/>
    <w:rsid w:val="00894BC4"/>
    <w:rsid w:val="00895182"/>
    <w:rsid w:val="00896890"/>
    <w:rsid w:val="008A28A8"/>
    <w:rsid w:val="008A5A9F"/>
    <w:rsid w:val="008A5B32"/>
    <w:rsid w:val="008B2029"/>
    <w:rsid w:val="008B23D5"/>
    <w:rsid w:val="008B2EE4"/>
    <w:rsid w:val="008B3821"/>
    <w:rsid w:val="008B4D3D"/>
    <w:rsid w:val="008B57C7"/>
    <w:rsid w:val="008B5B71"/>
    <w:rsid w:val="008C23C3"/>
    <w:rsid w:val="008C2F92"/>
    <w:rsid w:val="008C3546"/>
    <w:rsid w:val="008C589D"/>
    <w:rsid w:val="008C6D51"/>
    <w:rsid w:val="008D2846"/>
    <w:rsid w:val="008D4236"/>
    <w:rsid w:val="008D462F"/>
    <w:rsid w:val="008D4D2B"/>
    <w:rsid w:val="008D5AF4"/>
    <w:rsid w:val="008D6DCF"/>
    <w:rsid w:val="008E1290"/>
    <w:rsid w:val="008E4376"/>
    <w:rsid w:val="008E552A"/>
    <w:rsid w:val="008E7807"/>
    <w:rsid w:val="008E7A0A"/>
    <w:rsid w:val="008E7B49"/>
    <w:rsid w:val="008F59F6"/>
    <w:rsid w:val="00900719"/>
    <w:rsid w:val="009017AC"/>
    <w:rsid w:val="00902A9A"/>
    <w:rsid w:val="00904A1C"/>
    <w:rsid w:val="00905030"/>
    <w:rsid w:val="00906490"/>
    <w:rsid w:val="009111B2"/>
    <w:rsid w:val="009151F5"/>
    <w:rsid w:val="009208B9"/>
    <w:rsid w:val="009208D0"/>
    <w:rsid w:val="00924AE1"/>
    <w:rsid w:val="00924B57"/>
    <w:rsid w:val="00924E46"/>
    <w:rsid w:val="009269B1"/>
    <w:rsid w:val="0092724D"/>
    <w:rsid w:val="009272B3"/>
    <w:rsid w:val="00927350"/>
    <w:rsid w:val="009315BE"/>
    <w:rsid w:val="009326DD"/>
    <w:rsid w:val="00933050"/>
    <w:rsid w:val="0093338F"/>
    <w:rsid w:val="00937BD9"/>
    <w:rsid w:val="00950E2C"/>
    <w:rsid w:val="00951D50"/>
    <w:rsid w:val="009525EB"/>
    <w:rsid w:val="0095470B"/>
    <w:rsid w:val="00954874"/>
    <w:rsid w:val="0095615A"/>
    <w:rsid w:val="00961400"/>
    <w:rsid w:val="0096274F"/>
    <w:rsid w:val="00963646"/>
    <w:rsid w:val="0096506F"/>
    <w:rsid w:val="0096632D"/>
    <w:rsid w:val="00967124"/>
    <w:rsid w:val="0097166C"/>
    <w:rsid w:val="009718C7"/>
    <w:rsid w:val="00973B75"/>
    <w:rsid w:val="0097559F"/>
    <w:rsid w:val="00975780"/>
    <w:rsid w:val="009761EA"/>
    <w:rsid w:val="0097761E"/>
    <w:rsid w:val="00982454"/>
    <w:rsid w:val="00982CF0"/>
    <w:rsid w:val="009853E1"/>
    <w:rsid w:val="00986E6B"/>
    <w:rsid w:val="00990032"/>
    <w:rsid w:val="00990B19"/>
    <w:rsid w:val="0099153B"/>
    <w:rsid w:val="00991769"/>
    <w:rsid w:val="0099232C"/>
    <w:rsid w:val="00993084"/>
    <w:rsid w:val="00994386"/>
    <w:rsid w:val="009A13D8"/>
    <w:rsid w:val="009A279E"/>
    <w:rsid w:val="009A3015"/>
    <w:rsid w:val="009A3490"/>
    <w:rsid w:val="009B05FD"/>
    <w:rsid w:val="009B0A6F"/>
    <w:rsid w:val="009B0A94"/>
    <w:rsid w:val="009B0C62"/>
    <w:rsid w:val="009B2AE8"/>
    <w:rsid w:val="009B4539"/>
    <w:rsid w:val="009B5622"/>
    <w:rsid w:val="009B56A1"/>
    <w:rsid w:val="009B59E9"/>
    <w:rsid w:val="009B70AA"/>
    <w:rsid w:val="009C0888"/>
    <w:rsid w:val="009C245E"/>
    <w:rsid w:val="009C3CF1"/>
    <w:rsid w:val="009C3D49"/>
    <w:rsid w:val="009C4449"/>
    <w:rsid w:val="009C5E77"/>
    <w:rsid w:val="009C6942"/>
    <w:rsid w:val="009C7A7E"/>
    <w:rsid w:val="009D02E8"/>
    <w:rsid w:val="009D328F"/>
    <w:rsid w:val="009D51D0"/>
    <w:rsid w:val="009D58BF"/>
    <w:rsid w:val="009D70A4"/>
    <w:rsid w:val="009D7B14"/>
    <w:rsid w:val="009E08D1"/>
    <w:rsid w:val="009E0D96"/>
    <w:rsid w:val="009E1B95"/>
    <w:rsid w:val="009E34E5"/>
    <w:rsid w:val="009E496F"/>
    <w:rsid w:val="009E4B0D"/>
    <w:rsid w:val="009E5250"/>
    <w:rsid w:val="009E7A69"/>
    <w:rsid w:val="009E7F92"/>
    <w:rsid w:val="009F02A3"/>
    <w:rsid w:val="009F2182"/>
    <w:rsid w:val="009F2DF5"/>
    <w:rsid w:val="009F2F27"/>
    <w:rsid w:val="009F34AA"/>
    <w:rsid w:val="009F6BCB"/>
    <w:rsid w:val="009F7B78"/>
    <w:rsid w:val="00A0057A"/>
    <w:rsid w:val="00A01FB1"/>
    <w:rsid w:val="00A02FA1"/>
    <w:rsid w:val="00A042A5"/>
    <w:rsid w:val="00A04CCE"/>
    <w:rsid w:val="00A07421"/>
    <w:rsid w:val="00A0776B"/>
    <w:rsid w:val="00A10FB9"/>
    <w:rsid w:val="00A11421"/>
    <w:rsid w:val="00A1389F"/>
    <w:rsid w:val="00A14A45"/>
    <w:rsid w:val="00A157B1"/>
    <w:rsid w:val="00A21980"/>
    <w:rsid w:val="00A219DC"/>
    <w:rsid w:val="00A22229"/>
    <w:rsid w:val="00A24442"/>
    <w:rsid w:val="00A24ADA"/>
    <w:rsid w:val="00A31871"/>
    <w:rsid w:val="00A32577"/>
    <w:rsid w:val="00A330BB"/>
    <w:rsid w:val="00A33E95"/>
    <w:rsid w:val="00A4071D"/>
    <w:rsid w:val="00A446F5"/>
    <w:rsid w:val="00A44882"/>
    <w:rsid w:val="00A45125"/>
    <w:rsid w:val="00A52677"/>
    <w:rsid w:val="00A54715"/>
    <w:rsid w:val="00A55503"/>
    <w:rsid w:val="00A6061C"/>
    <w:rsid w:val="00A62D44"/>
    <w:rsid w:val="00A67263"/>
    <w:rsid w:val="00A70B94"/>
    <w:rsid w:val="00A7161C"/>
    <w:rsid w:val="00A71CE4"/>
    <w:rsid w:val="00A75ADC"/>
    <w:rsid w:val="00A77AA3"/>
    <w:rsid w:val="00A80972"/>
    <w:rsid w:val="00A8236D"/>
    <w:rsid w:val="00A854EB"/>
    <w:rsid w:val="00A872E5"/>
    <w:rsid w:val="00A91406"/>
    <w:rsid w:val="00A96E65"/>
    <w:rsid w:val="00A96ECE"/>
    <w:rsid w:val="00A97953"/>
    <w:rsid w:val="00A97C72"/>
    <w:rsid w:val="00AA310B"/>
    <w:rsid w:val="00AA4604"/>
    <w:rsid w:val="00AA63D4"/>
    <w:rsid w:val="00AA72AA"/>
    <w:rsid w:val="00AB06E8"/>
    <w:rsid w:val="00AB1B15"/>
    <w:rsid w:val="00AB1CD3"/>
    <w:rsid w:val="00AB352F"/>
    <w:rsid w:val="00AB3680"/>
    <w:rsid w:val="00AB4547"/>
    <w:rsid w:val="00AC274B"/>
    <w:rsid w:val="00AC4764"/>
    <w:rsid w:val="00AC4D58"/>
    <w:rsid w:val="00AC6D36"/>
    <w:rsid w:val="00AD0456"/>
    <w:rsid w:val="00AD0CBA"/>
    <w:rsid w:val="00AD21E1"/>
    <w:rsid w:val="00AD24F7"/>
    <w:rsid w:val="00AD26E2"/>
    <w:rsid w:val="00AD784C"/>
    <w:rsid w:val="00AE10A3"/>
    <w:rsid w:val="00AE11EF"/>
    <w:rsid w:val="00AE126A"/>
    <w:rsid w:val="00AE1BAE"/>
    <w:rsid w:val="00AE3005"/>
    <w:rsid w:val="00AE3BD5"/>
    <w:rsid w:val="00AE4512"/>
    <w:rsid w:val="00AE59A0"/>
    <w:rsid w:val="00AF0C57"/>
    <w:rsid w:val="00AF26F3"/>
    <w:rsid w:val="00AF2DD0"/>
    <w:rsid w:val="00AF5F04"/>
    <w:rsid w:val="00B00672"/>
    <w:rsid w:val="00B00E7F"/>
    <w:rsid w:val="00B01B4D"/>
    <w:rsid w:val="00B04489"/>
    <w:rsid w:val="00B06571"/>
    <w:rsid w:val="00B068BA"/>
    <w:rsid w:val="00B07217"/>
    <w:rsid w:val="00B10DB2"/>
    <w:rsid w:val="00B1368E"/>
    <w:rsid w:val="00B13851"/>
    <w:rsid w:val="00B13B1C"/>
    <w:rsid w:val="00B14B5F"/>
    <w:rsid w:val="00B21F90"/>
    <w:rsid w:val="00B22291"/>
    <w:rsid w:val="00B23D3B"/>
    <w:rsid w:val="00B23F9A"/>
    <w:rsid w:val="00B2417B"/>
    <w:rsid w:val="00B24E6F"/>
    <w:rsid w:val="00B25625"/>
    <w:rsid w:val="00B26CB5"/>
    <w:rsid w:val="00B2752E"/>
    <w:rsid w:val="00B307CC"/>
    <w:rsid w:val="00B326B7"/>
    <w:rsid w:val="00B3588E"/>
    <w:rsid w:val="00B3684A"/>
    <w:rsid w:val="00B36DD0"/>
    <w:rsid w:val="00B4198F"/>
    <w:rsid w:val="00B41F3D"/>
    <w:rsid w:val="00B431E8"/>
    <w:rsid w:val="00B44D9E"/>
    <w:rsid w:val="00B4510D"/>
    <w:rsid w:val="00B45141"/>
    <w:rsid w:val="00B519CD"/>
    <w:rsid w:val="00B5273A"/>
    <w:rsid w:val="00B57329"/>
    <w:rsid w:val="00B60E61"/>
    <w:rsid w:val="00B61A3F"/>
    <w:rsid w:val="00B62B50"/>
    <w:rsid w:val="00B635B7"/>
    <w:rsid w:val="00B63AE8"/>
    <w:rsid w:val="00B65950"/>
    <w:rsid w:val="00B66D83"/>
    <w:rsid w:val="00B672C0"/>
    <w:rsid w:val="00B676FD"/>
    <w:rsid w:val="00B678B6"/>
    <w:rsid w:val="00B678D0"/>
    <w:rsid w:val="00B70F9B"/>
    <w:rsid w:val="00B75646"/>
    <w:rsid w:val="00B7629E"/>
    <w:rsid w:val="00B9000C"/>
    <w:rsid w:val="00B90729"/>
    <w:rsid w:val="00B907DA"/>
    <w:rsid w:val="00B94C5E"/>
    <w:rsid w:val="00B950BC"/>
    <w:rsid w:val="00B96354"/>
    <w:rsid w:val="00B9714C"/>
    <w:rsid w:val="00B976C5"/>
    <w:rsid w:val="00BA251D"/>
    <w:rsid w:val="00BA29AD"/>
    <w:rsid w:val="00BA33CF"/>
    <w:rsid w:val="00BA3F8D"/>
    <w:rsid w:val="00BA45A8"/>
    <w:rsid w:val="00BA5823"/>
    <w:rsid w:val="00BB7282"/>
    <w:rsid w:val="00BB7A10"/>
    <w:rsid w:val="00BC60BE"/>
    <w:rsid w:val="00BC7468"/>
    <w:rsid w:val="00BC7D4F"/>
    <w:rsid w:val="00BC7ED7"/>
    <w:rsid w:val="00BD2850"/>
    <w:rsid w:val="00BD51E0"/>
    <w:rsid w:val="00BE22C6"/>
    <w:rsid w:val="00BE28D2"/>
    <w:rsid w:val="00BE4A64"/>
    <w:rsid w:val="00BE5429"/>
    <w:rsid w:val="00BE5E43"/>
    <w:rsid w:val="00BF302F"/>
    <w:rsid w:val="00BF557D"/>
    <w:rsid w:val="00BF658D"/>
    <w:rsid w:val="00BF7F58"/>
    <w:rsid w:val="00C00777"/>
    <w:rsid w:val="00C01381"/>
    <w:rsid w:val="00C01AB1"/>
    <w:rsid w:val="00C026A0"/>
    <w:rsid w:val="00C0378D"/>
    <w:rsid w:val="00C06137"/>
    <w:rsid w:val="00C06929"/>
    <w:rsid w:val="00C079B8"/>
    <w:rsid w:val="00C10037"/>
    <w:rsid w:val="00C115E1"/>
    <w:rsid w:val="00C123EA"/>
    <w:rsid w:val="00C12A49"/>
    <w:rsid w:val="00C12B05"/>
    <w:rsid w:val="00C133EE"/>
    <w:rsid w:val="00C149D0"/>
    <w:rsid w:val="00C15D95"/>
    <w:rsid w:val="00C248A2"/>
    <w:rsid w:val="00C26588"/>
    <w:rsid w:val="00C27156"/>
    <w:rsid w:val="00C27DE9"/>
    <w:rsid w:val="00C31C60"/>
    <w:rsid w:val="00C32989"/>
    <w:rsid w:val="00C32E2B"/>
    <w:rsid w:val="00C33388"/>
    <w:rsid w:val="00C34671"/>
    <w:rsid w:val="00C35484"/>
    <w:rsid w:val="00C4173A"/>
    <w:rsid w:val="00C478D4"/>
    <w:rsid w:val="00C50DED"/>
    <w:rsid w:val="00C52217"/>
    <w:rsid w:val="00C602FF"/>
    <w:rsid w:val="00C60411"/>
    <w:rsid w:val="00C61174"/>
    <w:rsid w:val="00C6148F"/>
    <w:rsid w:val="00C621B1"/>
    <w:rsid w:val="00C62F7A"/>
    <w:rsid w:val="00C62FC5"/>
    <w:rsid w:val="00C63B9C"/>
    <w:rsid w:val="00C654C8"/>
    <w:rsid w:val="00C6682F"/>
    <w:rsid w:val="00C674C2"/>
    <w:rsid w:val="00C67BF4"/>
    <w:rsid w:val="00C7275E"/>
    <w:rsid w:val="00C731AF"/>
    <w:rsid w:val="00C74C5D"/>
    <w:rsid w:val="00C83021"/>
    <w:rsid w:val="00C863C4"/>
    <w:rsid w:val="00C90DAB"/>
    <w:rsid w:val="00C920EA"/>
    <w:rsid w:val="00C93C3E"/>
    <w:rsid w:val="00C96D1B"/>
    <w:rsid w:val="00CA12E3"/>
    <w:rsid w:val="00CA1476"/>
    <w:rsid w:val="00CA29A8"/>
    <w:rsid w:val="00CA6611"/>
    <w:rsid w:val="00CA6AE6"/>
    <w:rsid w:val="00CA703D"/>
    <w:rsid w:val="00CA782F"/>
    <w:rsid w:val="00CB187B"/>
    <w:rsid w:val="00CB2835"/>
    <w:rsid w:val="00CB3285"/>
    <w:rsid w:val="00CB4500"/>
    <w:rsid w:val="00CB5EA8"/>
    <w:rsid w:val="00CC0C72"/>
    <w:rsid w:val="00CC2BFD"/>
    <w:rsid w:val="00CC6F40"/>
    <w:rsid w:val="00CD3476"/>
    <w:rsid w:val="00CD64DF"/>
    <w:rsid w:val="00CD768F"/>
    <w:rsid w:val="00CE0B62"/>
    <w:rsid w:val="00CE225F"/>
    <w:rsid w:val="00CE675A"/>
    <w:rsid w:val="00CF230C"/>
    <w:rsid w:val="00CF2F50"/>
    <w:rsid w:val="00CF6198"/>
    <w:rsid w:val="00D0182E"/>
    <w:rsid w:val="00D02919"/>
    <w:rsid w:val="00D03BAA"/>
    <w:rsid w:val="00D048EB"/>
    <w:rsid w:val="00D04C61"/>
    <w:rsid w:val="00D05B8D"/>
    <w:rsid w:val="00D05B9B"/>
    <w:rsid w:val="00D065A2"/>
    <w:rsid w:val="00D079AA"/>
    <w:rsid w:val="00D07F00"/>
    <w:rsid w:val="00D1130F"/>
    <w:rsid w:val="00D1571F"/>
    <w:rsid w:val="00D17B72"/>
    <w:rsid w:val="00D24BDF"/>
    <w:rsid w:val="00D27862"/>
    <w:rsid w:val="00D27B32"/>
    <w:rsid w:val="00D3185C"/>
    <w:rsid w:val="00D3205F"/>
    <w:rsid w:val="00D3318E"/>
    <w:rsid w:val="00D33E72"/>
    <w:rsid w:val="00D35BD6"/>
    <w:rsid w:val="00D361B5"/>
    <w:rsid w:val="00D411A2"/>
    <w:rsid w:val="00D4606D"/>
    <w:rsid w:val="00D50B9C"/>
    <w:rsid w:val="00D513AF"/>
    <w:rsid w:val="00D52D73"/>
    <w:rsid w:val="00D52E58"/>
    <w:rsid w:val="00D56B20"/>
    <w:rsid w:val="00D578B3"/>
    <w:rsid w:val="00D618F4"/>
    <w:rsid w:val="00D63636"/>
    <w:rsid w:val="00D640AD"/>
    <w:rsid w:val="00D6692F"/>
    <w:rsid w:val="00D676EA"/>
    <w:rsid w:val="00D714CC"/>
    <w:rsid w:val="00D7512B"/>
    <w:rsid w:val="00D75E3F"/>
    <w:rsid w:val="00D75EA7"/>
    <w:rsid w:val="00D77252"/>
    <w:rsid w:val="00D81894"/>
    <w:rsid w:val="00D81ADF"/>
    <w:rsid w:val="00D81F21"/>
    <w:rsid w:val="00D83D06"/>
    <w:rsid w:val="00D864F2"/>
    <w:rsid w:val="00D86938"/>
    <w:rsid w:val="00D92CEF"/>
    <w:rsid w:val="00D943F8"/>
    <w:rsid w:val="00D95470"/>
    <w:rsid w:val="00D961F4"/>
    <w:rsid w:val="00D96B55"/>
    <w:rsid w:val="00DA114A"/>
    <w:rsid w:val="00DA12AC"/>
    <w:rsid w:val="00DA2619"/>
    <w:rsid w:val="00DA4239"/>
    <w:rsid w:val="00DA588C"/>
    <w:rsid w:val="00DA65DE"/>
    <w:rsid w:val="00DB0B61"/>
    <w:rsid w:val="00DB1474"/>
    <w:rsid w:val="00DB2962"/>
    <w:rsid w:val="00DB3E29"/>
    <w:rsid w:val="00DB52FB"/>
    <w:rsid w:val="00DC00C1"/>
    <w:rsid w:val="00DC013B"/>
    <w:rsid w:val="00DC090B"/>
    <w:rsid w:val="00DC1426"/>
    <w:rsid w:val="00DC15B9"/>
    <w:rsid w:val="00DC1679"/>
    <w:rsid w:val="00DC2042"/>
    <w:rsid w:val="00DC219B"/>
    <w:rsid w:val="00DC225C"/>
    <w:rsid w:val="00DC2CF1"/>
    <w:rsid w:val="00DC2DC7"/>
    <w:rsid w:val="00DC3A7C"/>
    <w:rsid w:val="00DC4FCF"/>
    <w:rsid w:val="00DC50E0"/>
    <w:rsid w:val="00DC6386"/>
    <w:rsid w:val="00DC7378"/>
    <w:rsid w:val="00DD1130"/>
    <w:rsid w:val="00DD1951"/>
    <w:rsid w:val="00DD20C6"/>
    <w:rsid w:val="00DD487D"/>
    <w:rsid w:val="00DD4D04"/>
    <w:rsid w:val="00DD4D1E"/>
    <w:rsid w:val="00DD4E83"/>
    <w:rsid w:val="00DD6628"/>
    <w:rsid w:val="00DD6945"/>
    <w:rsid w:val="00DE29A2"/>
    <w:rsid w:val="00DE2D04"/>
    <w:rsid w:val="00DE3250"/>
    <w:rsid w:val="00DE3B8F"/>
    <w:rsid w:val="00DE6028"/>
    <w:rsid w:val="00DE6C85"/>
    <w:rsid w:val="00DE78A3"/>
    <w:rsid w:val="00DF0EFC"/>
    <w:rsid w:val="00DF1A71"/>
    <w:rsid w:val="00DF50FC"/>
    <w:rsid w:val="00DF68C7"/>
    <w:rsid w:val="00DF731A"/>
    <w:rsid w:val="00E035E8"/>
    <w:rsid w:val="00E04BBB"/>
    <w:rsid w:val="00E06B75"/>
    <w:rsid w:val="00E11332"/>
    <w:rsid w:val="00E11352"/>
    <w:rsid w:val="00E170DC"/>
    <w:rsid w:val="00E17546"/>
    <w:rsid w:val="00E210B5"/>
    <w:rsid w:val="00E261B3"/>
    <w:rsid w:val="00E26818"/>
    <w:rsid w:val="00E27FFC"/>
    <w:rsid w:val="00E30B15"/>
    <w:rsid w:val="00E33237"/>
    <w:rsid w:val="00E37A6E"/>
    <w:rsid w:val="00E40181"/>
    <w:rsid w:val="00E54950"/>
    <w:rsid w:val="00E55076"/>
    <w:rsid w:val="00E556D9"/>
    <w:rsid w:val="00E55FB3"/>
    <w:rsid w:val="00E56A01"/>
    <w:rsid w:val="00E61696"/>
    <w:rsid w:val="00E629A1"/>
    <w:rsid w:val="00E6794C"/>
    <w:rsid w:val="00E67A15"/>
    <w:rsid w:val="00E71591"/>
    <w:rsid w:val="00E71B70"/>
    <w:rsid w:val="00E71CEB"/>
    <w:rsid w:val="00E7474F"/>
    <w:rsid w:val="00E80DE3"/>
    <w:rsid w:val="00E82C55"/>
    <w:rsid w:val="00E83A59"/>
    <w:rsid w:val="00E8787E"/>
    <w:rsid w:val="00E92AC3"/>
    <w:rsid w:val="00EA1A02"/>
    <w:rsid w:val="00EA2F6A"/>
    <w:rsid w:val="00EA6A38"/>
    <w:rsid w:val="00EB00E0"/>
    <w:rsid w:val="00EB05D5"/>
    <w:rsid w:val="00EB1889"/>
    <w:rsid w:val="00EB4BC7"/>
    <w:rsid w:val="00EC059F"/>
    <w:rsid w:val="00EC1F24"/>
    <w:rsid w:val="00EC22F6"/>
    <w:rsid w:val="00EC3DB9"/>
    <w:rsid w:val="00ED5B9B"/>
    <w:rsid w:val="00ED5BB5"/>
    <w:rsid w:val="00ED6BAD"/>
    <w:rsid w:val="00ED7447"/>
    <w:rsid w:val="00ED7762"/>
    <w:rsid w:val="00EE00D6"/>
    <w:rsid w:val="00EE11E7"/>
    <w:rsid w:val="00EE1488"/>
    <w:rsid w:val="00EE29AD"/>
    <w:rsid w:val="00EE3E24"/>
    <w:rsid w:val="00EE4B3D"/>
    <w:rsid w:val="00EE4D5D"/>
    <w:rsid w:val="00EE5131"/>
    <w:rsid w:val="00EE5651"/>
    <w:rsid w:val="00EF109B"/>
    <w:rsid w:val="00EF1C28"/>
    <w:rsid w:val="00EF201C"/>
    <w:rsid w:val="00EF2C72"/>
    <w:rsid w:val="00EF36AF"/>
    <w:rsid w:val="00EF59A3"/>
    <w:rsid w:val="00EF6675"/>
    <w:rsid w:val="00F0063D"/>
    <w:rsid w:val="00F00F9C"/>
    <w:rsid w:val="00F01214"/>
    <w:rsid w:val="00F01E5F"/>
    <w:rsid w:val="00F024F3"/>
    <w:rsid w:val="00F02ABA"/>
    <w:rsid w:val="00F0437A"/>
    <w:rsid w:val="00F101B8"/>
    <w:rsid w:val="00F11037"/>
    <w:rsid w:val="00F14860"/>
    <w:rsid w:val="00F15144"/>
    <w:rsid w:val="00F16F1B"/>
    <w:rsid w:val="00F24ED5"/>
    <w:rsid w:val="00F250A9"/>
    <w:rsid w:val="00F267AF"/>
    <w:rsid w:val="00F30FF4"/>
    <w:rsid w:val="00F3122E"/>
    <w:rsid w:val="00F32368"/>
    <w:rsid w:val="00F331AD"/>
    <w:rsid w:val="00F35287"/>
    <w:rsid w:val="00F40A70"/>
    <w:rsid w:val="00F41640"/>
    <w:rsid w:val="00F4224E"/>
    <w:rsid w:val="00F43A37"/>
    <w:rsid w:val="00F4641B"/>
    <w:rsid w:val="00F46EB8"/>
    <w:rsid w:val="00F50CD1"/>
    <w:rsid w:val="00F511E4"/>
    <w:rsid w:val="00F52D09"/>
    <w:rsid w:val="00F52E08"/>
    <w:rsid w:val="00F53A66"/>
    <w:rsid w:val="00F5462D"/>
    <w:rsid w:val="00F55B21"/>
    <w:rsid w:val="00F56EF6"/>
    <w:rsid w:val="00F60082"/>
    <w:rsid w:val="00F60702"/>
    <w:rsid w:val="00F61A9F"/>
    <w:rsid w:val="00F61B5F"/>
    <w:rsid w:val="00F64696"/>
    <w:rsid w:val="00F659C8"/>
    <w:rsid w:val="00F65AA9"/>
    <w:rsid w:val="00F664BC"/>
    <w:rsid w:val="00F6768F"/>
    <w:rsid w:val="00F70067"/>
    <w:rsid w:val="00F72C2C"/>
    <w:rsid w:val="00F741F2"/>
    <w:rsid w:val="00F76CAB"/>
    <w:rsid w:val="00F772C6"/>
    <w:rsid w:val="00F815B5"/>
    <w:rsid w:val="00F8389D"/>
    <w:rsid w:val="00F84B03"/>
    <w:rsid w:val="00F85195"/>
    <w:rsid w:val="00F857D4"/>
    <w:rsid w:val="00F868E3"/>
    <w:rsid w:val="00F91B76"/>
    <w:rsid w:val="00F92990"/>
    <w:rsid w:val="00F938BA"/>
    <w:rsid w:val="00F97919"/>
    <w:rsid w:val="00FA230B"/>
    <w:rsid w:val="00FA2C46"/>
    <w:rsid w:val="00FA3525"/>
    <w:rsid w:val="00FA5A53"/>
    <w:rsid w:val="00FB062C"/>
    <w:rsid w:val="00FB076D"/>
    <w:rsid w:val="00FB1F6E"/>
    <w:rsid w:val="00FB437C"/>
    <w:rsid w:val="00FB4769"/>
    <w:rsid w:val="00FB4CDA"/>
    <w:rsid w:val="00FB6481"/>
    <w:rsid w:val="00FB6D36"/>
    <w:rsid w:val="00FC0965"/>
    <w:rsid w:val="00FC0F81"/>
    <w:rsid w:val="00FC252F"/>
    <w:rsid w:val="00FC395C"/>
    <w:rsid w:val="00FC4D8F"/>
    <w:rsid w:val="00FC5E8E"/>
    <w:rsid w:val="00FC6DB7"/>
    <w:rsid w:val="00FD3192"/>
    <w:rsid w:val="00FD3766"/>
    <w:rsid w:val="00FD3D05"/>
    <w:rsid w:val="00FD47C4"/>
    <w:rsid w:val="00FD499F"/>
    <w:rsid w:val="00FD4FE4"/>
    <w:rsid w:val="00FD52D9"/>
    <w:rsid w:val="00FE1351"/>
    <w:rsid w:val="00FE1378"/>
    <w:rsid w:val="00FE2DCF"/>
    <w:rsid w:val="00FE331E"/>
    <w:rsid w:val="00FE3FA7"/>
    <w:rsid w:val="00FE4081"/>
    <w:rsid w:val="00FE6F22"/>
    <w:rsid w:val="00FF2A4E"/>
    <w:rsid w:val="00FF2FCE"/>
    <w:rsid w:val="00FF4F7D"/>
    <w:rsid w:val="00FF6D9D"/>
    <w:rsid w:val="00FF7620"/>
    <w:rsid w:val="00FF7DD5"/>
    <w:rsid w:val="06B29C2C"/>
    <w:rsid w:val="07D7AA9F"/>
    <w:rsid w:val="1338BEA0"/>
    <w:rsid w:val="229B5CF9"/>
    <w:rsid w:val="2E5C7D85"/>
    <w:rsid w:val="428EFFA4"/>
    <w:rsid w:val="52B2EB01"/>
    <w:rsid w:val="53B49EB7"/>
    <w:rsid w:val="549501AB"/>
    <w:rsid w:val="60D436C4"/>
    <w:rsid w:val="63CBED6E"/>
    <w:rsid w:val="6FB8E51C"/>
    <w:rsid w:val="75001B1C"/>
    <w:rsid w:val="7A90A83F"/>
    <w:rsid w:val="7E46128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5F6369"/>
  <w15:docId w15:val="{F78A32AB-C495-4FCD-A5AC-C9A64F1EE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F91B76"/>
    <w:pPr>
      <w:spacing w:after="120" w:line="280" w:lineRule="atLeast"/>
    </w:pPr>
    <w:rPr>
      <w:rFonts w:ascii="Arial" w:hAnsi="Arial"/>
      <w:sz w:val="21"/>
      <w:lang w:eastAsia="en-US"/>
    </w:rPr>
  </w:style>
  <w:style w:type="paragraph" w:styleId="Heading1">
    <w:name w:val="heading 1"/>
    <w:next w:val="Body"/>
    <w:link w:val="Heading1Char"/>
    <w:uiPriority w:val="1"/>
    <w:qFormat/>
    <w:rsid w:val="00DC2DC7"/>
    <w:pPr>
      <w:keepNext/>
      <w:keepLines/>
      <w:numPr>
        <w:numId w:val="40"/>
      </w:numPr>
      <w:spacing w:before="520" w:after="240" w:line="480" w:lineRule="atLeast"/>
      <w:ind w:left="432"/>
      <w:outlineLvl w:val="0"/>
    </w:pPr>
    <w:rPr>
      <w:rFonts w:ascii="Arial" w:eastAsia="MS Gothic" w:hAnsi="Arial" w:cs="Arial"/>
      <w:bCs/>
      <w:color w:val="201547"/>
      <w:kern w:val="32"/>
      <w:sz w:val="44"/>
      <w:szCs w:val="44"/>
      <w:lang w:eastAsia="en-US"/>
    </w:rPr>
  </w:style>
  <w:style w:type="paragraph" w:styleId="Heading2">
    <w:name w:val="heading 2"/>
    <w:next w:val="Body"/>
    <w:link w:val="Heading2Char"/>
    <w:uiPriority w:val="1"/>
    <w:qFormat/>
    <w:rsid w:val="00F15144"/>
    <w:pPr>
      <w:keepNext/>
      <w:keepLines/>
      <w:numPr>
        <w:ilvl w:val="1"/>
        <w:numId w:val="40"/>
      </w:numPr>
      <w:spacing w:before="36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F15144"/>
    <w:pPr>
      <w:keepNext/>
      <w:keepLines/>
      <w:numPr>
        <w:ilvl w:val="2"/>
        <w:numId w:val="40"/>
      </w:numPr>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F15144"/>
    <w:pPr>
      <w:keepNext/>
      <w:keepLines/>
      <w:numPr>
        <w:ilvl w:val="3"/>
        <w:numId w:val="40"/>
      </w:numPr>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4C014B"/>
    <w:pPr>
      <w:keepNext/>
      <w:keepLines/>
      <w:numPr>
        <w:ilvl w:val="4"/>
        <w:numId w:val="40"/>
      </w:numPr>
      <w:spacing w:before="240" w:after="80" w:line="240" w:lineRule="atLeast"/>
      <w:outlineLvl w:val="4"/>
    </w:pPr>
    <w:rPr>
      <w:rFonts w:ascii="Arial" w:eastAsia="MS Mincho" w:hAnsi="Arial"/>
      <w:b/>
      <w:bCs/>
      <w:iCs/>
      <w:color w:val="201547"/>
      <w:sz w:val="21"/>
      <w:szCs w:val="26"/>
      <w:lang w:eastAsia="en-US"/>
    </w:rPr>
  </w:style>
  <w:style w:type="paragraph" w:styleId="Heading6">
    <w:name w:val="heading 6"/>
    <w:basedOn w:val="Normal"/>
    <w:next w:val="Normal"/>
    <w:link w:val="Heading6Char"/>
    <w:uiPriority w:val="9"/>
    <w:semiHidden/>
    <w:unhideWhenUsed/>
    <w:qFormat/>
    <w:rsid w:val="00F91B76"/>
    <w:pPr>
      <w:keepNext/>
      <w:keepLines/>
      <w:numPr>
        <w:ilvl w:val="5"/>
        <w:numId w:val="4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91B76"/>
    <w:pPr>
      <w:keepNext/>
      <w:keepLines/>
      <w:numPr>
        <w:ilvl w:val="6"/>
        <w:numId w:val="4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91B76"/>
    <w:pPr>
      <w:keepNext/>
      <w:keepLines/>
      <w:numPr>
        <w:ilvl w:val="7"/>
        <w:numId w:val="40"/>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F91B76"/>
    <w:pPr>
      <w:keepNext/>
      <w:keepLines/>
      <w:numPr>
        <w:ilvl w:val="8"/>
        <w:numId w:val="40"/>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DC2DC7"/>
    <w:rPr>
      <w:rFonts w:ascii="Arial" w:eastAsia="MS Gothic" w:hAnsi="Arial" w:cs="Arial"/>
      <w:bCs/>
      <w:color w:val="201547"/>
      <w:kern w:val="32"/>
      <w:sz w:val="44"/>
      <w:szCs w:val="44"/>
      <w:lang w:eastAsia="en-US"/>
    </w:rPr>
  </w:style>
  <w:style w:type="character" w:customStyle="1" w:styleId="Heading2Char">
    <w:name w:val="Heading 2 Char"/>
    <w:link w:val="Heading2"/>
    <w:uiPriority w:val="1"/>
    <w:rsid w:val="00F15144"/>
    <w:rPr>
      <w:rFonts w:ascii="Arial" w:hAnsi="Arial"/>
      <w:b/>
      <w:color w:val="201547"/>
      <w:sz w:val="32"/>
      <w:szCs w:val="28"/>
      <w:lang w:eastAsia="en-US"/>
    </w:rPr>
  </w:style>
  <w:style w:type="character" w:customStyle="1" w:styleId="Heading3Char">
    <w:name w:val="Heading 3 Char"/>
    <w:link w:val="Heading3"/>
    <w:uiPriority w:val="1"/>
    <w:rsid w:val="00F15144"/>
    <w:rPr>
      <w:rFonts w:ascii="Arial" w:eastAsia="MS Gothic" w:hAnsi="Arial"/>
      <w:bCs/>
      <w:color w:val="201547"/>
      <w:sz w:val="28"/>
      <w:szCs w:val="26"/>
      <w:lang w:eastAsia="en-US"/>
    </w:rPr>
  </w:style>
  <w:style w:type="character" w:customStyle="1" w:styleId="Heading4Char">
    <w:name w:val="Heading 4 Char"/>
    <w:link w:val="Heading4"/>
    <w:uiPriority w:val="1"/>
    <w:rsid w:val="00F15144"/>
    <w:rPr>
      <w:rFonts w:ascii="Arial" w:eastAsia="MS Mincho" w:hAnsi="Arial"/>
      <w:b/>
      <w:bCs/>
      <w:color w:val="201547"/>
      <w:sz w:val="24"/>
      <w:szCs w:val="22"/>
      <w:lang w:eastAsia="en-US"/>
    </w:rPr>
  </w:style>
  <w:style w:type="paragraph" w:styleId="Header">
    <w:name w:val="header"/>
    <w:link w:val="HeaderChar"/>
    <w:uiPriority w:val="10"/>
    <w:rsid w:val="00F15144"/>
    <w:rPr>
      <w:rFonts w:ascii="Arial" w:hAnsi="Arial" w:cs="Arial"/>
      <w:b/>
      <w:color w:val="201547"/>
      <w:sz w:val="18"/>
      <w:szCs w:val="18"/>
      <w:lang w:eastAsia="en-US"/>
    </w:rPr>
  </w:style>
  <w:style w:type="paragraph" w:styleId="Footer">
    <w:name w:val="footer"/>
    <w:uiPriority w:val="8"/>
    <w:rsid w:val="00D24BDF"/>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59"/>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C014B"/>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431F42"/>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77635"/>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9"/>
      </w:numPr>
    </w:pPr>
  </w:style>
  <w:style w:type="numbering" w:customStyle="1" w:styleId="ZZTablebullets">
    <w:name w:val="ZZ Table bullets"/>
    <w:basedOn w:val="NoList"/>
    <w:rsid w:val="00C60411"/>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F15144"/>
    <w:pPr>
      <w:numPr>
        <w:ilvl w:val="2"/>
        <w:numId w:val="2"/>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C12B05"/>
    <w:pPr>
      <w:spacing w:after="120" w:line="360" w:lineRule="atLeast"/>
    </w:pPr>
    <w:rPr>
      <w:rFonts w:ascii="Arial" w:hAnsi="Arial"/>
      <w:color w:val="201547"/>
      <w:sz w:val="32"/>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7"/>
      </w:numPr>
    </w:pPr>
  </w:style>
  <w:style w:type="numbering" w:customStyle="1" w:styleId="ZZNumbersdigit">
    <w:name w:val="ZZ Numbers digit"/>
    <w:rsid w:val="00F15144"/>
    <w:pPr>
      <w:numPr>
        <w:numId w:val="2"/>
      </w:numPr>
    </w:pPr>
  </w:style>
  <w:style w:type="numbering" w:customStyle="1" w:styleId="ZZQuotebullets">
    <w:name w:val="ZZ Quote bullets"/>
    <w:basedOn w:val="ZZNumbersdigit"/>
    <w:rsid w:val="00C60411"/>
    <w:pPr>
      <w:numPr>
        <w:numId w:val="11"/>
      </w:numPr>
    </w:pPr>
  </w:style>
  <w:style w:type="paragraph" w:customStyle="1" w:styleId="Numberdigit">
    <w:name w:val="Number digit"/>
    <w:basedOn w:val="Body"/>
    <w:uiPriority w:val="2"/>
    <w:rsid w:val="00F15144"/>
    <w:pPr>
      <w:numPr>
        <w:numId w:val="2"/>
      </w:numPr>
    </w:pPr>
  </w:style>
  <w:style w:type="paragraph" w:customStyle="1" w:styleId="Numberloweralphaindent">
    <w:name w:val="Number lower alpha indent"/>
    <w:basedOn w:val="Body"/>
    <w:uiPriority w:val="3"/>
    <w:rsid w:val="00C60411"/>
    <w:pPr>
      <w:numPr>
        <w:ilvl w:val="1"/>
        <w:numId w:val="20"/>
      </w:numPr>
    </w:pPr>
  </w:style>
  <w:style w:type="paragraph" w:customStyle="1" w:styleId="Numberdigitindent">
    <w:name w:val="Number digit indent"/>
    <w:basedOn w:val="Body"/>
    <w:uiPriority w:val="3"/>
    <w:rsid w:val="00F15144"/>
    <w:pPr>
      <w:numPr>
        <w:ilvl w:val="1"/>
        <w:numId w:val="2"/>
      </w:numPr>
    </w:pPr>
  </w:style>
  <w:style w:type="paragraph" w:customStyle="1" w:styleId="Numberloweralpha">
    <w:name w:val="Number lower alpha"/>
    <w:basedOn w:val="Body"/>
    <w:uiPriority w:val="3"/>
    <w:rsid w:val="00C60411"/>
    <w:pPr>
      <w:numPr>
        <w:numId w:val="20"/>
      </w:numPr>
    </w:pPr>
  </w:style>
  <w:style w:type="paragraph" w:customStyle="1" w:styleId="Numberlowerroman">
    <w:name w:val="Number lower roman"/>
    <w:basedOn w:val="Body"/>
    <w:uiPriority w:val="3"/>
    <w:rsid w:val="00C60411"/>
    <w:pPr>
      <w:numPr>
        <w:numId w:val="13"/>
      </w:numPr>
    </w:pPr>
  </w:style>
  <w:style w:type="paragraph" w:customStyle="1" w:styleId="Numberlowerromanindent">
    <w:name w:val="Number lower roman indent"/>
    <w:basedOn w:val="Body"/>
    <w:uiPriority w:val="3"/>
    <w:rsid w:val="00C60411"/>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F15144"/>
    <w:pPr>
      <w:numPr>
        <w:ilvl w:val="3"/>
        <w:numId w:val="2"/>
      </w:numPr>
    </w:pPr>
  </w:style>
  <w:style w:type="numbering" w:customStyle="1" w:styleId="ZZNumberslowerroman">
    <w:name w:val="ZZ Numbers lower roman"/>
    <w:basedOn w:val="ZZQuotebullets"/>
    <w:rsid w:val="00C60411"/>
    <w:pPr>
      <w:numPr>
        <w:numId w:val="13"/>
      </w:numPr>
    </w:pPr>
  </w:style>
  <w:style w:type="numbering" w:customStyle="1" w:styleId="ZZNumbersloweralpha">
    <w:name w:val="ZZ Numbers lower alpha"/>
    <w:basedOn w:val="NoList"/>
    <w:rsid w:val="00C60411"/>
    <w:pPr>
      <w:numPr>
        <w:numId w:val="20"/>
      </w:numPr>
    </w:pPr>
  </w:style>
  <w:style w:type="paragraph" w:customStyle="1" w:styleId="Quotebullet1">
    <w:name w:val="Quote bullet 1"/>
    <w:basedOn w:val="Quotetext"/>
    <w:rsid w:val="00C60411"/>
    <w:pPr>
      <w:numPr>
        <w:numId w:val="11"/>
      </w:numPr>
    </w:pPr>
  </w:style>
  <w:style w:type="paragraph" w:customStyle="1" w:styleId="Quotebullet2">
    <w:name w:val="Quote bullet 2"/>
    <w:basedOn w:val="Quotetext"/>
    <w:rsid w:val="00C60411"/>
    <w:pPr>
      <w:numPr>
        <w:ilvl w:val="1"/>
        <w:numId w:val="11"/>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020678"/>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020678"/>
    <w:pPr>
      <w:spacing w:after="60" w:line="270" w:lineRule="atLeast"/>
    </w:pPr>
    <w:rPr>
      <w:sz w:val="20"/>
    </w:rPr>
  </w:style>
  <w:style w:type="paragraph" w:customStyle="1" w:styleId="Introtext">
    <w:name w:val="Intro text"/>
    <w:basedOn w:val="Body"/>
    <w:uiPriority w:val="11"/>
    <w:rsid w:val="001C7128"/>
    <w:pPr>
      <w:spacing w:line="320" w:lineRule="atLeast"/>
    </w:pPr>
    <w:rPr>
      <w:color w:val="201547"/>
      <w:sz w:val="24"/>
    </w:rPr>
  </w:style>
  <w:style w:type="character" w:customStyle="1" w:styleId="HeaderChar">
    <w:name w:val="Header Char"/>
    <w:basedOn w:val="DefaultParagraphFont"/>
    <w:link w:val="Header"/>
    <w:uiPriority w:val="10"/>
    <w:rsid w:val="00F15144"/>
    <w:rPr>
      <w:rFonts w:ascii="Arial" w:hAnsi="Arial" w:cs="Arial"/>
      <w:b/>
      <w:color w:val="201547"/>
      <w:sz w:val="18"/>
      <w:szCs w:val="18"/>
      <w:lang w:eastAsia="en-US"/>
    </w:rPr>
  </w:style>
  <w:style w:type="paragraph" w:styleId="Caption">
    <w:name w:val="caption"/>
    <w:basedOn w:val="Normal"/>
    <w:next w:val="Normal"/>
    <w:uiPriority w:val="35"/>
    <w:unhideWhenUsed/>
    <w:qFormat/>
    <w:rsid w:val="001A154D"/>
    <w:pPr>
      <w:spacing w:before="240" w:line="250" w:lineRule="atLeast"/>
    </w:pPr>
    <w:rPr>
      <w:b/>
      <w:iCs/>
      <w:color w:val="000000" w:themeColor="text1"/>
      <w:szCs w:val="18"/>
    </w:rPr>
  </w:style>
  <w:style w:type="character" w:customStyle="1" w:styleId="Heading6Char">
    <w:name w:val="Heading 6 Char"/>
    <w:basedOn w:val="DefaultParagraphFont"/>
    <w:link w:val="Heading6"/>
    <w:uiPriority w:val="9"/>
    <w:semiHidden/>
    <w:rsid w:val="00F91B76"/>
    <w:rPr>
      <w:rFonts w:asciiTheme="majorHAnsi" w:eastAsiaTheme="majorEastAsia" w:hAnsiTheme="majorHAnsi" w:cstheme="majorBidi"/>
      <w:color w:val="243F60" w:themeColor="accent1" w:themeShade="7F"/>
      <w:sz w:val="21"/>
      <w:lang w:eastAsia="en-US"/>
    </w:rPr>
  </w:style>
  <w:style w:type="character" w:customStyle="1" w:styleId="Heading7Char">
    <w:name w:val="Heading 7 Char"/>
    <w:basedOn w:val="DefaultParagraphFont"/>
    <w:link w:val="Heading7"/>
    <w:uiPriority w:val="9"/>
    <w:semiHidden/>
    <w:rsid w:val="00F91B76"/>
    <w:rPr>
      <w:rFonts w:asciiTheme="majorHAnsi" w:eastAsiaTheme="majorEastAsia" w:hAnsiTheme="majorHAnsi" w:cstheme="majorBidi"/>
      <w:i/>
      <w:iCs/>
      <w:color w:val="243F60" w:themeColor="accent1" w:themeShade="7F"/>
      <w:sz w:val="21"/>
      <w:lang w:eastAsia="en-US"/>
    </w:rPr>
  </w:style>
  <w:style w:type="character" w:customStyle="1" w:styleId="Heading8Char">
    <w:name w:val="Heading 8 Char"/>
    <w:basedOn w:val="DefaultParagraphFont"/>
    <w:link w:val="Heading8"/>
    <w:uiPriority w:val="9"/>
    <w:semiHidden/>
    <w:rsid w:val="00F91B76"/>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F91B76"/>
    <w:rPr>
      <w:rFonts w:asciiTheme="majorHAnsi" w:eastAsiaTheme="majorEastAsia" w:hAnsiTheme="majorHAnsi" w:cstheme="majorBidi"/>
      <w:i/>
      <w:iCs/>
      <w:color w:val="272727" w:themeColor="text1" w:themeTint="D8"/>
      <w:sz w:val="21"/>
      <w:szCs w:val="21"/>
      <w:lang w:eastAsia="en-US"/>
    </w:rPr>
  </w:style>
  <w:style w:type="table" w:styleId="TableGridLight">
    <w:name w:val="Grid Table Light"/>
    <w:basedOn w:val="TableNormal"/>
    <w:uiPriority w:val="40"/>
    <w:rsid w:val="00F91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91B76"/>
  </w:style>
  <w:style w:type="character" w:styleId="Emphasis">
    <w:name w:val="Emphasis"/>
    <w:basedOn w:val="DefaultParagraphFont"/>
    <w:uiPriority w:val="20"/>
    <w:qFormat/>
    <w:rsid w:val="00F91B76"/>
    <w:rPr>
      <w:i/>
      <w:iCs/>
    </w:rPr>
  </w:style>
  <w:style w:type="paragraph" w:styleId="ListParagraph">
    <w:name w:val="List Paragraph"/>
    <w:basedOn w:val="Normal"/>
    <w:uiPriority w:val="72"/>
    <w:semiHidden/>
    <w:qFormat/>
    <w:rsid w:val="00DD20C6"/>
    <w:pPr>
      <w:ind w:left="720"/>
      <w:contextualSpacing/>
    </w:pPr>
  </w:style>
  <w:style w:type="paragraph" w:customStyle="1" w:styleId="z1qcye">
    <w:name w:val="z1qcye"/>
    <w:basedOn w:val="Normal"/>
    <w:rsid w:val="00A21980"/>
    <w:pPr>
      <w:spacing w:before="100" w:beforeAutospacing="1" w:after="100" w:afterAutospacing="1" w:line="240" w:lineRule="auto"/>
    </w:pPr>
    <w:rPr>
      <w:rFonts w:ascii="Times New Roman" w:hAnsi="Times New Roman"/>
      <w:sz w:val="24"/>
      <w:szCs w:val="24"/>
      <w:lang w:eastAsia="en-AU"/>
    </w:rPr>
  </w:style>
  <w:style w:type="character" w:customStyle="1" w:styleId="inqyif">
    <w:name w:val="inqyif"/>
    <w:basedOn w:val="DefaultParagraphFont"/>
    <w:rsid w:val="00A21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providers.dffh.vic.gov.au/public-housing-operational-guidelin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divestments@homes.vic.gov.a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accesshub.gov.au/about-the-nr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ccesshub.gov.au/about-the-nrs/nrs-call-numbers-and-links" TargetMode="External"/><Relationship Id="rId20" Type="http://schemas.openxmlformats.org/officeDocument/2006/relationships/hyperlink" Target="mailto:movable.units@dffh.vic.gov.a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onlineappeals.housing.vic.gov.au/" TargetMode="External"/><Relationship Id="rId5" Type="http://schemas.openxmlformats.org/officeDocument/2006/relationships/numbering" Target="numbering.xml"/><Relationship Id="rId15" Type="http://schemas.openxmlformats.org/officeDocument/2006/relationships/hyperlink" Target="mailto:policyandguidelines@homes.vic.gov.au" TargetMode="External"/><Relationship Id="rId23" Type="http://schemas.openxmlformats.org/officeDocument/2006/relationships/hyperlink" Target="https://www.housing.vic.gov.au/about/forms-guides" TargetMode="Externa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providers.dffh.vic.gov.au/business-practice-operational-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dffh.vic.gov.au/making-complaint" TargetMode="External"/><Relationship Id="rId27" Type="http://schemas.openxmlformats.org/officeDocument/2006/relationships/footer" Target="footer4.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dhhsvicgovau.sharepoint.com/DepartmentTemplates/DFFH/Visual%20Style/DFFH%20cyan%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C19E57E9B24DB41BBF1ABFB82127421" ma:contentTypeVersion="19" ma:contentTypeDescription="Create a new document." ma:contentTypeScope="" ma:versionID="56b40db94667d0e878c54488b0756c73">
  <xsd:schema xmlns:xsd="http://www.w3.org/2001/XMLSchema" xmlns:xs="http://www.w3.org/2001/XMLSchema" xmlns:p="http://schemas.microsoft.com/office/2006/metadata/properties" xmlns:ns2="05a23c12-eb64-4047-9d50-c4f465f3c0dd" xmlns:ns3="13404760-8ec3-4f68-8110-bc572b2bfb09" xmlns:ns4="5ce0f2b5-5be5-4508-bce9-d7011ece0659" targetNamespace="http://schemas.microsoft.com/office/2006/metadata/properties" ma:root="true" ma:fieldsID="37c49353af7ac2e8f3704c48d25238af" ns2:_="" ns3:_="" ns4:_="">
    <xsd:import namespace="05a23c12-eb64-4047-9d50-c4f465f3c0dd"/>
    <xsd:import namespace="13404760-8ec3-4f68-8110-bc572b2bfb09"/>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OCR" minOccurs="0"/>
                <xsd:element ref="ns2:MediaServiceSearchProperties" minOccurs="0"/>
                <xsd:element ref="ns2:MediaLengthInSeconds" minOccurs="0"/>
                <xsd:element ref="ns2:MediaServiceBillingMetadata"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23c12-eb64-4047-9d50-c4f465f3c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Comments" ma:index="26"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404760-8ec3-4f68-8110-bc572b2bfb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1b8daaf-ef9e-4564-a435-35f838f0f641}" ma:internalName="TaxCatchAll" ma:showField="CatchAllData" ma:web="13404760-8ec3-4f68-8110-bc572b2bf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a23c12-eb64-4047-9d50-c4f465f3c0dd">
      <Terms xmlns="http://schemas.microsoft.com/office/infopath/2007/PartnerControls"/>
    </lcf76f155ced4ddcb4097134ff3c332f>
    <Comments xmlns="05a23c12-eb64-4047-9d50-c4f465f3c0dd" xsi:nil="true"/>
    <TaxCatchAll xmlns="5ce0f2b5-5be5-4508-bce9-d7011ece0659" xsi:nil="true"/>
  </documentManagement>
</p:properties>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3.xml><?xml version="1.0" encoding="utf-8"?>
<ds:datastoreItem xmlns:ds="http://schemas.openxmlformats.org/officeDocument/2006/customXml" ds:itemID="{76405370-B30C-4C8D-A87F-A5EF11339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23c12-eb64-4047-9d50-c4f465f3c0dd"/>
    <ds:schemaRef ds:uri="13404760-8ec3-4f68-8110-bc572b2bfb09"/>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05a23c12-eb64-4047-9d50-c4f465f3c0dd"/>
    <ds:schemaRef ds:uri="5ce0f2b5-5be5-4508-bce9-d7011ece0659"/>
  </ds:schemaRefs>
</ds:datastoreItem>
</file>

<file path=docProps/app.xml><?xml version="1.0" encoding="utf-8"?>
<Properties xmlns="http://schemas.openxmlformats.org/officeDocument/2006/extended-properties" xmlns:vt="http://schemas.openxmlformats.org/officeDocument/2006/docPropsVTypes">
  <Template>DFFH%20cyan%20report.dotx</Template>
  <TotalTime>26</TotalTime>
  <Pages>14</Pages>
  <Words>3955</Words>
  <Characters>22549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Housing Appeals Management Operational Guidelines</vt:lpstr>
    </vt:vector>
  </TitlesOfParts>
  <Company>Victoria State Government, Department of Families, Fairness and Housing</Company>
  <LinksUpToDate>false</LinksUpToDate>
  <CharactersWithSpaces>26452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Appeals Management Operational Guidelines</dc:title>
  <dc:subject>Housing appeals</dc:subject>
  <dc:creator>Homes Victoria</dc:creator>
  <cp:keywords>appeal, public housing, VCAT, Housing Appeals Team</cp:keywords>
  <cp:lastModifiedBy>Sally Pryor (DFFH)</cp:lastModifiedBy>
  <cp:revision>4</cp:revision>
  <cp:lastPrinted>2021-01-30T19:27:00Z</cp:lastPrinted>
  <dcterms:created xsi:type="dcterms:W3CDTF">2026-10-13T22:24:00Z</dcterms:created>
  <dcterms:modified xsi:type="dcterms:W3CDTF">2026-10-22T02:33:00Z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version">
    <vt:lpwstr>2026v2 23022026</vt:lpwstr>
  </property>
  <property fmtid="{D5CDD505-2E9C-101B-9397-08002B2CF9AE}" pid="4" name="MSIP_Label_43e64453-338c-4f93-8a4d-0039a0a41f2a_Enabled">
    <vt:lpwstr>true</vt:lpwstr>
  </property>
  <property fmtid="{D5CDD505-2E9C-101B-9397-08002B2CF9AE}" pid="5" name="MSIP_Label_43e64453-338c-4f93-8a4d-0039a0a41f2a_SetDate">
    <vt:lpwstr>2022-02-28T01:49:00Z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63f486b4-8569-4046-8df0-77b8936f4c9d</vt:lpwstr>
  </property>
  <property fmtid="{D5CDD505-2E9C-101B-9397-08002B2CF9AE}" pid="10" name="MSIP_Label_43e64453-338c-4f93-8a4d-0039a0a41f2a_ContentBits">
    <vt:lpwstr>2</vt:lpwstr>
  </property>
  <property fmtid="{D5CDD505-2E9C-101B-9397-08002B2CF9AE}" pid="11" name="Order">
    <vt:r8>2600</vt:r8>
  </property>
  <property fmtid="{D5CDD505-2E9C-101B-9397-08002B2CF9AE}" pid="12" name="xd_ProgID">
    <vt:lpwstr/>
  </property>
  <property fmtid="{D5CDD505-2E9C-101B-9397-08002B2CF9AE}" pid="13" name="Daysbeforethenextreview">
    <vt:r8>365</vt:r8>
  </property>
  <property fmtid="{D5CDD505-2E9C-101B-9397-08002B2CF9AE}" pid="14" name="ComplianceAssetId">
    <vt:lpwstr/>
  </property>
  <property fmtid="{D5CDD505-2E9C-101B-9397-08002B2CF9AE}" pid="15" name="TemplateUrl">
    <vt:lpwstr/>
  </property>
  <property fmtid="{D5CDD505-2E9C-101B-9397-08002B2CF9AE}" pid="16" name="Format">
    <vt:lpwstr>Report</vt:lpwstr>
  </property>
  <property fmtid="{D5CDD505-2E9C-101B-9397-08002B2CF9AE}" pid="17" name="_ExtendedDescription">
    <vt:lpwstr/>
  </property>
  <property fmtid="{D5CDD505-2E9C-101B-9397-08002B2CF9AE}" pid="18" name="TemplateVersion">
    <vt:i4>1</vt:i4>
  </property>
  <property fmtid="{D5CDD505-2E9C-101B-9397-08002B2CF9AE}" pid="19" name="Hyperlink Base">
    <vt:lpwstr>https://dhhsvicgovau.sharepoint.com/:w:/s/dffh/Ec1sUX29ovVNg1yz-k3q1CIBvxIHfUXXZlqlU8WV6A4LBA</vt:lpwstr>
  </property>
  <property fmtid="{D5CDD505-2E9C-101B-9397-08002B2CF9AE}" pid="20" name="Link">
    <vt:lpwstr>https://dhhsvicgovau.sharepoint.com/:w:/s/dffh/Ec1sUX29ovVNg1yz-k3q1CIBvxIHfUXXZlqlU8WV6A4LBA, https://dhhsvicgovau.sharepoint.com/:w:/s/dffh/Ec1sUX29ovVNg1yz-k3q1CIBvxIHfUXXZlqlU8WV6A4LBA</vt:lpwstr>
  </property>
  <property fmtid="{D5CDD505-2E9C-101B-9397-08002B2CF9AE}" pid="21" name="xd_Signature">
    <vt:bool>false</vt:bool>
  </property>
  <property fmtid="{D5CDD505-2E9C-101B-9397-08002B2CF9AE}" pid="22" name="GrammarlyDocumentId">
    <vt:lpwstr>6461dc9e-6069-4ca4-862e-f9527cb4175d</vt:lpwstr>
  </property>
  <property fmtid="{D5CDD505-2E9C-101B-9397-08002B2CF9AE}" pid="23" name="ContentTypeId">
    <vt:lpwstr>0x0101003C19E57E9B24DB41BBF1ABFB82127421</vt:lpwstr>
  </property>
  <property fmtid="{D5CDD505-2E9C-101B-9397-08002B2CF9AE}" pid="24" name="MediaServiceImageTags">
    <vt:lpwstr/>
  </property>
  <property fmtid="{D5CDD505-2E9C-101B-9397-08002B2CF9AE}" pid="25" name="DFFHRequestedVoluntary_0">
    <vt:lpwstr/>
  </property>
  <property fmtid="{D5CDD505-2E9C-101B-9397-08002B2CF9AE}" pid="26" name="DFFHBORGRequestType_0">
    <vt:lpwstr/>
  </property>
  <property fmtid="{D5CDD505-2E9C-101B-9397-08002B2CF9AE}" pid="27" name="ABCRequestFrom_0">
    <vt:lpwstr/>
  </property>
  <property fmtid="{D5CDD505-2E9C-101B-9397-08002B2CF9AE}" pid="28" name="ABCDecisionCategory">
    <vt:lpwstr/>
  </property>
  <property fmtid="{D5CDD505-2E9C-101B-9397-08002B2CF9AE}" pid="29" name="DFFHLeadPortfolio">
    <vt:lpwstr/>
  </property>
  <property fmtid="{D5CDD505-2E9C-101B-9397-08002B2CF9AE}" pid="30" name="ABCSecurityClassification">
    <vt:lpwstr/>
  </property>
  <property fmtid="{D5CDD505-2E9C-101B-9397-08002B2CF9AE}" pid="31" name="ABCAccessCaveats_0">
    <vt:lpwstr/>
  </property>
  <property fmtid="{D5CDD505-2E9C-101B-9397-08002B2CF9AE}" pid="32" name="ABCDecisionCategory_0">
    <vt:lpwstr/>
  </property>
  <property fmtid="{D5CDD505-2E9C-101B-9397-08002B2CF9AE}" pid="33" name="ABCAdvisoryAgencies">
    <vt:lpwstr/>
  </property>
  <property fmtid="{D5CDD505-2E9C-101B-9397-08002B2CF9AE}" pid="34" name="ABCCommentAgencies">
    <vt:lpwstr/>
  </property>
  <property fmtid="{D5CDD505-2E9C-101B-9397-08002B2CF9AE}" pid="35" name="ABCRequestFrom">
    <vt:lpwstr/>
  </property>
  <property fmtid="{D5CDD505-2E9C-101B-9397-08002B2CF9AE}" pid="36" name="DFFHIsThisAnOfflineRequestField">
    <vt:lpwstr/>
  </property>
  <property fmtid="{D5CDD505-2E9C-101B-9397-08002B2CF9AE}" pid="37" name="ABCRecordFlags_0">
    <vt:lpwstr/>
  </property>
  <property fmtid="{D5CDD505-2E9C-101B-9397-08002B2CF9AE}" pid="38" name="ABCTimeframe">
    <vt:lpwstr/>
  </property>
  <property fmtid="{D5CDD505-2E9C-101B-9397-08002B2CF9AE}" pid="39" name="ABCSecurityClassification_0">
    <vt:lpwstr/>
  </property>
  <property fmtid="{D5CDD505-2E9C-101B-9397-08002B2CF9AE}" pid="40" name="ABCTimeframe_0">
    <vt:lpwstr/>
  </property>
  <property fmtid="{D5CDD505-2E9C-101B-9397-08002B2CF9AE}" pid="41" name="ABCAccessCaveats">
    <vt:lpwstr/>
  </property>
  <property fmtid="{D5CDD505-2E9C-101B-9397-08002B2CF9AE}" pid="42" name="ABCReplyType_0">
    <vt:lpwstr/>
  </property>
  <property fmtid="{D5CDD505-2E9C-101B-9397-08002B2CF9AE}" pid="43" name="ABCAutoResponseTemplates_0">
    <vt:lpwstr/>
  </property>
  <property fmtid="{D5CDD505-2E9C-101B-9397-08002B2CF9AE}" pid="44" name="ABCReplyType">
    <vt:lpwstr/>
  </property>
  <property fmtid="{D5CDD505-2E9C-101B-9397-08002B2CF9AE}" pid="45" name="DFFHIsThisAnOfflineRequestField_0">
    <vt:lpwstr/>
  </property>
  <property fmtid="{D5CDD505-2E9C-101B-9397-08002B2CF9AE}" pid="46" name="ABCCommentAgencies_0">
    <vt:lpwstr/>
  </property>
  <property fmtid="{D5CDD505-2E9C-101B-9397-08002B2CF9AE}" pid="47" name="DFFHRequestedVoluntary">
    <vt:lpwstr/>
  </property>
  <property fmtid="{D5CDD505-2E9C-101B-9397-08002B2CF9AE}" pid="48" name="TaxCatchAll">
    <vt:lpwstr/>
  </property>
  <property fmtid="{D5CDD505-2E9C-101B-9397-08002B2CF9AE}" pid="49" name="ABCAdvisoryAgencies_0">
    <vt:lpwstr/>
  </property>
  <property fmtid="{D5CDD505-2E9C-101B-9397-08002B2CF9AE}" pid="50" name="ABCReplyFormat">
    <vt:lpwstr/>
  </property>
  <property fmtid="{D5CDD505-2E9C-101B-9397-08002B2CF9AE}" pid="51" name="DFFHBORGRequestType">
    <vt:lpwstr/>
  </property>
  <property fmtid="{D5CDD505-2E9C-101B-9397-08002B2CF9AE}" pid="52" name="DFFHAdditionalPortfolios_0">
    <vt:lpwstr/>
  </property>
  <property fmtid="{D5CDD505-2E9C-101B-9397-08002B2CF9AE}" pid="53" name="DFFHAdditionalPortfolios">
    <vt:lpwstr/>
  </property>
  <property fmtid="{D5CDD505-2E9C-101B-9397-08002B2CF9AE}" pid="54" name="DFFHLeadPortfolio_0">
    <vt:lpwstr/>
  </property>
  <property fmtid="{D5CDD505-2E9C-101B-9397-08002B2CF9AE}" pid="55" name="ABCRecordFlags">
    <vt:lpwstr/>
  </property>
  <property fmtid="{D5CDD505-2E9C-101B-9397-08002B2CF9AE}" pid="56" name="ABCReplyFormat_0">
    <vt:lpwstr/>
  </property>
  <property fmtid="{D5CDD505-2E9C-101B-9397-08002B2CF9AE}" pid="57" name="ABCAutoResponseTemplates">
    <vt:lpwstr/>
  </property>
</Properties>
</file>