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077E0" w14:textId="5C74589E" w:rsidR="0074696E" w:rsidRPr="004C6EEE" w:rsidRDefault="00E47463" w:rsidP="00AD784C">
      <w:pPr>
        <w:pStyle w:val="Spacerparatopoffirstpage"/>
      </w:pPr>
      <w:r>
        <w:br/>
        <w:t>+</w:t>
      </w:r>
    </w:p>
    <w:p w14:paraId="4553A517" w14:textId="77777777" w:rsidR="00A62D44" w:rsidRPr="004C6EEE" w:rsidRDefault="00A62D44" w:rsidP="004C6EEE">
      <w:pPr>
        <w:pStyle w:val="Sectionbreakfirstpage"/>
        <w:sectPr w:rsidR="00A62D44" w:rsidRPr="004C6EEE" w:rsidSect="00B0448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6FCE12DD" w14:textId="77777777" w:rsidR="005129C5" w:rsidRDefault="005129C5" w:rsidP="002365B4">
      <w:pPr>
        <w:pStyle w:val="TOCheadingfactsheet"/>
      </w:pPr>
    </w:p>
    <w:p w14:paraId="0DE87518" w14:textId="77777777" w:rsidR="005129C5" w:rsidRDefault="005129C5">
      <w:pPr>
        <w:spacing w:after="0" w:line="240" w:lineRule="auto"/>
      </w:pPr>
    </w:p>
    <w:p w14:paraId="3354847F" w14:textId="77777777" w:rsidR="005129C5" w:rsidRDefault="005129C5">
      <w:pPr>
        <w:spacing w:after="0" w:line="240" w:lineRule="auto"/>
      </w:pPr>
    </w:p>
    <w:p w14:paraId="5EDA568D" w14:textId="77777777" w:rsidR="005129C5" w:rsidRDefault="005129C5">
      <w:pPr>
        <w:spacing w:after="0" w:line="240" w:lineRule="auto"/>
      </w:pPr>
    </w:p>
    <w:p w14:paraId="5B661501" w14:textId="77777777" w:rsidR="005129C5" w:rsidRDefault="005129C5">
      <w:pPr>
        <w:spacing w:after="0" w:line="240" w:lineRule="auto"/>
      </w:pPr>
    </w:p>
    <w:p w14:paraId="27EB1FC6" w14:textId="77777777" w:rsidR="005129C5" w:rsidRDefault="005129C5">
      <w:pPr>
        <w:spacing w:after="0" w:line="240" w:lineRule="auto"/>
      </w:pPr>
    </w:p>
    <w:p w14:paraId="52F3B7A0" w14:textId="77777777" w:rsidR="005129C5" w:rsidRDefault="005129C5">
      <w:pPr>
        <w:spacing w:after="0" w:line="240" w:lineRule="auto"/>
      </w:pPr>
    </w:p>
    <w:p w14:paraId="06B78495" w14:textId="77777777" w:rsidR="005129C5" w:rsidRDefault="005129C5">
      <w:pPr>
        <w:spacing w:after="0" w:line="240" w:lineRule="auto"/>
      </w:pPr>
    </w:p>
    <w:p w14:paraId="6752C7E9" w14:textId="77777777" w:rsidR="005129C5" w:rsidRDefault="005129C5">
      <w:pPr>
        <w:spacing w:after="0" w:line="240" w:lineRule="auto"/>
      </w:pPr>
    </w:p>
    <w:p w14:paraId="4CADE95A" w14:textId="77777777" w:rsidR="005129C5" w:rsidRDefault="005129C5">
      <w:pPr>
        <w:spacing w:after="0" w:line="240" w:lineRule="auto"/>
      </w:pPr>
    </w:p>
    <w:p w14:paraId="4BF394DB" w14:textId="77777777" w:rsidR="005129C5" w:rsidRDefault="005129C5">
      <w:pPr>
        <w:spacing w:after="0" w:line="240" w:lineRule="auto"/>
      </w:pPr>
    </w:p>
    <w:p w14:paraId="265319D0" w14:textId="77777777" w:rsidR="005129C5" w:rsidRDefault="005129C5">
      <w:pPr>
        <w:spacing w:after="0" w:line="240" w:lineRule="auto"/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5129C5" w:rsidRPr="00762474" w14:paraId="3A643E07" w14:textId="77777777" w:rsidTr="00DB13A7">
        <w:trPr>
          <w:trHeight w:val="1418"/>
        </w:trPr>
        <w:tc>
          <w:tcPr>
            <w:tcW w:w="7825" w:type="dxa"/>
            <w:vAlign w:val="bottom"/>
          </w:tcPr>
          <w:p w14:paraId="2644D9CC" w14:textId="77777777" w:rsidR="005129C5" w:rsidRPr="00762474" w:rsidRDefault="005129C5" w:rsidP="00DB13A7">
            <w:pPr>
              <w:pStyle w:val="Documenttitle"/>
            </w:pPr>
            <w:r w:rsidRPr="00762474">
              <w:t>Better Futures performance and reporting</w:t>
            </w:r>
          </w:p>
        </w:tc>
      </w:tr>
      <w:tr w:rsidR="005129C5" w:rsidRPr="00762474" w14:paraId="1A11D0EF" w14:textId="77777777" w:rsidTr="00DB13A7">
        <w:trPr>
          <w:trHeight w:val="1247"/>
        </w:trPr>
        <w:tc>
          <w:tcPr>
            <w:tcW w:w="7825" w:type="dxa"/>
          </w:tcPr>
          <w:p w14:paraId="32AC60FE" w14:textId="77777777" w:rsidR="005129C5" w:rsidRPr="00762474" w:rsidRDefault="005129C5" w:rsidP="00DB13A7">
            <w:pPr>
              <w:pStyle w:val="Documentsubtitle"/>
            </w:pPr>
            <w:r w:rsidRPr="00762474">
              <w:t>Practice advice updated June 2024</w:t>
            </w:r>
          </w:p>
        </w:tc>
      </w:tr>
      <w:tr w:rsidR="005129C5" w:rsidRPr="00762474" w14:paraId="7FAE4AB1" w14:textId="77777777" w:rsidTr="00DB13A7">
        <w:trPr>
          <w:trHeight w:val="284"/>
        </w:trPr>
        <w:tc>
          <w:tcPr>
            <w:tcW w:w="7825" w:type="dxa"/>
          </w:tcPr>
          <w:p w14:paraId="38892070" w14:textId="77777777" w:rsidR="005129C5" w:rsidRPr="00762474" w:rsidRDefault="000076A5" w:rsidP="00DB13A7">
            <w:pPr>
              <w:pStyle w:val="Bannermarking"/>
            </w:pPr>
            <w:fldSimple w:instr="FILLIN  &quot;Type the protective marking&quot; \d OFFICIAL \o  \* MERGEFORMAT">
              <w:r w:rsidR="005129C5" w:rsidRPr="00762474">
                <w:t>OFFICIAL</w:t>
              </w:r>
            </w:fldSimple>
          </w:p>
        </w:tc>
      </w:tr>
    </w:tbl>
    <w:p w14:paraId="175B57D2" w14:textId="77777777" w:rsidR="005129C5" w:rsidRDefault="005129C5">
      <w:pPr>
        <w:spacing w:after="0" w:line="240" w:lineRule="auto"/>
      </w:pPr>
    </w:p>
    <w:p w14:paraId="2A261AB8" w14:textId="5D12051F" w:rsidR="005129C5" w:rsidRDefault="005129C5">
      <w:pPr>
        <w:spacing w:after="0" w:line="240" w:lineRule="auto"/>
        <w:rPr>
          <w:b/>
          <w:color w:val="201547"/>
          <w:sz w:val="29"/>
          <w:szCs w:val="28"/>
        </w:rPr>
      </w:pPr>
      <w:r>
        <w:br w:type="page"/>
      </w:r>
    </w:p>
    <w:p w14:paraId="0B340FDE" w14:textId="77777777" w:rsidR="00265825" w:rsidRDefault="00265825">
      <w:pPr>
        <w:spacing w:after="0" w:line="240" w:lineRule="auto"/>
      </w:pPr>
    </w:p>
    <w:p w14:paraId="38092D7F" w14:textId="77777777" w:rsidR="00265825" w:rsidRDefault="00265825">
      <w:pPr>
        <w:spacing w:after="0" w:line="240" w:lineRule="auto"/>
      </w:pPr>
    </w:p>
    <w:p w14:paraId="0B2FA843" w14:textId="77777777" w:rsidR="00265825" w:rsidRDefault="00265825">
      <w:pPr>
        <w:spacing w:after="0" w:line="240" w:lineRule="auto"/>
      </w:pPr>
    </w:p>
    <w:p w14:paraId="2106DF13" w14:textId="77777777" w:rsidR="00265825" w:rsidRDefault="00265825">
      <w:pPr>
        <w:spacing w:after="0" w:line="240" w:lineRule="auto"/>
      </w:pPr>
    </w:p>
    <w:p w14:paraId="24880043" w14:textId="77777777" w:rsidR="00265825" w:rsidRDefault="00265825">
      <w:pPr>
        <w:spacing w:after="0" w:line="240" w:lineRule="auto"/>
      </w:pPr>
    </w:p>
    <w:p w14:paraId="69A96812" w14:textId="77777777" w:rsidR="00265825" w:rsidRDefault="00265825">
      <w:pPr>
        <w:spacing w:after="0" w:line="240" w:lineRule="auto"/>
      </w:pPr>
    </w:p>
    <w:p w14:paraId="77311342" w14:textId="77777777" w:rsidR="00265825" w:rsidRDefault="00265825">
      <w:pPr>
        <w:spacing w:after="0" w:line="240" w:lineRule="auto"/>
      </w:pPr>
    </w:p>
    <w:p w14:paraId="52EB9690" w14:textId="77777777" w:rsidR="00265825" w:rsidRDefault="00265825">
      <w:pPr>
        <w:spacing w:after="0" w:line="240" w:lineRule="auto"/>
      </w:pPr>
    </w:p>
    <w:p w14:paraId="0979597C" w14:textId="77777777" w:rsidR="00265825" w:rsidRDefault="00265825">
      <w:pPr>
        <w:spacing w:after="0" w:line="240" w:lineRule="auto"/>
      </w:pPr>
    </w:p>
    <w:p w14:paraId="08FBC5EA" w14:textId="77777777" w:rsidR="00265825" w:rsidRDefault="00265825">
      <w:pPr>
        <w:spacing w:after="0" w:line="240" w:lineRule="auto"/>
      </w:pPr>
    </w:p>
    <w:p w14:paraId="7C87DE04" w14:textId="77777777" w:rsidR="00265825" w:rsidRDefault="00265825">
      <w:pPr>
        <w:spacing w:after="0" w:line="240" w:lineRule="auto"/>
      </w:pPr>
    </w:p>
    <w:p w14:paraId="2AFB463B" w14:textId="77777777" w:rsidR="00265825" w:rsidRDefault="00265825">
      <w:pPr>
        <w:spacing w:after="0" w:line="240" w:lineRule="auto"/>
      </w:pPr>
    </w:p>
    <w:p w14:paraId="24C3C2C9" w14:textId="77777777" w:rsidR="00265825" w:rsidRDefault="00265825">
      <w:pPr>
        <w:spacing w:after="0" w:line="240" w:lineRule="auto"/>
      </w:pPr>
    </w:p>
    <w:p w14:paraId="7BA41DCF" w14:textId="77777777" w:rsidR="00265825" w:rsidRDefault="00265825">
      <w:pPr>
        <w:spacing w:after="0" w:line="240" w:lineRule="auto"/>
      </w:pPr>
    </w:p>
    <w:p w14:paraId="60169A07" w14:textId="77777777" w:rsidR="00265825" w:rsidRDefault="00265825">
      <w:pPr>
        <w:spacing w:after="0" w:line="240" w:lineRule="auto"/>
      </w:pPr>
    </w:p>
    <w:p w14:paraId="082A08DA" w14:textId="77777777" w:rsidR="00265825" w:rsidRDefault="00265825">
      <w:pPr>
        <w:spacing w:after="0" w:line="240" w:lineRule="auto"/>
      </w:pPr>
    </w:p>
    <w:p w14:paraId="217ACF45" w14:textId="77777777" w:rsidR="00265825" w:rsidRDefault="00265825">
      <w:pPr>
        <w:spacing w:after="0" w:line="240" w:lineRule="auto"/>
      </w:pPr>
    </w:p>
    <w:p w14:paraId="431670D9" w14:textId="77777777" w:rsidR="00265825" w:rsidRDefault="00265825">
      <w:pPr>
        <w:spacing w:after="0" w:line="240" w:lineRule="auto"/>
      </w:pPr>
    </w:p>
    <w:p w14:paraId="061CD48E" w14:textId="77777777" w:rsidR="00265825" w:rsidRDefault="00265825">
      <w:pPr>
        <w:spacing w:after="0" w:line="240" w:lineRule="auto"/>
      </w:pPr>
    </w:p>
    <w:p w14:paraId="4131ED1C" w14:textId="77777777" w:rsidR="00265825" w:rsidRDefault="00265825">
      <w:pPr>
        <w:spacing w:after="0" w:line="240" w:lineRule="auto"/>
      </w:pPr>
    </w:p>
    <w:p w14:paraId="541399B7" w14:textId="77777777" w:rsidR="00265825" w:rsidRDefault="00265825">
      <w:pPr>
        <w:spacing w:after="0" w:line="240" w:lineRule="auto"/>
      </w:pPr>
    </w:p>
    <w:p w14:paraId="149C344B" w14:textId="77777777" w:rsidR="00265825" w:rsidRDefault="00265825">
      <w:pPr>
        <w:spacing w:after="0" w:line="240" w:lineRule="auto"/>
      </w:pPr>
    </w:p>
    <w:p w14:paraId="4E63C4CA" w14:textId="77777777" w:rsidR="00265825" w:rsidRDefault="00265825">
      <w:pPr>
        <w:spacing w:after="0" w:line="240" w:lineRule="auto"/>
      </w:pPr>
    </w:p>
    <w:p w14:paraId="53E35B07" w14:textId="77777777" w:rsidR="00265825" w:rsidRDefault="00265825">
      <w:pPr>
        <w:spacing w:after="0" w:line="240" w:lineRule="auto"/>
      </w:pPr>
    </w:p>
    <w:p w14:paraId="1EB522FB" w14:textId="77777777" w:rsidR="00265825" w:rsidRDefault="00265825">
      <w:pPr>
        <w:spacing w:after="0" w:line="240" w:lineRule="auto"/>
      </w:pPr>
    </w:p>
    <w:p w14:paraId="28936796" w14:textId="77777777" w:rsidR="00265825" w:rsidRDefault="00265825">
      <w:pPr>
        <w:spacing w:after="0" w:line="240" w:lineRule="auto"/>
      </w:pPr>
    </w:p>
    <w:p w14:paraId="39D55817" w14:textId="77777777" w:rsidR="00265825" w:rsidRDefault="00265825">
      <w:pPr>
        <w:spacing w:after="0" w:line="240" w:lineRule="auto"/>
      </w:pPr>
    </w:p>
    <w:p w14:paraId="6DC203D5" w14:textId="77777777" w:rsidR="00265825" w:rsidRDefault="00265825">
      <w:pPr>
        <w:spacing w:after="0" w:line="240" w:lineRule="auto"/>
      </w:pPr>
    </w:p>
    <w:p w14:paraId="4BD0A0A7" w14:textId="77777777" w:rsidR="00265825" w:rsidRDefault="00265825">
      <w:pPr>
        <w:spacing w:after="0" w:line="240" w:lineRule="auto"/>
      </w:pPr>
    </w:p>
    <w:p w14:paraId="02FF3930" w14:textId="77777777" w:rsidR="00265825" w:rsidRDefault="00265825">
      <w:pPr>
        <w:spacing w:after="0" w:line="240" w:lineRule="auto"/>
      </w:pPr>
    </w:p>
    <w:p w14:paraId="34D70AE1" w14:textId="77777777" w:rsidR="00265825" w:rsidRDefault="00265825">
      <w:pPr>
        <w:spacing w:after="0" w:line="240" w:lineRule="auto"/>
      </w:pPr>
    </w:p>
    <w:p w14:paraId="6355D8EF" w14:textId="77777777" w:rsidR="00265825" w:rsidRDefault="00265825">
      <w:pPr>
        <w:spacing w:after="0" w:line="240" w:lineRule="auto"/>
      </w:pPr>
    </w:p>
    <w:p w14:paraId="4118E9F1" w14:textId="77777777" w:rsidR="00265825" w:rsidRDefault="00265825">
      <w:pPr>
        <w:spacing w:after="0" w:line="240" w:lineRule="auto"/>
      </w:pPr>
    </w:p>
    <w:p w14:paraId="15B695F0" w14:textId="77777777" w:rsidR="00265825" w:rsidRDefault="00265825">
      <w:pPr>
        <w:spacing w:after="0" w:line="240" w:lineRule="auto"/>
      </w:pPr>
    </w:p>
    <w:p w14:paraId="398B7D7F" w14:textId="77777777" w:rsidR="00265825" w:rsidRDefault="00265825">
      <w:pPr>
        <w:spacing w:after="0" w:line="240" w:lineRule="auto"/>
      </w:pPr>
    </w:p>
    <w:p w14:paraId="1F655A33" w14:textId="77777777" w:rsidR="00265825" w:rsidRDefault="00265825">
      <w:pPr>
        <w:spacing w:after="0" w:line="240" w:lineRule="auto"/>
      </w:pPr>
    </w:p>
    <w:p w14:paraId="1987898B" w14:textId="77777777" w:rsidR="00265825" w:rsidRDefault="00265825">
      <w:pPr>
        <w:spacing w:after="0" w:line="240" w:lineRule="auto"/>
      </w:pPr>
    </w:p>
    <w:p w14:paraId="463B58A0" w14:textId="77777777" w:rsidR="00265825" w:rsidRDefault="00265825">
      <w:pPr>
        <w:spacing w:after="0" w:line="240" w:lineRule="auto"/>
      </w:pPr>
    </w:p>
    <w:p w14:paraId="0A831F45" w14:textId="77777777" w:rsidR="00265825" w:rsidRDefault="00265825">
      <w:pPr>
        <w:spacing w:after="0" w:line="240" w:lineRule="auto"/>
      </w:pPr>
    </w:p>
    <w:p w14:paraId="0DE99E23" w14:textId="77777777" w:rsidR="00265825" w:rsidRDefault="00265825">
      <w:pPr>
        <w:spacing w:after="0" w:line="240" w:lineRule="auto"/>
      </w:pPr>
    </w:p>
    <w:p w14:paraId="5FA42FC7" w14:textId="77777777" w:rsidR="00265825" w:rsidRDefault="0026582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65825" w14:paraId="0BA66495" w14:textId="77777777" w:rsidTr="00265825">
        <w:tc>
          <w:tcPr>
            <w:tcW w:w="10194" w:type="dxa"/>
          </w:tcPr>
          <w:p w14:paraId="2F8EBA73" w14:textId="77777777" w:rsidR="00265825" w:rsidRPr="00254F58" w:rsidRDefault="00265825" w:rsidP="00265825">
            <w:pPr>
              <w:pStyle w:val="DHHSaccessibilitypara"/>
            </w:pPr>
            <w:r w:rsidRPr="0055119B">
              <w:t>To</w:t>
            </w:r>
            <w:r>
              <w:t xml:space="preserve"> </w:t>
            </w:r>
            <w:r w:rsidRPr="0055119B">
              <w:t>receive</w:t>
            </w:r>
            <w:r>
              <w:t xml:space="preserve"> </w:t>
            </w:r>
            <w:r w:rsidRPr="0055119B">
              <w:t>this</w:t>
            </w:r>
            <w:r>
              <w:t xml:space="preserve"> </w:t>
            </w:r>
            <w:r w:rsidRPr="0055119B">
              <w:t>document</w:t>
            </w:r>
            <w:r>
              <w:t xml:space="preserve"> </w:t>
            </w:r>
            <w:r w:rsidRPr="0055119B">
              <w:t>in</w:t>
            </w:r>
            <w:r>
              <w:t xml:space="preserve"> </w:t>
            </w:r>
            <w:r w:rsidRPr="0055119B">
              <w:t>another</w:t>
            </w:r>
            <w:r>
              <w:t xml:space="preserve"> </w:t>
            </w:r>
            <w:r w:rsidRPr="0055119B">
              <w:t>format</w:t>
            </w:r>
            <w:r>
              <w:t xml:space="preserve">, </w:t>
            </w:r>
            <w:r w:rsidRPr="0055119B">
              <w:t>email</w:t>
            </w:r>
            <w:r>
              <w:t xml:space="preserve"> </w:t>
            </w:r>
            <w:hyperlink r:id="rId17" w:history="1">
              <w:r>
                <w:rPr>
                  <w:rStyle w:val="Hyperlink"/>
                </w:rPr>
                <w:t>betterfuturescentral@dffh.vic.gov.au</w:t>
              </w:r>
            </w:hyperlink>
            <w:r>
              <w:t xml:space="preserve"> &lt;betterfutrescentral@dffh.vic.gov.au&gt;</w:t>
            </w:r>
          </w:p>
          <w:p w14:paraId="1193A06D" w14:textId="77777777" w:rsidR="00265825" w:rsidRPr="0055119B" w:rsidRDefault="00265825" w:rsidP="00265825">
            <w:pPr>
              <w:pStyle w:val="Imprint"/>
            </w:pPr>
            <w:r w:rsidRPr="0055119B">
              <w:t>Authorised</w:t>
            </w:r>
            <w:r>
              <w:t xml:space="preserve"> </w:t>
            </w:r>
            <w:r w:rsidRPr="0055119B">
              <w:t>and</w:t>
            </w:r>
            <w:r>
              <w:t xml:space="preserve"> </w:t>
            </w:r>
            <w:r w:rsidRPr="0055119B">
              <w:t>published</w:t>
            </w:r>
            <w:r>
              <w:t xml:space="preserve"> </w:t>
            </w:r>
            <w:r w:rsidRPr="0055119B">
              <w:t>by</w:t>
            </w:r>
            <w:r>
              <w:t xml:space="preserve"> </w:t>
            </w:r>
            <w:r w:rsidRPr="0055119B">
              <w:t>the</w:t>
            </w:r>
            <w:r>
              <w:t xml:space="preserve"> </w:t>
            </w:r>
            <w:r w:rsidRPr="0055119B">
              <w:t>Victorian</w:t>
            </w:r>
            <w:r>
              <w:t xml:space="preserve"> </w:t>
            </w:r>
            <w:r w:rsidRPr="0055119B">
              <w:t>Government,</w:t>
            </w:r>
            <w:r>
              <w:t xml:space="preserve"> </w:t>
            </w:r>
            <w:r w:rsidRPr="0055119B">
              <w:t>1</w:t>
            </w:r>
            <w:r>
              <w:t xml:space="preserve"> </w:t>
            </w:r>
            <w:r w:rsidRPr="0055119B">
              <w:t>Treasury</w:t>
            </w:r>
            <w:r>
              <w:t xml:space="preserve"> </w:t>
            </w:r>
            <w:r w:rsidRPr="0055119B">
              <w:t>Place,</w:t>
            </w:r>
            <w:r>
              <w:t xml:space="preserve"> </w:t>
            </w:r>
            <w:r w:rsidRPr="0055119B">
              <w:t>Melbourne.</w:t>
            </w:r>
          </w:p>
          <w:p w14:paraId="677E367C" w14:textId="77777777" w:rsidR="00265825" w:rsidRDefault="00265825" w:rsidP="00265825">
            <w:pPr>
              <w:pStyle w:val="Imprint"/>
            </w:pPr>
            <w:r w:rsidRPr="0055119B">
              <w:t>©</w:t>
            </w:r>
            <w:r>
              <w:t xml:space="preserve"> </w:t>
            </w:r>
            <w:r w:rsidRPr="0055119B">
              <w:t>State</w:t>
            </w:r>
            <w:r>
              <w:t xml:space="preserve"> </w:t>
            </w:r>
            <w:r w:rsidRPr="0055119B">
              <w:t>of</w:t>
            </w:r>
            <w:r>
              <w:t xml:space="preserve"> </w:t>
            </w:r>
            <w:r w:rsidRPr="0055119B">
              <w:t>Victoria,</w:t>
            </w:r>
            <w:r>
              <w:t xml:space="preserve"> </w:t>
            </w:r>
            <w:r w:rsidRPr="0055119B">
              <w:t>Australia,</w:t>
            </w:r>
            <w:r>
              <w:t xml:space="preserve"> </w:t>
            </w:r>
            <w:r w:rsidRPr="0055119B">
              <w:t>Department</w:t>
            </w:r>
            <w:r>
              <w:t xml:space="preserve"> </w:t>
            </w:r>
            <w:r w:rsidRPr="001B058F">
              <w:t>of</w:t>
            </w:r>
            <w:r>
              <w:t xml:space="preserve"> Families, Fairness and Housing</w:t>
            </w:r>
            <w:r w:rsidRPr="0055119B">
              <w:t>,</w:t>
            </w:r>
            <w:r>
              <w:t xml:space="preserve"> June 2024</w:t>
            </w:r>
          </w:p>
          <w:p w14:paraId="6FFD186C" w14:textId="6D54F4D8" w:rsidR="00265825" w:rsidRPr="00DD5005" w:rsidRDefault="00DD5005" w:rsidP="00265825">
            <w:pPr>
              <w:pStyle w:val="Imprint"/>
            </w:pPr>
            <w:r w:rsidRPr="000076A5">
              <w:rPr>
                <w:rFonts w:cs="Arial"/>
                <w:b/>
                <w:bCs/>
                <w:color w:val="000000"/>
              </w:rPr>
              <w:t>ISBN</w:t>
            </w:r>
            <w:r w:rsidRPr="00DD5005">
              <w:rPr>
                <w:rFonts w:cs="Arial"/>
                <w:color w:val="000000"/>
              </w:rPr>
              <w:t xml:space="preserve"> 978-1-76130-604-4 </w:t>
            </w:r>
            <w:r w:rsidRPr="000076A5">
              <w:rPr>
                <w:rFonts w:cs="Arial"/>
                <w:b/>
                <w:bCs/>
                <w:color w:val="000000"/>
              </w:rPr>
              <w:t>(pdf/online/MS word)</w:t>
            </w:r>
          </w:p>
          <w:p w14:paraId="5B9EDE38" w14:textId="77777777" w:rsidR="00265825" w:rsidRDefault="00265825" w:rsidP="00265825">
            <w:pPr>
              <w:spacing w:after="0" w:line="240" w:lineRule="auto"/>
            </w:pPr>
            <w:r w:rsidRPr="0055119B">
              <w:t>Available</w:t>
            </w:r>
            <w:r>
              <w:t xml:space="preserve"> </w:t>
            </w:r>
            <w:r w:rsidRPr="0055119B">
              <w:t>at</w:t>
            </w:r>
            <w:r>
              <w:t xml:space="preserve"> </w:t>
            </w:r>
            <w:hyperlink r:id="rId18" w:history="1">
              <w:r>
                <w:rPr>
                  <w:rStyle w:val="Hyperlink"/>
                </w:rPr>
                <w:t>providers.dffh.vic.gov.au/better-futures</w:t>
              </w:r>
            </w:hyperlink>
            <w:r>
              <w:t xml:space="preserve"> &lt;</w:t>
            </w:r>
            <w:r w:rsidRPr="00D61D81">
              <w:t>https://providers.dffh.vic.gov.au/better-futures</w:t>
            </w:r>
            <w:r>
              <w:t>&gt;</w:t>
            </w:r>
          </w:p>
          <w:p w14:paraId="607F3879" w14:textId="77777777" w:rsidR="00265825" w:rsidRDefault="00265825">
            <w:pPr>
              <w:spacing w:after="0" w:line="240" w:lineRule="auto"/>
            </w:pPr>
          </w:p>
        </w:tc>
      </w:tr>
    </w:tbl>
    <w:p w14:paraId="31205138" w14:textId="77777777" w:rsidR="00265825" w:rsidRDefault="00265825">
      <w:pPr>
        <w:spacing w:after="0" w:line="240" w:lineRule="auto"/>
      </w:pPr>
    </w:p>
    <w:p w14:paraId="1F9598B2" w14:textId="035073A9" w:rsidR="00762474" w:rsidRDefault="00762474">
      <w:pPr>
        <w:spacing w:after="0" w:line="240" w:lineRule="auto"/>
        <w:rPr>
          <w:b/>
          <w:color w:val="201547"/>
          <w:sz w:val="29"/>
          <w:szCs w:val="28"/>
        </w:rPr>
      </w:pPr>
      <w:r>
        <w:br w:type="page"/>
      </w:r>
    </w:p>
    <w:p w14:paraId="5EACA712" w14:textId="427BB9D9" w:rsidR="00AD784C" w:rsidRPr="00B57329" w:rsidRDefault="00AD784C" w:rsidP="002365B4">
      <w:pPr>
        <w:pStyle w:val="TOCheadingfactsheet"/>
      </w:pPr>
      <w:r w:rsidRPr="00B57329">
        <w:lastRenderedPageBreak/>
        <w:t>Contents</w:t>
      </w:r>
    </w:p>
    <w:p w14:paraId="6196FC8D" w14:textId="42553891" w:rsidR="001579AD" w:rsidRDefault="00AD784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91146861" w:history="1">
        <w:r w:rsidR="001579AD" w:rsidRPr="009C1D86">
          <w:rPr>
            <w:rStyle w:val="Hyperlink"/>
          </w:rPr>
          <w:t>Introduction</w:t>
        </w:r>
        <w:r w:rsidR="001579AD">
          <w:rPr>
            <w:webHidden/>
          </w:rPr>
          <w:tab/>
        </w:r>
        <w:r w:rsidR="001579AD">
          <w:rPr>
            <w:webHidden/>
          </w:rPr>
          <w:fldChar w:fldCharType="begin"/>
        </w:r>
        <w:r w:rsidR="001579AD">
          <w:rPr>
            <w:webHidden/>
          </w:rPr>
          <w:instrText xml:space="preserve"> PAGEREF _Toc91146861 \h </w:instrText>
        </w:r>
        <w:r w:rsidR="001579AD">
          <w:rPr>
            <w:webHidden/>
          </w:rPr>
        </w:r>
        <w:r w:rsidR="001579AD">
          <w:rPr>
            <w:webHidden/>
          </w:rPr>
          <w:fldChar w:fldCharType="separate"/>
        </w:r>
        <w:r w:rsidR="001579AD">
          <w:rPr>
            <w:webHidden/>
          </w:rPr>
          <w:t>1</w:t>
        </w:r>
        <w:r w:rsidR="001579AD">
          <w:rPr>
            <w:webHidden/>
          </w:rPr>
          <w:fldChar w:fldCharType="end"/>
        </w:r>
      </w:hyperlink>
    </w:p>
    <w:p w14:paraId="78638A81" w14:textId="37805259" w:rsidR="001579AD" w:rsidRDefault="00582F0E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91146862" w:history="1">
        <w:r w:rsidR="001579AD" w:rsidRPr="009C1D86">
          <w:rPr>
            <w:rStyle w:val="Hyperlink"/>
          </w:rPr>
          <w:t>Purpose</w:t>
        </w:r>
        <w:r w:rsidR="001579AD">
          <w:rPr>
            <w:webHidden/>
          </w:rPr>
          <w:tab/>
        </w:r>
        <w:r w:rsidR="001579AD">
          <w:rPr>
            <w:webHidden/>
          </w:rPr>
          <w:fldChar w:fldCharType="begin"/>
        </w:r>
        <w:r w:rsidR="001579AD">
          <w:rPr>
            <w:webHidden/>
          </w:rPr>
          <w:instrText xml:space="preserve"> PAGEREF _Toc91146862 \h </w:instrText>
        </w:r>
        <w:r w:rsidR="001579AD">
          <w:rPr>
            <w:webHidden/>
          </w:rPr>
        </w:r>
        <w:r w:rsidR="001579AD">
          <w:rPr>
            <w:webHidden/>
          </w:rPr>
          <w:fldChar w:fldCharType="separate"/>
        </w:r>
        <w:r w:rsidR="001579AD">
          <w:rPr>
            <w:webHidden/>
          </w:rPr>
          <w:t>2</w:t>
        </w:r>
        <w:r w:rsidR="001579AD">
          <w:rPr>
            <w:webHidden/>
          </w:rPr>
          <w:fldChar w:fldCharType="end"/>
        </w:r>
      </w:hyperlink>
    </w:p>
    <w:p w14:paraId="1DC57C8A" w14:textId="14A1FB93" w:rsidR="001579AD" w:rsidRDefault="00582F0E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91146863" w:history="1">
        <w:r w:rsidR="001579AD" w:rsidRPr="009C1D86">
          <w:rPr>
            <w:rStyle w:val="Hyperlink"/>
          </w:rPr>
          <w:t>Audience</w:t>
        </w:r>
        <w:r w:rsidR="001579AD">
          <w:rPr>
            <w:webHidden/>
          </w:rPr>
          <w:tab/>
        </w:r>
        <w:r w:rsidR="001579AD">
          <w:rPr>
            <w:webHidden/>
          </w:rPr>
          <w:fldChar w:fldCharType="begin"/>
        </w:r>
        <w:r w:rsidR="001579AD">
          <w:rPr>
            <w:webHidden/>
          </w:rPr>
          <w:instrText xml:space="preserve"> PAGEREF _Toc91146863 \h </w:instrText>
        </w:r>
        <w:r w:rsidR="001579AD">
          <w:rPr>
            <w:webHidden/>
          </w:rPr>
        </w:r>
        <w:r w:rsidR="001579AD">
          <w:rPr>
            <w:webHidden/>
          </w:rPr>
          <w:fldChar w:fldCharType="separate"/>
        </w:r>
        <w:r w:rsidR="001579AD">
          <w:rPr>
            <w:webHidden/>
          </w:rPr>
          <w:t>2</w:t>
        </w:r>
        <w:r w:rsidR="001579AD">
          <w:rPr>
            <w:webHidden/>
          </w:rPr>
          <w:fldChar w:fldCharType="end"/>
        </w:r>
      </w:hyperlink>
    </w:p>
    <w:p w14:paraId="3C476F68" w14:textId="55BBFFF6" w:rsidR="001579AD" w:rsidRDefault="00582F0E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91146864" w:history="1">
        <w:r w:rsidR="001579AD" w:rsidRPr="009C1D86">
          <w:rPr>
            <w:rStyle w:val="Hyperlink"/>
            <w:lang w:val="en"/>
          </w:rPr>
          <w:t>Performance and reporting requirements</w:t>
        </w:r>
        <w:r w:rsidR="001579AD">
          <w:rPr>
            <w:webHidden/>
          </w:rPr>
          <w:tab/>
        </w:r>
        <w:r w:rsidR="001579AD">
          <w:rPr>
            <w:webHidden/>
          </w:rPr>
          <w:fldChar w:fldCharType="begin"/>
        </w:r>
        <w:r w:rsidR="001579AD">
          <w:rPr>
            <w:webHidden/>
          </w:rPr>
          <w:instrText xml:space="preserve"> PAGEREF _Toc91146864 \h </w:instrText>
        </w:r>
        <w:r w:rsidR="001579AD">
          <w:rPr>
            <w:webHidden/>
          </w:rPr>
        </w:r>
        <w:r w:rsidR="001579AD">
          <w:rPr>
            <w:webHidden/>
          </w:rPr>
          <w:fldChar w:fldCharType="separate"/>
        </w:r>
        <w:r w:rsidR="001579AD">
          <w:rPr>
            <w:webHidden/>
          </w:rPr>
          <w:t>2</w:t>
        </w:r>
        <w:r w:rsidR="001579AD">
          <w:rPr>
            <w:webHidden/>
          </w:rPr>
          <w:fldChar w:fldCharType="end"/>
        </w:r>
      </w:hyperlink>
    </w:p>
    <w:p w14:paraId="1B89C83E" w14:textId="1965E6E3" w:rsidR="001579AD" w:rsidRDefault="00582F0E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91146865" w:history="1">
        <w:r w:rsidR="001579AD" w:rsidRPr="009C1D86">
          <w:rPr>
            <w:rStyle w:val="Hyperlink"/>
            <w:lang w:eastAsia="en-AU"/>
          </w:rPr>
          <w:t>The department’s service agreement requirements</w:t>
        </w:r>
        <w:r w:rsidR="001579AD">
          <w:rPr>
            <w:webHidden/>
          </w:rPr>
          <w:tab/>
        </w:r>
        <w:r w:rsidR="001579AD">
          <w:rPr>
            <w:webHidden/>
          </w:rPr>
          <w:fldChar w:fldCharType="begin"/>
        </w:r>
        <w:r w:rsidR="001579AD">
          <w:rPr>
            <w:webHidden/>
          </w:rPr>
          <w:instrText xml:space="preserve"> PAGEREF _Toc91146865 \h </w:instrText>
        </w:r>
        <w:r w:rsidR="001579AD">
          <w:rPr>
            <w:webHidden/>
          </w:rPr>
        </w:r>
        <w:r w:rsidR="001579AD">
          <w:rPr>
            <w:webHidden/>
          </w:rPr>
          <w:fldChar w:fldCharType="separate"/>
        </w:r>
        <w:r w:rsidR="001579AD">
          <w:rPr>
            <w:webHidden/>
          </w:rPr>
          <w:t>2</w:t>
        </w:r>
        <w:r w:rsidR="001579AD">
          <w:rPr>
            <w:webHidden/>
          </w:rPr>
          <w:fldChar w:fldCharType="end"/>
        </w:r>
      </w:hyperlink>
    </w:p>
    <w:p w14:paraId="0FD3B5BD" w14:textId="40AB9E8E" w:rsidR="001579AD" w:rsidRDefault="00582F0E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91146866" w:history="1">
        <w:r w:rsidR="001579AD" w:rsidRPr="009C1D86">
          <w:rPr>
            <w:rStyle w:val="Hyperlink"/>
          </w:rPr>
          <w:t>The department’s reporting tools</w:t>
        </w:r>
        <w:r w:rsidR="001579AD">
          <w:rPr>
            <w:webHidden/>
          </w:rPr>
          <w:tab/>
        </w:r>
        <w:r w:rsidR="001579AD">
          <w:rPr>
            <w:webHidden/>
          </w:rPr>
          <w:fldChar w:fldCharType="begin"/>
        </w:r>
        <w:r w:rsidR="001579AD">
          <w:rPr>
            <w:webHidden/>
          </w:rPr>
          <w:instrText xml:space="preserve"> PAGEREF _Toc91146866 \h </w:instrText>
        </w:r>
        <w:r w:rsidR="001579AD">
          <w:rPr>
            <w:webHidden/>
          </w:rPr>
        </w:r>
        <w:r w:rsidR="001579AD">
          <w:rPr>
            <w:webHidden/>
          </w:rPr>
          <w:fldChar w:fldCharType="separate"/>
        </w:r>
        <w:r w:rsidR="001579AD">
          <w:rPr>
            <w:webHidden/>
          </w:rPr>
          <w:t>3</w:t>
        </w:r>
        <w:r w:rsidR="001579AD">
          <w:rPr>
            <w:webHidden/>
          </w:rPr>
          <w:fldChar w:fldCharType="end"/>
        </w:r>
      </w:hyperlink>
    </w:p>
    <w:p w14:paraId="47EFC483" w14:textId="6A6B5B78" w:rsidR="001579AD" w:rsidRDefault="00582F0E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91146867" w:history="1">
        <w:r w:rsidR="001579AD" w:rsidRPr="009C1D86">
          <w:rPr>
            <w:rStyle w:val="Hyperlink"/>
          </w:rPr>
          <w:t>Information regarding Better Futures funded activities</w:t>
        </w:r>
        <w:r w:rsidR="001579AD">
          <w:rPr>
            <w:webHidden/>
          </w:rPr>
          <w:tab/>
        </w:r>
        <w:r w:rsidR="001579AD">
          <w:rPr>
            <w:webHidden/>
          </w:rPr>
          <w:fldChar w:fldCharType="begin"/>
        </w:r>
        <w:r w:rsidR="001579AD">
          <w:rPr>
            <w:webHidden/>
          </w:rPr>
          <w:instrText xml:space="preserve"> PAGEREF _Toc91146867 \h </w:instrText>
        </w:r>
        <w:r w:rsidR="001579AD">
          <w:rPr>
            <w:webHidden/>
          </w:rPr>
        </w:r>
        <w:r w:rsidR="001579AD">
          <w:rPr>
            <w:webHidden/>
          </w:rPr>
          <w:fldChar w:fldCharType="separate"/>
        </w:r>
        <w:r w:rsidR="001579AD">
          <w:rPr>
            <w:webHidden/>
          </w:rPr>
          <w:t>3</w:t>
        </w:r>
        <w:r w:rsidR="001579AD">
          <w:rPr>
            <w:webHidden/>
          </w:rPr>
          <w:fldChar w:fldCharType="end"/>
        </w:r>
      </w:hyperlink>
    </w:p>
    <w:p w14:paraId="5452BFEA" w14:textId="2CB90525" w:rsidR="001579AD" w:rsidRDefault="00582F0E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91146868" w:history="1">
        <w:r w:rsidR="001579AD" w:rsidRPr="009C1D86">
          <w:rPr>
            <w:rStyle w:val="Hyperlink"/>
            <w:lang w:eastAsia="en-AU"/>
          </w:rPr>
          <w:t>Intake and Access – Better Futures 31289</w:t>
        </w:r>
        <w:r w:rsidR="001579AD">
          <w:rPr>
            <w:webHidden/>
          </w:rPr>
          <w:tab/>
        </w:r>
        <w:r w:rsidR="001579AD">
          <w:rPr>
            <w:webHidden/>
          </w:rPr>
          <w:fldChar w:fldCharType="begin"/>
        </w:r>
        <w:r w:rsidR="001579AD">
          <w:rPr>
            <w:webHidden/>
          </w:rPr>
          <w:instrText xml:space="preserve"> PAGEREF _Toc91146868 \h </w:instrText>
        </w:r>
        <w:r w:rsidR="001579AD">
          <w:rPr>
            <w:webHidden/>
          </w:rPr>
        </w:r>
        <w:r w:rsidR="001579AD">
          <w:rPr>
            <w:webHidden/>
          </w:rPr>
          <w:fldChar w:fldCharType="separate"/>
        </w:r>
        <w:r w:rsidR="001579AD">
          <w:rPr>
            <w:webHidden/>
          </w:rPr>
          <w:t>3</w:t>
        </w:r>
        <w:r w:rsidR="001579AD">
          <w:rPr>
            <w:webHidden/>
          </w:rPr>
          <w:fldChar w:fldCharType="end"/>
        </w:r>
      </w:hyperlink>
    </w:p>
    <w:p w14:paraId="0599442F" w14:textId="4D11F656" w:rsidR="001579AD" w:rsidRDefault="00582F0E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91146869" w:history="1">
        <w:r w:rsidR="001579AD" w:rsidRPr="009C1D86">
          <w:rPr>
            <w:rStyle w:val="Hyperlink"/>
            <w:lang w:eastAsia="en-AU"/>
          </w:rPr>
          <w:t>Individual, Child and Family Support – Better Futures 31290</w:t>
        </w:r>
        <w:r w:rsidR="001579AD">
          <w:rPr>
            <w:webHidden/>
          </w:rPr>
          <w:tab/>
        </w:r>
        <w:r w:rsidR="001579AD">
          <w:rPr>
            <w:webHidden/>
          </w:rPr>
          <w:fldChar w:fldCharType="begin"/>
        </w:r>
        <w:r w:rsidR="001579AD">
          <w:rPr>
            <w:webHidden/>
          </w:rPr>
          <w:instrText xml:space="preserve"> PAGEREF _Toc91146869 \h </w:instrText>
        </w:r>
        <w:r w:rsidR="001579AD">
          <w:rPr>
            <w:webHidden/>
          </w:rPr>
        </w:r>
        <w:r w:rsidR="001579AD">
          <w:rPr>
            <w:webHidden/>
          </w:rPr>
          <w:fldChar w:fldCharType="separate"/>
        </w:r>
        <w:r w:rsidR="001579AD">
          <w:rPr>
            <w:webHidden/>
          </w:rPr>
          <w:t>4</w:t>
        </w:r>
        <w:r w:rsidR="001579AD">
          <w:rPr>
            <w:webHidden/>
          </w:rPr>
          <w:fldChar w:fldCharType="end"/>
        </w:r>
      </w:hyperlink>
    </w:p>
    <w:p w14:paraId="63D9802F" w14:textId="5AE20339" w:rsidR="001579AD" w:rsidRDefault="00582F0E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91146870" w:history="1">
        <w:r w:rsidR="001579AD" w:rsidRPr="009C1D86">
          <w:rPr>
            <w:rStyle w:val="Hyperlink"/>
            <w:lang w:eastAsia="en-AU"/>
          </w:rPr>
          <w:t>System Enablers – Better Futures 31291</w:t>
        </w:r>
        <w:r w:rsidR="001579AD">
          <w:rPr>
            <w:webHidden/>
          </w:rPr>
          <w:tab/>
        </w:r>
        <w:r w:rsidR="001579AD">
          <w:rPr>
            <w:webHidden/>
          </w:rPr>
          <w:fldChar w:fldCharType="begin"/>
        </w:r>
        <w:r w:rsidR="001579AD">
          <w:rPr>
            <w:webHidden/>
          </w:rPr>
          <w:instrText xml:space="preserve"> PAGEREF _Toc91146870 \h </w:instrText>
        </w:r>
        <w:r w:rsidR="001579AD">
          <w:rPr>
            <w:webHidden/>
          </w:rPr>
        </w:r>
        <w:r w:rsidR="001579AD">
          <w:rPr>
            <w:webHidden/>
          </w:rPr>
          <w:fldChar w:fldCharType="separate"/>
        </w:r>
        <w:r w:rsidR="001579AD">
          <w:rPr>
            <w:webHidden/>
          </w:rPr>
          <w:t>5</w:t>
        </w:r>
        <w:r w:rsidR="001579AD">
          <w:rPr>
            <w:webHidden/>
          </w:rPr>
          <w:fldChar w:fldCharType="end"/>
        </w:r>
      </w:hyperlink>
    </w:p>
    <w:p w14:paraId="2A17855C" w14:textId="06355C58" w:rsidR="001579AD" w:rsidRDefault="00582F0E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91146871" w:history="1">
        <w:r w:rsidR="001579AD" w:rsidRPr="009C1D86">
          <w:rPr>
            <w:rStyle w:val="Hyperlink"/>
            <w:lang w:eastAsia="en-AU"/>
          </w:rPr>
          <w:t>Flexible Funding – Better Futures 31292</w:t>
        </w:r>
        <w:r w:rsidR="001579AD">
          <w:rPr>
            <w:webHidden/>
          </w:rPr>
          <w:tab/>
        </w:r>
        <w:r w:rsidR="001579AD">
          <w:rPr>
            <w:webHidden/>
          </w:rPr>
          <w:fldChar w:fldCharType="begin"/>
        </w:r>
        <w:r w:rsidR="001579AD">
          <w:rPr>
            <w:webHidden/>
          </w:rPr>
          <w:instrText xml:space="preserve"> PAGEREF _Toc91146871 \h </w:instrText>
        </w:r>
        <w:r w:rsidR="001579AD">
          <w:rPr>
            <w:webHidden/>
          </w:rPr>
        </w:r>
        <w:r w:rsidR="001579AD">
          <w:rPr>
            <w:webHidden/>
          </w:rPr>
          <w:fldChar w:fldCharType="separate"/>
        </w:r>
        <w:r w:rsidR="001579AD">
          <w:rPr>
            <w:webHidden/>
          </w:rPr>
          <w:t>6</w:t>
        </w:r>
        <w:r w:rsidR="001579AD">
          <w:rPr>
            <w:webHidden/>
          </w:rPr>
          <w:fldChar w:fldCharType="end"/>
        </w:r>
      </w:hyperlink>
    </w:p>
    <w:p w14:paraId="6363DEAE" w14:textId="60BCAF48" w:rsidR="001579AD" w:rsidRDefault="00582F0E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91146872" w:history="1">
        <w:r w:rsidR="001579AD" w:rsidRPr="009C1D86">
          <w:rPr>
            <w:rStyle w:val="Hyperlink"/>
            <w:lang w:eastAsia="en-AU"/>
          </w:rPr>
          <w:t>Specialised Interventions – Better Futures 31293</w:t>
        </w:r>
        <w:r w:rsidR="001579AD">
          <w:rPr>
            <w:webHidden/>
          </w:rPr>
          <w:tab/>
        </w:r>
        <w:r w:rsidR="001579AD">
          <w:rPr>
            <w:webHidden/>
          </w:rPr>
          <w:fldChar w:fldCharType="begin"/>
        </w:r>
        <w:r w:rsidR="001579AD">
          <w:rPr>
            <w:webHidden/>
          </w:rPr>
          <w:instrText xml:space="preserve"> PAGEREF _Toc91146872 \h </w:instrText>
        </w:r>
        <w:r w:rsidR="001579AD">
          <w:rPr>
            <w:webHidden/>
          </w:rPr>
        </w:r>
        <w:r w:rsidR="001579AD">
          <w:rPr>
            <w:webHidden/>
          </w:rPr>
          <w:fldChar w:fldCharType="separate"/>
        </w:r>
        <w:r w:rsidR="001579AD">
          <w:rPr>
            <w:webHidden/>
          </w:rPr>
          <w:t>8</w:t>
        </w:r>
        <w:r w:rsidR="001579AD">
          <w:rPr>
            <w:webHidden/>
          </w:rPr>
          <w:fldChar w:fldCharType="end"/>
        </w:r>
      </w:hyperlink>
    </w:p>
    <w:p w14:paraId="0962A543" w14:textId="1FAB7068" w:rsidR="001579AD" w:rsidRDefault="00582F0E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91146873" w:history="1">
        <w:r w:rsidR="001579AD" w:rsidRPr="009C1D86">
          <w:rPr>
            <w:rStyle w:val="Hyperlink"/>
            <w:lang w:eastAsia="en-AU"/>
          </w:rPr>
          <w:t>Guidelines for number of service hours</w:t>
        </w:r>
        <w:r w:rsidR="001579AD">
          <w:rPr>
            <w:webHidden/>
          </w:rPr>
          <w:tab/>
        </w:r>
        <w:r w:rsidR="001579AD">
          <w:rPr>
            <w:webHidden/>
          </w:rPr>
          <w:fldChar w:fldCharType="begin"/>
        </w:r>
        <w:r w:rsidR="001579AD">
          <w:rPr>
            <w:webHidden/>
          </w:rPr>
          <w:instrText xml:space="preserve"> PAGEREF _Toc91146873 \h </w:instrText>
        </w:r>
        <w:r w:rsidR="001579AD">
          <w:rPr>
            <w:webHidden/>
          </w:rPr>
        </w:r>
        <w:r w:rsidR="001579AD">
          <w:rPr>
            <w:webHidden/>
          </w:rPr>
          <w:fldChar w:fldCharType="separate"/>
        </w:r>
        <w:r w:rsidR="001579AD">
          <w:rPr>
            <w:webHidden/>
          </w:rPr>
          <w:t>9</w:t>
        </w:r>
        <w:r w:rsidR="001579AD">
          <w:rPr>
            <w:webHidden/>
          </w:rPr>
          <w:fldChar w:fldCharType="end"/>
        </w:r>
      </w:hyperlink>
    </w:p>
    <w:p w14:paraId="286AABF8" w14:textId="644F6549" w:rsidR="001579AD" w:rsidRDefault="00582F0E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91146874" w:history="1">
        <w:r w:rsidR="001579AD" w:rsidRPr="009C1D86">
          <w:rPr>
            <w:rStyle w:val="Hyperlink"/>
          </w:rPr>
          <w:t>Additional Information</w:t>
        </w:r>
        <w:r w:rsidR="001579AD">
          <w:rPr>
            <w:webHidden/>
          </w:rPr>
          <w:tab/>
        </w:r>
        <w:r w:rsidR="001579AD">
          <w:rPr>
            <w:webHidden/>
          </w:rPr>
          <w:fldChar w:fldCharType="begin"/>
        </w:r>
        <w:r w:rsidR="001579AD">
          <w:rPr>
            <w:webHidden/>
          </w:rPr>
          <w:instrText xml:space="preserve"> PAGEREF _Toc91146874 \h </w:instrText>
        </w:r>
        <w:r w:rsidR="001579AD">
          <w:rPr>
            <w:webHidden/>
          </w:rPr>
        </w:r>
        <w:r w:rsidR="001579AD">
          <w:rPr>
            <w:webHidden/>
          </w:rPr>
          <w:fldChar w:fldCharType="separate"/>
        </w:r>
        <w:r w:rsidR="001579AD">
          <w:rPr>
            <w:webHidden/>
          </w:rPr>
          <w:t>10</w:t>
        </w:r>
        <w:r w:rsidR="001579AD">
          <w:rPr>
            <w:webHidden/>
          </w:rPr>
          <w:fldChar w:fldCharType="end"/>
        </w:r>
      </w:hyperlink>
    </w:p>
    <w:p w14:paraId="0E866BBC" w14:textId="1F541E84" w:rsidR="007173CA" w:rsidRDefault="00AD784C" w:rsidP="00D079AA">
      <w:pPr>
        <w:pStyle w:val="Body"/>
      </w:pPr>
      <w:r>
        <w:fldChar w:fldCharType="end"/>
      </w:r>
    </w:p>
    <w:p w14:paraId="55DFB87A" w14:textId="77777777" w:rsidR="00580394" w:rsidRPr="00B519CD" w:rsidRDefault="00580394" w:rsidP="007173CA">
      <w:pPr>
        <w:pStyle w:val="Body"/>
        <w:sectPr w:rsidR="00580394" w:rsidRPr="00B519CD" w:rsidSect="00B04489">
          <w:headerReference w:type="default" r:id="rId19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219EE5FE" w14:textId="77777777" w:rsidR="00762474" w:rsidRDefault="00762474">
      <w:pPr>
        <w:spacing w:after="0" w:line="240" w:lineRule="auto"/>
        <w:rPr>
          <w:rFonts w:eastAsia="MS Gothic" w:cs="Arial"/>
          <w:bCs/>
          <w:color w:val="201547"/>
          <w:kern w:val="32"/>
          <w:sz w:val="40"/>
          <w:szCs w:val="40"/>
        </w:rPr>
      </w:pPr>
      <w:bookmarkStart w:id="0" w:name="_Toc89733715"/>
      <w:bookmarkStart w:id="1" w:name="_Toc91146861"/>
      <w:bookmarkStart w:id="2" w:name="_Hlk41913885"/>
      <w:r>
        <w:br w:type="page"/>
      </w:r>
    </w:p>
    <w:p w14:paraId="2D86A58E" w14:textId="4823D493" w:rsidR="001B20B3" w:rsidRPr="00633ADC" w:rsidRDefault="001B20B3" w:rsidP="00633ADC">
      <w:pPr>
        <w:pStyle w:val="Heading1"/>
      </w:pPr>
      <w:r w:rsidRPr="00633ADC">
        <w:lastRenderedPageBreak/>
        <w:t>Introduction</w:t>
      </w:r>
      <w:bookmarkEnd w:id="0"/>
      <w:bookmarkEnd w:id="1"/>
    </w:p>
    <w:p w14:paraId="218A1473" w14:textId="6CEE6BB8" w:rsidR="001B20B3" w:rsidRDefault="001B20B3" w:rsidP="001B20B3">
      <w:pPr>
        <w:pStyle w:val="DHHSbody"/>
      </w:pPr>
      <w:bookmarkStart w:id="3" w:name="_Hlk27740844"/>
      <w:r w:rsidRPr="00201CDB">
        <w:t>Better</w:t>
      </w:r>
      <w:r w:rsidR="00EE6D35">
        <w:t xml:space="preserve"> </w:t>
      </w:r>
      <w:r w:rsidRPr="00201CDB">
        <w:t>Futures</w:t>
      </w:r>
      <w:r w:rsidR="00EE6D35">
        <w:t xml:space="preserve"> </w:t>
      </w:r>
      <w:r w:rsidRPr="00201CDB">
        <w:t>is</w:t>
      </w:r>
      <w:r w:rsidR="00EE6D35">
        <w:t xml:space="preserve"> </w:t>
      </w:r>
      <w:r w:rsidRPr="00201CDB">
        <w:t>a</w:t>
      </w:r>
      <w:r w:rsidR="00EE6D35">
        <w:t xml:space="preserve"> </w:t>
      </w:r>
      <w:r w:rsidRPr="00201CDB">
        <w:t>new</w:t>
      </w:r>
      <w:r w:rsidR="00EE6D35">
        <w:t xml:space="preserve"> </w:t>
      </w:r>
      <w:r w:rsidRPr="00201CDB">
        <w:t>way</w:t>
      </w:r>
      <w:r w:rsidR="00EE6D35">
        <w:t xml:space="preserve"> </w:t>
      </w:r>
      <w:r w:rsidRPr="00201CDB">
        <w:t>of</w:t>
      </w:r>
      <w:r w:rsidR="00EE6D35">
        <w:t xml:space="preserve"> </w:t>
      </w:r>
      <w:r w:rsidRPr="00201CDB">
        <w:t>supporting</w:t>
      </w:r>
      <w:r w:rsidR="00EE6D35">
        <w:t xml:space="preserve"> </w:t>
      </w:r>
      <w:r w:rsidRPr="00201CDB">
        <w:t>care</w:t>
      </w:r>
      <w:r w:rsidR="00EE6D35">
        <w:t xml:space="preserve"> </w:t>
      </w:r>
      <w:r w:rsidRPr="00201CDB">
        <w:t>leavers</w:t>
      </w:r>
      <w:r>
        <w:t>.</w:t>
      </w:r>
      <w:r w:rsidR="00EE6D35">
        <w:t xml:space="preserve"> </w:t>
      </w:r>
      <w:r>
        <w:t>Better</w:t>
      </w:r>
      <w:r w:rsidR="00EE6D35">
        <w:t xml:space="preserve"> </w:t>
      </w:r>
      <w:r>
        <w:t>Futures</w:t>
      </w:r>
      <w:r w:rsidR="00EE6D35">
        <w:t xml:space="preserve"> </w:t>
      </w:r>
      <w:r w:rsidRPr="00F4021B">
        <w:rPr>
          <w:lang w:eastAsia="en-AU"/>
        </w:rPr>
        <w:t>aims</w:t>
      </w:r>
      <w:r w:rsidR="00EE6D35">
        <w:rPr>
          <w:lang w:eastAsia="en-AU"/>
        </w:rPr>
        <w:t xml:space="preserve"> </w:t>
      </w:r>
      <w:r w:rsidRPr="00F4021B">
        <w:rPr>
          <w:lang w:eastAsia="en-AU"/>
        </w:rPr>
        <w:t>to</w:t>
      </w:r>
      <w:r w:rsidR="00EE6D35">
        <w:rPr>
          <w:lang w:eastAsia="en-AU"/>
        </w:rPr>
        <w:t xml:space="preserve"> </w:t>
      </w:r>
      <w:r>
        <w:rPr>
          <w:lang w:eastAsia="en-AU"/>
        </w:rPr>
        <w:t>support</w:t>
      </w:r>
      <w:r w:rsidR="00EE6D35">
        <w:rPr>
          <w:lang w:eastAsia="en-AU"/>
        </w:rPr>
        <w:t xml:space="preserve"> </w:t>
      </w:r>
      <w:r>
        <w:rPr>
          <w:lang w:eastAsia="en-AU"/>
        </w:rPr>
        <w:t>young</w:t>
      </w:r>
      <w:r w:rsidR="00EE6D35">
        <w:rPr>
          <w:lang w:eastAsia="en-AU"/>
        </w:rPr>
        <w:t xml:space="preserve"> </w:t>
      </w:r>
      <w:r>
        <w:rPr>
          <w:lang w:eastAsia="en-AU"/>
        </w:rPr>
        <w:t>people</w:t>
      </w:r>
      <w:r w:rsidR="00EE6D35">
        <w:rPr>
          <w:lang w:eastAsia="en-AU"/>
        </w:rPr>
        <w:t xml:space="preserve"> </w:t>
      </w:r>
      <w:r>
        <w:rPr>
          <w:lang w:eastAsia="en-AU"/>
        </w:rPr>
        <w:t>achieve</w:t>
      </w:r>
      <w:r w:rsidR="00EE6D35">
        <w:rPr>
          <w:lang w:eastAsia="en-AU"/>
        </w:rPr>
        <w:t xml:space="preserve"> </w:t>
      </w:r>
      <w:r>
        <w:rPr>
          <w:lang w:eastAsia="en-AU"/>
        </w:rPr>
        <w:t>successful</w:t>
      </w:r>
      <w:r w:rsidR="00EE6D35">
        <w:rPr>
          <w:lang w:eastAsia="en-AU"/>
        </w:rPr>
        <w:t xml:space="preserve"> </w:t>
      </w:r>
      <w:r>
        <w:rPr>
          <w:lang w:eastAsia="en-AU"/>
        </w:rPr>
        <w:t>and</w:t>
      </w:r>
      <w:r w:rsidR="00EE6D35">
        <w:rPr>
          <w:lang w:eastAsia="en-AU"/>
        </w:rPr>
        <w:t xml:space="preserve"> </w:t>
      </w:r>
      <w:r>
        <w:rPr>
          <w:lang w:eastAsia="en-AU"/>
        </w:rPr>
        <w:t>independent</w:t>
      </w:r>
      <w:r w:rsidR="00EE6D35">
        <w:rPr>
          <w:lang w:eastAsia="en-AU"/>
        </w:rPr>
        <w:t xml:space="preserve"> </w:t>
      </w:r>
      <w:r>
        <w:rPr>
          <w:lang w:eastAsia="en-AU"/>
        </w:rPr>
        <w:t>adult</w:t>
      </w:r>
      <w:r w:rsidR="00EE6D35">
        <w:rPr>
          <w:lang w:eastAsia="en-AU"/>
        </w:rPr>
        <w:t xml:space="preserve"> </w:t>
      </w:r>
      <w:r>
        <w:rPr>
          <w:lang w:eastAsia="en-AU"/>
        </w:rPr>
        <w:t>lives;</w:t>
      </w:r>
      <w:r w:rsidR="00EE6D35">
        <w:rPr>
          <w:lang w:eastAsia="en-AU"/>
        </w:rPr>
        <w:t xml:space="preserve"> </w:t>
      </w:r>
      <w:r>
        <w:rPr>
          <w:lang w:eastAsia="en-AU"/>
        </w:rPr>
        <w:t>helping</w:t>
      </w:r>
      <w:r w:rsidR="00EE6D35">
        <w:rPr>
          <w:lang w:eastAsia="en-AU"/>
        </w:rPr>
        <w:t xml:space="preserve"> </w:t>
      </w:r>
      <w:r>
        <w:rPr>
          <w:lang w:eastAsia="en-AU"/>
        </w:rPr>
        <w:t>them</w:t>
      </w:r>
      <w:r w:rsidR="00EE6D35">
        <w:rPr>
          <w:lang w:eastAsia="en-AU"/>
        </w:rPr>
        <w:t xml:space="preserve"> </w:t>
      </w:r>
      <w:r>
        <w:rPr>
          <w:lang w:eastAsia="en-AU"/>
        </w:rPr>
        <w:t>to</w:t>
      </w:r>
      <w:r w:rsidR="00EE6D35">
        <w:rPr>
          <w:lang w:eastAsia="en-AU"/>
        </w:rPr>
        <w:t xml:space="preserve"> </w:t>
      </w:r>
      <w:r>
        <w:rPr>
          <w:lang w:eastAsia="en-AU"/>
        </w:rPr>
        <w:t>have</w:t>
      </w:r>
      <w:r w:rsidR="00EE6D35">
        <w:rPr>
          <w:lang w:eastAsia="en-AU"/>
        </w:rPr>
        <w:t xml:space="preserve"> </w:t>
      </w:r>
      <w:r>
        <w:rPr>
          <w:lang w:eastAsia="en-AU"/>
        </w:rPr>
        <w:t>an</w:t>
      </w:r>
      <w:r w:rsidR="00EE6D35">
        <w:rPr>
          <w:lang w:eastAsia="en-AU"/>
        </w:rPr>
        <w:t xml:space="preserve"> </w:t>
      </w:r>
      <w:r>
        <w:rPr>
          <w:lang w:eastAsia="en-AU"/>
        </w:rPr>
        <w:t>active</w:t>
      </w:r>
      <w:r w:rsidR="00EE6D35">
        <w:rPr>
          <w:lang w:eastAsia="en-AU"/>
        </w:rPr>
        <w:t xml:space="preserve"> </w:t>
      </w:r>
      <w:r>
        <w:rPr>
          <w:lang w:eastAsia="en-AU"/>
        </w:rPr>
        <w:t>voice</w:t>
      </w:r>
      <w:r w:rsidR="00EE6D35">
        <w:rPr>
          <w:lang w:eastAsia="en-AU"/>
        </w:rPr>
        <w:t xml:space="preserve"> </w:t>
      </w:r>
      <w:r>
        <w:rPr>
          <w:lang w:eastAsia="en-AU"/>
        </w:rPr>
        <w:t>in</w:t>
      </w:r>
      <w:r w:rsidR="00EE6D35">
        <w:rPr>
          <w:lang w:eastAsia="en-AU"/>
        </w:rPr>
        <w:t xml:space="preserve"> </w:t>
      </w:r>
      <w:r>
        <w:rPr>
          <w:lang w:eastAsia="en-AU"/>
        </w:rPr>
        <w:t>decisions</w:t>
      </w:r>
      <w:r w:rsidR="00EE6D35">
        <w:rPr>
          <w:lang w:eastAsia="en-AU"/>
        </w:rPr>
        <w:t xml:space="preserve"> </w:t>
      </w:r>
      <w:r>
        <w:rPr>
          <w:lang w:eastAsia="en-AU"/>
        </w:rPr>
        <w:t>about</w:t>
      </w:r>
      <w:r w:rsidR="00EE6D35">
        <w:rPr>
          <w:lang w:eastAsia="en-AU"/>
        </w:rPr>
        <w:t xml:space="preserve"> </w:t>
      </w:r>
      <w:r>
        <w:rPr>
          <w:lang w:eastAsia="en-AU"/>
        </w:rPr>
        <w:t>their</w:t>
      </w:r>
      <w:r w:rsidR="00EE6D35">
        <w:rPr>
          <w:lang w:eastAsia="en-AU"/>
        </w:rPr>
        <w:t xml:space="preserve"> </w:t>
      </w:r>
      <w:r>
        <w:rPr>
          <w:lang w:eastAsia="en-AU"/>
        </w:rPr>
        <w:t>future</w:t>
      </w:r>
      <w:r w:rsidR="00EE6D35">
        <w:rPr>
          <w:lang w:eastAsia="en-AU"/>
        </w:rPr>
        <w:t xml:space="preserve"> </w:t>
      </w:r>
      <w:r>
        <w:rPr>
          <w:lang w:eastAsia="en-AU"/>
        </w:rPr>
        <w:t>and</w:t>
      </w:r>
      <w:r w:rsidR="00EE6D35">
        <w:rPr>
          <w:lang w:eastAsia="en-AU"/>
        </w:rPr>
        <w:t xml:space="preserve"> </w:t>
      </w:r>
      <w:r>
        <w:rPr>
          <w:lang w:eastAsia="en-AU"/>
        </w:rPr>
        <w:t>guiding</w:t>
      </w:r>
      <w:r w:rsidR="00EE6D35">
        <w:rPr>
          <w:lang w:eastAsia="en-AU"/>
        </w:rPr>
        <w:t xml:space="preserve"> </w:t>
      </w:r>
      <w:r>
        <w:rPr>
          <w:lang w:eastAsia="en-AU"/>
        </w:rPr>
        <w:t>their</w:t>
      </w:r>
      <w:r w:rsidR="00EE6D35">
        <w:rPr>
          <w:lang w:eastAsia="en-AU"/>
        </w:rPr>
        <w:t xml:space="preserve"> </w:t>
      </w:r>
      <w:r>
        <w:rPr>
          <w:lang w:eastAsia="en-AU"/>
        </w:rPr>
        <w:t>transition</w:t>
      </w:r>
      <w:r w:rsidR="00EE6D35">
        <w:rPr>
          <w:lang w:eastAsia="en-AU"/>
        </w:rPr>
        <w:t xml:space="preserve"> </w:t>
      </w:r>
      <w:r>
        <w:rPr>
          <w:lang w:eastAsia="en-AU"/>
        </w:rPr>
        <w:t>to</w:t>
      </w:r>
      <w:r w:rsidR="00EE6D35">
        <w:rPr>
          <w:lang w:eastAsia="en-AU"/>
        </w:rPr>
        <w:t xml:space="preserve"> </w:t>
      </w:r>
      <w:r>
        <w:rPr>
          <w:lang w:eastAsia="en-AU"/>
        </w:rPr>
        <w:t>adulthood</w:t>
      </w:r>
      <w:r w:rsidR="00EE6D35">
        <w:rPr>
          <w:lang w:eastAsia="en-AU"/>
        </w:rPr>
        <w:t xml:space="preserve"> </w:t>
      </w:r>
      <w:r>
        <w:rPr>
          <w:lang w:eastAsia="en-AU"/>
        </w:rPr>
        <w:t>and</w:t>
      </w:r>
      <w:r w:rsidR="00EE6D35">
        <w:rPr>
          <w:lang w:eastAsia="en-AU"/>
        </w:rPr>
        <w:t xml:space="preserve"> </w:t>
      </w:r>
      <w:r>
        <w:rPr>
          <w:lang w:eastAsia="en-AU"/>
        </w:rPr>
        <w:t>independent</w:t>
      </w:r>
      <w:r w:rsidR="00EE6D35">
        <w:rPr>
          <w:lang w:eastAsia="en-AU"/>
        </w:rPr>
        <w:t xml:space="preserve"> </w:t>
      </w:r>
      <w:r>
        <w:rPr>
          <w:lang w:eastAsia="en-AU"/>
        </w:rPr>
        <w:t>living</w:t>
      </w:r>
      <w:r w:rsidR="00EE6D35">
        <w:rPr>
          <w:lang w:eastAsia="en-AU"/>
        </w:rPr>
        <w:t xml:space="preserve"> </w:t>
      </w:r>
      <w:r w:rsidRPr="00F4021B">
        <w:rPr>
          <w:lang w:eastAsia="en-AU"/>
        </w:rPr>
        <w:t>across</w:t>
      </w:r>
      <w:r w:rsidR="00EE6D35">
        <w:rPr>
          <w:lang w:eastAsia="en-AU"/>
        </w:rPr>
        <w:t xml:space="preserve"> </w:t>
      </w:r>
      <w:r w:rsidRPr="00F4021B">
        <w:rPr>
          <w:lang w:eastAsia="en-AU"/>
        </w:rPr>
        <w:t>a</w:t>
      </w:r>
      <w:r w:rsidR="00EE6D35">
        <w:rPr>
          <w:lang w:eastAsia="en-AU"/>
        </w:rPr>
        <w:t xml:space="preserve"> </w:t>
      </w:r>
      <w:r w:rsidRPr="00F4021B">
        <w:rPr>
          <w:lang w:eastAsia="en-AU"/>
        </w:rPr>
        <w:t>range</w:t>
      </w:r>
      <w:r w:rsidR="00EE6D35">
        <w:rPr>
          <w:lang w:eastAsia="en-AU"/>
        </w:rPr>
        <w:t xml:space="preserve"> </w:t>
      </w:r>
      <w:r w:rsidRPr="00F4021B">
        <w:rPr>
          <w:lang w:eastAsia="en-AU"/>
        </w:rPr>
        <w:t>of</w:t>
      </w:r>
      <w:r w:rsidR="00EE6D35">
        <w:rPr>
          <w:lang w:eastAsia="en-AU"/>
        </w:rPr>
        <w:t xml:space="preserve"> </w:t>
      </w:r>
      <w:r w:rsidRPr="00F4021B">
        <w:rPr>
          <w:lang w:eastAsia="en-AU"/>
        </w:rPr>
        <w:t>life</w:t>
      </w:r>
      <w:r w:rsidR="00EE6D35">
        <w:rPr>
          <w:lang w:eastAsia="en-AU"/>
        </w:rPr>
        <w:t xml:space="preserve"> </w:t>
      </w:r>
      <w:r w:rsidRPr="00F4021B">
        <w:rPr>
          <w:lang w:eastAsia="en-AU"/>
        </w:rPr>
        <w:t>areas</w:t>
      </w:r>
      <w:r>
        <w:rPr>
          <w:lang w:eastAsia="en-AU"/>
        </w:rPr>
        <w:t>,</w:t>
      </w:r>
      <w:r w:rsidR="00EE6D35">
        <w:rPr>
          <w:lang w:eastAsia="en-AU"/>
        </w:rPr>
        <w:t xml:space="preserve"> </w:t>
      </w:r>
      <w:r>
        <w:rPr>
          <w:lang w:eastAsia="en-AU"/>
        </w:rPr>
        <w:t>including:</w:t>
      </w:r>
    </w:p>
    <w:p w14:paraId="493F4DC7" w14:textId="77777777" w:rsidR="001B20B3" w:rsidRDefault="001B20B3" w:rsidP="001B20B3">
      <w:pPr>
        <w:pStyle w:val="DHHSbullet1"/>
        <w:numPr>
          <w:ilvl w:val="0"/>
          <w:numId w:val="8"/>
        </w:numPr>
        <w:rPr>
          <w:lang w:eastAsia="en-AU"/>
        </w:rPr>
      </w:pPr>
      <w:r w:rsidRPr="00F4021B">
        <w:rPr>
          <w:lang w:eastAsia="en-AU"/>
        </w:rPr>
        <w:t>housin</w:t>
      </w:r>
      <w:r>
        <w:rPr>
          <w:lang w:eastAsia="en-AU"/>
        </w:rPr>
        <w:t>g</w:t>
      </w:r>
    </w:p>
    <w:p w14:paraId="1C97A882" w14:textId="25459771" w:rsidR="001B20B3" w:rsidRDefault="001B20B3" w:rsidP="001B20B3">
      <w:pPr>
        <w:pStyle w:val="DHHSbullet1"/>
        <w:numPr>
          <w:ilvl w:val="0"/>
          <w:numId w:val="8"/>
        </w:numPr>
        <w:rPr>
          <w:lang w:eastAsia="en-AU"/>
        </w:rPr>
      </w:pPr>
      <w:r w:rsidRPr="00F4021B">
        <w:rPr>
          <w:lang w:eastAsia="en-AU"/>
        </w:rPr>
        <w:t>health</w:t>
      </w:r>
      <w:r w:rsidR="00EE6D35">
        <w:rPr>
          <w:lang w:eastAsia="en-AU"/>
        </w:rPr>
        <w:t xml:space="preserve"> </w:t>
      </w:r>
      <w:r w:rsidRPr="00F4021B">
        <w:rPr>
          <w:lang w:eastAsia="en-AU"/>
        </w:rPr>
        <w:t>and</w:t>
      </w:r>
      <w:r w:rsidR="00EE6D35">
        <w:rPr>
          <w:lang w:eastAsia="en-AU"/>
        </w:rPr>
        <w:t xml:space="preserve"> </w:t>
      </w:r>
      <w:r w:rsidRPr="00F4021B">
        <w:rPr>
          <w:lang w:eastAsia="en-AU"/>
        </w:rPr>
        <w:t>wellbeing</w:t>
      </w:r>
    </w:p>
    <w:p w14:paraId="01283535" w14:textId="77777777" w:rsidR="001B20B3" w:rsidRDefault="001B20B3" w:rsidP="001B20B3">
      <w:pPr>
        <w:pStyle w:val="DHHSbullet1"/>
        <w:numPr>
          <w:ilvl w:val="0"/>
          <w:numId w:val="8"/>
        </w:numPr>
        <w:rPr>
          <w:lang w:eastAsia="en-AU"/>
        </w:rPr>
      </w:pPr>
      <w:r w:rsidRPr="00F4021B">
        <w:rPr>
          <w:lang w:eastAsia="en-AU"/>
        </w:rPr>
        <w:t>education</w:t>
      </w:r>
    </w:p>
    <w:p w14:paraId="7E8DEBA5" w14:textId="198826B9" w:rsidR="001B20B3" w:rsidRDefault="001B20B3" w:rsidP="001B20B3">
      <w:pPr>
        <w:pStyle w:val="DHHSbullet1"/>
        <w:numPr>
          <w:ilvl w:val="0"/>
          <w:numId w:val="8"/>
        </w:numPr>
        <w:rPr>
          <w:lang w:eastAsia="en-AU"/>
        </w:rPr>
      </w:pPr>
      <w:r w:rsidRPr="00F4021B">
        <w:rPr>
          <w:lang w:eastAsia="en-AU"/>
        </w:rPr>
        <w:t>employment,</w:t>
      </w:r>
      <w:r w:rsidR="00EE6D35">
        <w:rPr>
          <w:lang w:eastAsia="en-AU"/>
        </w:rPr>
        <w:t xml:space="preserve"> </w:t>
      </w:r>
      <w:r w:rsidRPr="00F4021B">
        <w:rPr>
          <w:lang w:eastAsia="en-AU"/>
        </w:rPr>
        <w:t>and</w:t>
      </w:r>
      <w:r w:rsidR="00EE6D35">
        <w:rPr>
          <w:lang w:eastAsia="en-AU"/>
        </w:rPr>
        <w:t xml:space="preserve"> </w:t>
      </w:r>
    </w:p>
    <w:p w14:paraId="25961E64" w14:textId="33E7AF2D" w:rsidR="001B20B3" w:rsidRDefault="001B20B3" w:rsidP="001B20B3">
      <w:pPr>
        <w:pStyle w:val="DHHSbullet1"/>
        <w:numPr>
          <w:ilvl w:val="0"/>
          <w:numId w:val="8"/>
        </w:numPr>
        <w:spacing w:after="120"/>
        <w:rPr>
          <w:lang w:eastAsia="en-AU"/>
        </w:rPr>
      </w:pPr>
      <w:r w:rsidRPr="00F4021B">
        <w:rPr>
          <w:lang w:eastAsia="en-AU"/>
        </w:rPr>
        <w:t>community</w:t>
      </w:r>
      <w:r w:rsidR="00EE6D35">
        <w:rPr>
          <w:lang w:eastAsia="en-AU"/>
        </w:rPr>
        <w:t xml:space="preserve"> </w:t>
      </w:r>
      <w:r w:rsidRPr="00F4021B">
        <w:rPr>
          <w:lang w:eastAsia="en-AU"/>
        </w:rPr>
        <w:t>and</w:t>
      </w:r>
      <w:r w:rsidR="00EE6D35">
        <w:rPr>
          <w:lang w:eastAsia="en-AU"/>
        </w:rPr>
        <w:t xml:space="preserve"> </w:t>
      </w:r>
      <w:r w:rsidRPr="00F4021B">
        <w:rPr>
          <w:lang w:eastAsia="en-AU"/>
        </w:rPr>
        <w:t>cultural</w:t>
      </w:r>
      <w:r w:rsidR="00EE6D35">
        <w:rPr>
          <w:lang w:eastAsia="en-AU"/>
        </w:rPr>
        <w:t xml:space="preserve"> </w:t>
      </w:r>
      <w:r w:rsidRPr="00F4021B">
        <w:rPr>
          <w:lang w:eastAsia="en-AU"/>
        </w:rPr>
        <w:t>connections.</w:t>
      </w:r>
      <w:r w:rsidR="00EE6D35">
        <w:rPr>
          <w:lang w:eastAsia="en-AU"/>
        </w:rPr>
        <w:t xml:space="preserve"> </w:t>
      </w:r>
    </w:p>
    <w:p w14:paraId="0B18B4AE" w14:textId="4601FBB4" w:rsidR="001B20B3" w:rsidRPr="002F6FFE" w:rsidRDefault="001B20B3" w:rsidP="001B20B3">
      <w:pPr>
        <w:pStyle w:val="DHHSbody"/>
      </w:pPr>
      <w:r w:rsidRPr="002F6FFE">
        <w:t>Young</w:t>
      </w:r>
      <w:r w:rsidR="00EE6D35">
        <w:t xml:space="preserve"> </w:t>
      </w:r>
      <w:r w:rsidRPr="002F6FFE">
        <w:t>people</w:t>
      </w:r>
      <w:r w:rsidR="00EE6D35">
        <w:t xml:space="preserve"> </w:t>
      </w:r>
      <w:r>
        <w:t>who</w:t>
      </w:r>
      <w:r w:rsidR="00EE6D35">
        <w:t xml:space="preserve"> </w:t>
      </w:r>
      <w:r>
        <w:t>meet</w:t>
      </w:r>
      <w:r w:rsidR="00EE6D35">
        <w:t xml:space="preserve"> </w:t>
      </w:r>
      <w:r>
        <w:t>the</w:t>
      </w:r>
      <w:r w:rsidR="00EE6D35">
        <w:t xml:space="preserve"> </w:t>
      </w:r>
      <w:r>
        <w:t>eligibility</w:t>
      </w:r>
      <w:r w:rsidR="00EE6D35">
        <w:t xml:space="preserve"> </w:t>
      </w:r>
      <w:r>
        <w:t>criteria</w:t>
      </w:r>
      <w:r w:rsidR="00EE6D35">
        <w:t xml:space="preserve"> </w:t>
      </w:r>
      <w:r>
        <w:t>can</w:t>
      </w:r>
      <w:r w:rsidR="00EE6D35">
        <w:t xml:space="preserve"> </w:t>
      </w:r>
      <w:r>
        <w:t>access</w:t>
      </w:r>
      <w:r w:rsidR="00EE6D35">
        <w:t xml:space="preserve"> </w:t>
      </w:r>
      <w:r>
        <w:t>Better</w:t>
      </w:r>
      <w:r w:rsidR="00EE6D35">
        <w:t xml:space="preserve"> </w:t>
      </w:r>
      <w:r>
        <w:t>Futures</w:t>
      </w:r>
      <w:r w:rsidR="00EE6D35">
        <w:t xml:space="preserve"> </w:t>
      </w:r>
      <w:r w:rsidRPr="002F6FFE">
        <w:t>from</w:t>
      </w:r>
      <w:r w:rsidR="00EE6D35">
        <w:t xml:space="preserve"> </w:t>
      </w:r>
      <w:r w:rsidRPr="002F6FFE">
        <w:t>15</w:t>
      </w:r>
      <w:r w:rsidR="00EE6D35">
        <w:t xml:space="preserve"> </w:t>
      </w:r>
      <w:r w:rsidRPr="002F6FFE">
        <w:t>years</w:t>
      </w:r>
      <w:r w:rsidR="00EE6D35">
        <w:t xml:space="preserve"> </w:t>
      </w:r>
      <w:r w:rsidRPr="002F6FFE">
        <w:t>and</w:t>
      </w:r>
      <w:r w:rsidR="00EE6D35">
        <w:t xml:space="preserve"> </w:t>
      </w:r>
      <w:r w:rsidRPr="002F6FFE">
        <w:t>9</w:t>
      </w:r>
      <w:r w:rsidR="00EE6D35">
        <w:t xml:space="preserve"> </w:t>
      </w:r>
      <w:r w:rsidRPr="002F6FFE">
        <w:t>months</w:t>
      </w:r>
      <w:r w:rsidR="00EE6D35">
        <w:t xml:space="preserve"> </w:t>
      </w:r>
      <w:r>
        <w:t>up</w:t>
      </w:r>
      <w:r w:rsidR="00EE6D35">
        <w:t xml:space="preserve"> </w:t>
      </w:r>
      <w:r w:rsidRPr="002F6FFE">
        <w:t>until</w:t>
      </w:r>
      <w:r w:rsidR="00EE6D35">
        <w:t xml:space="preserve"> </w:t>
      </w:r>
      <w:r w:rsidRPr="002F6FFE">
        <w:t>their</w:t>
      </w:r>
      <w:r w:rsidR="00EE6D35">
        <w:t xml:space="preserve"> </w:t>
      </w:r>
      <w:r w:rsidRPr="002F6FFE">
        <w:t>21st</w:t>
      </w:r>
      <w:r w:rsidR="00EE6D35">
        <w:t xml:space="preserve"> </w:t>
      </w:r>
      <w:r w:rsidRPr="002F6FFE">
        <w:t>birthday.</w:t>
      </w:r>
      <w:bookmarkEnd w:id="3"/>
      <w:r w:rsidR="00EE6D35">
        <w:t xml:space="preserve"> </w:t>
      </w:r>
      <w:r>
        <w:t>Better</w:t>
      </w:r>
      <w:r w:rsidR="00EE6D35">
        <w:t xml:space="preserve"> </w:t>
      </w:r>
      <w:r>
        <w:t>Futures</w:t>
      </w:r>
      <w:r w:rsidR="00EE6D35">
        <w:t xml:space="preserve"> </w:t>
      </w:r>
      <w:r>
        <w:t>s</w:t>
      </w:r>
      <w:r w:rsidRPr="002F6FFE">
        <w:t>ervice</w:t>
      </w:r>
      <w:r w:rsidR="00EE6D35">
        <w:t xml:space="preserve"> </w:t>
      </w:r>
      <w:r w:rsidRPr="002F6FFE">
        <w:t>response</w:t>
      </w:r>
      <w:r w:rsidR="00EE6D35">
        <w:t xml:space="preserve"> </w:t>
      </w:r>
      <w:r w:rsidRPr="002F6FFE">
        <w:t>includes:</w:t>
      </w:r>
    </w:p>
    <w:p w14:paraId="4DD81C3A" w14:textId="44E67413" w:rsidR="001B20B3" w:rsidRPr="002F6FFE" w:rsidRDefault="001B20B3" w:rsidP="001B20B3">
      <w:pPr>
        <w:pStyle w:val="DHHSbody"/>
        <w:numPr>
          <w:ilvl w:val="0"/>
          <w:numId w:val="44"/>
        </w:numPr>
      </w:pPr>
      <w:r w:rsidRPr="002F6FFE">
        <w:t>case</w:t>
      </w:r>
      <w:r w:rsidR="00EE6D35">
        <w:t xml:space="preserve"> </w:t>
      </w:r>
      <w:r w:rsidRPr="002F6FFE">
        <w:t>work</w:t>
      </w:r>
      <w:r w:rsidR="00EE6D35">
        <w:t xml:space="preserve"> </w:t>
      </w:r>
      <w:r w:rsidRPr="002F6FFE">
        <w:t>support</w:t>
      </w:r>
      <w:r w:rsidR="00EE6D35">
        <w:t xml:space="preserve"> </w:t>
      </w:r>
      <w:r w:rsidRPr="002F6FFE">
        <w:t>(levels</w:t>
      </w:r>
      <w:r w:rsidR="00EE6D35">
        <w:t xml:space="preserve"> </w:t>
      </w:r>
      <w:r w:rsidRPr="002F6FFE">
        <w:t>of</w:t>
      </w:r>
      <w:r w:rsidR="00EE6D35">
        <w:t xml:space="preserve"> </w:t>
      </w:r>
      <w:r w:rsidRPr="002F6FFE">
        <w:t>support</w:t>
      </w:r>
      <w:r w:rsidR="00EE6D35">
        <w:t xml:space="preserve"> </w:t>
      </w:r>
      <w:r w:rsidRPr="002F6FFE">
        <w:t>will</w:t>
      </w:r>
      <w:r w:rsidR="00EE6D35">
        <w:t xml:space="preserve"> </w:t>
      </w:r>
      <w:r w:rsidRPr="002F6FFE">
        <w:t>flex</w:t>
      </w:r>
      <w:r w:rsidR="00EE6D35">
        <w:t xml:space="preserve"> </w:t>
      </w:r>
      <w:r w:rsidRPr="002F6FFE">
        <w:t>up</w:t>
      </w:r>
      <w:r w:rsidR="00EE6D35">
        <w:t xml:space="preserve"> </w:t>
      </w:r>
      <w:r w:rsidRPr="002F6FFE">
        <w:t>and</w:t>
      </w:r>
      <w:r w:rsidR="00EE6D35">
        <w:t xml:space="preserve"> </w:t>
      </w:r>
      <w:r w:rsidRPr="002F6FFE">
        <w:t>down</w:t>
      </w:r>
      <w:r w:rsidR="00EE6D35">
        <w:t xml:space="preserve"> </w:t>
      </w:r>
      <w:r w:rsidRPr="002F6FFE">
        <w:t>according</w:t>
      </w:r>
      <w:r w:rsidR="00EE6D35">
        <w:t xml:space="preserve"> </w:t>
      </w:r>
      <w:r w:rsidRPr="002F6FFE">
        <w:t>to</w:t>
      </w:r>
      <w:r w:rsidR="00EE6D35">
        <w:t xml:space="preserve"> </w:t>
      </w:r>
      <w:r w:rsidRPr="002F6FFE">
        <w:t>their</w:t>
      </w:r>
      <w:r w:rsidR="00EE6D35">
        <w:t xml:space="preserve"> </w:t>
      </w:r>
      <w:r w:rsidRPr="002F6FFE">
        <w:t>needs,</w:t>
      </w:r>
      <w:r w:rsidR="00EE6D35">
        <w:t xml:space="preserve"> </w:t>
      </w:r>
      <w:r w:rsidRPr="002F6FFE">
        <w:t>existing</w:t>
      </w:r>
      <w:r w:rsidR="00EE6D35">
        <w:t xml:space="preserve"> </w:t>
      </w:r>
      <w:r w:rsidRPr="002F6FFE">
        <w:t>support</w:t>
      </w:r>
      <w:r w:rsidR="00EE6D35">
        <w:t xml:space="preserve"> </w:t>
      </w:r>
      <w:r w:rsidRPr="002F6FFE">
        <w:t>networks</w:t>
      </w:r>
      <w:r w:rsidR="00EE6D35">
        <w:t xml:space="preserve"> </w:t>
      </w:r>
      <w:r w:rsidRPr="002F6FFE">
        <w:t>and</w:t>
      </w:r>
      <w:r w:rsidR="00EE6D35">
        <w:t xml:space="preserve"> </w:t>
      </w:r>
      <w:r w:rsidRPr="002F6FFE">
        <w:t>the</w:t>
      </w:r>
      <w:r w:rsidR="00EE6D35">
        <w:t xml:space="preserve"> </w:t>
      </w:r>
      <w:r w:rsidRPr="002F6FFE">
        <w:t>transition</w:t>
      </w:r>
      <w:r w:rsidR="00EE6D35">
        <w:t xml:space="preserve"> </w:t>
      </w:r>
      <w:r w:rsidRPr="002F6FFE">
        <w:t>goals</w:t>
      </w:r>
      <w:r w:rsidR="00EE6D35">
        <w:t xml:space="preserve"> </w:t>
      </w:r>
      <w:r w:rsidRPr="002F6FFE">
        <w:t>identified)</w:t>
      </w:r>
    </w:p>
    <w:p w14:paraId="76BFAC91" w14:textId="5D042570" w:rsidR="001B20B3" w:rsidRPr="002F6FFE" w:rsidRDefault="001B20B3" w:rsidP="001B20B3">
      <w:pPr>
        <w:pStyle w:val="DHHSbody"/>
        <w:numPr>
          <w:ilvl w:val="0"/>
          <w:numId w:val="44"/>
        </w:numPr>
      </w:pPr>
      <w:r w:rsidRPr="002F6FFE">
        <w:t>information</w:t>
      </w:r>
      <w:r w:rsidR="00EE6D35">
        <w:t xml:space="preserve"> </w:t>
      </w:r>
      <w:r w:rsidRPr="002F6FFE">
        <w:t>and</w:t>
      </w:r>
      <w:r w:rsidR="00EE6D35">
        <w:t xml:space="preserve"> </w:t>
      </w:r>
      <w:r w:rsidRPr="002F6FFE">
        <w:t>advice</w:t>
      </w:r>
    </w:p>
    <w:p w14:paraId="324C2C2A" w14:textId="13EF71B4" w:rsidR="001B20B3" w:rsidRPr="002F6FFE" w:rsidRDefault="001B20B3" w:rsidP="001B20B3">
      <w:pPr>
        <w:pStyle w:val="DHHSbody"/>
        <w:numPr>
          <w:ilvl w:val="0"/>
          <w:numId w:val="44"/>
        </w:numPr>
      </w:pPr>
      <w:r w:rsidRPr="002F6FFE">
        <w:t>access</w:t>
      </w:r>
      <w:r w:rsidR="00EE6D35">
        <w:t xml:space="preserve"> </w:t>
      </w:r>
      <w:r w:rsidRPr="002F6FFE">
        <w:t>to</w:t>
      </w:r>
      <w:r w:rsidR="00EE6D35">
        <w:t xml:space="preserve"> </w:t>
      </w:r>
      <w:r w:rsidRPr="002F6FFE">
        <w:t>flexible</w:t>
      </w:r>
      <w:r w:rsidR="00EE6D35">
        <w:t xml:space="preserve"> </w:t>
      </w:r>
      <w:r w:rsidRPr="002F6FFE">
        <w:t>funding</w:t>
      </w:r>
      <w:r w:rsidR="00EE6D35">
        <w:t xml:space="preserve"> </w:t>
      </w:r>
      <w:r>
        <w:t>(</w:t>
      </w:r>
      <w:r w:rsidRPr="002F6FFE">
        <w:t>to</w:t>
      </w:r>
      <w:r w:rsidR="00EE6D35">
        <w:t xml:space="preserve"> </w:t>
      </w:r>
      <w:r w:rsidRPr="002F6FFE">
        <w:t>facilitate</w:t>
      </w:r>
      <w:r w:rsidR="00EE6D35">
        <w:t xml:space="preserve"> </w:t>
      </w:r>
      <w:r w:rsidRPr="002F6FFE">
        <w:t>the</w:t>
      </w:r>
      <w:r w:rsidR="00EE6D35">
        <w:t xml:space="preserve"> </w:t>
      </w:r>
      <w:r w:rsidRPr="002F6FFE">
        <w:t>young</w:t>
      </w:r>
      <w:r w:rsidR="00EE6D35">
        <w:t xml:space="preserve"> </w:t>
      </w:r>
      <w:r w:rsidRPr="002F6FFE">
        <w:t>person’s</w:t>
      </w:r>
      <w:r w:rsidR="00EE6D35">
        <w:t xml:space="preserve"> </w:t>
      </w:r>
      <w:r w:rsidRPr="002F6FFE">
        <w:t>access</w:t>
      </w:r>
      <w:r w:rsidR="00EE6D35">
        <w:t xml:space="preserve"> </w:t>
      </w:r>
      <w:r w:rsidRPr="002F6FFE">
        <w:t>to</w:t>
      </w:r>
      <w:r w:rsidR="00EE6D35">
        <w:t xml:space="preserve"> </w:t>
      </w:r>
      <w:r w:rsidRPr="002F6FFE">
        <w:t>housing,</w:t>
      </w:r>
      <w:r w:rsidR="00EE6D35">
        <w:t xml:space="preserve"> </w:t>
      </w:r>
      <w:r w:rsidRPr="002F6FFE">
        <w:t>education,</w:t>
      </w:r>
      <w:r w:rsidR="00EE6D35">
        <w:t xml:space="preserve"> </w:t>
      </w:r>
      <w:r w:rsidRPr="002F6FFE">
        <w:t>employment,</w:t>
      </w:r>
      <w:r w:rsidR="00EE6D35">
        <w:t xml:space="preserve"> </w:t>
      </w:r>
      <w:r w:rsidRPr="002F6FFE">
        <w:t>health</w:t>
      </w:r>
      <w:r w:rsidR="00EE6D35">
        <w:t xml:space="preserve"> </w:t>
      </w:r>
      <w:r w:rsidRPr="002F6FFE">
        <w:t>and</w:t>
      </w:r>
      <w:r w:rsidR="00EE6D35">
        <w:t xml:space="preserve"> </w:t>
      </w:r>
      <w:r w:rsidRPr="002F6FFE">
        <w:t>wellbeing</w:t>
      </w:r>
      <w:r w:rsidR="00EE6D35">
        <w:t xml:space="preserve"> </w:t>
      </w:r>
      <w:r w:rsidRPr="002F6FFE">
        <w:t>support</w:t>
      </w:r>
      <w:r>
        <w:t>)</w:t>
      </w:r>
    </w:p>
    <w:p w14:paraId="2F4719E8" w14:textId="1EA53ADA" w:rsidR="001B20B3" w:rsidRPr="002F6FFE" w:rsidRDefault="001B20B3" w:rsidP="001B20B3">
      <w:pPr>
        <w:pStyle w:val="DHHSbody"/>
        <w:numPr>
          <w:ilvl w:val="0"/>
          <w:numId w:val="44"/>
        </w:numPr>
      </w:pPr>
      <w:r w:rsidRPr="002F6FFE">
        <w:t>community</w:t>
      </w:r>
      <w:r w:rsidR="00EE6D35">
        <w:t xml:space="preserve"> </w:t>
      </w:r>
      <w:r w:rsidRPr="002F6FFE">
        <w:t>connections,</w:t>
      </w:r>
      <w:r w:rsidR="00EE6D35">
        <w:t xml:space="preserve"> </w:t>
      </w:r>
      <w:r w:rsidRPr="002F6FFE">
        <w:t>and</w:t>
      </w:r>
    </w:p>
    <w:p w14:paraId="55B99A2B" w14:textId="0A3BCFFA" w:rsidR="001B20B3" w:rsidRDefault="001B20B3" w:rsidP="001B20B3">
      <w:pPr>
        <w:pStyle w:val="DHHSbody"/>
        <w:numPr>
          <w:ilvl w:val="0"/>
          <w:numId w:val="44"/>
        </w:numPr>
      </w:pPr>
      <w:r w:rsidRPr="002F6FFE">
        <w:t>Home</w:t>
      </w:r>
      <w:r w:rsidR="00EE6D35">
        <w:t xml:space="preserve"> </w:t>
      </w:r>
      <w:r w:rsidRPr="002F6FFE">
        <w:t>Stretch.</w:t>
      </w:r>
    </w:p>
    <w:p w14:paraId="4C5C4900" w14:textId="49CCB3E7" w:rsidR="001B20B3" w:rsidRDefault="001B20B3" w:rsidP="001B20B3">
      <w:pPr>
        <w:pStyle w:val="DHHSbody"/>
      </w:pPr>
      <w:r>
        <w:t>Better</w:t>
      </w:r>
      <w:r w:rsidR="00EE6D35">
        <w:t xml:space="preserve"> </w:t>
      </w:r>
      <w:r>
        <w:t>Futures</w:t>
      </w:r>
      <w:r w:rsidR="00EE6D35">
        <w:t xml:space="preserve"> </w:t>
      </w:r>
      <w:r>
        <w:t>service</w:t>
      </w:r>
      <w:r w:rsidR="00EE6D35">
        <w:t xml:space="preserve"> </w:t>
      </w:r>
      <w:r>
        <w:t>delivery</w:t>
      </w:r>
      <w:r w:rsidR="00EE6D35">
        <w:t xml:space="preserve"> </w:t>
      </w:r>
      <w:r>
        <w:t>is</w:t>
      </w:r>
      <w:r w:rsidR="00EE6D35">
        <w:t xml:space="preserve"> </w:t>
      </w:r>
      <w:r>
        <w:t>monitored</w:t>
      </w:r>
      <w:r w:rsidR="00EE6D35">
        <w:t xml:space="preserve"> </w:t>
      </w:r>
      <w:r>
        <w:t>through</w:t>
      </w:r>
      <w:r w:rsidR="00EE6D35">
        <w:t xml:space="preserve"> </w:t>
      </w:r>
      <w:r>
        <w:t>a</w:t>
      </w:r>
      <w:r w:rsidR="00EE6D35">
        <w:t xml:space="preserve"> </w:t>
      </w:r>
      <w:r>
        <w:t>range</w:t>
      </w:r>
      <w:r w:rsidR="00EE6D35">
        <w:t xml:space="preserve"> </w:t>
      </w:r>
      <w:r>
        <w:t>of</w:t>
      </w:r>
      <w:r w:rsidR="00EE6D35">
        <w:t xml:space="preserve"> </w:t>
      </w:r>
      <w:r>
        <w:t>targeted</w:t>
      </w:r>
      <w:r w:rsidR="00EE6D35">
        <w:t xml:space="preserve"> </w:t>
      </w:r>
      <w:r>
        <w:t>‘activities’</w:t>
      </w:r>
      <w:r w:rsidR="00EE6D35">
        <w:t xml:space="preserve"> </w:t>
      </w:r>
      <w:r>
        <w:t>specific</w:t>
      </w:r>
      <w:r w:rsidR="00EE6D35">
        <w:t xml:space="preserve"> </w:t>
      </w:r>
      <w:r>
        <w:t>to</w:t>
      </w:r>
      <w:r w:rsidR="00EE6D35">
        <w:t xml:space="preserve"> </w:t>
      </w:r>
      <w:r>
        <w:t>Better</w:t>
      </w:r>
      <w:r w:rsidR="00EE6D35">
        <w:t xml:space="preserve"> </w:t>
      </w:r>
      <w:r>
        <w:t>Futures</w:t>
      </w:r>
      <w:r w:rsidR="00EE6D35">
        <w:t xml:space="preserve"> </w:t>
      </w:r>
      <w:r>
        <w:t>program</w:t>
      </w:r>
      <w:r w:rsidR="00EE6D35">
        <w:t xml:space="preserve"> </w:t>
      </w:r>
      <w:r>
        <w:t>delivery.</w:t>
      </w:r>
      <w:r w:rsidR="00EE6D35">
        <w:t xml:space="preserve"> </w:t>
      </w:r>
    </w:p>
    <w:p w14:paraId="0B6955A0" w14:textId="14DFD7E3" w:rsidR="001B20B3" w:rsidRDefault="001B20B3" w:rsidP="001B20B3">
      <w:pPr>
        <w:pStyle w:val="DHHSbody"/>
      </w:pPr>
      <w:r>
        <w:rPr>
          <w:rFonts w:eastAsia="Calibri"/>
        </w:rPr>
        <w:t>For</w:t>
      </w:r>
      <w:r w:rsidR="00EE6D35">
        <w:rPr>
          <w:rFonts w:eastAsia="Calibri"/>
        </w:rPr>
        <w:t xml:space="preserve"> </w:t>
      </w:r>
      <w:r>
        <w:rPr>
          <w:rFonts w:eastAsia="Calibri"/>
        </w:rPr>
        <w:t>more</w:t>
      </w:r>
      <w:r w:rsidR="00EE6D35">
        <w:rPr>
          <w:rFonts w:eastAsia="Calibri"/>
        </w:rPr>
        <w:t xml:space="preserve"> </w:t>
      </w:r>
      <w:r>
        <w:rPr>
          <w:rFonts w:eastAsia="Calibri"/>
        </w:rPr>
        <w:t>information</w:t>
      </w:r>
      <w:r w:rsidR="00EE6D35">
        <w:rPr>
          <w:rFonts w:eastAsia="Calibri"/>
        </w:rPr>
        <w:t xml:space="preserve"> </w:t>
      </w:r>
      <w:r>
        <w:rPr>
          <w:rFonts w:eastAsia="Calibri"/>
        </w:rPr>
        <w:t>about</w:t>
      </w:r>
      <w:r w:rsidR="00EE6D35">
        <w:rPr>
          <w:rFonts w:eastAsia="Calibri"/>
        </w:rPr>
        <w:t xml:space="preserve"> </w:t>
      </w:r>
      <w:r>
        <w:rPr>
          <w:rFonts w:eastAsia="Calibri"/>
        </w:rPr>
        <w:t>the</w:t>
      </w:r>
      <w:r w:rsidR="00EE6D35">
        <w:rPr>
          <w:rFonts w:eastAsia="Calibri"/>
        </w:rPr>
        <w:t xml:space="preserve"> </w:t>
      </w:r>
      <w:r>
        <w:rPr>
          <w:rFonts w:eastAsia="Calibri"/>
        </w:rPr>
        <w:t>Better</w:t>
      </w:r>
      <w:r w:rsidR="00EE6D35">
        <w:rPr>
          <w:rFonts w:eastAsia="Calibri"/>
        </w:rPr>
        <w:t xml:space="preserve"> </w:t>
      </w:r>
      <w:r>
        <w:rPr>
          <w:rFonts w:eastAsia="Calibri"/>
        </w:rPr>
        <w:t>Futures</w:t>
      </w:r>
      <w:r w:rsidR="00EE6D35">
        <w:rPr>
          <w:rFonts w:eastAsia="Calibri"/>
        </w:rPr>
        <w:t xml:space="preserve"> </w:t>
      </w:r>
      <w:r>
        <w:rPr>
          <w:rFonts w:eastAsia="Calibri"/>
        </w:rPr>
        <w:t>model,</w:t>
      </w:r>
      <w:r w:rsidR="00EE6D35">
        <w:rPr>
          <w:rFonts w:eastAsia="Calibri"/>
        </w:rPr>
        <w:t xml:space="preserve"> </w:t>
      </w:r>
      <w:r>
        <w:rPr>
          <w:rFonts w:eastAsia="Calibri"/>
        </w:rPr>
        <w:t>refer</w:t>
      </w:r>
      <w:r w:rsidR="00EE6D35">
        <w:rPr>
          <w:rFonts w:eastAsia="Calibri"/>
        </w:rPr>
        <w:t xml:space="preserve"> </w:t>
      </w:r>
      <w:r>
        <w:rPr>
          <w:rFonts w:eastAsia="Calibri"/>
        </w:rPr>
        <w:t>to</w:t>
      </w:r>
      <w:r w:rsidR="00EE6D35">
        <w:rPr>
          <w:rFonts w:eastAsia="Calibri"/>
        </w:rPr>
        <w:t xml:space="preserve"> </w:t>
      </w:r>
      <w:r>
        <w:rPr>
          <w:rFonts w:eastAsia="Calibri"/>
        </w:rPr>
        <w:t>relevant</w:t>
      </w:r>
      <w:r w:rsidR="00EE6D35">
        <w:rPr>
          <w:rFonts w:eastAsia="Calibri"/>
        </w:rPr>
        <w:t xml:space="preserve"> </w:t>
      </w:r>
      <w:r>
        <w:rPr>
          <w:rFonts w:eastAsia="Calibri"/>
        </w:rPr>
        <w:t>practice</w:t>
      </w:r>
      <w:r w:rsidR="00EE6D35">
        <w:rPr>
          <w:rFonts w:eastAsia="Calibri"/>
        </w:rPr>
        <w:t xml:space="preserve"> </w:t>
      </w:r>
      <w:r>
        <w:rPr>
          <w:rFonts w:eastAsia="Calibri"/>
        </w:rPr>
        <w:t>advice</w:t>
      </w:r>
      <w:r w:rsidR="00EE6D35">
        <w:rPr>
          <w:rFonts w:eastAsia="Calibri"/>
        </w:rPr>
        <w:t xml:space="preserve"> </w:t>
      </w:r>
      <w:r>
        <w:rPr>
          <w:rFonts w:eastAsia="Calibri"/>
        </w:rPr>
        <w:t>and</w:t>
      </w:r>
      <w:r w:rsidR="00EE6D35">
        <w:rPr>
          <w:rFonts w:eastAsia="Calibri"/>
        </w:rPr>
        <w:t xml:space="preserve"> </w:t>
      </w:r>
      <w:r>
        <w:rPr>
          <w:rFonts w:eastAsia="Calibri"/>
        </w:rPr>
        <w:t>published</w:t>
      </w:r>
      <w:r w:rsidR="00EE6D35">
        <w:rPr>
          <w:rFonts w:eastAsia="Calibri"/>
        </w:rPr>
        <w:t xml:space="preserve"> </w:t>
      </w:r>
      <w:r>
        <w:rPr>
          <w:rFonts w:eastAsia="Calibri"/>
        </w:rPr>
        <w:t>documentation</w:t>
      </w:r>
      <w:r w:rsidR="00EE6D35">
        <w:rPr>
          <w:rFonts w:eastAsia="Calibri"/>
        </w:rPr>
        <w:t xml:space="preserve"> </w:t>
      </w:r>
      <w:r>
        <w:rPr>
          <w:rFonts w:eastAsia="Calibri"/>
        </w:rPr>
        <w:t>available</w:t>
      </w:r>
      <w:r w:rsidR="00EE6D35">
        <w:rPr>
          <w:rFonts w:eastAsia="Calibri"/>
        </w:rPr>
        <w:t xml:space="preserve"> </w:t>
      </w:r>
      <w:r>
        <w:rPr>
          <w:rFonts w:eastAsia="Calibri"/>
        </w:rPr>
        <w:t>at</w:t>
      </w:r>
      <w:r w:rsidR="00EE6D35">
        <w:rPr>
          <w:rFonts w:eastAsia="Calibri"/>
        </w:rPr>
        <w:t xml:space="preserve"> </w:t>
      </w:r>
      <w:hyperlink r:id="rId20" w:history="1">
        <w:r w:rsidRPr="0040212A">
          <w:rPr>
            <w:rStyle w:val="Hyperlink"/>
            <w:rFonts w:eastAsia="Calibri"/>
          </w:rPr>
          <w:t>providers.dffh.vic.gov.au/better-futures</w:t>
        </w:r>
      </w:hyperlink>
      <w:r w:rsidR="00410C81">
        <w:rPr>
          <w:rStyle w:val="Hyperlink"/>
          <w:rFonts w:eastAsia="Calibri"/>
        </w:rPr>
        <w:t xml:space="preserve"> </w:t>
      </w:r>
      <w:r>
        <w:rPr>
          <w:rFonts w:eastAsia="Calibri"/>
        </w:rPr>
        <w:t>&lt;</w:t>
      </w:r>
      <w:r w:rsidRPr="00D61D81">
        <w:rPr>
          <w:rFonts w:eastAsia="Calibri"/>
        </w:rPr>
        <w:t>https://providers.dffh.vic.gov.au/better-futures</w:t>
      </w:r>
      <w:r w:rsidRPr="00633ADC">
        <w:t>&gt;</w:t>
      </w:r>
    </w:p>
    <w:p w14:paraId="63069FAF" w14:textId="77777777" w:rsidR="001B20B3" w:rsidRPr="00644394" w:rsidRDefault="001B20B3" w:rsidP="001B20B3">
      <w:pPr>
        <w:pStyle w:val="Heading1"/>
      </w:pPr>
      <w:bookmarkStart w:id="4" w:name="_Toc89733716"/>
      <w:bookmarkStart w:id="5" w:name="_Toc91146862"/>
      <w:r w:rsidRPr="00644394">
        <w:t>Purpose</w:t>
      </w:r>
      <w:bookmarkEnd w:id="4"/>
      <w:bookmarkEnd w:id="5"/>
    </w:p>
    <w:p w14:paraId="1028DE22" w14:textId="3DC649C2" w:rsidR="001B20B3" w:rsidRPr="00201CDB" w:rsidRDefault="001B20B3" w:rsidP="001B20B3">
      <w:pPr>
        <w:pStyle w:val="DHHSbody"/>
      </w:pPr>
      <w:bookmarkStart w:id="6" w:name="_Hlk27427925"/>
      <w:r w:rsidRPr="00201CDB">
        <w:t>Better</w:t>
      </w:r>
      <w:r w:rsidR="00EE6D35">
        <w:t xml:space="preserve"> </w:t>
      </w:r>
      <w:r w:rsidRPr="00201CDB">
        <w:t>Futures</w:t>
      </w:r>
      <w:r w:rsidR="00EE6D35">
        <w:t xml:space="preserve"> </w:t>
      </w:r>
      <w:r w:rsidRPr="00201CDB">
        <w:t>is</w:t>
      </w:r>
      <w:r w:rsidR="00EE6D35">
        <w:t xml:space="preserve"> </w:t>
      </w:r>
      <w:r w:rsidRPr="00201CDB">
        <w:t>a</w:t>
      </w:r>
      <w:r w:rsidR="00EE6D35">
        <w:t xml:space="preserve"> </w:t>
      </w:r>
      <w:r w:rsidRPr="00201CDB">
        <w:t>service</w:t>
      </w:r>
      <w:r w:rsidR="00EE6D35">
        <w:t xml:space="preserve"> </w:t>
      </w:r>
      <w:r w:rsidRPr="00201CDB">
        <w:t>and</w:t>
      </w:r>
      <w:r w:rsidR="00EE6D35">
        <w:t xml:space="preserve"> </w:t>
      </w:r>
      <w:r w:rsidRPr="00201CDB">
        <w:t>practice</w:t>
      </w:r>
      <w:r w:rsidR="00EE6D35">
        <w:t xml:space="preserve"> </w:t>
      </w:r>
      <w:r w:rsidRPr="00201CDB">
        <w:t>model</w:t>
      </w:r>
      <w:r w:rsidR="00EE6D35">
        <w:t xml:space="preserve"> </w:t>
      </w:r>
      <w:r w:rsidRPr="00201CDB">
        <w:t>designed</w:t>
      </w:r>
      <w:r w:rsidR="00EE6D35">
        <w:t xml:space="preserve"> </w:t>
      </w:r>
      <w:r w:rsidRPr="00201CDB">
        <w:t>to</w:t>
      </w:r>
      <w:r w:rsidR="00EE6D35">
        <w:t xml:space="preserve"> </w:t>
      </w:r>
      <w:r w:rsidRPr="00201CDB">
        <w:t>improve</w:t>
      </w:r>
      <w:r w:rsidR="00EE6D35">
        <w:t xml:space="preserve"> </w:t>
      </w:r>
      <w:r w:rsidRPr="00201CDB">
        <w:t>outcomes</w:t>
      </w:r>
      <w:r w:rsidR="00EE6D35">
        <w:t xml:space="preserve"> </w:t>
      </w:r>
      <w:r w:rsidRPr="00201CDB">
        <w:t>for</w:t>
      </w:r>
      <w:r w:rsidR="00EE6D35">
        <w:t xml:space="preserve"> </w:t>
      </w:r>
      <w:r w:rsidRPr="00201CDB">
        <w:t>young</w:t>
      </w:r>
      <w:r w:rsidR="00EE6D35">
        <w:t xml:space="preserve"> </w:t>
      </w:r>
      <w:r w:rsidRPr="00201CDB">
        <w:t>people</w:t>
      </w:r>
      <w:r w:rsidR="00EE6D35">
        <w:t xml:space="preserve"> </w:t>
      </w:r>
      <w:r w:rsidRPr="00201CDB">
        <w:t>transitioning</w:t>
      </w:r>
      <w:r w:rsidR="00EE6D35">
        <w:t xml:space="preserve"> </w:t>
      </w:r>
      <w:r w:rsidRPr="00201CDB">
        <w:t>from</w:t>
      </w:r>
      <w:r w:rsidR="00EE6D35">
        <w:t xml:space="preserve"> </w:t>
      </w:r>
      <w:r w:rsidRPr="00201CDB">
        <w:t>care</w:t>
      </w:r>
      <w:r w:rsidR="00EE6D35">
        <w:t xml:space="preserve"> </w:t>
      </w:r>
      <w:r w:rsidRPr="00201CDB">
        <w:t>to</w:t>
      </w:r>
      <w:r w:rsidR="00EE6D35">
        <w:t xml:space="preserve"> </w:t>
      </w:r>
      <w:r w:rsidRPr="00201CDB">
        <w:t>supported</w:t>
      </w:r>
      <w:r w:rsidR="00EE6D35">
        <w:t xml:space="preserve"> </w:t>
      </w:r>
      <w:r w:rsidRPr="00201CDB">
        <w:t>independence,</w:t>
      </w:r>
      <w:r w:rsidR="00EE6D35">
        <w:t xml:space="preserve"> </w:t>
      </w:r>
      <w:r w:rsidRPr="00201CDB">
        <w:t>up</w:t>
      </w:r>
      <w:r w:rsidR="00EE6D35">
        <w:t xml:space="preserve"> </w:t>
      </w:r>
      <w:r w:rsidRPr="00201CDB">
        <w:t>to</w:t>
      </w:r>
      <w:r w:rsidR="00EE6D35">
        <w:t xml:space="preserve"> </w:t>
      </w:r>
      <w:r w:rsidRPr="00201CDB">
        <w:t>the</w:t>
      </w:r>
      <w:r w:rsidR="00EE6D35">
        <w:t xml:space="preserve"> </w:t>
      </w:r>
      <w:r w:rsidRPr="00201CDB">
        <w:t>age</w:t>
      </w:r>
      <w:r w:rsidR="00EE6D35">
        <w:t xml:space="preserve"> </w:t>
      </w:r>
      <w:r w:rsidRPr="00201CDB">
        <w:t>of</w:t>
      </w:r>
      <w:r w:rsidR="00EE6D35">
        <w:t xml:space="preserve"> </w:t>
      </w:r>
      <w:r w:rsidRPr="00201CDB">
        <w:t>21.</w:t>
      </w:r>
      <w:r w:rsidR="00EE6D35">
        <w:t xml:space="preserve"> </w:t>
      </w:r>
      <w:r w:rsidRPr="00201CDB">
        <w:t>It</w:t>
      </w:r>
      <w:r w:rsidR="00EE6D35">
        <w:t xml:space="preserve"> </w:t>
      </w:r>
      <w:r w:rsidRPr="00201CDB">
        <w:t>is</w:t>
      </w:r>
      <w:r w:rsidR="00EE6D35">
        <w:t xml:space="preserve"> </w:t>
      </w:r>
      <w:r w:rsidRPr="00201CDB">
        <w:t>guided</w:t>
      </w:r>
      <w:r w:rsidR="00EE6D35">
        <w:t xml:space="preserve"> </w:t>
      </w:r>
      <w:r w:rsidRPr="00201CDB">
        <w:t>by</w:t>
      </w:r>
      <w:r w:rsidR="00EE6D35">
        <w:t xml:space="preserve"> </w:t>
      </w:r>
      <w:r w:rsidRPr="00201CDB">
        <w:t>a</w:t>
      </w:r>
      <w:r w:rsidR="00EE6D35">
        <w:t xml:space="preserve"> </w:t>
      </w:r>
      <w:r w:rsidRPr="00201CDB">
        <w:t>Better</w:t>
      </w:r>
      <w:r w:rsidR="00EE6D35">
        <w:t xml:space="preserve"> </w:t>
      </w:r>
      <w:r w:rsidRPr="00201CDB">
        <w:t>Futures</w:t>
      </w:r>
      <w:r w:rsidR="00EE6D35">
        <w:t xml:space="preserve"> </w:t>
      </w:r>
      <w:r w:rsidRPr="00201CDB">
        <w:t>(Advantaged</w:t>
      </w:r>
      <w:r w:rsidR="00EE6D35">
        <w:t xml:space="preserve"> </w:t>
      </w:r>
      <w:r w:rsidRPr="00201CDB">
        <w:t>Thinking)</w:t>
      </w:r>
      <w:r w:rsidR="00EE6D35">
        <w:t xml:space="preserve"> </w:t>
      </w:r>
      <w:r w:rsidRPr="00201CDB">
        <w:t>practice</w:t>
      </w:r>
      <w:r w:rsidR="00EE6D35">
        <w:t xml:space="preserve"> </w:t>
      </w:r>
      <w:r w:rsidRPr="00201CDB">
        <w:t>framework</w:t>
      </w:r>
      <w:r w:rsidR="00EE6D35">
        <w:t xml:space="preserve"> </w:t>
      </w:r>
      <w:r w:rsidRPr="00201CDB">
        <w:t>and</w:t>
      </w:r>
      <w:r w:rsidR="00EE6D35">
        <w:t xml:space="preserve"> </w:t>
      </w:r>
      <w:r w:rsidRPr="00201CDB">
        <w:t>support</w:t>
      </w:r>
      <w:r w:rsidR="00EE6D35">
        <w:t xml:space="preserve"> </w:t>
      </w:r>
      <w:r w:rsidRPr="00201CDB">
        <w:t>is</w:t>
      </w:r>
      <w:r w:rsidR="00EE6D35">
        <w:t xml:space="preserve"> </w:t>
      </w:r>
      <w:r w:rsidRPr="00201CDB">
        <w:t>tailored</w:t>
      </w:r>
      <w:r w:rsidR="00EE6D35">
        <w:t xml:space="preserve"> </w:t>
      </w:r>
      <w:r w:rsidRPr="00201CDB">
        <w:t>to</w:t>
      </w:r>
      <w:r w:rsidR="00EE6D35">
        <w:t xml:space="preserve"> </w:t>
      </w:r>
      <w:r w:rsidRPr="00201CDB">
        <w:t>meet</w:t>
      </w:r>
      <w:r w:rsidR="00EE6D35">
        <w:t xml:space="preserve"> </w:t>
      </w:r>
      <w:r w:rsidRPr="00201CDB">
        <w:t>the</w:t>
      </w:r>
      <w:r w:rsidR="00EE6D35">
        <w:t xml:space="preserve"> </w:t>
      </w:r>
      <w:r w:rsidRPr="00201CDB">
        <w:t>individual</w:t>
      </w:r>
      <w:r w:rsidR="00EE6D35">
        <w:t xml:space="preserve"> </w:t>
      </w:r>
      <w:r w:rsidRPr="00201CDB">
        <w:t>needs</w:t>
      </w:r>
      <w:r w:rsidR="00EE6D35">
        <w:t xml:space="preserve"> </w:t>
      </w:r>
      <w:r w:rsidRPr="00201CDB">
        <w:t>of</w:t>
      </w:r>
      <w:r w:rsidR="00EE6D35">
        <w:t xml:space="preserve"> </w:t>
      </w:r>
      <w:r w:rsidRPr="00201CDB">
        <w:t>young</w:t>
      </w:r>
      <w:r w:rsidR="00EE6D35">
        <w:t xml:space="preserve"> </w:t>
      </w:r>
      <w:r w:rsidRPr="00201CDB">
        <w:t>people</w:t>
      </w:r>
      <w:bookmarkEnd w:id="6"/>
      <w:r w:rsidRPr="00201CDB">
        <w:t>.</w:t>
      </w:r>
      <w:r w:rsidR="00EE6D35">
        <w:t xml:space="preserve"> </w:t>
      </w:r>
    </w:p>
    <w:p w14:paraId="0ADE84DD" w14:textId="3214BC06" w:rsidR="001B20B3" w:rsidRDefault="001B20B3" w:rsidP="001B20B3">
      <w:pPr>
        <w:pStyle w:val="DHHSbody"/>
      </w:pPr>
      <w:r w:rsidRPr="00201CDB">
        <w:t>This</w:t>
      </w:r>
      <w:r w:rsidR="00EE6D35">
        <w:t xml:space="preserve"> </w:t>
      </w:r>
      <w:r w:rsidRPr="00201CDB">
        <w:t>practice</w:t>
      </w:r>
      <w:r w:rsidR="00EE6D35">
        <w:t xml:space="preserve"> </w:t>
      </w:r>
      <w:r w:rsidRPr="00201CDB">
        <w:t>advice</w:t>
      </w:r>
      <w:r w:rsidR="00EE6D35">
        <w:t xml:space="preserve"> </w:t>
      </w:r>
      <w:r w:rsidRPr="00201CDB">
        <w:t>outlines</w:t>
      </w:r>
      <w:r w:rsidR="00EE6D35">
        <w:t xml:space="preserve"> </w:t>
      </w:r>
      <w:r w:rsidRPr="00201CDB">
        <w:t>performance</w:t>
      </w:r>
      <w:r w:rsidR="00EE6D35">
        <w:t xml:space="preserve"> </w:t>
      </w:r>
      <w:r w:rsidRPr="00201CDB">
        <w:t>and</w:t>
      </w:r>
      <w:r w:rsidR="00EE6D35">
        <w:t xml:space="preserve"> </w:t>
      </w:r>
      <w:r w:rsidRPr="00201CDB">
        <w:t>reporting</w:t>
      </w:r>
      <w:r w:rsidR="00EE6D35">
        <w:t xml:space="preserve"> </w:t>
      </w:r>
      <w:r w:rsidRPr="00201CDB">
        <w:t>requirements</w:t>
      </w:r>
      <w:r w:rsidR="00EE6D35">
        <w:t xml:space="preserve"> </w:t>
      </w:r>
      <w:r w:rsidRPr="00201CDB">
        <w:t>for</w:t>
      </w:r>
      <w:r w:rsidR="00EE6D35">
        <w:t xml:space="preserve"> </w:t>
      </w:r>
      <w:r w:rsidRPr="00201CDB">
        <w:t>organisations</w:t>
      </w:r>
      <w:r w:rsidR="00EE6D35">
        <w:t xml:space="preserve"> </w:t>
      </w:r>
      <w:r w:rsidRPr="00201CDB">
        <w:t>delivering</w:t>
      </w:r>
      <w:r w:rsidR="00EE6D35">
        <w:t xml:space="preserve"> </w:t>
      </w:r>
      <w:r w:rsidRPr="00201CDB">
        <w:t>Better</w:t>
      </w:r>
      <w:r w:rsidR="00EE6D35">
        <w:t xml:space="preserve"> </w:t>
      </w:r>
      <w:r w:rsidRPr="00201CDB">
        <w:t>Futures</w:t>
      </w:r>
      <w:r w:rsidR="00EE6D35">
        <w:t xml:space="preserve"> </w:t>
      </w:r>
      <w:r w:rsidRPr="00201CDB">
        <w:t>(including</w:t>
      </w:r>
      <w:r w:rsidR="00EE6D35">
        <w:t xml:space="preserve"> </w:t>
      </w:r>
      <w:r w:rsidRPr="00201CDB">
        <w:t>Home</w:t>
      </w:r>
      <w:r w:rsidR="00EE6D35">
        <w:t xml:space="preserve"> </w:t>
      </w:r>
      <w:r w:rsidRPr="00201CDB">
        <w:t>Stretch)</w:t>
      </w:r>
      <w:r w:rsidR="00EE6D35">
        <w:t xml:space="preserve"> </w:t>
      </w:r>
      <w:r>
        <w:t>as</w:t>
      </w:r>
      <w:r w:rsidR="00EE6D35">
        <w:t xml:space="preserve"> </w:t>
      </w:r>
      <w:r>
        <w:t>per</w:t>
      </w:r>
      <w:r w:rsidR="00EE6D35">
        <w:t xml:space="preserve"> </w:t>
      </w:r>
      <w:r>
        <w:t>the</w:t>
      </w:r>
      <w:r w:rsidR="00EE6D35">
        <w:t xml:space="preserve"> </w:t>
      </w:r>
      <w:r>
        <w:t>activities</w:t>
      </w:r>
      <w:r w:rsidR="00EE6D35">
        <w:t xml:space="preserve"> </w:t>
      </w:r>
      <w:r>
        <w:t>contained</w:t>
      </w:r>
      <w:r w:rsidR="00EE6D35">
        <w:t xml:space="preserve"> </w:t>
      </w:r>
      <w:r>
        <w:t>in</w:t>
      </w:r>
      <w:r w:rsidR="00EE6D35">
        <w:t xml:space="preserve"> </w:t>
      </w:r>
      <w:r>
        <w:t>the</w:t>
      </w:r>
      <w:r w:rsidR="00EE6D35">
        <w:t xml:space="preserve"> </w:t>
      </w:r>
      <w:r>
        <w:t>service</w:t>
      </w:r>
      <w:r w:rsidR="00EE6D35">
        <w:t xml:space="preserve"> </w:t>
      </w:r>
      <w:r>
        <w:t>agreement</w:t>
      </w:r>
      <w:r w:rsidRPr="00201CDB">
        <w:t>.</w:t>
      </w:r>
      <w:r w:rsidR="00EE6D35">
        <w:t xml:space="preserve"> </w:t>
      </w:r>
    </w:p>
    <w:p w14:paraId="159BC2D7" w14:textId="7B135FAC" w:rsidR="001B20B3" w:rsidRDefault="001B20B3" w:rsidP="001B20B3">
      <w:pPr>
        <w:pStyle w:val="DHHSbullet2lastline"/>
        <w:ind w:left="0" w:firstLine="0"/>
      </w:pPr>
      <w:r w:rsidRPr="00AB4C11">
        <w:t>This</w:t>
      </w:r>
      <w:r w:rsidR="00EE6D35">
        <w:t xml:space="preserve"> </w:t>
      </w:r>
      <w:r w:rsidRPr="00AB4C11">
        <w:t>document</w:t>
      </w:r>
      <w:r w:rsidR="00EE6D35">
        <w:t xml:space="preserve"> </w:t>
      </w:r>
      <w:r w:rsidRPr="00AB4C11">
        <w:t>should</w:t>
      </w:r>
      <w:r w:rsidR="00EE6D35">
        <w:t xml:space="preserve"> </w:t>
      </w:r>
      <w:r w:rsidRPr="00AB4C11">
        <w:t>be</w:t>
      </w:r>
      <w:r w:rsidR="00EE6D35">
        <w:t xml:space="preserve"> </w:t>
      </w:r>
      <w:r w:rsidRPr="00AB4C11">
        <w:t>read</w:t>
      </w:r>
      <w:r w:rsidR="00EE6D35">
        <w:t xml:space="preserve"> </w:t>
      </w:r>
      <w:r w:rsidRPr="00AB4C11">
        <w:t>in</w:t>
      </w:r>
      <w:r w:rsidR="00EE6D35">
        <w:t xml:space="preserve"> </w:t>
      </w:r>
      <w:r w:rsidRPr="00AB4C11">
        <w:t>conjunction</w:t>
      </w:r>
      <w:r w:rsidR="00EE6D35">
        <w:t xml:space="preserve"> </w:t>
      </w:r>
      <w:r w:rsidRPr="00AB4C11">
        <w:t>with</w:t>
      </w:r>
      <w:r w:rsidR="00EE6D35">
        <w:t xml:space="preserve"> </w:t>
      </w:r>
      <w:r>
        <w:t>individual</w:t>
      </w:r>
      <w:r w:rsidR="00EE6D35">
        <w:t xml:space="preserve"> </w:t>
      </w:r>
      <w:r>
        <w:t>funded</w:t>
      </w:r>
      <w:r w:rsidR="00EE6D35">
        <w:t xml:space="preserve"> </w:t>
      </w:r>
      <w:r>
        <w:t>activity</w:t>
      </w:r>
      <w:r w:rsidR="00EE6D35">
        <w:t xml:space="preserve"> </w:t>
      </w:r>
      <w:r>
        <w:t>descriptions</w:t>
      </w:r>
      <w:r w:rsidR="00EE6D35">
        <w:t xml:space="preserve"> </w:t>
      </w:r>
      <w:r>
        <w:t>accessible</w:t>
      </w:r>
      <w:r w:rsidR="00EE6D35">
        <w:t xml:space="preserve"> </w:t>
      </w:r>
      <w:r>
        <w:rPr>
          <w:rFonts w:eastAsia="Calibri"/>
        </w:rPr>
        <w:t>via</w:t>
      </w:r>
      <w:r w:rsidR="00EE6D35">
        <w:rPr>
          <w:rFonts w:eastAsia="Calibri"/>
        </w:rPr>
        <w:t xml:space="preserve"> </w:t>
      </w:r>
      <w:r>
        <w:rPr>
          <w:rFonts w:eastAsia="Calibri"/>
        </w:rPr>
        <w:t>the</w:t>
      </w:r>
      <w:r w:rsidR="00EE6D35">
        <w:rPr>
          <w:rFonts w:eastAsia="Calibri"/>
        </w:rPr>
        <w:t xml:space="preserve"> </w:t>
      </w:r>
      <w:hyperlink r:id="rId21" w:history="1">
        <w:r w:rsidRPr="005818A7">
          <w:rPr>
            <w:rStyle w:val="Hyperlink"/>
            <w:rFonts w:eastAsia="Calibri"/>
          </w:rPr>
          <w:t>DFFH</w:t>
        </w:r>
        <w:r w:rsidR="00EE6D35">
          <w:rPr>
            <w:rStyle w:val="Hyperlink"/>
            <w:rFonts w:eastAsia="Calibri"/>
          </w:rPr>
          <w:t xml:space="preserve"> </w:t>
        </w:r>
        <w:r w:rsidRPr="005818A7">
          <w:rPr>
            <w:rStyle w:val="Hyperlink"/>
            <w:rFonts w:eastAsia="Calibri"/>
          </w:rPr>
          <w:t>website</w:t>
        </w:r>
      </w:hyperlink>
      <w:r w:rsidR="00EE6D35">
        <w:t xml:space="preserve"> </w:t>
      </w:r>
      <w:r>
        <w:t>&lt;</w:t>
      </w:r>
      <w:r w:rsidRPr="00AD463C">
        <w:t>https://providers.dffh.vic.gov.au/families-fairness-housing-health-activity-search</w:t>
      </w:r>
      <w:r>
        <w:t>&gt;.</w:t>
      </w:r>
    </w:p>
    <w:p w14:paraId="138E808F" w14:textId="77777777" w:rsidR="001B20B3" w:rsidRPr="00644394" w:rsidRDefault="001B20B3" w:rsidP="001B20B3">
      <w:pPr>
        <w:pStyle w:val="Heading1"/>
        <w:tabs>
          <w:tab w:val="left" w:pos="6430"/>
        </w:tabs>
      </w:pPr>
      <w:bookmarkStart w:id="7" w:name="_Toc89733717"/>
      <w:bookmarkStart w:id="8" w:name="_Toc91146863"/>
      <w:r w:rsidRPr="00644394">
        <w:t>Audienc</w:t>
      </w:r>
      <w:r>
        <w:t>e</w:t>
      </w:r>
      <w:bookmarkEnd w:id="7"/>
      <w:bookmarkEnd w:id="8"/>
    </w:p>
    <w:p w14:paraId="5CE6A83E" w14:textId="7AF205FB" w:rsidR="001B20B3" w:rsidRPr="00517CE9" w:rsidRDefault="001B20B3" w:rsidP="001B20B3">
      <w:pPr>
        <w:pStyle w:val="DHHSbody"/>
        <w:rPr>
          <w:bCs/>
        </w:rPr>
      </w:pPr>
      <w:r>
        <w:t>Better</w:t>
      </w:r>
      <w:r w:rsidR="00EE6D35">
        <w:t xml:space="preserve"> </w:t>
      </w:r>
      <w:r>
        <w:t>Futures</w:t>
      </w:r>
      <w:r w:rsidR="00EE6D35">
        <w:t xml:space="preserve"> </w:t>
      </w:r>
      <w:r>
        <w:t>providers</w:t>
      </w:r>
      <w:r w:rsidR="00EE6D35">
        <w:t xml:space="preserve"> </w:t>
      </w:r>
      <w:r>
        <w:t>and</w:t>
      </w:r>
      <w:r w:rsidR="00EE6D35">
        <w:t xml:space="preserve"> </w:t>
      </w:r>
      <w:r>
        <w:t>Aboriginal</w:t>
      </w:r>
      <w:r w:rsidR="00EE6D35">
        <w:t xml:space="preserve"> </w:t>
      </w:r>
      <w:r>
        <w:t>Community</w:t>
      </w:r>
      <w:r w:rsidR="00EE6D35">
        <w:t xml:space="preserve"> </w:t>
      </w:r>
      <w:r>
        <w:t>Controlled</w:t>
      </w:r>
      <w:r w:rsidR="00EE6D35">
        <w:t xml:space="preserve"> </w:t>
      </w:r>
      <w:r>
        <w:t>Organisations</w:t>
      </w:r>
      <w:r w:rsidR="00EE6D35">
        <w:t xml:space="preserve"> </w:t>
      </w:r>
      <w:r>
        <w:t>delivering</w:t>
      </w:r>
      <w:r w:rsidR="00EE6D35">
        <w:t xml:space="preserve"> </w:t>
      </w:r>
      <w:r>
        <w:t>Better</w:t>
      </w:r>
      <w:r w:rsidR="00EE6D35">
        <w:t xml:space="preserve"> </w:t>
      </w:r>
      <w:r>
        <w:t>Futures,</w:t>
      </w:r>
      <w:r w:rsidR="00EE6D35">
        <w:t xml:space="preserve"> </w:t>
      </w:r>
      <w:r w:rsidRPr="0090678A">
        <w:t>Department</w:t>
      </w:r>
      <w:r w:rsidR="00EE6D35">
        <w:t xml:space="preserve"> </w:t>
      </w:r>
      <w:r w:rsidRPr="0090678A">
        <w:t>of</w:t>
      </w:r>
      <w:r w:rsidR="00EE6D35">
        <w:t xml:space="preserve"> </w:t>
      </w:r>
      <w:r w:rsidRPr="00035027">
        <w:rPr>
          <w:rStyle w:val="DHHSbodyChar"/>
        </w:rPr>
        <w:t>Families,</w:t>
      </w:r>
      <w:r w:rsidR="00EE6D35">
        <w:rPr>
          <w:rStyle w:val="DHHSbodyChar"/>
        </w:rPr>
        <w:t xml:space="preserve"> </w:t>
      </w:r>
      <w:r w:rsidRPr="00035027">
        <w:rPr>
          <w:rStyle w:val="DHHSbodyChar"/>
        </w:rPr>
        <w:t>Fairness</w:t>
      </w:r>
      <w:r w:rsidR="00EE6D35">
        <w:rPr>
          <w:rStyle w:val="DHHSbodyChar"/>
        </w:rPr>
        <w:t xml:space="preserve"> </w:t>
      </w:r>
      <w:r w:rsidRPr="00035027">
        <w:rPr>
          <w:rStyle w:val="DHHSbodyChar"/>
        </w:rPr>
        <w:t>and</w:t>
      </w:r>
      <w:r w:rsidR="00EE6D35">
        <w:rPr>
          <w:rStyle w:val="DHHSbodyChar"/>
        </w:rPr>
        <w:t xml:space="preserve"> </w:t>
      </w:r>
      <w:r w:rsidRPr="00035027">
        <w:rPr>
          <w:rStyle w:val="DHHSbodyChar"/>
        </w:rPr>
        <w:t>Housing</w:t>
      </w:r>
      <w:r w:rsidR="00EE6D35">
        <w:t xml:space="preserve"> </w:t>
      </w:r>
      <w:r>
        <w:t>(‘the</w:t>
      </w:r>
      <w:r w:rsidR="00EE6D35">
        <w:t xml:space="preserve"> </w:t>
      </w:r>
      <w:r>
        <w:t>department’)</w:t>
      </w:r>
      <w:r w:rsidR="00EE6D35">
        <w:t xml:space="preserve"> </w:t>
      </w:r>
      <w:r>
        <w:t>Agency</w:t>
      </w:r>
      <w:r w:rsidR="00EE6D35">
        <w:t xml:space="preserve"> </w:t>
      </w:r>
      <w:r>
        <w:t>Performance</w:t>
      </w:r>
      <w:r w:rsidR="00EE6D35">
        <w:t xml:space="preserve"> </w:t>
      </w:r>
      <w:r>
        <w:t>and</w:t>
      </w:r>
      <w:r w:rsidR="00EE6D35">
        <w:t xml:space="preserve"> </w:t>
      </w:r>
      <w:r>
        <w:t>System</w:t>
      </w:r>
      <w:r w:rsidR="00EE6D35">
        <w:t xml:space="preserve"> </w:t>
      </w:r>
      <w:r>
        <w:t>Support</w:t>
      </w:r>
      <w:r w:rsidR="00EE6D35">
        <w:t xml:space="preserve"> </w:t>
      </w:r>
      <w:r>
        <w:t>teams</w:t>
      </w:r>
      <w:r w:rsidR="00EE6D35">
        <w:t xml:space="preserve"> </w:t>
      </w:r>
      <w:r>
        <w:t>and</w:t>
      </w:r>
      <w:r w:rsidR="00EE6D35">
        <w:t xml:space="preserve"> </w:t>
      </w:r>
      <w:r>
        <w:t>divisional</w:t>
      </w:r>
      <w:r w:rsidR="00EE6D35">
        <w:t xml:space="preserve"> </w:t>
      </w:r>
      <w:r>
        <w:t>Better</w:t>
      </w:r>
      <w:r w:rsidR="00EE6D35">
        <w:t xml:space="preserve"> </w:t>
      </w:r>
      <w:r>
        <w:t>Futures/Home</w:t>
      </w:r>
      <w:r w:rsidR="00EE6D35">
        <w:t xml:space="preserve"> </w:t>
      </w:r>
      <w:r>
        <w:t>Stretch</w:t>
      </w:r>
      <w:r w:rsidR="00EE6D35">
        <w:t xml:space="preserve"> </w:t>
      </w:r>
      <w:r>
        <w:t>senior</w:t>
      </w:r>
      <w:r w:rsidR="00EE6D35">
        <w:t xml:space="preserve"> </w:t>
      </w:r>
      <w:r>
        <w:t>project</w:t>
      </w:r>
      <w:r w:rsidR="00EE6D35">
        <w:t xml:space="preserve"> </w:t>
      </w:r>
      <w:r>
        <w:t>officers.</w:t>
      </w:r>
      <w:r w:rsidR="00EE6D35">
        <w:rPr>
          <w:bCs/>
        </w:rPr>
        <w:t xml:space="preserve"> </w:t>
      </w:r>
    </w:p>
    <w:p w14:paraId="17D13881" w14:textId="0E2DB8A9" w:rsidR="001B20B3" w:rsidRDefault="001B20B3" w:rsidP="001B20B3">
      <w:pPr>
        <w:pStyle w:val="Heading1"/>
        <w:rPr>
          <w:lang w:val="en"/>
        </w:rPr>
      </w:pPr>
      <w:bookmarkStart w:id="9" w:name="_Toc89733718"/>
      <w:bookmarkStart w:id="10" w:name="_Toc91146864"/>
      <w:r>
        <w:rPr>
          <w:lang w:val="en"/>
        </w:rPr>
        <w:t>Performance</w:t>
      </w:r>
      <w:r w:rsidR="00EE6D35">
        <w:rPr>
          <w:lang w:val="en"/>
        </w:rPr>
        <w:t xml:space="preserve"> </w:t>
      </w:r>
      <w:r>
        <w:rPr>
          <w:lang w:val="en"/>
        </w:rPr>
        <w:t>and</w:t>
      </w:r>
      <w:r w:rsidR="00EE6D35">
        <w:rPr>
          <w:lang w:val="en"/>
        </w:rPr>
        <w:t xml:space="preserve"> </w:t>
      </w:r>
      <w:r>
        <w:rPr>
          <w:lang w:val="en"/>
        </w:rPr>
        <w:t>reporting</w:t>
      </w:r>
      <w:r w:rsidR="00EE6D35">
        <w:rPr>
          <w:lang w:val="en"/>
        </w:rPr>
        <w:t xml:space="preserve"> </w:t>
      </w:r>
      <w:r>
        <w:rPr>
          <w:lang w:val="en"/>
        </w:rPr>
        <w:t>requirements</w:t>
      </w:r>
      <w:bookmarkEnd w:id="9"/>
      <w:bookmarkEnd w:id="10"/>
    </w:p>
    <w:p w14:paraId="50716881" w14:textId="59448573" w:rsidR="001B20B3" w:rsidRDefault="001B20B3" w:rsidP="001B20B3">
      <w:pPr>
        <w:pStyle w:val="DHHSbody"/>
      </w:pPr>
      <w:r>
        <w:t>This</w:t>
      </w:r>
      <w:r w:rsidR="00EE6D35">
        <w:t xml:space="preserve"> </w:t>
      </w:r>
      <w:r>
        <w:t>practice</w:t>
      </w:r>
      <w:r w:rsidR="00EE6D35">
        <w:t xml:space="preserve"> </w:t>
      </w:r>
      <w:r>
        <w:t>advice</w:t>
      </w:r>
      <w:r w:rsidR="00EE6D35">
        <w:t xml:space="preserve"> </w:t>
      </w:r>
      <w:r>
        <w:t>outlines</w:t>
      </w:r>
      <w:r w:rsidR="00EE6D35">
        <w:t xml:space="preserve"> </w:t>
      </w:r>
      <w:r>
        <w:t>the</w:t>
      </w:r>
      <w:r w:rsidR="00EE6D35">
        <w:t xml:space="preserve"> </w:t>
      </w:r>
      <w:r>
        <w:t>department’s</w:t>
      </w:r>
      <w:r w:rsidR="00EE6D35">
        <w:t xml:space="preserve"> </w:t>
      </w:r>
      <w:r>
        <w:t>performance</w:t>
      </w:r>
      <w:r w:rsidR="00EE6D35">
        <w:t xml:space="preserve"> </w:t>
      </w:r>
      <w:r>
        <w:t>monitoring</w:t>
      </w:r>
      <w:r w:rsidR="00EE6D35">
        <w:t xml:space="preserve"> </w:t>
      </w:r>
      <w:r>
        <w:t>tools</w:t>
      </w:r>
      <w:r w:rsidR="00EE6D35">
        <w:t xml:space="preserve"> </w:t>
      </w:r>
      <w:r>
        <w:t>and</w:t>
      </w:r>
      <w:r w:rsidR="00EE6D35">
        <w:t xml:space="preserve"> </w:t>
      </w:r>
      <w:r>
        <w:t>steps</w:t>
      </w:r>
      <w:r w:rsidR="00EE6D35">
        <w:t xml:space="preserve"> </w:t>
      </w:r>
      <w:r>
        <w:t>out</w:t>
      </w:r>
      <w:r w:rsidR="00EE6D35">
        <w:t xml:space="preserve"> </w:t>
      </w:r>
      <w:r>
        <w:t>the</w:t>
      </w:r>
      <w:r w:rsidR="00EE6D35">
        <w:t xml:space="preserve"> </w:t>
      </w:r>
      <w:r>
        <w:t>activities</w:t>
      </w:r>
      <w:r w:rsidR="00EE6D35">
        <w:t xml:space="preserve"> </w:t>
      </w:r>
      <w:r>
        <w:t>required</w:t>
      </w:r>
      <w:r w:rsidR="00EE6D35">
        <w:t xml:space="preserve"> </w:t>
      </w:r>
      <w:r>
        <w:t>of</w:t>
      </w:r>
      <w:r w:rsidR="00EE6D35">
        <w:t xml:space="preserve"> </w:t>
      </w:r>
      <w:r>
        <w:t>Better</w:t>
      </w:r>
      <w:r w:rsidR="00EE6D35">
        <w:t xml:space="preserve"> </w:t>
      </w:r>
      <w:r>
        <w:t>Futures</w:t>
      </w:r>
      <w:r w:rsidR="00EE6D35">
        <w:t xml:space="preserve"> </w:t>
      </w:r>
      <w:r>
        <w:t>service</w:t>
      </w:r>
      <w:r w:rsidR="00EE6D35">
        <w:t xml:space="preserve"> </w:t>
      </w:r>
      <w:r>
        <w:t>providers.</w:t>
      </w:r>
    </w:p>
    <w:p w14:paraId="29C30D2F" w14:textId="4C0612D4" w:rsidR="001B20B3" w:rsidRDefault="001B20B3" w:rsidP="001B20B3">
      <w:pPr>
        <w:pStyle w:val="Heading2"/>
        <w:rPr>
          <w:lang w:eastAsia="en-AU"/>
        </w:rPr>
      </w:pPr>
      <w:bookmarkStart w:id="11" w:name="_Toc89733719"/>
      <w:bookmarkStart w:id="12" w:name="_Toc91146865"/>
      <w:bookmarkStart w:id="13" w:name="_Hlk33772827"/>
      <w:r>
        <w:rPr>
          <w:lang w:eastAsia="en-AU"/>
        </w:rPr>
        <w:lastRenderedPageBreak/>
        <w:t>The</w:t>
      </w:r>
      <w:r w:rsidR="00EE6D35">
        <w:rPr>
          <w:lang w:eastAsia="en-AU"/>
        </w:rPr>
        <w:t xml:space="preserve"> </w:t>
      </w:r>
      <w:r>
        <w:rPr>
          <w:lang w:eastAsia="en-AU"/>
        </w:rPr>
        <w:t>department’s</w:t>
      </w:r>
      <w:r w:rsidR="00EE6D35">
        <w:rPr>
          <w:lang w:eastAsia="en-AU"/>
        </w:rPr>
        <w:t xml:space="preserve"> </w:t>
      </w:r>
      <w:r>
        <w:rPr>
          <w:lang w:eastAsia="en-AU"/>
        </w:rPr>
        <w:t>service</w:t>
      </w:r>
      <w:r w:rsidR="00EE6D35">
        <w:rPr>
          <w:lang w:eastAsia="en-AU"/>
        </w:rPr>
        <w:t xml:space="preserve"> </w:t>
      </w:r>
      <w:r>
        <w:rPr>
          <w:lang w:eastAsia="en-AU"/>
        </w:rPr>
        <w:t>agreement</w:t>
      </w:r>
      <w:r w:rsidR="00EE6D35">
        <w:rPr>
          <w:lang w:eastAsia="en-AU"/>
        </w:rPr>
        <w:t xml:space="preserve"> </w:t>
      </w:r>
      <w:r>
        <w:rPr>
          <w:lang w:eastAsia="en-AU"/>
        </w:rPr>
        <w:t>requirements</w:t>
      </w:r>
      <w:bookmarkEnd w:id="11"/>
      <w:bookmarkEnd w:id="12"/>
    </w:p>
    <w:bookmarkEnd w:id="13"/>
    <w:p w14:paraId="3ADD8244" w14:textId="3317FA29" w:rsidR="001B20B3" w:rsidRDefault="001B20B3" w:rsidP="001B20B3">
      <w:pPr>
        <w:pStyle w:val="DHHSbody"/>
      </w:pPr>
      <w:r w:rsidRPr="004B27B2">
        <w:t>Service</w:t>
      </w:r>
      <w:r w:rsidR="00EE6D35">
        <w:t xml:space="preserve"> </w:t>
      </w:r>
      <w:r w:rsidRPr="004B27B2">
        <w:t>agreements</w:t>
      </w:r>
      <w:r w:rsidR="00EE6D35">
        <w:t xml:space="preserve"> </w:t>
      </w:r>
      <w:r w:rsidRPr="004B27B2">
        <w:t>are</w:t>
      </w:r>
      <w:r w:rsidR="00EE6D35">
        <w:t xml:space="preserve"> </w:t>
      </w:r>
      <w:r w:rsidRPr="004B27B2">
        <w:t>used</w:t>
      </w:r>
      <w:r w:rsidR="00EE6D35">
        <w:t xml:space="preserve"> </w:t>
      </w:r>
      <w:r w:rsidRPr="004B27B2">
        <w:t>to</w:t>
      </w:r>
      <w:r w:rsidR="00EE6D35">
        <w:t xml:space="preserve"> </w:t>
      </w:r>
      <w:r w:rsidRPr="004B27B2">
        <w:t>manage</w:t>
      </w:r>
      <w:r w:rsidR="00EE6D35">
        <w:t xml:space="preserve"> </w:t>
      </w:r>
      <w:r>
        <w:t>departmental</w:t>
      </w:r>
      <w:r w:rsidR="00EE6D35">
        <w:t xml:space="preserve"> </w:t>
      </w:r>
      <w:r w:rsidRPr="004B27B2">
        <w:t>funding</w:t>
      </w:r>
      <w:r w:rsidR="00EE6D35">
        <w:t xml:space="preserve"> </w:t>
      </w:r>
      <w:r w:rsidRPr="004B27B2">
        <w:t>to</w:t>
      </w:r>
      <w:r w:rsidR="00EE6D35">
        <w:t xml:space="preserve"> </w:t>
      </w:r>
      <w:r>
        <w:t>organisations.</w:t>
      </w:r>
      <w:r w:rsidR="00EE6D35">
        <w:t xml:space="preserve"> </w:t>
      </w:r>
      <w:r w:rsidRPr="005C457C">
        <w:t>The</w:t>
      </w:r>
      <w:r w:rsidR="00EE6D35">
        <w:t xml:space="preserve"> </w:t>
      </w:r>
      <w:r w:rsidRPr="005C457C">
        <w:t>service</w:t>
      </w:r>
      <w:r w:rsidR="00EE6D35">
        <w:t xml:space="preserve"> </w:t>
      </w:r>
      <w:r w:rsidRPr="005C457C">
        <w:t>agreement</w:t>
      </w:r>
      <w:r w:rsidR="00EE6D35">
        <w:t xml:space="preserve"> </w:t>
      </w:r>
      <w:r w:rsidRPr="005C457C">
        <w:t>establishes</w:t>
      </w:r>
      <w:r w:rsidR="00EE6D35">
        <w:t xml:space="preserve"> </w:t>
      </w:r>
      <w:r w:rsidRPr="005C457C">
        <w:t>the</w:t>
      </w:r>
      <w:r w:rsidR="00EE6D35">
        <w:t xml:space="preserve"> </w:t>
      </w:r>
      <w:r w:rsidRPr="005C457C">
        <w:t>standard</w:t>
      </w:r>
      <w:r w:rsidR="00EE6D35">
        <w:t xml:space="preserve"> </w:t>
      </w:r>
      <w:r w:rsidRPr="005C457C">
        <w:t>terms</w:t>
      </w:r>
      <w:r w:rsidR="00EE6D35">
        <w:t xml:space="preserve"> </w:t>
      </w:r>
      <w:r w:rsidRPr="005C457C">
        <w:t>and</w:t>
      </w:r>
      <w:r w:rsidR="00EE6D35">
        <w:t xml:space="preserve"> </w:t>
      </w:r>
      <w:r w:rsidRPr="005C457C">
        <w:t>conditions</w:t>
      </w:r>
      <w:r w:rsidR="00EE6D35">
        <w:t xml:space="preserve"> </w:t>
      </w:r>
      <w:r w:rsidRPr="005C457C">
        <w:t>that</w:t>
      </w:r>
      <w:r w:rsidR="00EE6D35">
        <w:t xml:space="preserve"> </w:t>
      </w:r>
      <w:r w:rsidRPr="005C457C">
        <w:t>apply</w:t>
      </w:r>
      <w:r w:rsidR="00EE6D35">
        <w:t xml:space="preserve"> </w:t>
      </w:r>
      <w:r w:rsidRPr="005C457C">
        <w:t>to</w:t>
      </w:r>
      <w:r w:rsidR="00EE6D35">
        <w:t xml:space="preserve"> </w:t>
      </w:r>
      <w:r w:rsidRPr="005C457C">
        <w:t>all</w:t>
      </w:r>
      <w:r w:rsidR="00EE6D35">
        <w:t xml:space="preserve"> </w:t>
      </w:r>
      <w:r w:rsidRPr="005C457C">
        <w:t>funded</w:t>
      </w:r>
      <w:r w:rsidR="00EE6D35">
        <w:t xml:space="preserve"> </w:t>
      </w:r>
      <w:r w:rsidRPr="005C457C">
        <w:t>organisations</w:t>
      </w:r>
      <w:r w:rsidR="00EE6D35">
        <w:t xml:space="preserve"> </w:t>
      </w:r>
      <w:r w:rsidRPr="005C457C">
        <w:t>and</w:t>
      </w:r>
      <w:r w:rsidR="00EE6D35">
        <w:t xml:space="preserve"> </w:t>
      </w:r>
      <w:r w:rsidRPr="005C457C">
        <w:t>provides</w:t>
      </w:r>
      <w:r w:rsidR="00EE6D35">
        <w:t xml:space="preserve"> </w:t>
      </w:r>
      <w:r w:rsidRPr="005C457C">
        <w:t>organisation-specific</w:t>
      </w:r>
      <w:r w:rsidR="00EE6D35">
        <w:t xml:space="preserve"> </w:t>
      </w:r>
      <w:r w:rsidRPr="005C457C">
        <w:t>information</w:t>
      </w:r>
      <w:r w:rsidR="00EE6D35">
        <w:t xml:space="preserve"> </w:t>
      </w:r>
      <w:r w:rsidRPr="005C457C">
        <w:t>regarding</w:t>
      </w:r>
      <w:r w:rsidR="00EE6D35">
        <w:t xml:space="preserve"> </w:t>
      </w:r>
      <w:r w:rsidRPr="005C457C">
        <w:t>funding</w:t>
      </w:r>
      <w:r w:rsidR="00EE6D35">
        <w:t xml:space="preserve"> </w:t>
      </w:r>
      <w:r w:rsidRPr="005C457C">
        <w:t>and</w:t>
      </w:r>
      <w:r w:rsidR="00EE6D35">
        <w:t xml:space="preserve"> </w:t>
      </w:r>
      <w:r w:rsidRPr="005C457C">
        <w:t>payments</w:t>
      </w:r>
      <w:r w:rsidR="00EE6D35">
        <w:t xml:space="preserve"> </w:t>
      </w:r>
      <w:r w:rsidRPr="005C457C">
        <w:t>in</w:t>
      </w:r>
      <w:r w:rsidR="00EE6D35">
        <w:t xml:space="preserve"> </w:t>
      </w:r>
      <w:r w:rsidRPr="005C457C">
        <w:t>its</w:t>
      </w:r>
      <w:r w:rsidR="00EE6D35">
        <w:t xml:space="preserve"> </w:t>
      </w:r>
      <w:r w:rsidRPr="005C457C">
        <w:t>schedules</w:t>
      </w:r>
      <w:r>
        <w:t>.</w:t>
      </w:r>
      <w:r w:rsidR="00410C81">
        <w:t xml:space="preserve"> </w:t>
      </w:r>
    </w:p>
    <w:p w14:paraId="5EDB3B66" w14:textId="15078293" w:rsidR="001B20B3" w:rsidRDefault="001B20B3" w:rsidP="001B20B3">
      <w:pPr>
        <w:pStyle w:val="DHHSbody"/>
      </w:pPr>
      <w:r>
        <w:t>Part</w:t>
      </w:r>
      <w:r w:rsidR="00EE6D35">
        <w:t xml:space="preserve"> </w:t>
      </w:r>
      <w:r>
        <w:t>of</w:t>
      </w:r>
      <w:r w:rsidR="00EE6D35">
        <w:t xml:space="preserve"> </w:t>
      </w:r>
      <w:r>
        <w:t>the</w:t>
      </w:r>
      <w:r w:rsidR="00EE6D35">
        <w:t xml:space="preserve"> </w:t>
      </w:r>
      <w:r>
        <w:t>Service</w:t>
      </w:r>
      <w:r w:rsidR="00EE6D35">
        <w:t xml:space="preserve"> </w:t>
      </w:r>
      <w:r>
        <w:t>Agreement</w:t>
      </w:r>
      <w:r w:rsidR="00EE6D35">
        <w:t xml:space="preserve"> </w:t>
      </w:r>
      <w:r>
        <w:t>is</w:t>
      </w:r>
      <w:r w:rsidR="00EE6D35">
        <w:t xml:space="preserve"> </w:t>
      </w:r>
      <w:r>
        <w:t>the</w:t>
      </w:r>
      <w:r w:rsidR="00EE6D35">
        <w:t xml:space="preserve"> </w:t>
      </w:r>
      <w:r>
        <w:t>‘Service</w:t>
      </w:r>
      <w:r w:rsidR="00EE6D35">
        <w:t xml:space="preserve"> </w:t>
      </w:r>
      <w:r>
        <w:t>Agreement</w:t>
      </w:r>
      <w:r w:rsidR="00EE6D35">
        <w:t xml:space="preserve"> </w:t>
      </w:r>
      <w:r>
        <w:t>Requirements’</w:t>
      </w:r>
      <w:r w:rsidR="00EE6D35">
        <w:t xml:space="preserve"> </w:t>
      </w:r>
      <w:r w:rsidRPr="0063162C">
        <w:t>which</w:t>
      </w:r>
      <w:r w:rsidR="00EE6D35">
        <w:t xml:space="preserve"> </w:t>
      </w:r>
      <w:r w:rsidRPr="0063162C">
        <w:t>outlines</w:t>
      </w:r>
      <w:r w:rsidR="00EE6D35">
        <w:t xml:space="preserve"> </w:t>
      </w:r>
      <w:r w:rsidRPr="0063162C">
        <w:t>the</w:t>
      </w:r>
      <w:r w:rsidR="00EE6D35">
        <w:t xml:space="preserve"> </w:t>
      </w:r>
      <w:r w:rsidRPr="0063162C">
        <w:t>policies</w:t>
      </w:r>
      <w:r w:rsidR="00EE6D35">
        <w:t xml:space="preserve"> </w:t>
      </w:r>
      <w:r w:rsidRPr="0063162C">
        <w:t>and</w:t>
      </w:r>
      <w:r w:rsidR="00EE6D35">
        <w:t xml:space="preserve"> </w:t>
      </w:r>
      <w:r w:rsidRPr="0063162C">
        <w:t>obligations</w:t>
      </w:r>
      <w:r w:rsidR="00EE6D35">
        <w:t xml:space="preserve"> </w:t>
      </w:r>
      <w:r w:rsidRPr="0063162C">
        <w:t>that</w:t>
      </w:r>
      <w:r w:rsidR="00EE6D35">
        <w:t xml:space="preserve"> </w:t>
      </w:r>
      <w:r w:rsidRPr="0063162C">
        <w:t>form</w:t>
      </w:r>
      <w:r w:rsidR="00EE6D35">
        <w:t xml:space="preserve"> </w:t>
      </w:r>
      <w:r w:rsidRPr="0063162C">
        <w:t>part</w:t>
      </w:r>
      <w:r w:rsidR="00EE6D35">
        <w:t xml:space="preserve"> </w:t>
      </w:r>
      <w:r w:rsidRPr="0063162C">
        <w:t>of</w:t>
      </w:r>
      <w:r w:rsidR="00EE6D35">
        <w:t xml:space="preserve"> </w:t>
      </w:r>
      <w:r w:rsidRPr="0063162C">
        <w:t>the</w:t>
      </w:r>
      <w:r w:rsidR="00EE6D35">
        <w:t xml:space="preserve"> </w:t>
      </w:r>
      <w:r w:rsidRPr="0063162C">
        <w:t>service</w:t>
      </w:r>
      <w:r w:rsidR="00EE6D35">
        <w:t xml:space="preserve"> </w:t>
      </w:r>
      <w:r w:rsidRPr="0063162C">
        <w:t>agreement</w:t>
      </w:r>
      <w:r w:rsidR="00EE6D35">
        <w:t xml:space="preserve"> </w:t>
      </w:r>
      <w:r w:rsidRPr="0063162C">
        <w:t>and</w:t>
      </w:r>
      <w:r w:rsidR="00EE6D35">
        <w:t xml:space="preserve"> </w:t>
      </w:r>
      <w:r w:rsidRPr="0063162C">
        <w:t>ca</w:t>
      </w:r>
      <w:r>
        <w:t>n</w:t>
      </w:r>
      <w:r w:rsidR="00EE6D35">
        <w:t xml:space="preserve"> </w:t>
      </w:r>
      <w:r w:rsidRPr="0063162C">
        <w:t>be</w:t>
      </w:r>
      <w:r w:rsidR="00EE6D35">
        <w:t xml:space="preserve"> </w:t>
      </w:r>
      <w:r w:rsidRPr="0063162C">
        <w:t>found</w:t>
      </w:r>
      <w:r w:rsidR="00EE6D35">
        <w:t xml:space="preserve"> </w:t>
      </w:r>
      <w:r w:rsidRPr="0063162C">
        <w:t>at</w:t>
      </w:r>
      <w:r w:rsidRPr="00410C81">
        <w:t>:</w:t>
      </w:r>
      <w:r w:rsidR="00EE6D35">
        <w:rPr>
          <w:color w:val="FF0000"/>
        </w:rPr>
        <w:t xml:space="preserve"> </w:t>
      </w:r>
      <w:hyperlink r:id="rId22" w:history="1">
        <w:r w:rsidR="00633ADC">
          <w:rPr>
            <w:rStyle w:val="Hyperlink"/>
          </w:rPr>
          <w:t>fac.dffh.vic.gov.au/service-agreement-requirements</w:t>
        </w:r>
      </w:hyperlink>
      <w:r w:rsidR="00410C81">
        <w:t xml:space="preserve"> </w:t>
      </w:r>
      <w:r w:rsidR="00633ADC">
        <w:t>&lt;h</w:t>
      </w:r>
      <w:r w:rsidRPr="001B20B3">
        <w:t>ttps://fac.dffh.vic.gov.au/service-agreement-requirements</w:t>
      </w:r>
      <w:r>
        <w:t>&gt;</w:t>
      </w:r>
    </w:p>
    <w:p w14:paraId="1B82A9F3" w14:textId="570F5C45" w:rsidR="001B20B3" w:rsidRPr="00FC6B05" w:rsidRDefault="001B20B3" w:rsidP="001B20B3">
      <w:pPr>
        <w:pStyle w:val="DHHSbody"/>
      </w:pPr>
      <w:r w:rsidRPr="00FC6B05">
        <w:t>To</w:t>
      </w:r>
      <w:r w:rsidR="00EE6D35">
        <w:t xml:space="preserve"> </w:t>
      </w:r>
      <w:r w:rsidRPr="00FC6B05">
        <w:t>meet</w:t>
      </w:r>
      <w:r w:rsidR="00EE6D35">
        <w:t xml:space="preserve"> </w:t>
      </w:r>
      <w:r w:rsidRPr="00FC6B05">
        <w:t>the</w:t>
      </w:r>
      <w:r w:rsidR="00EE6D35">
        <w:t xml:space="preserve"> </w:t>
      </w:r>
      <w:r w:rsidRPr="00FC6B05">
        <w:t>terms</w:t>
      </w:r>
      <w:r w:rsidR="00EE6D35">
        <w:t xml:space="preserve"> </w:t>
      </w:r>
      <w:r w:rsidRPr="00FC6B05">
        <w:t>of</w:t>
      </w:r>
      <w:r w:rsidR="00EE6D35">
        <w:t xml:space="preserve"> </w:t>
      </w:r>
      <w:r w:rsidRPr="00FC6B05">
        <w:t>the</w:t>
      </w:r>
      <w:r w:rsidR="00EE6D35">
        <w:t xml:space="preserve"> </w:t>
      </w:r>
      <w:r w:rsidRPr="00FC6B05">
        <w:t>service</w:t>
      </w:r>
      <w:r w:rsidR="00EE6D35">
        <w:t xml:space="preserve"> </w:t>
      </w:r>
      <w:r w:rsidRPr="00FC6B05">
        <w:t>agreement,</w:t>
      </w:r>
      <w:r w:rsidR="00EE6D35">
        <w:t xml:space="preserve"> </w:t>
      </w:r>
      <w:r w:rsidRPr="00FC6B05">
        <w:t>funded</w:t>
      </w:r>
      <w:r w:rsidR="00EE6D35">
        <w:t xml:space="preserve"> </w:t>
      </w:r>
      <w:r w:rsidRPr="00FC6B05">
        <w:t>organisations</w:t>
      </w:r>
      <w:r w:rsidR="00EE6D35">
        <w:t xml:space="preserve"> </w:t>
      </w:r>
      <w:r w:rsidRPr="00FC6B05">
        <w:t>must</w:t>
      </w:r>
      <w:r w:rsidR="00EE6D35">
        <w:t xml:space="preserve"> </w:t>
      </w:r>
      <w:r w:rsidRPr="00FC6B05">
        <w:t>ensure</w:t>
      </w:r>
      <w:r w:rsidR="00EE6D35">
        <w:t xml:space="preserve"> </w:t>
      </w:r>
      <w:r w:rsidRPr="00FC6B05">
        <w:t>they</w:t>
      </w:r>
      <w:r w:rsidR="00EE6D35">
        <w:t xml:space="preserve"> </w:t>
      </w:r>
      <w:r w:rsidRPr="00FC6B05">
        <w:t>comply</w:t>
      </w:r>
      <w:r w:rsidR="00EE6D35">
        <w:t xml:space="preserve"> </w:t>
      </w:r>
      <w:r w:rsidRPr="00FC6B05">
        <w:t>with:</w:t>
      </w:r>
    </w:p>
    <w:p w14:paraId="7EBE8659" w14:textId="1D49E59B" w:rsidR="001B20B3" w:rsidRPr="00FC6B05" w:rsidRDefault="001B20B3" w:rsidP="001B20B3">
      <w:pPr>
        <w:pStyle w:val="DHHSbullet1"/>
        <w:numPr>
          <w:ilvl w:val="0"/>
          <w:numId w:val="8"/>
        </w:numPr>
      </w:pPr>
      <w:r w:rsidRPr="00FC6B05">
        <w:t>the</w:t>
      </w:r>
      <w:r w:rsidR="00EE6D35">
        <w:t xml:space="preserve"> </w:t>
      </w:r>
      <w:r w:rsidRPr="00FC6B05">
        <w:t>service</w:t>
      </w:r>
      <w:r w:rsidR="00EE6D35">
        <w:t xml:space="preserve"> </w:t>
      </w:r>
      <w:r w:rsidRPr="00FC6B05">
        <w:t>agreement</w:t>
      </w:r>
    </w:p>
    <w:p w14:paraId="6E34F193" w14:textId="13D3032C" w:rsidR="001B20B3" w:rsidRPr="00FC6B05" w:rsidRDefault="001B20B3" w:rsidP="001B20B3">
      <w:pPr>
        <w:pStyle w:val="DHHSbullet1"/>
        <w:numPr>
          <w:ilvl w:val="0"/>
          <w:numId w:val="8"/>
        </w:numPr>
      </w:pPr>
      <w:r w:rsidRPr="00FC6B05">
        <w:t>the</w:t>
      </w:r>
      <w:r w:rsidR="00EE6D35">
        <w:t xml:space="preserve"> </w:t>
      </w:r>
      <w:r w:rsidRPr="00FC6B05">
        <w:t>standard</w:t>
      </w:r>
      <w:r w:rsidR="00EE6D35">
        <w:t xml:space="preserve"> </w:t>
      </w:r>
      <w:r w:rsidRPr="00FC6B05">
        <w:t>policies</w:t>
      </w:r>
      <w:r w:rsidR="00EE6D35">
        <w:t xml:space="preserve"> </w:t>
      </w:r>
      <w:r w:rsidRPr="00FC6B05">
        <w:t>and</w:t>
      </w:r>
      <w:r w:rsidR="00EE6D35">
        <w:t xml:space="preserve"> </w:t>
      </w:r>
      <w:r w:rsidRPr="00FC6B05">
        <w:t>obligations</w:t>
      </w:r>
      <w:r w:rsidR="00EE6D35">
        <w:t xml:space="preserve"> </w:t>
      </w:r>
      <w:r w:rsidRPr="00FC6B05">
        <w:t>in</w:t>
      </w:r>
      <w:r w:rsidR="00EE6D35">
        <w:t xml:space="preserve"> </w:t>
      </w:r>
      <w:r w:rsidRPr="00FC6B05">
        <w:t>the</w:t>
      </w:r>
      <w:r w:rsidR="00EE6D35">
        <w:t xml:space="preserve"> </w:t>
      </w:r>
      <w:r>
        <w:t>s</w:t>
      </w:r>
      <w:r w:rsidRPr="00FC6B05">
        <w:t>ervice</w:t>
      </w:r>
      <w:r w:rsidR="00EE6D35">
        <w:t xml:space="preserve"> </w:t>
      </w:r>
      <w:r w:rsidRPr="00FC6B05">
        <w:t>agreement</w:t>
      </w:r>
      <w:r w:rsidR="00EE6D35">
        <w:t xml:space="preserve"> </w:t>
      </w:r>
      <w:r w:rsidRPr="00FC6B05">
        <w:t>requirements</w:t>
      </w:r>
      <w:r w:rsidR="00EE6D35">
        <w:t xml:space="preserve"> </w:t>
      </w:r>
    </w:p>
    <w:p w14:paraId="00248E51" w14:textId="2500F650" w:rsidR="001B20B3" w:rsidRDefault="001B20B3" w:rsidP="001B20B3">
      <w:pPr>
        <w:pStyle w:val="DHHSbullet1"/>
        <w:numPr>
          <w:ilvl w:val="0"/>
          <w:numId w:val="8"/>
        </w:numPr>
        <w:spacing w:after="120"/>
      </w:pPr>
      <w:r w:rsidRPr="00FC6B05">
        <w:t>the</w:t>
      </w:r>
      <w:r w:rsidR="00EE6D35">
        <w:t xml:space="preserve"> </w:t>
      </w:r>
      <w:r w:rsidRPr="00FC6B05">
        <w:t>specific</w:t>
      </w:r>
      <w:r w:rsidR="00EE6D35">
        <w:t xml:space="preserve"> </w:t>
      </w:r>
      <w:r w:rsidRPr="00FC6B05">
        <w:t>policies</w:t>
      </w:r>
      <w:r w:rsidR="00EE6D35">
        <w:t xml:space="preserve"> </w:t>
      </w:r>
      <w:r w:rsidRPr="00FC6B05">
        <w:t>and</w:t>
      </w:r>
      <w:r w:rsidR="00EE6D35">
        <w:t xml:space="preserve"> </w:t>
      </w:r>
      <w:r w:rsidRPr="00FC6B05">
        <w:t>obligations</w:t>
      </w:r>
      <w:r w:rsidR="00EE6D35">
        <w:t xml:space="preserve"> </w:t>
      </w:r>
      <w:r w:rsidRPr="00FC6B05">
        <w:t>in</w:t>
      </w:r>
      <w:r w:rsidR="00EE6D35">
        <w:t xml:space="preserve"> </w:t>
      </w:r>
      <w:r w:rsidRPr="00FC6B05">
        <w:t>each</w:t>
      </w:r>
      <w:r w:rsidR="00EE6D35">
        <w:t xml:space="preserve"> </w:t>
      </w:r>
      <w:r w:rsidRPr="00FC6B05">
        <w:t>relevant</w:t>
      </w:r>
      <w:r w:rsidR="00EE6D35">
        <w:t xml:space="preserve"> </w:t>
      </w:r>
      <w:r w:rsidRPr="00FC6B05">
        <w:t>activity</w:t>
      </w:r>
      <w:r w:rsidR="00EE6D35">
        <w:t xml:space="preserve"> </w:t>
      </w:r>
      <w:r w:rsidRPr="00FC6B05">
        <w:t>description.</w:t>
      </w:r>
    </w:p>
    <w:p w14:paraId="2BD0CAA2" w14:textId="0AEADD81" w:rsidR="001B20B3" w:rsidRPr="00755060" w:rsidRDefault="001B20B3" w:rsidP="001B20B3">
      <w:pPr>
        <w:pStyle w:val="DHHSbody"/>
      </w:pPr>
      <w:r w:rsidRPr="0092151A">
        <w:t>To</w:t>
      </w:r>
      <w:r w:rsidR="00EE6D35">
        <w:t xml:space="preserve"> </w:t>
      </w:r>
      <w:r w:rsidRPr="0092151A">
        <w:t>access</w:t>
      </w:r>
      <w:r w:rsidR="00EE6D35">
        <w:t xml:space="preserve"> </w:t>
      </w:r>
      <w:r w:rsidRPr="0092151A">
        <w:t>funded</w:t>
      </w:r>
      <w:r w:rsidR="00EE6D35">
        <w:t xml:space="preserve"> </w:t>
      </w:r>
      <w:r w:rsidRPr="0092151A">
        <w:t>activity</w:t>
      </w:r>
      <w:r w:rsidR="00EE6D35">
        <w:t xml:space="preserve"> </w:t>
      </w:r>
      <w:r w:rsidRPr="0092151A">
        <w:t>descriptions,</w:t>
      </w:r>
      <w:r w:rsidR="00EE6D35">
        <w:t xml:space="preserve"> </w:t>
      </w:r>
      <w:r w:rsidRPr="0092151A">
        <w:t>refer</w:t>
      </w:r>
      <w:r w:rsidR="00EE6D35">
        <w:t xml:space="preserve"> </w:t>
      </w:r>
      <w:r w:rsidRPr="0092151A">
        <w:t>to</w:t>
      </w:r>
      <w:r w:rsidR="00EE6D35">
        <w:t xml:space="preserve"> </w:t>
      </w:r>
      <w:r w:rsidRPr="0092151A">
        <w:t>the</w:t>
      </w:r>
      <w:r w:rsidR="00EE6D35">
        <w:t xml:space="preserve"> </w:t>
      </w:r>
      <w:r w:rsidRPr="0092151A">
        <w:t>department’s</w:t>
      </w:r>
      <w:r w:rsidR="00EE6D35">
        <w:t xml:space="preserve"> </w:t>
      </w:r>
      <w:r w:rsidRPr="0092151A">
        <w:t>activity</w:t>
      </w:r>
      <w:r w:rsidR="00EE6D35">
        <w:t xml:space="preserve"> </w:t>
      </w:r>
      <w:r w:rsidRPr="0092151A">
        <w:t>search</w:t>
      </w:r>
      <w:r w:rsidR="00EE6D35">
        <w:t xml:space="preserve"> </w:t>
      </w:r>
      <w:r w:rsidRPr="0092151A">
        <w:t>website:</w:t>
      </w:r>
      <w:r w:rsidR="00410C81">
        <w:t xml:space="preserve"> </w:t>
      </w:r>
      <w:hyperlink r:id="rId23" w:history="1">
        <w:r w:rsidRPr="005818A7">
          <w:rPr>
            <w:rStyle w:val="Hyperlink"/>
          </w:rPr>
          <w:t>https://providers.dffh.vic.gov.au/families-fairness-housing-health-activity-search</w:t>
        </w:r>
      </w:hyperlink>
      <w:r w:rsidR="00410C81">
        <w:rPr>
          <w:rStyle w:val="Hyperlink"/>
        </w:rPr>
        <w:t xml:space="preserve"> </w:t>
      </w:r>
      <w:r>
        <w:t>&lt;</w:t>
      </w:r>
      <w:r w:rsidRPr="001B20B3">
        <w:t>https://providers.dffh.vic.gov.au/families-fairness-housing-health-activity-search</w:t>
      </w:r>
      <w:r>
        <w:t>&gt;</w:t>
      </w:r>
      <w:r w:rsidR="00EE6D35">
        <w:t xml:space="preserve"> </w:t>
      </w:r>
    </w:p>
    <w:p w14:paraId="03FA61DB" w14:textId="45B378AF" w:rsidR="001B20B3" w:rsidRPr="0092151A" w:rsidRDefault="001B20B3" w:rsidP="001B20B3">
      <w:pPr>
        <w:pStyle w:val="DHHSbody"/>
        <w:spacing w:line="240" w:lineRule="exact"/>
      </w:pPr>
      <w:r w:rsidRPr="0092151A">
        <w:t>The</w:t>
      </w:r>
      <w:r w:rsidR="00EE6D35">
        <w:t xml:space="preserve"> </w:t>
      </w:r>
      <w:r w:rsidRPr="0092151A">
        <w:t>online</w:t>
      </w:r>
      <w:r w:rsidR="00EE6D35">
        <w:t xml:space="preserve"> </w:t>
      </w:r>
      <w:r w:rsidRPr="0092151A">
        <w:t>search</w:t>
      </w:r>
      <w:r w:rsidR="00EE6D35">
        <w:t xml:space="preserve"> </w:t>
      </w:r>
      <w:r w:rsidRPr="0092151A">
        <w:t>functionality</w:t>
      </w:r>
      <w:r w:rsidR="00EE6D35">
        <w:t xml:space="preserve"> </w:t>
      </w:r>
      <w:r>
        <w:t>requires</w:t>
      </w:r>
      <w:r w:rsidR="00EE6D35">
        <w:t xml:space="preserve"> </w:t>
      </w:r>
      <w:r>
        <w:t>the</w:t>
      </w:r>
      <w:r w:rsidR="00EE6D35">
        <w:t xml:space="preserve"> </w:t>
      </w:r>
      <w:r w:rsidRPr="0092151A">
        <w:t>individual</w:t>
      </w:r>
      <w:r w:rsidR="00EE6D35">
        <w:t xml:space="preserve"> </w:t>
      </w:r>
      <w:r w:rsidRPr="0092151A">
        <w:t>activity</w:t>
      </w:r>
      <w:r w:rsidR="00EE6D35">
        <w:t xml:space="preserve"> </w:t>
      </w:r>
      <w:r w:rsidRPr="0092151A">
        <w:t>name</w:t>
      </w:r>
      <w:r w:rsidR="00EE6D35">
        <w:t xml:space="preserve"> </w:t>
      </w:r>
      <w:r w:rsidRPr="0092151A">
        <w:t>or</w:t>
      </w:r>
      <w:r w:rsidR="00EE6D35">
        <w:t xml:space="preserve"> </w:t>
      </w:r>
      <w:r w:rsidRPr="0092151A">
        <w:t>number.</w:t>
      </w:r>
      <w:r w:rsidR="00EE6D35">
        <w:t xml:space="preserve"> </w:t>
      </w:r>
      <w:r w:rsidRPr="0092151A">
        <w:t>Use</w:t>
      </w:r>
      <w:r w:rsidR="00EE6D35">
        <w:t xml:space="preserve"> </w:t>
      </w:r>
      <w:r w:rsidRPr="0092151A">
        <w:t>the</w:t>
      </w:r>
      <w:r w:rsidR="00EE6D35">
        <w:t xml:space="preserve"> </w:t>
      </w:r>
      <w:r>
        <w:t>relevant</w:t>
      </w:r>
      <w:r w:rsidR="00EE6D35">
        <w:t xml:space="preserve"> </w:t>
      </w:r>
      <w:r w:rsidRPr="0092151A">
        <w:t>Better</w:t>
      </w:r>
      <w:r w:rsidR="00EE6D35">
        <w:t xml:space="preserve"> </w:t>
      </w:r>
      <w:r w:rsidRPr="0092151A">
        <w:t>Futures</w:t>
      </w:r>
      <w:r w:rsidR="00EE6D35">
        <w:t xml:space="preserve"> </w:t>
      </w:r>
      <w:r>
        <w:t>activity</w:t>
      </w:r>
      <w:r w:rsidR="00EE6D35">
        <w:t xml:space="preserve"> </w:t>
      </w:r>
      <w:r w:rsidRPr="0092151A">
        <w:t>names</w:t>
      </w:r>
      <w:r w:rsidR="00EE6D35">
        <w:t xml:space="preserve"> </w:t>
      </w:r>
      <w:r w:rsidRPr="0092151A">
        <w:t>or</w:t>
      </w:r>
      <w:r w:rsidR="00EE6D35">
        <w:t xml:space="preserve"> </w:t>
      </w:r>
      <w:r w:rsidRPr="0092151A">
        <w:t>activity</w:t>
      </w:r>
      <w:r w:rsidR="00EE6D35">
        <w:t xml:space="preserve"> </w:t>
      </w:r>
      <w:r w:rsidRPr="0092151A">
        <w:t>numbers</w:t>
      </w:r>
      <w:r w:rsidR="00EE6D35">
        <w:t xml:space="preserve"> </w:t>
      </w:r>
      <w:r w:rsidRPr="0092151A">
        <w:t>referenced</w:t>
      </w:r>
      <w:r w:rsidR="00EE6D35">
        <w:t xml:space="preserve"> </w:t>
      </w:r>
      <w:r w:rsidRPr="0092151A">
        <w:t>in</w:t>
      </w:r>
      <w:r w:rsidR="00EE6D35">
        <w:t xml:space="preserve"> </w:t>
      </w:r>
      <w:r w:rsidRPr="0092151A">
        <w:t>this</w:t>
      </w:r>
      <w:r w:rsidR="00EE6D35">
        <w:t xml:space="preserve"> </w:t>
      </w:r>
      <w:r w:rsidRPr="0092151A">
        <w:t>document</w:t>
      </w:r>
      <w:r w:rsidR="00EE6D35">
        <w:t xml:space="preserve"> </w:t>
      </w:r>
      <w:r w:rsidRPr="0092151A">
        <w:t>to</w:t>
      </w:r>
      <w:r w:rsidR="00EE6D35">
        <w:t xml:space="preserve"> </w:t>
      </w:r>
      <w:r w:rsidRPr="0092151A">
        <w:t>undertake</w:t>
      </w:r>
      <w:r w:rsidR="00EE6D35">
        <w:t xml:space="preserve"> </w:t>
      </w:r>
      <w:r w:rsidRPr="0092151A">
        <w:t>the</w:t>
      </w:r>
      <w:r w:rsidR="00EE6D35">
        <w:t xml:space="preserve"> </w:t>
      </w:r>
      <w:r w:rsidRPr="0092151A">
        <w:t>search.</w:t>
      </w:r>
    </w:p>
    <w:p w14:paraId="3788D2AB" w14:textId="2C90E18A" w:rsidR="001B20B3" w:rsidRPr="00FC6B05" w:rsidRDefault="001B20B3" w:rsidP="001B20B3">
      <w:pPr>
        <w:pStyle w:val="Heading2"/>
      </w:pPr>
      <w:bookmarkStart w:id="14" w:name="_Toc89733720"/>
      <w:bookmarkStart w:id="15" w:name="_Toc91146866"/>
      <w:r>
        <w:t>The</w:t>
      </w:r>
      <w:r w:rsidR="00EE6D35">
        <w:t xml:space="preserve"> </w:t>
      </w:r>
      <w:r>
        <w:t>department’s</w:t>
      </w:r>
      <w:r w:rsidR="00EE6D35">
        <w:t xml:space="preserve"> </w:t>
      </w:r>
      <w:r>
        <w:t>reporting</w:t>
      </w:r>
      <w:r w:rsidR="00EE6D35">
        <w:t xml:space="preserve"> </w:t>
      </w:r>
      <w:r>
        <w:t>tools</w:t>
      </w:r>
      <w:bookmarkEnd w:id="14"/>
      <w:bookmarkEnd w:id="15"/>
    </w:p>
    <w:p w14:paraId="1706C83C" w14:textId="6A3B42A8" w:rsidR="001B20B3" w:rsidRPr="00C406A6" w:rsidRDefault="001B20B3" w:rsidP="008834F1">
      <w:pPr>
        <w:pStyle w:val="Heading3"/>
        <w:rPr>
          <w:rStyle w:val="Heading2Char"/>
          <w:b/>
          <w:color w:val="auto"/>
          <w:sz w:val="20"/>
          <w:szCs w:val="20"/>
        </w:rPr>
      </w:pPr>
      <w:r w:rsidRPr="00C406A6">
        <w:t>Service</w:t>
      </w:r>
      <w:r w:rsidR="00EE6D35">
        <w:t xml:space="preserve"> </w:t>
      </w:r>
      <w:r w:rsidRPr="00C406A6">
        <w:t>delivery</w:t>
      </w:r>
      <w:r w:rsidR="00EE6D35">
        <w:t xml:space="preserve"> </w:t>
      </w:r>
      <w:r w:rsidRPr="00C406A6">
        <w:t>tracking</w:t>
      </w:r>
      <w:r w:rsidR="00EE6D35">
        <w:rPr>
          <w:rStyle w:val="Heading2Char"/>
          <w:b/>
          <w:color w:val="auto"/>
          <w:sz w:val="20"/>
          <w:szCs w:val="20"/>
        </w:rPr>
        <w:t xml:space="preserve"> </w:t>
      </w:r>
    </w:p>
    <w:p w14:paraId="7A3C5EAA" w14:textId="6902DDE2" w:rsidR="001B20B3" w:rsidRDefault="001B20B3" w:rsidP="001B20B3">
      <w:pPr>
        <w:pStyle w:val="DHHSbody"/>
      </w:pPr>
      <w:r w:rsidRPr="00180174">
        <w:t>Service</w:t>
      </w:r>
      <w:r w:rsidR="00EE6D35">
        <w:t xml:space="preserve"> </w:t>
      </w:r>
      <w:r w:rsidRPr="00180174">
        <w:t>Delivery</w:t>
      </w:r>
      <w:r w:rsidR="00EE6D35">
        <w:t xml:space="preserve"> </w:t>
      </w:r>
      <w:r w:rsidRPr="00180174">
        <w:t>Tracking</w:t>
      </w:r>
      <w:r w:rsidR="00EE6D35">
        <w:t xml:space="preserve"> </w:t>
      </w:r>
      <w:r w:rsidRPr="00180174">
        <w:t>(SDT)</w:t>
      </w:r>
      <w:r w:rsidR="00EE6D35">
        <w:t xml:space="preserve"> </w:t>
      </w:r>
      <w:r w:rsidRPr="00180174">
        <w:t>supports</w:t>
      </w:r>
      <w:r w:rsidR="00EE6D35">
        <w:t xml:space="preserve"> </w:t>
      </w:r>
      <w:r w:rsidRPr="00180174">
        <w:t>organisations</w:t>
      </w:r>
      <w:r w:rsidR="00EE6D35">
        <w:t xml:space="preserve"> </w:t>
      </w:r>
      <w:r w:rsidRPr="00180174">
        <w:t>in</w:t>
      </w:r>
      <w:r w:rsidR="00EE6D35">
        <w:t xml:space="preserve"> </w:t>
      </w:r>
      <w:r w:rsidRPr="00180174">
        <w:t>managing</w:t>
      </w:r>
      <w:r w:rsidR="00EE6D35">
        <w:t xml:space="preserve"> </w:t>
      </w:r>
      <w:r w:rsidRPr="00180174">
        <w:t>their</w:t>
      </w:r>
      <w:r w:rsidR="00EE6D35">
        <w:t xml:space="preserve"> </w:t>
      </w:r>
      <w:r w:rsidRPr="00180174">
        <w:t>progress</w:t>
      </w:r>
      <w:r w:rsidR="00EE6D35">
        <w:t xml:space="preserve"> </w:t>
      </w:r>
      <w:r w:rsidRPr="00180174">
        <w:t>towards</w:t>
      </w:r>
      <w:r w:rsidR="00EE6D35">
        <w:t xml:space="preserve"> </w:t>
      </w:r>
      <w:r w:rsidRPr="00180174">
        <w:t>meeting</w:t>
      </w:r>
      <w:r w:rsidR="00EE6D35">
        <w:t xml:space="preserve"> </w:t>
      </w:r>
      <w:r w:rsidRPr="00180174">
        <w:t>agreed</w:t>
      </w:r>
      <w:r w:rsidR="00EE6D35">
        <w:t xml:space="preserve"> </w:t>
      </w:r>
      <w:r w:rsidRPr="00180174">
        <w:t>targets</w:t>
      </w:r>
      <w:r w:rsidR="00EE6D35">
        <w:t xml:space="preserve"> </w:t>
      </w:r>
      <w:r w:rsidRPr="00180174">
        <w:t>and</w:t>
      </w:r>
      <w:r w:rsidR="00EE6D35">
        <w:t xml:space="preserve"> </w:t>
      </w:r>
      <w:r w:rsidRPr="00180174">
        <w:t>assists</w:t>
      </w:r>
      <w:r w:rsidR="00EE6D35">
        <w:t xml:space="preserve"> </w:t>
      </w:r>
      <w:r w:rsidRPr="00180174">
        <w:t>the</w:t>
      </w:r>
      <w:r w:rsidR="00EE6D35">
        <w:t xml:space="preserve"> </w:t>
      </w:r>
      <w:r w:rsidRPr="00180174">
        <w:t>department</w:t>
      </w:r>
      <w:r w:rsidR="00EE6D35">
        <w:t xml:space="preserve"> </w:t>
      </w:r>
      <w:r w:rsidRPr="00180174">
        <w:t>to</w:t>
      </w:r>
      <w:r w:rsidR="00EE6D35">
        <w:t xml:space="preserve"> </w:t>
      </w:r>
      <w:r w:rsidRPr="00180174">
        <w:t>manage</w:t>
      </w:r>
      <w:r w:rsidR="00EE6D35">
        <w:t xml:space="preserve"> </w:t>
      </w:r>
      <w:r w:rsidRPr="00180174">
        <w:t>its</w:t>
      </w:r>
      <w:r w:rsidR="00EE6D35">
        <w:t xml:space="preserve"> </w:t>
      </w:r>
      <w:r w:rsidRPr="00180174">
        <w:t>reporting</w:t>
      </w:r>
      <w:r w:rsidR="00EE6D35">
        <w:t xml:space="preserve"> </w:t>
      </w:r>
      <w:r w:rsidRPr="00180174">
        <w:t>commitments</w:t>
      </w:r>
      <w:r>
        <w:t>.</w:t>
      </w:r>
      <w:r w:rsidR="00EE6D35">
        <w:t xml:space="preserve"> </w:t>
      </w:r>
      <w:r>
        <w:t>Service</w:t>
      </w:r>
      <w:r w:rsidR="00EE6D35">
        <w:t xml:space="preserve"> </w:t>
      </w:r>
      <w:r>
        <w:t>delivery</w:t>
      </w:r>
      <w:r w:rsidR="00EE6D35">
        <w:t xml:space="preserve"> </w:t>
      </w:r>
      <w:r>
        <w:t>tracking</w:t>
      </w:r>
      <w:r w:rsidR="00EE6D35">
        <w:t xml:space="preserve"> </w:t>
      </w:r>
      <w:r>
        <w:t>is</w:t>
      </w:r>
      <w:r w:rsidR="00EE6D35">
        <w:t xml:space="preserve"> </w:t>
      </w:r>
      <w:r>
        <w:t>an</w:t>
      </w:r>
      <w:r w:rsidR="00EE6D35">
        <w:t xml:space="preserve"> </w:t>
      </w:r>
      <w:r>
        <w:t>online</w:t>
      </w:r>
      <w:r w:rsidR="00EE6D35">
        <w:t xml:space="preserve"> </w:t>
      </w:r>
      <w:r>
        <w:t>tracking</w:t>
      </w:r>
      <w:r w:rsidR="00EE6D35">
        <w:t xml:space="preserve"> </w:t>
      </w:r>
      <w:r>
        <w:t>tool</w:t>
      </w:r>
      <w:r w:rsidR="00EE6D35">
        <w:t xml:space="preserve"> </w:t>
      </w:r>
      <w:r>
        <w:t>that</w:t>
      </w:r>
      <w:r w:rsidR="00EE6D35">
        <w:t xml:space="preserve"> </w:t>
      </w:r>
      <w:r>
        <w:t>service</w:t>
      </w:r>
      <w:r w:rsidR="00EE6D35">
        <w:t xml:space="preserve"> </w:t>
      </w:r>
      <w:r>
        <w:t>providers</w:t>
      </w:r>
      <w:r w:rsidR="00EE6D35">
        <w:t xml:space="preserve"> </w:t>
      </w:r>
      <w:r>
        <w:t>are</w:t>
      </w:r>
      <w:r w:rsidR="00EE6D35">
        <w:t xml:space="preserve"> </w:t>
      </w:r>
      <w:r>
        <w:t>required</w:t>
      </w:r>
      <w:r w:rsidR="00EE6D35">
        <w:t xml:space="preserve"> </w:t>
      </w:r>
      <w:r>
        <w:t>to</w:t>
      </w:r>
      <w:r w:rsidR="00EE6D35">
        <w:t xml:space="preserve"> </w:t>
      </w:r>
      <w:r>
        <w:t>use</w:t>
      </w:r>
      <w:r w:rsidR="00EE6D35">
        <w:t xml:space="preserve"> </w:t>
      </w:r>
      <w:r>
        <w:t>to</w:t>
      </w:r>
      <w:r w:rsidR="00EE6D35">
        <w:t xml:space="preserve"> </w:t>
      </w:r>
      <w:r>
        <w:t>report</w:t>
      </w:r>
      <w:r w:rsidR="00EE6D35">
        <w:t xml:space="preserve"> </w:t>
      </w:r>
      <w:r>
        <w:t>monthly</w:t>
      </w:r>
      <w:r w:rsidR="00EE6D35">
        <w:t xml:space="preserve"> </w:t>
      </w:r>
      <w:r>
        <w:t>service</w:t>
      </w:r>
      <w:r w:rsidR="00EE6D35">
        <w:t xml:space="preserve"> </w:t>
      </w:r>
      <w:r>
        <w:t>delivery</w:t>
      </w:r>
      <w:r w:rsidR="00EE6D35">
        <w:t xml:space="preserve"> </w:t>
      </w:r>
      <w:r>
        <w:t>against</w:t>
      </w:r>
      <w:r w:rsidR="00EE6D35">
        <w:t xml:space="preserve"> </w:t>
      </w:r>
      <w:r>
        <w:t>the</w:t>
      </w:r>
      <w:r w:rsidR="00EE6D35">
        <w:t xml:space="preserve"> </w:t>
      </w:r>
      <w:r>
        <w:t>service</w:t>
      </w:r>
      <w:r w:rsidR="00EE6D35">
        <w:t xml:space="preserve"> </w:t>
      </w:r>
      <w:r>
        <w:t>agreement.</w:t>
      </w:r>
    </w:p>
    <w:p w14:paraId="79089AC9" w14:textId="033C0F4E" w:rsidR="001B20B3" w:rsidRDefault="001B20B3" w:rsidP="001B20B3">
      <w:pPr>
        <w:pStyle w:val="DHHSbody"/>
      </w:pPr>
      <w:r w:rsidRPr="00346DCC">
        <w:t>The</w:t>
      </w:r>
      <w:r w:rsidR="00EE6D35">
        <w:t xml:space="preserve"> </w:t>
      </w:r>
      <w:r w:rsidRPr="00346DCC">
        <w:t>service</w:t>
      </w:r>
      <w:r w:rsidR="00EE6D35">
        <w:t xml:space="preserve"> </w:t>
      </w:r>
      <w:r w:rsidRPr="00346DCC">
        <w:t>delivery</w:t>
      </w:r>
      <w:r w:rsidR="00EE6D35">
        <w:t xml:space="preserve"> </w:t>
      </w:r>
      <w:r w:rsidRPr="00346DCC">
        <w:t>tracking</w:t>
      </w:r>
      <w:r w:rsidR="00EE6D35">
        <w:t xml:space="preserve"> </w:t>
      </w:r>
      <w:r w:rsidRPr="00346DCC">
        <w:t>acquittal</w:t>
      </w:r>
      <w:r w:rsidR="00EE6D35">
        <w:t xml:space="preserve"> </w:t>
      </w:r>
      <w:r w:rsidRPr="00346DCC">
        <w:t>templates</w:t>
      </w:r>
      <w:r w:rsidR="00EE6D35">
        <w:t xml:space="preserve"> </w:t>
      </w:r>
      <w:r>
        <w:t>are</w:t>
      </w:r>
      <w:r w:rsidR="00EE6D35">
        <w:t xml:space="preserve"> </w:t>
      </w:r>
      <w:r w:rsidRPr="00346DCC">
        <w:t>available</w:t>
      </w:r>
      <w:r w:rsidR="00EE6D35">
        <w:t xml:space="preserve"> </w:t>
      </w:r>
      <w:r w:rsidRPr="00346DCC">
        <w:t>for</w:t>
      </w:r>
      <w:r w:rsidR="00EE6D35">
        <w:t xml:space="preserve"> </w:t>
      </w:r>
      <w:r w:rsidRPr="00346DCC">
        <w:t>updating</w:t>
      </w:r>
      <w:r w:rsidR="00EE6D35">
        <w:t xml:space="preserve"> </w:t>
      </w:r>
      <w:r w:rsidRPr="00346DCC">
        <w:t>and</w:t>
      </w:r>
      <w:r w:rsidR="00EE6D35">
        <w:t xml:space="preserve"> </w:t>
      </w:r>
      <w:r w:rsidRPr="00346DCC">
        <w:t>submission</w:t>
      </w:r>
      <w:r w:rsidR="00EE6D35">
        <w:t xml:space="preserve"> </w:t>
      </w:r>
      <w:r w:rsidRPr="00346DCC">
        <w:t>from</w:t>
      </w:r>
      <w:r w:rsidR="00EE6D35">
        <w:t xml:space="preserve"> </w:t>
      </w:r>
      <w:r w:rsidRPr="00346DCC">
        <w:t>the</w:t>
      </w:r>
      <w:r w:rsidR="00EE6D35">
        <w:t xml:space="preserve"> </w:t>
      </w:r>
      <w:r w:rsidRPr="00346DCC">
        <w:t>first</w:t>
      </w:r>
      <w:r w:rsidR="00EE6D35">
        <w:t xml:space="preserve"> </w:t>
      </w:r>
      <w:r w:rsidRPr="00346DCC">
        <w:t>day</w:t>
      </w:r>
      <w:r w:rsidR="00EE6D35">
        <w:t xml:space="preserve"> </w:t>
      </w:r>
      <w:r w:rsidRPr="00346DCC">
        <w:t>of</w:t>
      </w:r>
      <w:r w:rsidR="00EE6D35">
        <w:t xml:space="preserve"> </w:t>
      </w:r>
      <w:r w:rsidRPr="00346DCC">
        <w:t>the</w:t>
      </w:r>
      <w:r w:rsidR="00EE6D35">
        <w:t xml:space="preserve"> </w:t>
      </w:r>
      <w:r w:rsidRPr="00346DCC">
        <w:t>month,</w:t>
      </w:r>
      <w:r w:rsidR="00EE6D35">
        <w:t xml:space="preserve"> </w:t>
      </w:r>
      <w:r w:rsidRPr="00346DCC">
        <w:t>following</w:t>
      </w:r>
      <w:r w:rsidR="00EE6D35">
        <w:t xml:space="preserve"> </w:t>
      </w:r>
      <w:r w:rsidRPr="00346DCC">
        <w:t>the</w:t>
      </w:r>
      <w:r w:rsidR="00EE6D35">
        <w:t xml:space="preserve"> </w:t>
      </w:r>
      <w:r w:rsidRPr="00346DCC">
        <w:t>reporting</w:t>
      </w:r>
      <w:r w:rsidR="00EE6D35">
        <w:t xml:space="preserve"> </w:t>
      </w:r>
      <w:r w:rsidRPr="00346DCC">
        <w:t>month</w:t>
      </w:r>
      <w:r>
        <w:t>.</w:t>
      </w:r>
    </w:p>
    <w:p w14:paraId="5A271B1C" w14:textId="46E19D4F" w:rsidR="001B20B3" w:rsidRDefault="001B20B3" w:rsidP="001B20B3">
      <w:pPr>
        <w:pStyle w:val="DHHSbody"/>
      </w:pPr>
      <w:r>
        <w:t>More</w:t>
      </w:r>
      <w:r w:rsidR="00EE6D35">
        <w:t xml:space="preserve"> </w:t>
      </w:r>
      <w:r>
        <w:t>information</w:t>
      </w:r>
      <w:r w:rsidR="00EE6D35">
        <w:t xml:space="preserve"> </w:t>
      </w:r>
      <w:r>
        <w:t>about</w:t>
      </w:r>
      <w:r w:rsidR="00EE6D35">
        <w:t xml:space="preserve"> </w:t>
      </w:r>
      <w:r>
        <w:t>SDT</w:t>
      </w:r>
      <w:r w:rsidR="00EE6D35">
        <w:t xml:space="preserve"> </w:t>
      </w:r>
      <w:r>
        <w:t>can</w:t>
      </w:r>
      <w:r w:rsidR="00EE6D35">
        <w:t xml:space="preserve"> </w:t>
      </w:r>
      <w:r>
        <w:t>be</w:t>
      </w:r>
      <w:r w:rsidR="00EE6D35">
        <w:t xml:space="preserve"> </w:t>
      </w:r>
      <w:r>
        <w:t>found</w:t>
      </w:r>
      <w:r w:rsidR="00EE6D35">
        <w:t xml:space="preserve"> </w:t>
      </w:r>
      <w:r>
        <w:t>on</w:t>
      </w:r>
      <w:r w:rsidR="00EE6D35">
        <w:t xml:space="preserve"> </w:t>
      </w:r>
      <w:r>
        <w:t>the</w:t>
      </w:r>
      <w:r w:rsidR="00EE6D35">
        <w:t xml:space="preserve"> </w:t>
      </w:r>
      <w:hyperlink r:id="rId24" w:history="1">
        <w:r w:rsidRPr="00805B9F">
          <w:rPr>
            <w:rStyle w:val="Hyperlink"/>
          </w:rPr>
          <w:t>Funded</w:t>
        </w:r>
        <w:r w:rsidR="00EE6D35">
          <w:rPr>
            <w:rStyle w:val="Hyperlink"/>
          </w:rPr>
          <w:t xml:space="preserve"> </w:t>
        </w:r>
        <w:r w:rsidRPr="00805B9F">
          <w:rPr>
            <w:rStyle w:val="Hyperlink"/>
          </w:rPr>
          <w:t>Agency</w:t>
        </w:r>
        <w:r w:rsidR="00EE6D35">
          <w:rPr>
            <w:rStyle w:val="Hyperlink"/>
          </w:rPr>
          <w:t xml:space="preserve"> </w:t>
        </w:r>
        <w:r w:rsidRPr="00805B9F">
          <w:rPr>
            <w:rStyle w:val="Hyperlink"/>
          </w:rPr>
          <w:t>Channel</w:t>
        </w:r>
        <w:r w:rsidR="00EE6D35">
          <w:rPr>
            <w:rStyle w:val="Hyperlink"/>
          </w:rPr>
          <w:t xml:space="preserve"> </w:t>
        </w:r>
        <w:r w:rsidRPr="00805B9F">
          <w:rPr>
            <w:rStyle w:val="Hyperlink"/>
          </w:rPr>
          <w:t>website</w:t>
        </w:r>
      </w:hyperlink>
      <w:r>
        <w:t>:</w:t>
      </w:r>
      <w:r w:rsidR="00EE6D35">
        <w:t xml:space="preserve"> </w:t>
      </w:r>
      <w:r>
        <w:t>&lt;</w:t>
      </w:r>
      <w:r w:rsidRPr="001B20B3">
        <w:t>https://fac.dffh.vic.gov.au/service-delivery-tracking</w:t>
      </w:r>
      <w:r>
        <w:t>&gt;</w:t>
      </w:r>
    </w:p>
    <w:p w14:paraId="2947F862" w14:textId="022497AA" w:rsidR="001B20B3" w:rsidRDefault="001B20B3" w:rsidP="008834F1">
      <w:pPr>
        <w:pStyle w:val="Heading3"/>
      </w:pPr>
      <w:r>
        <w:t>Client</w:t>
      </w:r>
      <w:r w:rsidR="00EE6D35">
        <w:t xml:space="preserve"> </w:t>
      </w:r>
      <w:r>
        <w:t>Relationship</w:t>
      </w:r>
      <w:r w:rsidR="00EE6D35">
        <w:t xml:space="preserve"> </w:t>
      </w:r>
      <w:r>
        <w:t>Information</w:t>
      </w:r>
      <w:r w:rsidR="00EE6D35">
        <w:t xml:space="preserve"> </w:t>
      </w:r>
      <w:r>
        <w:t>System</w:t>
      </w:r>
      <w:r w:rsidR="00EE6D35">
        <w:t xml:space="preserve"> </w:t>
      </w:r>
      <w:r>
        <w:t>for</w:t>
      </w:r>
      <w:r w:rsidR="00EE6D35">
        <w:t xml:space="preserve"> </w:t>
      </w:r>
      <w:r>
        <w:t>Service</w:t>
      </w:r>
      <w:r w:rsidR="00EE6D35">
        <w:t xml:space="preserve"> </w:t>
      </w:r>
      <w:r>
        <w:t>Providers</w:t>
      </w:r>
      <w:r w:rsidR="00EE6D35">
        <w:t xml:space="preserve"> </w:t>
      </w:r>
    </w:p>
    <w:p w14:paraId="4910A111" w14:textId="3882FF16" w:rsidR="001B20B3" w:rsidRDefault="001B20B3" w:rsidP="7AF0D919">
      <w:pPr>
        <w:pStyle w:val="DHHSbody"/>
        <w:rPr>
          <w:lang w:val="en-US"/>
        </w:rPr>
      </w:pPr>
      <w:r w:rsidRPr="7AF0D919">
        <w:rPr>
          <w:lang w:val="en-US"/>
        </w:rPr>
        <w:t>The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Client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Relationship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Information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System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for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Service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Providers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(CRISSP)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is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a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flexible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client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information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and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case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management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system,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developed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by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the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department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for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the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community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services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sector.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CRISSP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provides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a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range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of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functions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for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recording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client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information,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assisting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case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management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and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enabling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electronic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reporting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of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data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required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by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the</w:t>
      </w:r>
      <w:r w:rsidR="00EE6D35" w:rsidRPr="7AF0D919">
        <w:rPr>
          <w:lang w:val="en-US"/>
        </w:rPr>
        <w:t xml:space="preserve"> </w:t>
      </w:r>
      <w:r w:rsidRPr="7AF0D919">
        <w:rPr>
          <w:lang w:val="en-US"/>
        </w:rPr>
        <w:t>department.</w:t>
      </w:r>
    </w:p>
    <w:p w14:paraId="1DFFDE5F" w14:textId="64F1E107" w:rsidR="001B20B3" w:rsidRDefault="001B20B3" w:rsidP="001B20B3">
      <w:pPr>
        <w:pStyle w:val="DHHSbody"/>
        <w:rPr>
          <w:lang w:val="en"/>
        </w:rPr>
      </w:pPr>
      <w:r>
        <w:rPr>
          <w:lang w:val="en"/>
        </w:rPr>
        <w:t>Funded</w:t>
      </w:r>
      <w:r w:rsidR="00EE6D35">
        <w:rPr>
          <w:lang w:val="en"/>
        </w:rPr>
        <w:t xml:space="preserve"> </w:t>
      </w:r>
      <w:r>
        <w:rPr>
          <w:lang w:val="en"/>
        </w:rPr>
        <w:t>Better</w:t>
      </w:r>
      <w:r w:rsidR="00EE6D35">
        <w:rPr>
          <w:lang w:val="en"/>
        </w:rPr>
        <w:t xml:space="preserve"> </w:t>
      </w:r>
      <w:r>
        <w:rPr>
          <w:lang w:val="en"/>
        </w:rPr>
        <w:t>Futures</w:t>
      </w:r>
      <w:r w:rsidR="00EE6D35">
        <w:rPr>
          <w:lang w:val="en"/>
        </w:rPr>
        <w:t xml:space="preserve"> </w:t>
      </w:r>
      <w:r>
        <w:rPr>
          <w:lang w:val="en"/>
        </w:rPr>
        <w:t>providers</w:t>
      </w:r>
      <w:r w:rsidR="00EE6D35">
        <w:rPr>
          <w:lang w:val="en"/>
        </w:rPr>
        <w:t xml:space="preserve"> </w:t>
      </w:r>
      <w:r>
        <w:rPr>
          <w:lang w:val="en"/>
        </w:rPr>
        <w:t>can</w:t>
      </w:r>
      <w:r w:rsidR="00EE6D35">
        <w:rPr>
          <w:lang w:val="en"/>
        </w:rPr>
        <w:t xml:space="preserve"> </w:t>
      </w:r>
      <w:r>
        <w:rPr>
          <w:lang w:val="en"/>
        </w:rPr>
        <w:t>extract</w:t>
      </w:r>
      <w:r w:rsidR="00EE6D35">
        <w:rPr>
          <w:lang w:val="en"/>
        </w:rPr>
        <w:t xml:space="preserve"> </w:t>
      </w:r>
      <w:r>
        <w:rPr>
          <w:lang w:val="en"/>
        </w:rPr>
        <w:t>the</w:t>
      </w:r>
      <w:r w:rsidR="00EE6D35">
        <w:rPr>
          <w:lang w:val="en"/>
        </w:rPr>
        <w:t xml:space="preserve"> </w:t>
      </w:r>
      <w:r>
        <w:rPr>
          <w:lang w:val="en"/>
        </w:rPr>
        <w:t>following</w:t>
      </w:r>
      <w:r w:rsidR="00EE6D35">
        <w:rPr>
          <w:lang w:val="en"/>
        </w:rPr>
        <w:t xml:space="preserve"> </w:t>
      </w:r>
      <w:r>
        <w:rPr>
          <w:lang w:val="en"/>
        </w:rPr>
        <w:t>reports</w:t>
      </w:r>
      <w:r w:rsidR="00EE6D35">
        <w:rPr>
          <w:lang w:val="en"/>
        </w:rPr>
        <w:t xml:space="preserve"> </w:t>
      </w:r>
      <w:r>
        <w:rPr>
          <w:lang w:val="en"/>
        </w:rPr>
        <w:t>from</w:t>
      </w:r>
      <w:r w:rsidR="00EE6D35">
        <w:rPr>
          <w:lang w:val="en"/>
        </w:rPr>
        <w:t xml:space="preserve"> </w:t>
      </w:r>
      <w:r>
        <w:rPr>
          <w:lang w:val="en"/>
        </w:rPr>
        <w:t>CRISSP:</w:t>
      </w:r>
    </w:p>
    <w:p w14:paraId="7C02AA24" w14:textId="66C84631" w:rsidR="001B20B3" w:rsidRDefault="001B20B3" w:rsidP="001B20B3">
      <w:pPr>
        <w:pStyle w:val="DHHSbody"/>
        <w:numPr>
          <w:ilvl w:val="0"/>
          <w:numId w:val="41"/>
        </w:numPr>
      </w:pPr>
      <w:r>
        <w:t>Better</w:t>
      </w:r>
      <w:r w:rsidR="00EE6D35">
        <w:t xml:space="preserve"> </w:t>
      </w:r>
      <w:r>
        <w:t>Futures</w:t>
      </w:r>
      <w:r w:rsidR="00EE6D35">
        <w:t xml:space="preserve"> </w:t>
      </w:r>
      <w:r>
        <w:t>Monthly</w:t>
      </w:r>
      <w:r w:rsidR="00EE6D35">
        <w:t xml:space="preserve"> </w:t>
      </w:r>
      <w:r>
        <w:t>Report</w:t>
      </w:r>
      <w:r w:rsidR="00EE6D35">
        <w:t xml:space="preserve"> </w:t>
      </w:r>
      <w:r>
        <w:t>CP504R</w:t>
      </w:r>
    </w:p>
    <w:p w14:paraId="0D4619CC" w14:textId="1F2B7D34" w:rsidR="001B20B3" w:rsidRDefault="001B20B3" w:rsidP="001B20B3">
      <w:pPr>
        <w:pStyle w:val="DHHSbody"/>
        <w:numPr>
          <w:ilvl w:val="0"/>
          <w:numId w:val="41"/>
        </w:numPr>
      </w:pPr>
      <w:r>
        <w:t>Client</w:t>
      </w:r>
      <w:r w:rsidR="00EE6D35">
        <w:t xml:space="preserve"> </w:t>
      </w:r>
      <w:r>
        <w:t>Expenditure</w:t>
      </w:r>
      <w:r w:rsidR="00EE6D35">
        <w:t xml:space="preserve"> </w:t>
      </w:r>
      <w:r>
        <w:t>Report</w:t>
      </w:r>
      <w:r w:rsidR="00EE6D35">
        <w:t xml:space="preserve"> </w:t>
      </w:r>
      <w:r>
        <w:t>CP506R</w:t>
      </w:r>
    </w:p>
    <w:p w14:paraId="2B58BFED" w14:textId="5BBE2408" w:rsidR="00A710FD" w:rsidRDefault="00A710FD" w:rsidP="00A710FD">
      <w:pPr>
        <w:pStyle w:val="Heading3"/>
      </w:pPr>
      <w:r>
        <w:t xml:space="preserve">Outcomes Tracking System </w:t>
      </w:r>
    </w:p>
    <w:p w14:paraId="3E62748A" w14:textId="661C667D" w:rsidR="00A710FD" w:rsidRPr="00426B43" w:rsidRDefault="00A710FD" w:rsidP="4AD583B0">
      <w:pPr>
        <w:pStyle w:val="DHHSbody"/>
      </w:pPr>
      <w:r w:rsidRPr="4AD583B0">
        <w:t>The Outcomes Tracking System (OTS) is</w:t>
      </w:r>
      <w:r w:rsidR="1593E917" w:rsidRPr="4AD583B0">
        <w:t xml:space="preserve"> </w:t>
      </w:r>
      <w:r w:rsidRPr="4AD583B0">
        <w:t>used</w:t>
      </w:r>
      <w:r w:rsidR="00A30176" w:rsidRPr="4AD583B0">
        <w:t xml:space="preserve"> </w:t>
      </w:r>
      <w:r w:rsidR="73196CA2" w:rsidRPr="4AD583B0">
        <w:t>to record young people’s responses to Better Futures outcomes questions</w:t>
      </w:r>
      <w:r w:rsidR="7EB1B897" w:rsidRPr="4AD583B0">
        <w:t xml:space="preserve">. </w:t>
      </w:r>
      <w:r w:rsidR="7C7B0BFC" w:rsidRPr="4AD583B0">
        <w:t>OTS enables electronic reporting of data required by the department</w:t>
      </w:r>
      <w:r w:rsidR="73196CA2" w:rsidRPr="4AD583B0">
        <w:t xml:space="preserve">. </w:t>
      </w:r>
      <w:r w:rsidR="37E3BC2D" w:rsidRPr="4AD583B0">
        <w:t xml:space="preserve"> </w:t>
      </w:r>
      <w:r w:rsidRPr="4AD583B0">
        <w:t>The Full Data Extract provides data required by the department.</w:t>
      </w:r>
    </w:p>
    <w:p w14:paraId="55585E2E" w14:textId="3CCDDAEB" w:rsidR="001B20B3" w:rsidRDefault="001B20B3" w:rsidP="001B20B3">
      <w:pPr>
        <w:pStyle w:val="Heading1"/>
        <w:spacing w:before="120" w:after="120"/>
      </w:pPr>
      <w:bookmarkStart w:id="16" w:name="_Toc89733721"/>
      <w:bookmarkStart w:id="17" w:name="_Toc91146867"/>
      <w:r>
        <w:lastRenderedPageBreak/>
        <w:t>Information</w:t>
      </w:r>
      <w:r w:rsidR="00EE6D35">
        <w:t xml:space="preserve"> </w:t>
      </w:r>
      <w:r>
        <w:t>regarding</w:t>
      </w:r>
      <w:r w:rsidR="00EE6D35">
        <w:t xml:space="preserve"> </w:t>
      </w:r>
      <w:r>
        <w:t>Better</w:t>
      </w:r>
      <w:r w:rsidR="00EE6D35">
        <w:t xml:space="preserve"> </w:t>
      </w:r>
      <w:r>
        <w:t>Futures</w:t>
      </w:r>
      <w:r w:rsidR="00EE6D35">
        <w:t xml:space="preserve"> </w:t>
      </w:r>
      <w:r>
        <w:t>funded</w:t>
      </w:r>
      <w:r w:rsidR="00EE6D35">
        <w:t xml:space="preserve"> </w:t>
      </w:r>
      <w:r>
        <w:t>activities</w:t>
      </w:r>
      <w:bookmarkEnd w:id="16"/>
      <w:bookmarkEnd w:id="17"/>
    </w:p>
    <w:p w14:paraId="3A21F7F5" w14:textId="5EB377E4" w:rsidR="001B20B3" w:rsidRDefault="001B20B3" w:rsidP="001B20B3">
      <w:pPr>
        <w:pStyle w:val="DHHSbody"/>
      </w:pPr>
      <w:r w:rsidRPr="008E044B">
        <w:t>The</w:t>
      </w:r>
      <w:r w:rsidR="00EE6D35">
        <w:t xml:space="preserve"> </w:t>
      </w:r>
      <w:r w:rsidRPr="008E044B">
        <w:t>following</w:t>
      </w:r>
      <w:r w:rsidR="00EE6D35">
        <w:t xml:space="preserve"> </w:t>
      </w:r>
      <w:r w:rsidRPr="008E044B">
        <w:t>five</w:t>
      </w:r>
      <w:r w:rsidR="00EE6D35">
        <w:t xml:space="preserve"> </w:t>
      </w:r>
      <w:r w:rsidRPr="008E044B">
        <w:t>activity</w:t>
      </w:r>
      <w:r w:rsidR="00EE6D35">
        <w:t xml:space="preserve"> </w:t>
      </w:r>
      <w:r w:rsidRPr="008E044B">
        <w:t>descriptions</w:t>
      </w:r>
      <w:r w:rsidR="00EE6D35">
        <w:t xml:space="preserve"> </w:t>
      </w:r>
      <w:r w:rsidRPr="008E044B">
        <w:t>set</w:t>
      </w:r>
      <w:r w:rsidR="00EE6D35">
        <w:t xml:space="preserve"> </w:t>
      </w:r>
      <w:r w:rsidRPr="008E044B">
        <w:t>out</w:t>
      </w:r>
      <w:r w:rsidR="00EE6D35">
        <w:t xml:space="preserve"> </w:t>
      </w:r>
      <w:r w:rsidRPr="008E044B">
        <w:t>the</w:t>
      </w:r>
      <w:r w:rsidR="00EE6D35">
        <w:t xml:space="preserve"> </w:t>
      </w:r>
      <w:r w:rsidRPr="008E044B">
        <w:t>department’s</w:t>
      </w:r>
      <w:r w:rsidR="00EE6D35">
        <w:t xml:space="preserve"> </w:t>
      </w:r>
      <w:r w:rsidRPr="008E044B">
        <w:t>approach</w:t>
      </w:r>
      <w:r w:rsidR="00EE6D35">
        <w:t xml:space="preserve"> </w:t>
      </w:r>
      <w:r w:rsidRPr="008E044B">
        <w:t>to</w:t>
      </w:r>
      <w:r w:rsidR="00EE6D35">
        <w:t xml:space="preserve"> </w:t>
      </w:r>
      <w:r w:rsidRPr="008E044B">
        <w:t>measuring</w:t>
      </w:r>
      <w:r w:rsidR="00EE6D35">
        <w:t xml:space="preserve"> </w:t>
      </w:r>
      <w:r w:rsidRPr="008E044B">
        <w:t>the</w:t>
      </w:r>
      <w:r w:rsidR="00EE6D35">
        <w:t xml:space="preserve"> </w:t>
      </w:r>
      <w:r w:rsidRPr="008E044B">
        <w:t>performance</w:t>
      </w:r>
      <w:r w:rsidR="00EE6D35">
        <w:t xml:space="preserve"> </w:t>
      </w:r>
      <w:r w:rsidRPr="008E044B">
        <w:t>of</w:t>
      </w:r>
      <w:r w:rsidR="00EE6D35">
        <w:t xml:space="preserve"> </w:t>
      </w:r>
      <w:r w:rsidRPr="008E044B">
        <w:t>Better</w:t>
      </w:r>
      <w:r w:rsidR="00EE6D35">
        <w:t xml:space="preserve"> </w:t>
      </w:r>
      <w:r w:rsidRPr="008E044B">
        <w:t>Futures</w:t>
      </w:r>
      <w:r w:rsidR="00EE6D35">
        <w:t xml:space="preserve"> </w:t>
      </w:r>
      <w:r w:rsidRPr="008E044B">
        <w:t>providers.</w:t>
      </w:r>
      <w:r w:rsidR="00EE6D35">
        <w:t xml:space="preserve"> </w:t>
      </w:r>
      <w:r>
        <w:t>For</w:t>
      </w:r>
      <w:r w:rsidR="00EE6D35">
        <w:t xml:space="preserve"> </w:t>
      </w:r>
      <w:r>
        <w:t>more</w:t>
      </w:r>
      <w:r w:rsidR="00EE6D35">
        <w:t xml:space="preserve"> </w:t>
      </w:r>
      <w:r>
        <w:t>detailed</w:t>
      </w:r>
      <w:r w:rsidR="00EE6D35">
        <w:t xml:space="preserve"> </w:t>
      </w:r>
      <w:r>
        <w:t>information</w:t>
      </w:r>
      <w:r w:rsidR="00EE6D35">
        <w:t xml:space="preserve"> </w:t>
      </w:r>
      <w:r>
        <w:t>on</w:t>
      </w:r>
      <w:r w:rsidR="00EE6D35">
        <w:t xml:space="preserve"> </w:t>
      </w:r>
      <w:r>
        <w:t>funded</w:t>
      </w:r>
      <w:r w:rsidR="00EE6D35">
        <w:t xml:space="preserve"> </w:t>
      </w:r>
      <w:r>
        <w:t>activities</w:t>
      </w:r>
      <w:r w:rsidR="00EE6D35">
        <w:t xml:space="preserve"> </w:t>
      </w:r>
      <w:r>
        <w:t>refer</w:t>
      </w:r>
      <w:r w:rsidR="00EE6D35">
        <w:t xml:space="preserve"> </w:t>
      </w:r>
      <w:r>
        <w:t>to</w:t>
      </w:r>
      <w:r w:rsidR="00EE6D35">
        <w:t xml:space="preserve"> </w:t>
      </w:r>
      <w:r>
        <w:t>individual</w:t>
      </w:r>
      <w:r w:rsidR="00EE6D35">
        <w:t xml:space="preserve"> </w:t>
      </w:r>
      <w:r>
        <w:t>activity</w:t>
      </w:r>
      <w:r w:rsidR="00EE6D35">
        <w:t xml:space="preserve"> </w:t>
      </w:r>
      <w:r>
        <w:t>descriptions</w:t>
      </w:r>
      <w:r w:rsidR="00EE6D35">
        <w:t xml:space="preserve"> </w:t>
      </w:r>
      <w:r>
        <w:t>accessible</w:t>
      </w:r>
      <w:r w:rsidR="00EE6D35">
        <w:t xml:space="preserve"> </w:t>
      </w:r>
      <w:r>
        <w:t>via</w:t>
      </w:r>
      <w:r w:rsidR="00EE6D35">
        <w:t xml:space="preserve"> </w:t>
      </w:r>
      <w:r>
        <w:t>the</w:t>
      </w:r>
      <w:r w:rsidR="00EE6D35">
        <w:t xml:space="preserve"> </w:t>
      </w:r>
      <w:r>
        <w:t>department’s</w:t>
      </w:r>
      <w:r w:rsidR="00EE6D35">
        <w:t xml:space="preserve"> </w:t>
      </w:r>
      <w:r>
        <w:t>website</w:t>
      </w:r>
      <w:r w:rsidR="00EE6D35">
        <w:t xml:space="preserve"> </w:t>
      </w:r>
      <w:r>
        <w:t>as</w:t>
      </w:r>
      <w:r w:rsidR="00EE6D35">
        <w:t xml:space="preserve"> </w:t>
      </w:r>
      <w:r>
        <w:t>noted</w:t>
      </w:r>
      <w:r w:rsidR="00EE6D35">
        <w:t xml:space="preserve"> </w:t>
      </w:r>
      <w:r>
        <w:t>above.</w:t>
      </w:r>
    </w:p>
    <w:p w14:paraId="44324566" w14:textId="0C13BB70" w:rsidR="001B20B3" w:rsidRPr="009C4376" w:rsidRDefault="001B20B3" w:rsidP="001B20B3">
      <w:pPr>
        <w:pStyle w:val="Heading2"/>
        <w:rPr>
          <w:rFonts w:ascii="Segoe UI" w:hAnsi="Segoe UI" w:cs="Segoe UI"/>
          <w:sz w:val="18"/>
          <w:szCs w:val="18"/>
          <w:lang w:eastAsia="en-AU"/>
        </w:rPr>
      </w:pPr>
      <w:bookmarkStart w:id="18" w:name="_Toc89733722"/>
      <w:bookmarkStart w:id="19" w:name="_Toc91146868"/>
      <w:r w:rsidRPr="009C4376">
        <w:rPr>
          <w:lang w:eastAsia="en-AU"/>
        </w:rPr>
        <w:t>Intake</w:t>
      </w:r>
      <w:r w:rsidR="00EE6D35">
        <w:rPr>
          <w:lang w:eastAsia="en-AU"/>
        </w:rPr>
        <w:t xml:space="preserve"> </w:t>
      </w:r>
      <w:r w:rsidRPr="009C4376">
        <w:rPr>
          <w:lang w:eastAsia="en-AU"/>
        </w:rPr>
        <w:t>and</w:t>
      </w:r>
      <w:r w:rsidR="00EE6D35">
        <w:rPr>
          <w:lang w:eastAsia="en-AU"/>
        </w:rPr>
        <w:t xml:space="preserve"> </w:t>
      </w:r>
      <w:r w:rsidRPr="009C4376">
        <w:rPr>
          <w:lang w:eastAsia="en-AU"/>
        </w:rPr>
        <w:t>Access</w:t>
      </w:r>
      <w:r w:rsidR="00EE6D35">
        <w:rPr>
          <w:lang w:eastAsia="en-AU"/>
        </w:rPr>
        <w:t xml:space="preserve"> </w:t>
      </w:r>
      <w:r w:rsidRPr="009C4376">
        <w:rPr>
          <w:lang w:eastAsia="en-AU"/>
        </w:rPr>
        <w:t>–</w:t>
      </w:r>
      <w:r w:rsidR="00EE6D35">
        <w:rPr>
          <w:lang w:eastAsia="en-AU"/>
        </w:rPr>
        <w:t xml:space="preserve"> </w:t>
      </w:r>
      <w:r w:rsidRPr="009C4376">
        <w:rPr>
          <w:lang w:eastAsia="en-AU"/>
        </w:rPr>
        <w:t>Better</w:t>
      </w:r>
      <w:r w:rsidR="00EE6D35">
        <w:rPr>
          <w:lang w:eastAsia="en-AU"/>
        </w:rPr>
        <w:t xml:space="preserve"> </w:t>
      </w:r>
      <w:r w:rsidRPr="009C4376">
        <w:rPr>
          <w:lang w:eastAsia="en-AU"/>
        </w:rPr>
        <w:t>Futures</w:t>
      </w:r>
      <w:r w:rsidR="00EE6D35">
        <w:rPr>
          <w:lang w:eastAsia="en-AU"/>
        </w:rPr>
        <w:t xml:space="preserve"> </w:t>
      </w:r>
      <w:r w:rsidRPr="009C4376">
        <w:rPr>
          <w:lang w:eastAsia="en-AU"/>
        </w:rPr>
        <w:t>31289</w:t>
      </w:r>
      <w:bookmarkEnd w:id="18"/>
      <w:bookmarkEnd w:id="19"/>
      <w:r w:rsidR="00EE6D35">
        <w:rPr>
          <w:lang w:eastAsia="en-AU"/>
        </w:rPr>
        <w:t xml:space="preserve"> </w:t>
      </w:r>
    </w:p>
    <w:p w14:paraId="579D3A43" w14:textId="3C9F9DD2" w:rsidR="001B20B3" w:rsidRPr="008E044B" w:rsidRDefault="001B20B3" w:rsidP="001B20B3">
      <w:pPr>
        <w:pStyle w:val="DHHSbody"/>
        <w:rPr>
          <w:i/>
          <w:iCs/>
        </w:rPr>
      </w:pPr>
      <w:r w:rsidRPr="008E044B">
        <w:rPr>
          <w:i/>
          <w:iCs/>
        </w:rPr>
        <w:t>Currently</w:t>
      </w:r>
      <w:r w:rsidR="00EE6D35">
        <w:rPr>
          <w:i/>
          <w:iCs/>
        </w:rPr>
        <w:t xml:space="preserve"> </w:t>
      </w:r>
      <w:r w:rsidRPr="008E044B">
        <w:rPr>
          <w:i/>
          <w:iCs/>
        </w:rPr>
        <w:t>this</w:t>
      </w:r>
      <w:r w:rsidR="00EE6D35">
        <w:rPr>
          <w:i/>
          <w:iCs/>
        </w:rPr>
        <w:t xml:space="preserve"> </w:t>
      </w:r>
      <w:r w:rsidRPr="008E044B">
        <w:rPr>
          <w:i/>
          <w:iCs/>
        </w:rPr>
        <w:t>activity</w:t>
      </w:r>
      <w:r w:rsidR="00EE6D35">
        <w:rPr>
          <w:i/>
          <w:iCs/>
        </w:rPr>
        <w:t xml:space="preserve"> </w:t>
      </w:r>
      <w:r w:rsidRPr="008E044B">
        <w:rPr>
          <w:i/>
          <w:iCs/>
        </w:rPr>
        <w:t>description</w:t>
      </w:r>
      <w:r w:rsidR="00EE6D35">
        <w:rPr>
          <w:i/>
          <w:iCs/>
        </w:rPr>
        <w:t xml:space="preserve"> </w:t>
      </w:r>
      <w:r w:rsidRPr="008E044B">
        <w:rPr>
          <w:i/>
          <w:iCs/>
        </w:rPr>
        <w:t>only</w:t>
      </w:r>
      <w:r w:rsidR="00EE6D35">
        <w:rPr>
          <w:i/>
          <w:iCs/>
        </w:rPr>
        <w:t xml:space="preserve"> </w:t>
      </w:r>
      <w:r w:rsidRPr="008E044B">
        <w:rPr>
          <w:i/>
          <w:iCs/>
        </w:rPr>
        <w:t>applies</w:t>
      </w:r>
      <w:r w:rsidR="00EE6D35">
        <w:rPr>
          <w:i/>
          <w:iCs/>
        </w:rPr>
        <w:t xml:space="preserve"> </w:t>
      </w:r>
      <w:r w:rsidRPr="008E044B">
        <w:rPr>
          <w:i/>
          <w:iCs/>
        </w:rPr>
        <w:t>to</w:t>
      </w:r>
      <w:r w:rsidR="00EE6D35">
        <w:rPr>
          <w:i/>
          <w:iCs/>
        </w:rPr>
        <w:t xml:space="preserve"> </w:t>
      </w:r>
      <w:r w:rsidRPr="008E044B">
        <w:rPr>
          <w:i/>
          <w:iCs/>
        </w:rPr>
        <w:t>intake</w:t>
      </w:r>
      <w:r w:rsidR="00EE6D35">
        <w:rPr>
          <w:i/>
          <w:iCs/>
        </w:rPr>
        <w:t xml:space="preserve"> </w:t>
      </w:r>
      <w:r w:rsidRPr="008E044B">
        <w:rPr>
          <w:i/>
          <w:iCs/>
        </w:rPr>
        <w:t>and</w:t>
      </w:r>
      <w:r w:rsidR="00EE6D35">
        <w:rPr>
          <w:i/>
          <w:iCs/>
        </w:rPr>
        <w:t xml:space="preserve"> </w:t>
      </w:r>
      <w:r w:rsidRPr="008E044B">
        <w:rPr>
          <w:i/>
          <w:iCs/>
        </w:rPr>
        <w:t>access</w:t>
      </w:r>
      <w:r w:rsidR="00EE6D35">
        <w:rPr>
          <w:i/>
          <w:iCs/>
        </w:rPr>
        <w:t xml:space="preserve"> </w:t>
      </w:r>
      <w:r w:rsidRPr="008E044B">
        <w:rPr>
          <w:i/>
          <w:iCs/>
        </w:rPr>
        <w:t>service</w:t>
      </w:r>
      <w:r w:rsidR="00EE6D35">
        <w:rPr>
          <w:i/>
          <w:iCs/>
        </w:rPr>
        <w:t xml:space="preserve"> </w:t>
      </w:r>
      <w:r w:rsidRPr="008E044B">
        <w:rPr>
          <w:i/>
          <w:iCs/>
        </w:rPr>
        <w:t>delivery</w:t>
      </w:r>
      <w:r w:rsidR="00EE6D35">
        <w:rPr>
          <w:i/>
          <w:iCs/>
        </w:rPr>
        <w:t xml:space="preserve"> </w:t>
      </w:r>
      <w:r w:rsidRPr="008E044B">
        <w:rPr>
          <w:i/>
          <w:iCs/>
        </w:rPr>
        <w:t>provided</w:t>
      </w:r>
      <w:r w:rsidR="00EE6D35">
        <w:rPr>
          <w:i/>
          <w:iCs/>
        </w:rPr>
        <w:t xml:space="preserve"> </w:t>
      </w:r>
      <w:r w:rsidRPr="008E044B">
        <w:rPr>
          <w:i/>
          <w:iCs/>
        </w:rPr>
        <w:t>by</w:t>
      </w:r>
      <w:r w:rsidR="00EE6D35">
        <w:rPr>
          <w:i/>
          <w:iCs/>
        </w:rPr>
        <w:t xml:space="preserve"> </w:t>
      </w:r>
      <w:r w:rsidRPr="008E044B">
        <w:rPr>
          <w:i/>
          <w:iCs/>
        </w:rPr>
        <w:t>the</w:t>
      </w:r>
      <w:r w:rsidR="00EE6D35">
        <w:rPr>
          <w:i/>
          <w:iCs/>
        </w:rPr>
        <w:t xml:space="preserve"> </w:t>
      </w:r>
      <w:r w:rsidRPr="008E044B">
        <w:rPr>
          <w:i/>
          <w:iCs/>
        </w:rPr>
        <w:t>Leaving</w:t>
      </w:r>
      <w:r w:rsidR="00EE6D35">
        <w:rPr>
          <w:i/>
          <w:iCs/>
        </w:rPr>
        <w:t xml:space="preserve"> </w:t>
      </w:r>
      <w:r w:rsidRPr="008E044B">
        <w:rPr>
          <w:i/>
          <w:iCs/>
        </w:rPr>
        <w:t>Care</w:t>
      </w:r>
      <w:r w:rsidR="00EE6D35">
        <w:rPr>
          <w:i/>
          <w:iCs/>
        </w:rPr>
        <w:t xml:space="preserve"> </w:t>
      </w:r>
      <w:r w:rsidRPr="008E044B">
        <w:rPr>
          <w:i/>
          <w:iCs/>
        </w:rPr>
        <w:t>Hotline,</w:t>
      </w:r>
      <w:r w:rsidR="00EE6D35">
        <w:rPr>
          <w:i/>
          <w:iCs/>
        </w:rPr>
        <w:t xml:space="preserve"> </w:t>
      </w:r>
      <w:r w:rsidRPr="008E044B">
        <w:rPr>
          <w:i/>
          <w:iCs/>
        </w:rPr>
        <w:t>Permanent</w:t>
      </w:r>
      <w:r w:rsidR="00EE6D35">
        <w:rPr>
          <w:i/>
          <w:iCs/>
        </w:rPr>
        <w:t xml:space="preserve"> </w:t>
      </w:r>
      <w:r w:rsidRPr="008E044B">
        <w:rPr>
          <w:i/>
          <w:iCs/>
        </w:rPr>
        <w:t>Care</w:t>
      </w:r>
      <w:r w:rsidR="00EE6D35">
        <w:rPr>
          <w:i/>
          <w:iCs/>
        </w:rPr>
        <w:t xml:space="preserve"> </w:t>
      </w:r>
      <w:r w:rsidRPr="008E044B">
        <w:rPr>
          <w:i/>
          <w:iCs/>
        </w:rPr>
        <w:t>&amp;</w:t>
      </w:r>
      <w:r w:rsidR="00EE6D35">
        <w:rPr>
          <w:i/>
          <w:iCs/>
        </w:rPr>
        <w:t xml:space="preserve"> </w:t>
      </w:r>
      <w:r w:rsidRPr="008E044B">
        <w:rPr>
          <w:i/>
          <w:iCs/>
        </w:rPr>
        <w:t>Adoptive</w:t>
      </w:r>
      <w:r w:rsidR="00EE6D35">
        <w:rPr>
          <w:i/>
          <w:iCs/>
        </w:rPr>
        <w:t xml:space="preserve"> </w:t>
      </w:r>
      <w:r w:rsidRPr="008E044B">
        <w:rPr>
          <w:i/>
          <w:iCs/>
        </w:rPr>
        <w:t>Families</w:t>
      </w:r>
      <w:r w:rsidR="00EE6D35">
        <w:rPr>
          <w:i/>
          <w:iCs/>
        </w:rPr>
        <w:t xml:space="preserve"> </w:t>
      </w:r>
      <w:r w:rsidRPr="008E044B">
        <w:rPr>
          <w:i/>
          <w:iCs/>
        </w:rPr>
        <w:t>(PCA</w:t>
      </w:r>
      <w:r w:rsidR="00EE6D35">
        <w:rPr>
          <w:i/>
          <w:iCs/>
        </w:rPr>
        <w:t xml:space="preserve"> </w:t>
      </w:r>
      <w:r w:rsidRPr="008E044B">
        <w:rPr>
          <w:i/>
          <w:iCs/>
        </w:rPr>
        <w:t>Families)</w:t>
      </w:r>
      <w:r w:rsidR="00EE6D35">
        <w:rPr>
          <w:i/>
          <w:iCs/>
        </w:rPr>
        <w:t xml:space="preserve"> </w:t>
      </w:r>
      <w:r w:rsidRPr="008E044B">
        <w:rPr>
          <w:i/>
          <w:iCs/>
        </w:rPr>
        <w:t>and</w:t>
      </w:r>
      <w:r w:rsidR="00EE6D35">
        <w:rPr>
          <w:i/>
          <w:iCs/>
        </w:rPr>
        <w:t xml:space="preserve"> </w:t>
      </w:r>
      <w:r w:rsidRPr="008E044B">
        <w:rPr>
          <w:i/>
          <w:iCs/>
        </w:rPr>
        <w:t>the</w:t>
      </w:r>
      <w:r w:rsidR="00EE6D35">
        <w:rPr>
          <w:i/>
          <w:iCs/>
        </w:rPr>
        <w:t xml:space="preserve"> </w:t>
      </w:r>
      <w:r w:rsidRPr="008E044B">
        <w:rPr>
          <w:i/>
          <w:iCs/>
        </w:rPr>
        <w:t>Victorian</w:t>
      </w:r>
      <w:r w:rsidR="00EE6D35">
        <w:rPr>
          <w:i/>
          <w:iCs/>
        </w:rPr>
        <w:t xml:space="preserve"> </w:t>
      </w:r>
      <w:r w:rsidRPr="008E044B">
        <w:rPr>
          <w:i/>
          <w:iCs/>
        </w:rPr>
        <w:t>Aboriginal</w:t>
      </w:r>
      <w:r w:rsidR="00EE6D35">
        <w:rPr>
          <w:i/>
          <w:iCs/>
        </w:rPr>
        <w:t xml:space="preserve"> </w:t>
      </w:r>
      <w:r w:rsidRPr="008E044B">
        <w:rPr>
          <w:i/>
          <w:iCs/>
        </w:rPr>
        <w:t>Child</w:t>
      </w:r>
      <w:r w:rsidR="00EE6D35">
        <w:rPr>
          <w:i/>
          <w:iCs/>
        </w:rPr>
        <w:t xml:space="preserve"> </w:t>
      </w:r>
      <w:r w:rsidRPr="008E044B">
        <w:rPr>
          <w:i/>
          <w:iCs/>
        </w:rPr>
        <w:t>Care</w:t>
      </w:r>
      <w:r w:rsidR="00EE6D35">
        <w:rPr>
          <w:i/>
          <w:iCs/>
        </w:rPr>
        <w:t xml:space="preserve"> </w:t>
      </w:r>
      <w:r w:rsidRPr="008E044B">
        <w:rPr>
          <w:i/>
          <w:iCs/>
        </w:rPr>
        <w:t>Agency</w:t>
      </w:r>
      <w:r w:rsidR="00EE6D35">
        <w:rPr>
          <w:i/>
          <w:iCs/>
        </w:rPr>
        <w:t xml:space="preserve"> </w:t>
      </w:r>
      <w:r>
        <w:rPr>
          <w:i/>
          <w:iCs/>
        </w:rPr>
        <w:t>(VACCA)</w:t>
      </w:r>
      <w:r w:rsidRPr="008E044B">
        <w:rPr>
          <w:i/>
          <w:iCs/>
        </w:rPr>
        <w:t>.</w:t>
      </w:r>
      <w:r w:rsidR="00EE6D35">
        <w:rPr>
          <w:i/>
          <w:iCs/>
        </w:rPr>
        <w:t xml:space="preserve"> </w:t>
      </w:r>
    </w:p>
    <w:p w14:paraId="45D0FEDF" w14:textId="2BC1ECB0" w:rsidR="001B20B3" w:rsidRPr="008E044B" w:rsidRDefault="001B20B3" w:rsidP="001B20B3">
      <w:pPr>
        <w:pStyle w:val="DHHSbody"/>
      </w:pPr>
      <w:r w:rsidRPr="008E044B">
        <w:t>Organisations</w:t>
      </w:r>
      <w:r w:rsidR="00EE6D35">
        <w:t xml:space="preserve"> </w:t>
      </w:r>
      <w:r w:rsidRPr="008E044B">
        <w:t>must</w:t>
      </w:r>
      <w:r w:rsidR="00EE6D35">
        <w:t xml:space="preserve"> </w:t>
      </w:r>
      <w:r w:rsidRPr="008E044B">
        <w:t>report</w:t>
      </w:r>
      <w:r w:rsidR="00EE6D35">
        <w:t xml:space="preserve"> </w:t>
      </w:r>
      <w:r w:rsidRPr="008E044B">
        <w:t>on</w:t>
      </w:r>
      <w:r w:rsidR="00EE6D35">
        <w:t xml:space="preserve"> </w:t>
      </w:r>
      <w:r w:rsidRPr="008E044B">
        <w:t>the</w:t>
      </w:r>
      <w:r w:rsidR="00EE6D35">
        <w:t xml:space="preserve"> </w:t>
      </w:r>
    </w:p>
    <w:p w14:paraId="7DCE8561" w14:textId="12F2F778" w:rsidR="001B20B3" w:rsidRPr="008E044B" w:rsidRDefault="001B20B3" w:rsidP="001B20B3">
      <w:pPr>
        <w:pStyle w:val="DHHSbody"/>
        <w:numPr>
          <w:ilvl w:val="0"/>
          <w:numId w:val="42"/>
        </w:numPr>
      </w:pPr>
      <w:r w:rsidRPr="008E044B">
        <w:t>number</w:t>
      </w:r>
      <w:r w:rsidR="00EE6D35">
        <w:t xml:space="preserve"> </w:t>
      </w:r>
      <w:r w:rsidRPr="008E044B">
        <w:t>of</w:t>
      </w:r>
      <w:r w:rsidR="00EE6D35">
        <w:t xml:space="preserve"> </w:t>
      </w:r>
      <w:r w:rsidRPr="008E044B">
        <w:t>hours</w:t>
      </w:r>
      <w:r w:rsidR="00EE6D35">
        <w:t xml:space="preserve"> </w:t>
      </w:r>
      <w:r w:rsidRPr="008E044B">
        <w:t>of</w:t>
      </w:r>
      <w:r w:rsidR="00EE6D35">
        <w:t xml:space="preserve"> </w:t>
      </w:r>
      <w:r w:rsidRPr="008E044B">
        <w:t>service</w:t>
      </w:r>
      <w:r w:rsidR="00EE6D35">
        <w:t xml:space="preserve"> </w:t>
      </w:r>
      <w:r w:rsidRPr="008E044B">
        <w:t>provided,</w:t>
      </w:r>
      <w:r w:rsidR="00EE6D35">
        <w:t xml:space="preserve"> </w:t>
      </w:r>
      <w:r w:rsidRPr="008E044B">
        <w:t>monthly</w:t>
      </w:r>
      <w:r w:rsidR="00410C81">
        <w:t xml:space="preserve"> </w:t>
      </w:r>
    </w:p>
    <w:p w14:paraId="76DFC84E" w14:textId="204B116C" w:rsidR="001B20B3" w:rsidRPr="008E044B" w:rsidRDefault="001B20B3" w:rsidP="001B20B3">
      <w:pPr>
        <w:pStyle w:val="DHHSbody"/>
        <w:numPr>
          <w:ilvl w:val="0"/>
          <w:numId w:val="42"/>
        </w:numPr>
      </w:pPr>
      <w:r w:rsidRPr="008E044B">
        <w:t>number</w:t>
      </w:r>
      <w:r w:rsidR="00EE6D35">
        <w:t xml:space="preserve"> </w:t>
      </w:r>
      <w:r w:rsidRPr="008E044B">
        <w:t>of</w:t>
      </w:r>
      <w:r w:rsidR="00EE6D35">
        <w:t xml:space="preserve"> </w:t>
      </w:r>
      <w:r w:rsidRPr="008E044B">
        <w:t>new</w:t>
      </w:r>
      <w:r w:rsidR="00EE6D35">
        <w:t xml:space="preserve"> </w:t>
      </w:r>
      <w:r w:rsidRPr="008E044B">
        <w:t>cases</w:t>
      </w:r>
      <w:r w:rsidR="00EE6D35">
        <w:t xml:space="preserve"> </w:t>
      </w:r>
      <w:r w:rsidRPr="008E044B">
        <w:t>receiving</w:t>
      </w:r>
      <w:r w:rsidR="00EE6D35">
        <w:t xml:space="preserve"> </w:t>
      </w:r>
      <w:r w:rsidRPr="008E044B">
        <w:t>a</w:t>
      </w:r>
      <w:r w:rsidR="00EE6D35">
        <w:t xml:space="preserve"> </w:t>
      </w:r>
      <w:r w:rsidRPr="008E044B">
        <w:t>service</w:t>
      </w:r>
    </w:p>
    <w:p w14:paraId="02145219" w14:textId="68E6A47E" w:rsidR="001B20B3" w:rsidRDefault="001B20B3" w:rsidP="001B20B3">
      <w:pPr>
        <w:pStyle w:val="DHHSbody"/>
      </w:pPr>
      <w:r w:rsidRPr="008E044B">
        <w:t>Service</w:t>
      </w:r>
      <w:r w:rsidR="00EE6D35">
        <w:t xml:space="preserve"> </w:t>
      </w:r>
      <w:r w:rsidRPr="008E044B">
        <w:t>hours</w:t>
      </w:r>
      <w:r w:rsidR="00EE6D35">
        <w:t xml:space="preserve"> </w:t>
      </w:r>
      <w:r w:rsidRPr="008E044B">
        <w:t>are</w:t>
      </w:r>
      <w:r w:rsidR="00EE6D35">
        <w:t xml:space="preserve"> </w:t>
      </w:r>
      <w:r w:rsidRPr="008E044B">
        <w:t>defined</w:t>
      </w:r>
      <w:r w:rsidR="00EE6D35">
        <w:t xml:space="preserve"> </w:t>
      </w:r>
      <w:r w:rsidRPr="008E044B">
        <w:t>as</w:t>
      </w:r>
      <w:r w:rsidR="00EE6D35">
        <w:t xml:space="preserve"> </w:t>
      </w:r>
      <w:r w:rsidRPr="008E044B">
        <w:t>hours</w:t>
      </w:r>
      <w:r w:rsidR="00EE6D35">
        <w:t xml:space="preserve"> </w:t>
      </w:r>
      <w:r w:rsidRPr="008E044B">
        <w:t>spent</w:t>
      </w:r>
      <w:r w:rsidR="00EE6D35">
        <w:t xml:space="preserve"> </w:t>
      </w:r>
      <w:r w:rsidRPr="008E044B">
        <w:t>by</w:t>
      </w:r>
      <w:r w:rsidR="00EE6D35">
        <w:t xml:space="preserve"> </w:t>
      </w:r>
      <w:r w:rsidRPr="008E044B">
        <w:t>staff</w:t>
      </w:r>
      <w:r w:rsidR="00EE6D35">
        <w:t xml:space="preserve"> </w:t>
      </w:r>
      <w:r w:rsidRPr="008E044B">
        <w:t>providing</w:t>
      </w:r>
      <w:r w:rsidR="00EE6D35">
        <w:t xml:space="preserve"> </w:t>
      </w:r>
      <w:r w:rsidRPr="008E044B">
        <w:t>intake</w:t>
      </w:r>
      <w:r w:rsidR="00EE6D35">
        <w:t xml:space="preserve"> </w:t>
      </w:r>
      <w:r w:rsidRPr="008E044B">
        <w:t>and</w:t>
      </w:r>
      <w:r w:rsidR="00EE6D35">
        <w:t xml:space="preserve"> </w:t>
      </w:r>
      <w:r w:rsidRPr="008E044B">
        <w:t>access</w:t>
      </w:r>
      <w:r w:rsidR="00EE6D35">
        <w:t xml:space="preserve"> </w:t>
      </w:r>
      <w:r w:rsidRPr="008E044B">
        <w:t>including</w:t>
      </w:r>
      <w:r w:rsidR="00EE6D35">
        <w:t xml:space="preserve"> </w:t>
      </w:r>
      <w:r w:rsidRPr="008E044B">
        <w:t>providing</w:t>
      </w:r>
      <w:r w:rsidR="00EE6D35">
        <w:t xml:space="preserve"> </w:t>
      </w:r>
      <w:r w:rsidRPr="008E044B">
        <w:t>services</w:t>
      </w:r>
      <w:r w:rsidR="00EE6D35">
        <w:t xml:space="preserve"> </w:t>
      </w:r>
      <w:r w:rsidRPr="008E044B">
        <w:t>to</w:t>
      </w:r>
      <w:r w:rsidR="00EE6D35">
        <w:t xml:space="preserve"> </w:t>
      </w:r>
      <w:r w:rsidRPr="008E044B">
        <w:t>young</w:t>
      </w:r>
      <w:r w:rsidR="00EE6D35">
        <w:t xml:space="preserve"> </w:t>
      </w:r>
      <w:r w:rsidRPr="008E044B">
        <w:t>people</w:t>
      </w:r>
      <w:r w:rsidR="00EE6D35">
        <w:t xml:space="preserve"> </w:t>
      </w:r>
      <w:r w:rsidRPr="008E044B">
        <w:t>and</w:t>
      </w:r>
      <w:r w:rsidR="00EE6D35">
        <w:t xml:space="preserve"> </w:t>
      </w:r>
      <w:r w:rsidRPr="008E044B">
        <w:t>to</w:t>
      </w:r>
      <w:r w:rsidR="00EE6D35">
        <w:t xml:space="preserve"> </w:t>
      </w:r>
      <w:r w:rsidRPr="008E044B">
        <w:t>carers,</w:t>
      </w:r>
      <w:r w:rsidR="00EE6D35">
        <w:t xml:space="preserve"> </w:t>
      </w:r>
      <w:r w:rsidRPr="008E044B">
        <w:t>community</w:t>
      </w:r>
      <w:r w:rsidR="00EE6D35">
        <w:t xml:space="preserve"> </w:t>
      </w:r>
      <w:r w:rsidRPr="008E044B">
        <w:t>and</w:t>
      </w:r>
      <w:r w:rsidR="00EE6D35">
        <w:t xml:space="preserve"> </w:t>
      </w:r>
      <w:r w:rsidRPr="008E044B">
        <w:t>professionals.</w:t>
      </w:r>
      <w:r w:rsidR="00EE6D35">
        <w:t xml:space="preserve"> </w:t>
      </w:r>
      <w:r w:rsidRPr="008E044B">
        <w:t>Service</w:t>
      </w:r>
      <w:r w:rsidR="00EE6D35">
        <w:t xml:space="preserve"> </w:t>
      </w:r>
      <w:r w:rsidRPr="008E044B">
        <w:t>hours</w:t>
      </w:r>
      <w:r w:rsidR="00EE6D35">
        <w:t xml:space="preserve"> </w:t>
      </w:r>
      <w:r w:rsidRPr="008E044B">
        <w:t>include</w:t>
      </w:r>
      <w:r w:rsidR="00EE6D35">
        <w:t xml:space="preserve"> </w:t>
      </w:r>
      <w:r w:rsidRPr="008E044B">
        <w:t>time</w:t>
      </w:r>
      <w:r w:rsidR="00EE6D35">
        <w:t xml:space="preserve"> </w:t>
      </w:r>
      <w:r w:rsidRPr="008E044B">
        <w:t>spent</w:t>
      </w:r>
      <w:r w:rsidR="00EE6D35">
        <w:t xml:space="preserve"> </w:t>
      </w:r>
      <w:r w:rsidRPr="008E044B">
        <w:t>writing</w:t>
      </w:r>
      <w:r w:rsidR="00EE6D35">
        <w:t xml:space="preserve"> </w:t>
      </w:r>
      <w:r w:rsidRPr="008E044B">
        <w:t>case</w:t>
      </w:r>
      <w:r w:rsidR="00EE6D35">
        <w:t xml:space="preserve"> </w:t>
      </w:r>
      <w:r w:rsidRPr="008E044B">
        <w:t>notes,</w:t>
      </w:r>
      <w:r w:rsidR="00EE6D35">
        <w:t xml:space="preserve"> </w:t>
      </w:r>
      <w:r w:rsidRPr="008E044B">
        <w:t>face</w:t>
      </w:r>
      <w:r w:rsidR="00EE6D35">
        <w:t xml:space="preserve"> </w:t>
      </w:r>
      <w:r w:rsidRPr="008E044B">
        <w:t>to</w:t>
      </w:r>
      <w:r w:rsidR="00EE6D35">
        <w:t xml:space="preserve"> </w:t>
      </w:r>
      <w:r w:rsidRPr="008E044B">
        <w:t>face</w:t>
      </w:r>
      <w:r w:rsidR="00EE6D35">
        <w:t xml:space="preserve"> </w:t>
      </w:r>
      <w:r w:rsidRPr="008E044B">
        <w:t>contact,</w:t>
      </w:r>
      <w:r w:rsidR="00EE6D35">
        <w:t xml:space="preserve"> </w:t>
      </w:r>
      <w:r w:rsidRPr="008E044B">
        <w:t>making</w:t>
      </w:r>
      <w:r w:rsidR="00EE6D35">
        <w:t xml:space="preserve"> </w:t>
      </w:r>
      <w:r w:rsidRPr="008E044B">
        <w:t>referrals,</w:t>
      </w:r>
      <w:r w:rsidR="00EE6D35">
        <w:t xml:space="preserve"> </w:t>
      </w:r>
      <w:r w:rsidRPr="008E044B">
        <w:t>emailing,</w:t>
      </w:r>
      <w:r w:rsidR="00EE6D35">
        <w:t xml:space="preserve"> </w:t>
      </w:r>
      <w:r w:rsidRPr="008E044B">
        <w:t>telephone</w:t>
      </w:r>
      <w:r w:rsidR="00EE6D35">
        <w:t xml:space="preserve"> </w:t>
      </w:r>
      <w:r w:rsidRPr="008E044B">
        <w:t>contact,</w:t>
      </w:r>
      <w:r w:rsidR="00EE6D35">
        <w:t xml:space="preserve"> </w:t>
      </w:r>
      <w:r w:rsidRPr="008E044B">
        <w:t>and</w:t>
      </w:r>
      <w:r w:rsidR="00EE6D35">
        <w:t xml:space="preserve"> </w:t>
      </w:r>
      <w:r w:rsidRPr="008E044B">
        <w:t>other</w:t>
      </w:r>
      <w:r w:rsidR="00EE6D35">
        <w:t xml:space="preserve"> </w:t>
      </w:r>
      <w:r w:rsidRPr="008E044B">
        <w:t>activities</w:t>
      </w:r>
      <w:r w:rsidR="00EE6D35">
        <w:t xml:space="preserve"> </w:t>
      </w:r>
      <w:r w:rsidRPr="008E044B">
        <w:t>directly</w:t>
      </w:r>
      <w:r w:rsidR="00EE6D35">
        <w:t xml:space="preserve"> </w:t>
      </w:r>
      <w:r w:rsidRPr="008E044B">
        <w:t>related</w:t>
      </w:r>
      <w:r w:rsidR="00EE6D35">
        <w:t xml:space="preserve"> </w:t>
      </w:r>
      <w:r w:rsidRPr="008E044B">
        <w:t>to</w:t>
      </w:r>
      <w:r w:rsidR="00EE6D35">
        <w:t xml:space="preserve"> </w:t>
      </w:r>
      <w:r w:rsidRPr="008E044B">
        <w:t>service</w:t>
      </w:r>
      <w:r w:rsidR="00EE6D35">
        <w:t xml:space="preserve"> </w:t>
      </w:r>
      <w:r w:rsidRPr="008E044B">
        <w:t>provision</w:t>
      </w:r>
      <w:r w:rsidR="00EE6D35">
        <w:t xml:space="preserve"> </w:t>
      </w:r>
      <w:r w:rsidRPr="008E044B">
        <w:t>to</w:t>
      </w:r>
      <w:r w:rsidR="00EE6D35">
        <w:t xml:space="preserve"> </w:t>
      </w:r>
      <w:r w:rsidRPr="008E044B">
        <w:t>a</w:t>
      </w:r>
      <w:r w:rsidR="00EE6D35">
        <w:t xml:space="preserve"> </w:t>
      </w:r>
      <w:r w:rsidRPr="008E044B">
        <w:t>young</w:t>
      </w:r>
      <w:r w:rsidR="00EE6D35">
        <w:t xml:space="preserve"> </w:t>
      </w:r>
      <w:r w:rsidRPr="008E044B">
        <w:t>person.</w:t>
      </w:r>
      <w:r w:rsidR="00EE6D35">
        <w:t xml:space="preserve"> </w:t>
      </w:r>
      <w:r w:rsidRPr="008E044B">
        <w:t>Refer</w:t>
      </w:r>
      <w:r w:rsidR="00EE6D35">
        <w:t xml:space="preserve"> </w:t>
      </w:r>
      <w:r>
        <w:t>to</w:t>
      </w:r>
      <w:r w:rsidR="00EE6D35">
        <w:t xml:space="preserve"> </w:t>
      </w:r>
      <w:r>
        <w:t>the</w:t>
      </w:r>
      <w:r w:rsidR="00EE6D35">
        <w:t xml:space="preserve"> </w:t>
      </w:r>
      <w:hyperlink w:anchor="_Guidelines_for_number" w:history="1">
        <w:r w:rsidRPr="0096758F">
          <w:rPr>
            <w:rStyle w:val="Hyperlink"/>
          </w:rPr>
          <w:t>Guidelines</w:t>
        </w:r>
        <w:r w:rsidR="00EE6D35">
          <w:rPr>
            <w:rStyle w:val="Hyperlink"/>
          </w:rPr>
          <w:t xml:space="preserve"> </w:t>
        </w:r>
        <w:r w:rsidRPr="0096758F">
          <w:rPr>
            <w:rStyle w:val="Hyperlink"/>
          </w:rPr>
          <w:t>for</w:t>
        </w:r>
        <w:r w:rsidR="00EE6D35">
          <w:rPr>
            <w:rStyle w:val="Hyperlink"/>
          </w:rPr>
          <w:t xml:space="preserve"> </w:t>
        </w:r>
        <w:r w:rsidRPr="0096758F">
          <w:rPr>
            <w:rStyle w:val="Hyperlink"/>
          </w:rPr>
          <w:t>Service</w:t>
        </w:r>
        <w:r w:rsidR="00EE6D35">
          <w:rPr>
            <w:rStyle w:val="Hyperlink"/>
          </w:rPr>
          <w:t xml:space="preserve"> </w:t>
        </w:r>
        <w:r w:rsidRPr="0096758F">
          <w:rPr>
            <w:rStyle w:val="Hyperlink"/>
          </w:rPr>
          <w:t>Hours</w:t>
        </w:r>
      </w:hyperlink>
      <w:r w:rsidR="00EE6D35">
        <w:t xml:space="preserve"> </w:t>
      </w:r>
      <w:r>
        <w:t>section</w:t>
      </w:r>
      <w:r w:rsidR="00EE6D35">
        <w:t xml:space="preserve"> </w:t>
      </w:r>
      <w:r>
        <w:t>in</w:t>
      </w:r>
      <w:r w:rsidR="00EE6D35">
        <w:t xml:space="preserve"> </w:t>
      </w:r>
      <w:r>
        <w:t>this</w:t>
      </w:r>
      <w:r w:rsidR="00EE6D35">
        <w:t xml:space="preserve"> </w:t>
      </w:r>
      <w:r>
        <w:t>document</w:t>
      </w:r>
      <w:r w:rsidR="00EE6D35">
        <w:t xml:space="preserve"> </w:t>
      </w:r>
      <w:r>
        <w:t>for</w:t>
      </w:r>
      <w:r w:rsidR="00EE6D35">
        <w:t xml:space="preserve"> </w:t>
      </w:r>
      <w:r>
        <w:t>guidance</w:t>
      </w:r>
      <w:r w:rsidR="00EE6D35">
        <w:t xml:space="preserve"> </w:t>
      </w:r>
      <w:r>
        <w:t>on</w:t>
      </w:r>
      <w:r w:rsidR="00EE6D35">
        <w:t xml:space="preserve"> </w:t>
      </w:r>
      <w:r>
        <w:t>estimated</w:t>
      </w:r>
      <w:r w:rsidR="00EE6D35">
        <w:t xml:space="preserve"> </w:t>
      </w:r>
      <w:r>
        <w:t>hours</w:t>
      </w:r>
      <w:r w:rsidR="00EE6D35">
        <w:t xml:space="preserve"> </w:t>
      </w:r>
      <w:r>
        <w:t>delivered</w:t>
      </w:r>
      <w:r w:rsidR="00EE6D35">
        <w:t xml:space="preserve"> </w:t>
      </w:r>
      <w:r>
        <w:t>by</w:t>
      </w:r>
      <w:r w:rsidR="00EE6D35">
        <w:t xml:space="preserve"> </w:t>
      </w:r>
      <w:r>
        <w:t>individual</w:t>
      </w:r>
      <w:r w:rsidR="00EE6D35">
        <w:t xml:space="preserve"> </w:t>
      </w:r>
      <w:r>
        <w:t>tasks</w:t>
      </w:r>
      <w:r w:rsidRPr="008E044B">
        <w:t>.</w:t>
      </w:r>
      <w:r w:rsidR="00EE6D35">
        <w:t xml:space="preserve"> </w:t>
      </w:r>
    </w:p>
    <w:p w14:paraId="609E4300" w14:textId="79817357" w:rsidR="001B20B3" w:rsidRDefault="001B20B3" w:rsidP="001B20B3">
      <w:pPr>
        <w:pStyle w:val="DHHSbody"/>
      </w:pPr>
      <w:r w:rsidRPr="008E044B">
        <w:t>The</w:t>
      </w:r>
      <w:r w:rsidR="00EE6D35">
        <w:t xml:space="preserve"> </w:t>
      </w:r>
      <w:r w:rsidRPr="008E044B">
        <w:t>number</w:t>
      </w:r>
      <w:r w:rsidR="00EE6D35">
        <w:t xml:space="preserve"> </w:t>
      </w:r>
      <w:r w:rsidRPr="008E044B">
        <w:t>of</w:t>
      </w:r>
      <w:r w:rsidR="00EE6D35">
        <w:t xml:space="preserve"> </w:t>
      </w:r>
      <w:r w:rsidRPr="008E044B">
        <w:t>hours</w:t>
      </w:r>
      <w:r w:rsidR="00EE6D35">
        <w:t xml:space="preserve"> </w:t>
      </w:r>
      <w:r w:rsidRPr="008E044B">
        <w:t>of</w:t>
      </w:r>
      <w:r w:rsidR="00EE6D35">
        <w:t xml:space="preserve"> </w:t>
      </w:r>
      <w:r w:rsidRPr="008E044B">
        <w:t>service</w:t>
      </w:r>
      <w:r w:rsidR="00EE6D35">
        <w:t xml:space="preserve"> </w:t>
      </w:r>
      <w:r w:rsidRPr="008E044B">
        <w:t>provided</w:t>
      </w:r>
      <w:r w:rsidR="00EE6D35">
        <w:t xml:space="preserve"> </w:t>
      </w:r>
      <w:r w:rsidRPr="008E044B">
        <w:t>is</w:t>
      </w:r>
      <w:r w:rsidR="00EE6D35">
        <w:t xml:space="preserve"> </w:t>
      </w:r>
      <w:r w:rsidRPr="008E044B">
        <w:t>recorded</w:t>
      </w:r>
      <w:r w:rsidR="00EE6D35">
        <w:t xml:space="preserve"> </w:t>
      </w:r>
      <w:r w:rsidRPr="008E044B">
        <w:t>on</w:t>
      </w:r>
      <w:r w:rsidR="00EE6D35">
        <w:t xml:space="preserve"> </w:t>
      </w:r>
      <w:r w:rsidRPr="008E044B">
        <w:t>CRISSP</w:t>
      </w:r>
      <w:r w:rsidR="00EE6D35">
        <w:t xml:space="preserve"> </w:t>
      </w:r>
      <w:r w:rsidRPr="008E044B">
        <w:t>by</w:t>
      </w:r>
      <w:r w:rsidR="00EE6D35">
        <w:t xml:space="preserve"> </w:t>
      </w:r>
      <w:r w:rsidRPr="008E044B">
        <w:t>the</w:t>
      </w:r>
      <w:r w:rsidR="00EE6D35">
        <w:t xml:space="preserve"> </w:t>
      </w:r>
      <w:r w:rsidRPr="008E044B">
        <w:t>service</w:t>
      </w:r>
      <w:r w:rsidR="00EE6D35">
        <w:t xml:space="preserve"> </w:t>
      </w:r>
      <w:r w:rsidRPr="008E044B">
        <w:t>provider,</w:t>
      </w:r>
      <w:r w:rsidR="00EE6D35">
        <w:t xml:space="preserve"> </w:t>
      </w:r>
      <w:r w:rsidRPr="008E044B">
        <w:t>generated</w:t>
      </w:r>
      <w:r w:rsidR="00EE6D35">
        <w:t xml:space="preserve"> </w:t>
      </w:r>
      <w:r w:rsidRPr="008E044B">
        <w:t>into</w:t>
      </w:r>
      <w:r w:rsidR="00EE6D35">
        <w:t xml:space="preserve"> </w:t>
      </w:r>
      <w:r w:rsidRPr="008E044B">
        <w:t>the</w:t>
      </w:r>
      <w:r w:rsidR="00EE6D35">
        <w:t xml:space="preserve"> </w:t>
      </w:r>
      <w:r w:rsidRPr="008E044B">
        <w:t>monthly</w:t>
      </w:r>
      <w:r w:rsidR="00EE6D35">
        <w:t xml:space="preserve"> </w:t>
      </w:r>
      <w:r w:rsidRPr="008E044B">
        <w:t>CRISSP</w:t>
      </w:r>
      <w:r w:rsidR="00EE6D35">
        <w:t xml:space="preserve"> </w:t>
      </w:r>
      <w:r w:rsidRPr="008E044B">
        <w:t>report</w:t>
      </w:r>
      <w:r w:rsidR="00EE6D35">
        <w:t xml:space="preserve"> </w:t>
      </w:r>
      <w:r w:rsidRPr="008E044B">
        <w:t>and</w:t>
      </w:r>
      <w:r w:rsidR="00EE6D35">
        <w:t xml:space="preserve"> </w:t>
      </w:r>
      <w:r w:rsidRPr="008E044B">
        <w:t>entered</w:t>
      </w:r>
      <w:r w:rsidR="00EE6D35">
        <w:t xml:space="preserve"> </w:t>
      </w:r>
      <w:r w:rsidRPr="008E044B">
        <w:t>into</w:t>
      </w:r>
      <w:r w:rsidR="00EE6D35">
        <w:t xml:space="preserve"> </w:t>
      </w:r>
      <w:r w:rsidRPr="008E044B">
        <w:t>SDT.</w:t>
      </w:r>
      <w:r w:rsidR="00EE6D35">
        <w:t xml:space="preserve"> </w:t>
      </w:r>
    </w:p>
    <w:p w14:paraId="327D4081" w14:textId="1711C9D6" w:rsidR="001B20B3" w:rsidRPr="008E044B" w:rsidRDefault="001B20B3" w:rsidP="001B20B3">
      <w:pPr>
        <w:pStyle w:val="DHHSbody"/>
      </w:pPr>
      <w:r>
        <w:t>Better</w:t>
      </w:r>
      <w:r w:rsidR="00EE6D35">
        <w:t xml:space="preserve"> </w:t>
      </w:r>
      <w:r>
        <w:t>Futures</w:t>
      </w:r>
      <w:r w:rsidR="00EE6D35">
        <w:t xml:space="preserve"> </w:t>
      </w:r>
      <w:r>
        <w:t>providers</w:t>
      </w:r>
      <w:r w:rsidR="00EE6D35">
        <w:t xml:space="preserve"> </w:t>
      </w:r>
      <w:r>
        <w:t>undertaking</w:t>
      </w:r>
      <w:r w:rsidR="00EE6D35">
        <w:t xml:space="preserve"> </w:t>
      </w:r>
      <w:r>
        <w:t>triage</w:t>
      </w:r>
      <w:r w:rsidR="00EE6D35">
        <w:t xml:space="preserve"> </w:t>
      </w:r>
      <w:r>
        <w:t>functions,</w:t>
      </w:r>
      <w:r w:rsidR="00EE6D35">
        <w:t xml:space="preserve"> </w:t>
      </w:r>
      <w:r>
        <w:t>are</w:t>
      </w:r>
      <w:r w:rsidR="00EE6D35">
        <w:t xml:space="preserve"> </w:t>
      </w:r>
      <w:r>
        <w:t>to</w:t>
      </w:r>
      <w:r w:rsidR="00EE6D35">
        <w:t xml:space="preserve"> </w:t>
      </w:r>
      <w:r>
        <w:t>report</w:t>
      </w:r>
      <w:r w:rsidR="00EE6D35">
        <w:t xml:space="preserve"> </w:t>
      </w:r>
      <w:r>
        <w:t>the</w:t>
      </w:r>
      <w:r w:rsidR="00EE6D35">
        <w:t xml:space="preserve"> </w:t>
      </w:r>
      <w:r>
        <w:t>number</w:t>
      </w:r>
      <w:r w:rsidR="00EE6D35">
        <w:t xml:space="preserve"> </w:t>
      </w:r>
      <w:r>
        <w:t>of</w:t>
      </w:r>
      <w:r w:rsidR="00EE6D35">
        <w:t xml:space="preserve"> </w:t>
      </w:r>
      <w:r>
        <w:t>hours</w:t>
      </w:r>
      <w:r w:rsidR="00EE6D35">
        <w:t xml:space="preserve"> </w:t>
      </w:r>
      <w:r>
        <w:t>of</w:t>
      </w:r>
      <w:r w:rsidR="00EE6D35">
        <w:t xml:space="preserve"> </w:t>
      </w:r>
      <w:r>
        <w:t>service</w:t>
      </w:r>
      <w:r w:rsidR="00EE6D35">
        <w:t xml:space="preserve"> </w:t>
      </w:r>
      <w:r>
        <w:t>via</w:t>
      </w:r>
      <w:r w:rsidR="00EE6D35">
        <w:t xml:space="preserve"> </w:t>
      </w:r>
      <w:r>
        <w:t>this</w:t>
      </w:r>
      <w:r w:rsidR="00EE6D35">
        <w:t xml:space="preserve"> </w:t>
      </w:r>
      <w:r>
        <w:t>activity</w:t>
      </w:r>
      <w:r w:rsidR="00EE6D35">
        <w:t xml:space="preserve"> </w:t>
      </w:r>
      <w:r>
        <w:t>description.</w:t>
      </w:r>
      <w:r w:rsidR="00410C81">
        <w:t xml:space="preserve"> </w:t>
      </w:r>
      <w:r>
        <w:t>Where</w:t>
      </w:r>
      <w:r w:rsidR="00EE6D35">
        <w:t xml:space="preserve"> </w:t>
      </w:r>
      <w:r>
        <w:t>the</w:t>
      </w:r>
      <w:r w:rsidR="00EE6D35">
        <w:t xml:space="preserve"> </w:t>
      </w:r>
      <w:r>
        <w:t>number</w:t>
      </w:r>
      <w:r w:rsidR="00EE6D35">
        <w:t xml:space="preserve"> </w:t>
      </w:r>
      <w:r>
        <w:t>of</w:t>
      </w:r>
      <w:r w:rsidR="00EE6D35">
        <w:t xml:space="preserve"> </w:t>
      </w:r>
      <w:r>
        <w:t>triaging</w:t>
      </w:r>
      <w:r w:rsidR="00EE6D35">
        <w:t xml:space="preserve"> </w:t>
      </w:r>
      <w:r>
        <w:t>hours</w:t>
      </w:r>
      <w:r w:rsidR="00EE6D35">
        <w:t xml:space="preserve"> </w:t>
      </w:r>
      <w:r>
        <w:t>cannot</w:t>
      </w:r>
      <w:r w:rsidR="00EE6D35">
        <w:t xml:space="preserve"> </w:t>
      </w:r>
      <w:r>
        <w:t>be</w:t>
      </w:r>
      <w:r w:rsidR="00EE6D35">
        <w:t xml:space="preserve"> </w:t>
      </w:r>
      <w:r>
        <w:t>record</w:t>
      </w:r>
      <w:r w:rsidR="0054600B">
        <w:t>ed</w:t>
      </w:r>
      <w:r w:rsidR="00EE6D35">
        <w:t xml:space="preserve"> </w:t>
      </w:r>
      <w:r>
        <w:t>via</w:t>
      </w:r>
      <w:r w:rsidR="00EE6D35">
        <w:t xml:space="preserve"> </w:t>
      </w:r>
      <w:r>
        <w:t>the</w:t>
      </w:r>
      <w:r w:rsidR="00EE6D35">
        <w:t xml:space="preserve"> </w:t>
      </w:r>
      <w:r>
        <w:t>youth</w:t>
      </w:r>
      <w:r w:rsidR="00EE6D35">
        <w:t xml:space="preserve"> </w:t>
      </w:r>
      <w:r>
        <w:t>case</w:t>
      </w:r>
      <w:r w:rsidR="00EE6D35">
        <w:t xml:space="preserve"> </w:t>
      </w:r>
      <w:r>
        <w:t>in</w:t>
      </w:r>
      <w:r w:rsidR="00EE6D35">
        <w:t xml:space="preserve"> </w:t>
      </w:r>
      <w:r>
        <w:t>CRISSP,</w:t>
      </w:r>
      <w:r w:rsidR="00EE6D35">
        <w:t xml:space="preserve"> </w:t>
      </w:r>
      <w:r>
        <w:t>the</w:t>
      </w:r>
      <w:r w:rsidR="00EE6D35">
        <w:t xml:space="preserve"> </w:t>
      </w:r>
      <w:r>
        <w:t>triage</w:t>
      </w:r>
      <w:r w:rsidR="00EE6D35">
        <w:t xml:space="preserve"> </w:t>
      </w:r>
      <w:r>
        <w:t>hours</w:t>
      </w:r>
      <w:r w:rsidR="00EE6D35">
        <w:t xml:space="preserve"> </w:t>
      </w:r>
      <w:r>
        <w:t>should</w:t>
      </w:r>
      <w:r w:rsidR="00EE6D35">
        <w:t xml:space="preserve"> </w:t>
      </w:r>
      <w:r>
        <w:t>be</w:t>
      </w:r>
      <w:r w:rsidR="00EE6D35">
        <w:t xml:space="preserve"> </w:t>
      </w:r>
      <w:r>
        <w:t>captured</w:t>
      </w:r>
      <w:r w:rsidR="00EE6D35">
        <w:t xml:space="preserve"> </w:t>
      </w:r>
      <w:r>
        <w:t>via</w:t>
      </w:r>
      <w:r w:rsidR="0054600B">
        <w:t xml:space="preserve"> the</w:t>
      </w:r>
      <w:r w:rsidR="00EE6D35">
        <w:t xml:space="preserve"> </w:t>
      </w:r>
      <w:r>
        <w:t>running</w:t>
      </w:r>
      <w:r w:rsidR="00EE6D35">
        <w:t xml:space="preserve"> </w:t>
      </w:r>
      <w:r>
        <w:t>sheet</w:t>
      </w:r>
      <w:r w:rsidR="00EE6D35">
        <w:t xml:space="preserve"> </w:t>
      </w:r>
      <w:r>
        <w:t>function</w:t>
      </w:r>
      <w:r w:rsidR="00EE6D35">
        <w:t xml:space="preserve"> </w:t>
      </w:r>
      <w:r>
        <w:t>in</w:t>
      </w:r>
      <w:r w:rsidR="00EE6D35">
        <w:t xml:space="preserve"> </w:t>
      </w:r>
      <w:r>
        <w:t>CRISSP.</w:t>
      </w:r>
      <w:r w:rsidR="00410C81">
        <w:t xml:space="preserve"> </w:t>
      </w:r>
    </w:p>
    <w:p w14:paraId="0A2055C1" w14:textId="06F1AE86" w:rsidR="001B20B3" w:rsidRPr="009C4376" w:rsidRDefault="001B20B3" w:rsidP="001B20B3">
      <w:pPr>
        <w:pStyle w:val="DHHSbody"/>
      </w:pPr>
      <w:r>
        <w:t>Impacted</w:t>
      </w:r>
      <w:r w:rsidR="00EE6D35">
        <w:t xml:space="preserve"> </w:t>
      </w:r>
      <w:r>
        <w:t>organisations</w:t>
      </w:r>
      <w:r w:rsidR="00EE6D35">
        <w:t xml:space="preserve"> </w:t>
      </w:r>
      <w:r>
        <w:t>should</w:t>
      </w:r>
      <w:r w:rsidR="00EE6D35">
        <w:t xml:space="preserve"> </w:t>
      </w:r>
      <w:r>
        <w:t>use</w:t>
      </w:r>
      <w:r w:rsidR="00EE6D35">
        <w:t xml:space="preserve"> </w:t>
      </w:r>
      <w:r>
        <w:t>the</w:t>
      </w:r>
      <w:r w:rsidR="00EE6D35">
        <w:t xml:space="preserve"> </w:t>
      </w:r>
      <w:r>
        <w:t>CRISSP</w:t>
      </w:r>
      <w:r w:rsidR="00EE6D35">
        <w:t xml:space="preserve"> </w:t>
      </w:r>
      <w:r>
        <w:t>running</w:t>
      </w:r>
      <w:r w:rsidR="00EE6D35">
        <w:t xml:space="preserve"> </w:t>
      </w:r>
      <w:r>
        <w:t>sheet</w:t>
      </w:r>
      <w:r w:rsidR="00EE6D35">
        <w:t xml:space="preserve"> </w:t>
      </w:r>
      <w:r>
        <w:t>function</w:t>
      </w:r>
      <w:r w:rsidR="00EE6D35">
        <w:t xml:space="preserve"> </w:t>
      </w:r>
      <w:r>
        <w:t>to</w:t>
      </w:r>
      <w:r w:rsidR="00EE6D35">
        <w:t xml:space="preserve"> </w:t>
      </w:r>
      <w:r>
        <w:t>record</w:t>
      </w:r>
      <w:r w:rsidR="00EE6D35">
        <w:t xml:space="preserve"> </w:t>
      </w:r>
      <w:r>
        <w:t>service</w:t>
      </w:r>
      <w:r w:rsidR="00EE6D35">
        <w:t xml:space="preserve"> </w:t>
      </w:r>
      <w:r>
        <w:t>activities</w:t>
      </w:r>
      <w:r w:rsidR="00EE6D35">
        <w:t xml:space="preserve"> </w:t>
      </w:r>
      <w:r>
        <w:t>and</w:t>
      </w:r>
      <w:r w:rsidR="00EE6D35">
        <w:t xml:space="preserve"> </w:t>
      </w:r>
      <w:r>
        <w:t>hours</w:t>
      </w:r>
      <w:r w:rsidR="00EE6D35">
        <w:t xml:space="preserve"> </w:t>
      </w:r>
      <w:r>
        <w:t>delivered.</w:t>
      </w:r>
      <w:r w:rsidR="00EE6D35">
        <w:t xml:space="preserve"> </w:t>
      </w:r>
      <w:r>
        <w:t>An</w:t>
      </w:r>
      <w:r w:rsidR="00EE6D35">
        <w:t xml:space="preserve"> </w:t>
      </w:r>
      <w:r>
        <w:t>extract</w:t>
      </w:r>
      <w:r w:rsidR="00EE6D35">
        <w:t xml:space="preserve"> </w:t>
      </w:r>
      <w:r>
        <w:t>of</w:t>
      </w:r>
      <w:r w:rsidR="00EE6D35">
        <w:t xml:space="preserve"> </w:t>
      </w:r>
      <w:r>
        <w:t>the</w:t>
      </w:r>
      <w:r w:rsidR="00EE6D35">
        <w:t xml:space="preserve"> </w:t>
      </w:r>
      <w:r>
        <w:t>running</w:t>
      </w:r>
      <w:r w:rsidR="00EE6D35">
        <w:t xml:space="preserve"> </w:t>
      </w:r>
      <w:r>
        <w:t>sheet</w:t>
      </w:r>
      <w:r w:rsidR="00EE6D35">
        <w:t xml:space="preserve"> </w:t>
      </w:r>
      <w:r>
        <w:t>should</w:t>
      </w:r>
      <w:r w:rsidR="00EE6D35">
        <w:t xml:space="preserve"> </w:t>
      </w:r>
      <w:r>
        <w:t>be</w:t>
      </w:r>
      <w:r w:rsidR="00EE6D35">
        <w:t xml:space="preserve"> </w:t>
      </w:r>
      <w:r>
        <w:t>used</w:t>
      </w:r>
      <w:r w:rsidR="00EE6D35">
        <w:t xml:space="preserve"> </w:t>
      </w:r>
      <w:r>
        <w:t>to</w:t>
      </w:r>
      <w:r w:rsidR="00EE6D35">
        <w:t xml:space="preserve"> </w:t>
      </w:r>
      <w:r>
        <w:t>record</w:t>
      </w:r>
      <w:r w:rsidR="00EE6D35">
        <w:t xml:space="preserve"> </w:t>
      </w:r>
      <w:r>
        <w:t>service</w:t>
      </w:r>
      <w:r w:rsidR="00EE6D35">
        <w:t xml:space="preserve"> </w:t>
      </w:r>
      <w:r>
        <w:t>activities</w:t>
      </w:r>
      <w:r w:rsidR="00EE6D35">
        <w:t xml:space="preserve"> </w:t>
      </w:r>
      <w:r>
        <w:t>delivered</w:t>
      </w:r>
      <w:r w:rsidR="00EE6D35">
        <w:t xml:space="preserve"> </w:t>
      </w:r>
      <w:r>
        <w:t>by</w:t>
      </w:r>
      <w:r w:rsidR="00EE6D35">
        <w:t xml:space="preserve"> </w:t>
      </w:r>
      <w:r>
        <w:t>the</w:t>
      </w:r>
      <w:r w:rsidR="00EE6D35">
        <w:t xml:space="preserve"> </w:t>
      </w:r>
      <w:r>
        <w:t>triage</w:t>
      </w:r>
      <w:r w:rsidR="00EE6D35">
        <w:t xml:space="preserve"> </w:t>
      </w:r>
      <w:r>
        <w:t>agency</w:t>
      </w:r>
      <w:r w:rsidR="00EE6D35">
        <w:t xml:space="preserve"> </w:t>
      </w:r>
      <w:r>
        <w:t>in</w:t>
      </w:r>
      <w:r w:rsidR="00EE6D35">
        <w:t xml:space="preserve"> </w:t>
      </w:r>
      <w:r>
        <w:t>the</w:t>
      </w:r>
      <w:r w:rsidR="00EE6D35">
        <w:t xml:space="preserve"> </w:t>
      </w:r>
      <w:r>
        <w:t>reporting</w:t>
      </w:r>
      <w:r w:rsidR="00EE6D35">
        <w:t xml:space="preserve"> </w:t>
      </w:r>
      <w:r>
        <w:t>period.</w:t>
      </w:r>
      <w:r w:rsidR="00EE6D35">
        <w:t xml:space="preserve"> </w:t>
      </w:r>
    </w:p>
    <w:p w14:paraId="15868C22" w14:textId="0BC6828D" w:rsidR="001B20B3" w:rsidRDefault="001B20B3" w:rsidP="001B20B3">
      <w:pPr>
        <w:pStyle w:val="DHHSbody"/>
      </w:pPr>
      <w:r w:rsidRPr="00F33697">
        <w:t>A</w:t>
      </w:r>
      <w:r w:rsidR="00EE6D35">
        <w:t xml:space="preserve"> </w:t>
      </w:r>
      <w:r w:rsidRPr="00F33697">
        <w:t>new</w:t>
      </w:r>
      <w:r w:rsidR="00EE6D35">
        <w:t xml:space="preserve"> </w:t>
      </w:r>
      <w:r w:rsidRPr="00F33697">
        <w:t>case</w:t>
      </w:r>
      <w:r w:rsidR="00EE6D35">
        <w:t xml:space="preserve"> </w:t>
      </w:r>
      <w:r w:rsidRPr="00F33697">
        <w:t>is</w:t>
      </w:r>
      <w:r w:rsidR="00EE6D35">
        <w:t xml:space="preserve"> </w:t>
      </w:r>
      <w:r w:rsidRPr="00F33697">
        <w:t>a</w:t>
      </w:r>
      <w:r w:rsidR="00EE6D35">
        <w:t xml:space="preserve"> </w:t>
      </w:r>
      <w:r w:rsidRPr="00F33697">
        <w:t>young</w:t>
      </w:r>
      <w:r w:rsidR="00EE6D35">
        <w:t xml:space="preserve"> </w:t>
      </w:r>
      <w:r w:rsidRPr="00F33697">
        <w:t>person</w:t>
      </w:r>
      <w:r w:rsidR="00EE6D35">
        <w:t xml:space="preserve"> </w:t>
      </w:r>
      <w:r w:rsidRPr="00F33697">
        <w:t>receiving</w:t>
      </w:r>
      <w:r w:rsidR="00EE6D35">
        <w:t xml:space="preserve"> </w:t>
      </w:r>
      <w:r w:rsidRPr="00F33697">
        <w:t>an</w:t>
      </w:r>
      <w:r w:rsidR="00EE6D35">
        <w:t xml:space="preserve"> </w:t>
      </w:r>
      <w:r w:rsidRPr="00F33697">
        <w:t>intake</w:t>
      </w:r>
      <w:r w:rsidR="00EE6D35">
        <w:t xml:space="preserve"> </w:t>
      </w:r>
      <w:r w:rsidRPr="00F33697">
        <w:t>and</w:t>
      </w:r>
      <w:r w:rsidR="00EE6D35">
        <w:t xml:space="preserve"> </w:t>
      </w:r>
      <w:r w:rsidRPr="00F33697">
        <w:t>accessing</w:t>
      </w:r>
      <w:r w:rsidR="00EE6D35">
        <w:t xml:space="preserve"> </w:t>
      </w:r>
      <w:r w:rsidRPr="00F33697">
        <w:t>services</w:t>
      </w:r>
      <w:r w:rsidR="00EE6D35">
        <w:t xml:space="preserve"> </w:t>
      </w:r>
      <w:r w:rsidRPr="00F33697">
        <w:t>during</w:t>
      </w:r>
      <w:r w:rsidR="00EE6D35">
        <w:t xml:space="preserve"> </w:t>
      </w:r>
      <w:r w:rsidRPr="00F33697">
        <w:t>the</w:t>
      </w:r>
      <w:r w:rsidR="00EE6D35">
        <w:t xml:space="preserve"> </w:t>
      </w:r>
      <w:r w:rsidRPr="00F33697">
        <w:t>reporting</w:t>
      </w:r>
      <w:r w:rsidR="00EE6D35">
        <w:t xml:space="preserve"> </w:t>
      </w:r>
      <w:r w:rsidRPr="00F33697">
        <w:t>period.</w:t>
      </w:r>
      <w:r w:rsidR="00EE6D35">
        <w:t xml:space="preserve"> </w:t>
      </w:r>
      <w:r w:rsidRPr="00F33697">
        <w:t>The</w:t>
      </w:r>
      <w:r w:rsidR="00EE6D35">
        <w:t xml:space="preserve"> </w:t>
      </w:r>
      <w:r w:rsidRPr="00F33697">
        <w:t>number</w:t>
      </w:r>
      <w:r w:rsidR="00EE6D35">
        <w:t xml:space="preserve"> </w:t>
      </w:r>
      <w:r w:rsidRPr="00F33697">
        <w:t>of</w:t>
      </w:r>
      <w:r w:rsidR="00EE6D35">
        <w:t xml:space="preserve"> </w:t>
      </w:r>
      <w:r w:rsidRPr="00F33697">
        <w:t>new</w:t>
      </w:r>
      <w:r w:rsidR="00EE6D35">
        <w:t xml:space="preserve"> </w:t>
      </w:r>
      <w:r w:rsidRPr="00F33697">
        <w:t>cases</w:t>
      </w:r>
      <w:r w:rsidR="00EE6D35">
        <w:t xml:space="preserve"> </w:t>
      </w:r>
      <w:r w:rsidRPr="00F33697">
        <w:t>receiving</w:t>
      </w:r>
      <w:r w:rsidR="00EE6D35">
        <w:t xml:space="preserve"> </w:t>
      </w:r>
      <w:r w:rsidRPr="00F33697">
        <w:t>a</w:t>
      </w:r>
      <w:r w:rsidR="00EE6D35">
        <w:t xml:space="preserve"> </w:t>
      </w:r>
      <w:r w:rsidRPr="00F33697">
        <w:t>service</w:t>
      </w:r>
      <w:r w:rsidR="00EE6D35">
        <w:t xml:space="preserve"> </w:t>
      </w:r>
      <w:r w:rsidRPr="00F33697">
        <w:t>is</w:t>
      </w:r>
      <w:r w:rsidR="00EE6D35">
        <w:t xml:space="preserve"> </w:t>
      </w:r>
      <w:r w:rsidRPr="00F33697">
        <w:t>recorded</w:t>
      </w:r>
      <w:r w:rsidR="00EE6D35">
        <w:t xml:space="preserve"> </w:t>
      </w:r>
      <w:r w:rsidRPr="00F33697">
        <w:t>in</w:t>
      </w:r>
      <w:r w:rsidR="00EE6D35">
        <w:t xml:space="preserve"> </w:t>
      </w:r>
      <w:r w:rsidRPr="00F33697">
        <w:t>CRISSP</w:t>
      </w:r>
      <w:r w:rsidR="00EE6D35">
        <w:t xml:space="preserve"> </w:t>
      </w:r>
      <w:r w:rsidRPr="00F33697">
        <w:t>by</w:t>
      </w:r>
      <w:r w:rsidR="00EE6D35">
        <w:t xml:space="preserve"> </w:t>
      </w:r>
      <w:r w:rsidRPr="00F33697">
        <w:t>the</w:t>
      </w:r>
      <w:r w:rsidR="00EE6D35">
        <w:t xml:space="preserve"> </w:t>
      </w:r>
      <w:r w:rsidRPr="00F33697">
        <w:t>service</w:t>
      </w:r>
      <w:r w:rsidR="00EE6D35">
        <w:t xml:space="preserve"> </w:t>
      </w:r>
      <w:r w:rsidRPr="00F33697">
        <w:t>provider</w:t>
      </w:r>
      <w:r w:rsidR="00EE6D35">
        <w:t xml:space="preserve"> </w:t>
      </w:r>
      <w:r w:rsidRPr="00F33697">
        <w:t>and</w:t>
      </w:r>
      <w:r w:rsidR="00EE6D35">
        <w:t xml:space="preserve"> </w:t>
      </w:r>
      <w:r w:rsidRPr="00F33697">
        <w:t>generated</w:t>
      </w:r>
      <w:r w:rsidR="00EE6D35">
        <w:t xml:space="preserve"> </w:t>
      </w:r>
      <w:r w:rsidRPr="00F33697">
        <w:t>into</w:t>
      </w:r>
      <w:r w:rsidR="00EE6D35">
        <w:t xml:space="preserve"> </w:t>
      </w:r>
      <w:r w:rsidRPr="00F33697">
        <w:t>the</w:t>
      </w:r>
      <w:r w:rsidR="00EE6D35">
        <w:t xml:space="preserve"> </w:t>
      </w:r>
      <w:r w:rsidRPr="00F33697">
        <w:t>monthly</w:t>
      </w:r>
      <w:r w:rsidR="00EE6D35">
        <w:t xml:space="preserve"> </w:t>
      </w:r>
      <w:r w:rsidRPr="00F33697">
        <w:t>CRISSP</w:t>
      </w:r>
      <w:r w:rsidR="00EE6D35">
        <w:t xml:space="preserve"> </w:t>
      </w:r>
      <w:r w:rsidRPr="00F33697">
        <w:t>report.</w:t>
      </w:r>
      <w:r w:rsidR="00410C81">
        <w:t xml:space="preserve"> </w:t>
      </w:r>
      <w:r w:rsidRPr="00F33697">
        <w:t>All</w:t>
      </w:r>
      <w:r w:rsidR="00EE6D35">
        <w:t xml:space="preserve"> </w:t>
      </w:r>
      <w:r w:rsidRPr="00F33697">
        <w:t>other</w:t>
      </w:r>
      <w:r w:rsidR="00EE6D35">
        <w:t xml:space="preserve"> </w:t>
      </w:r>
      <w:r w:rsidRPr="00F33697">
        <w:t>activities</w:t>
      </w:r>
      <w:r w:rsidR="00EE6D35">
        <w:t xml:space="preserve"> </w:t>
      </w:r>
      <w:r w:rsidRPr="00F33697">
        <w:t>and</w:t>
      </w:r>
      <w:r w:rsidR="00EE6D35">
        <w:t xml:space="preserve"> </w:t>
      </w:r>
      <w:r w:rsidRPr="00F33697">
        <w:t>hours</w:t>
      </w:r>
      <w:r w:rsidR="00EE6D35">
        <w:t xml:space="preserve"> </w:t>
      </w:r>
      <w:r w:rsidRPr="00F33697">
        <w:t>delivered</w:t>
      </w:r>
      <w:r w:rsidR="00EE6D35">
        <w:t xml:space="preserve"> </w:t>
      </w:r>
      <w:r w:rsidRPr="00F33697">
        <w:t>not</w:t>
      </w:r>
      <w:r w:rsidR="00EE6D35">
        <w:t xml:space="preserve"> </w:t>
      </w:r>
      <w:r w:rsidRPr="00F33697">
        <w:t>attached</w:t>
      </w:r>
      <w:r w:rsidR="00EE6D35">
        <w:t xml:space="preserve"> </w:t>
      </w:r>
      <w:r w:rsidRPr="00F33697">
        <w:t>to</w:t>
      </w:r>
      <w:r w:rsidR="00EE6D35">
        <w:t xml:space="preserve"> </w:t>
      </w:r>
      <w:r w:rsidRPr="00F33697">
        <w:t>a</w:t>
      </w:r>
      <w:r w:rsidR="00EE6D35">
        <w:t xml:space="preserve"> </w:t>
      </w:r>
      <w:r w:rsidRPr="00F33697">
        <w:t>specific</w:t>
      </w:r>
      <w:r w:rsidR="00EE6D35">
        <w:t xml:space="preserve"> </w:t>
      </w:r>
      <w:r w:rsidRPr="00F33697">
        <w:t>case</w:t>
      </w:r>
      <w:r w:rsidR="00EE6D35">
        <w:t xml:space="preserve"> </w:t>
      </w:r>
      <w:r>
        <w:t>in</w:t>
      </w:r>
      <w:r w:rsidR="00EE6D35">
        <w:t xml:space="preserve"> </w:t>
      </w:r>
      <w:r>
        <w:t>CRISSP</w:t>
      </w:r>
      <w:r w:rsidR="00EE6D35">
        <w:t xml:space="preserve"> </w:t>
      </w:r>
      <w:r w:rsidRPr="00F33697">
        <w:t>will</w:t>
      </w:r>
      <w:r w:rsidR="00EE6D35">
        <w:t xml:space="preserve"> </w:t>
      </w:r>
      <w:r w:rsidRPr="00F33697">
        <w:t>be</w:t>
      </w:r>
      <w:r w:rsidR="00EE6D35">
        <w:t xml:space="preserve"> </w:t>
      </w:r>
      <w:r w:rsidRPr="00F33697">
        <w:t>reflected</w:t>
      </w:r>
      <w:r w:rsidR="00EE6D35">
        <w:t xml:space="preserve"> </w:t>
      </w:r>
      <w:r w:rsidRPr="00F33697">
        <w:t>in</w:t>
      </w:r>
      <w:r w:rsidR="00EE6D35">
        <w:t xml:space="preserve"> </w:t>
      </w:r>
      <w:r w:rsidRPr="00F33697">
        <w:t>the</w:t>
      </w:r>
      <w:r w:rsidR="00EE6D35">
        <w:t xml:space="preserve"> </w:t>
      </w:r>
      <w:r w:rsidRPr="00F33697">
        <w:t>Triage</w:t>
      </w:r>
      <w:r w:rsidR="00EE6D35">
        <w:t xml:space="preserve"> </w:t>
      </w:r>
      <w:r w:rsidRPr="00F33697">
        <w:t>Running</w:t>
      </w:r>
      <w:r w:rsidR="00EE6D35">
        <w:t xml:space="preserve"> </w:t>
      </w:r>
      <w:r w:rsidRPr="00F33697">
        <w:t>sheet.</w:t>
      </w:r>
      <w:r w:rsidR="00EE6D35">
        <w:t xml:space="preserve"> </w:t>
      </w:r>
    </w:p>
    <w:p w14:paraId="65BA9E9C" w14:textId="456C89F6" w:rsidR="001B20B3" w:rsidRPr="00F33697" w:rsidRDefault="001B20B3" w:rsidP="001B20B3">
      <w:pPr>
        <w:pStyle w:val="DHHSbody"/>
      </w:pPr>
      <w:r>
        <w:t>When</w:t>
      </w:r>
      <w:r w:rsidR="00EE6D35">
        <w:t xml:space="preserve"> </w:t>
      </w:r>
      <w:r>
        <w:t>reporting</w:t>
      </w:r>
      <w:r w:rsidR="00EE6D35">
        <w:t xml:space="preserve"> </w:t>
      </w:r>
      <w:r>
        <w:t>on</w:t>
      </w:r>
      <w:r w:rsidR="00EE6D35">
        <w:t xml:space="preserve"> </w:t>
      </w:r>
      <w:r>
        <w:t>new</w:t>
      </w:r>
      <w:r w:rsidR="00EE6D35">
        <w:t xml:space="preserve"> </w:t>
      </w:r>
      <w:r>
        <w:t>cases</w:t>
      </w:r>
      <w:r w:rsidR="00EE6D35">
        <w:t xml:space="preserve"> </w:t>
      </w:r>
      <w:r>
        <w:t>receiving</w:t>
      </w:r>
      <w:r w:rsidR="00EE6D35">
        <w:t xml:space="preserve"> </w:t>
      </w:r>
      <w:r>
        <w:t>a</w:t>
      </w:r>
      <w:r w:rsidR="00EE6D35">
        <w:t xml:space="preserve"> </w:t>
      </w:r>
      <w:r>
        <w:t>service</w:t>
      </w:r>
      <w:r w:rsidR="00EE6D35">
        <w:t xml:space="preserve"> </w:t>
      </w:r>
      <w:r>
        <w:t>in</w:t>
      </w:r>
      <w:r w:rsidR="00EE6D35">
        <w:t xml:space="preserve"> </w:t>
      </w:r>
      <w:r>
        <w:t>the</w:t>
      </w:r>
      <w:r w:rsidR="00EE6D35">
        <w:t xml:space="preserve"> </w:t>
      </w:r>
      <w:r>
        <w:t>reporting</w:t>
      </w:r>
      <w:r w:rsidR="00EE6D35">
        <w:t xml:space="preserve"> </w:t>
      </w:r>
      <w:r>
        <w:t>period,</w:t>
      </w:r>
      <w:r w:rsidR="00EE6D35">
        <w:t xml:space="preserve"> </w:t>
      </w:r>
      <w:r>
        <w:t>the</w:t>
      </w:r>
      <w:r w:rsidR="00EE6D35">
        <w:t xml:space="preserve"> </w:t>
      </w:r>
      <w:r>
        <w:t>funded</w:t>
      </w:r>
      <w:r w:rsidR="00EE6D35">
        <w:t xml:space="preserve"> </w:t>
      </w:r>
      <w:r>
        <w:t>provider</w:t>
      </w:r>
      <w:r w:rsidR="00EE6D35">
        <w:t xml:space="preserve"> </w:t>
      </w:r>
      <w:r>
        <w:t>will</w:t>
      </w:r>
      <w:r w:rsidR="00EE6D35">
        <w:t xml:space="preserve"> </w:t>
      </w:r>
      <w:r>
        <w:t>need</w:t>
      </w:r>
      <w:r w:rsidR="00EE6D35">
        <w:t xml:space="preserve"> </w:t>
      </w:r>
      <w:r>
        <w:t>to</w:t>
      </w:r>
      <w:r w:rsidR="00EE6D35">
        <w:t xml:space="preserve"> </w:t>
      </w:r>
      <w:r>
        <w:t>extract</w:t>
      </w:r>
      <w:r w:rsidR="00EE6D35">
        <w:t xml:space="preserve"> </w:t>
      </w:r>
      <w:r>
        <w:t>relevant</w:t>
      </w:r>
      <w:r w:rsidR="00EE6D35">
        <w:t xml:space="preserve"> </w:t>
      </w:r>
      <w:r>
        <w:t>data</w:t>
      </w:r>
      <w:r w:rsidR="00EE6D35">
        <w:t xml:space="preserve"> </w:t>
      </w:r>
      <w:r>
        <w:t>from</w:t>
      </w:r>
      <w:r w:rsidR="00EE6D35">
        <w:t xml:space="preserve"> </w:t>
      </w:r>
      <w:r>
        <w:t>the</w:t>
      </w:r>
      <w:r w:rsidR="00EE6D35">
        <w:t xml:space="preserve"> </w:t>
      </w:r>
      <w:r>
        <w:t>Triage</w:t>
      </w:r>
      <w:r w:rsidR="00EE6D35">
        <w:t xml:space="preserve"> </w:t>
      </w:r>
      <w:r>
        <w:t>Running</w:t>
      </w:r>
      <w:r w:rsidR="00EE6D35">
        <w:t xml:space="preserve"> </w:t>
      </w:r>
      <w:r>
        <w:t>sheet</w:t>
      </w:r>
      <w:r w:rsidR="00EE6D35">
        <w:t xml:space="preserve"> </w:t>
      </w:r>
      <w:r>
        <w:t>to</w:t>
      </w:r>
      <w:r w:rsidR="00EE6D35">
        <w:t xml:space="preserve"> </w:t>
      </w:r>
      <w:r>
        <w:t>supplement</w:t>
      </w:r>
      <w:r w:rsidR="00EE6D35">
        <w:t xml:space="preserve"> </w:t>
      </w:r>
      <w:r>
        <w:t>the</w:t>
      </w:r>
      <w:r w:rsidR="00EE6D35">
        <w:t xml:space="preserve"> </w:t>
      </w:r>
      <w:r>
        <w:t>monthly</w:t>
      </w:r>
      <w:r w:rsidR="00EE6D35">
        <w:t xml:space="preserve"> </w:t>
      </w:r>
      <w:r>
        <w:t>CRISSP</w:t>
      </w:r>
      <w:r w:rsidR="00EE6D35">
        <w:t xml:space="preserve"> </w:t>
      </w:r>
      <w:r>
        <w:t>report.</w:t>
      </w:r>
      <w:r w:rsidR="00410C81">
        <w:t xml:space="preserve"> </w:t>
      </w:r>
      <w:r>
        <w:t>This</w:t>
      </w:r>
      <w:r w:rsidR="00EE6D35">
        <w:t xml:space="preserve"> </w:t>
      </w:r>
      <w:r>
        <w:t>report</w:t>
      </w:r>
      <w:r w:rsidR="00EE6D35">
        <w:t xml:space="preserve"> </w:t>
      </w:r>
      <w:r>
        <w:t>must</w:t>
      </w:r>
      <w:r w:rsidR="00EE6D35">
        <w:t xml:space="preserve"> </w:t>
      </w:r>
      <w:r>
        <w:t>be</w:t>
      </w:r>
      <w:r w:rsidR="00EE6D35">
        <w:t xml:space="preserve"> </w:t>
      </w:r>
      <w:r>
        <w:t>sent</w:t>
      </w:r>
      <w:r w:rsidR="00EE6D35">
        <w:t xml:space="preserve"> </w:t>
      </w:r>
      <w:r>
        <w:t>to</w:t>
      </w:r>
      <w:r w:rsidR="00EE6D35">
        <w:t xml:space="preserve"> </w:t>
      </w:r>
      <w:r>
        <w:t>the</w:t>
      </w:r>
      <w:r w:rsidR="00EE6D35">
        <w:t xml:space="preserve"> </w:t>
      </w:r>
      <w:r>
        <w:t>local</w:t>
      </w:r>
      <w:r w:rsidR="00EE6D35">
        <w:t xml:space="preserve"> </w:t>
      </w:r>
      <w:r>
        <w:t>APSS</w:t>
      </w:r>
      <w:r w:rsidR="00EE6D35">
        <w:t xml:space="preserve"> </w:t>
      </w:r>
      <w:r>
        <w:t>advisor</w:t>
      </w:r>
      <w:r w:rsidR="00EE6D35">
        <w:t xml:space="preserve"> </w:t>
      </w:r>
      <w:r>
        <w:t>at</w:t>
      </w:r>
      <w:r w:rsidR="00EE6D35">
        <w:t xml:space="preserve"> </w:t>
      </w:r>
      <w:r>
        <w:t>the</w:t>
      </w:r>
      <w:r w:rsidR="00EE6D35">
        <w:t xml:space="preserve"> </w:t>
      </w:r>
      <w:r>
        <w:t>end</w:t>
      </w:r>
      <w:r w:rsidR="00EE6D35">
        <w:t xml:space="preserve"> </w:t>
      </w:r>
      <w:r>
        <w:t>of</w:t>
      </w:r>
      <w:r w:rsidR="00EE6D35">
        <w:t xml:space="preserve"> </w:t>
      </w:r>
      <w:r>
        <w:t>each</w:t>
      </w:r>
      <w:r w:rsidR="00EE6D35">
        <w:t xml:space="preserve"> </w:t>
      </w:r>
      <w:r>
        <w:t>month.</w:t>
      </w:r>
      <w:r w:rsidR="00EE6D35">
        <w:t xml:space="preserve"> </w:t>
      </w:r>
    </w:p>
    <w:p w14:paraId="4363B198" w14:textId="687D1170" w:rsidR="001B20B3" w:rsidRDefault="001B20B3" w:rsidP="001B20B3">
      <w:pPr>
        <w:pStyle w:val="Heading3"/>
        <w:rPr>
          <w:lang w:eastAsia="en-AU"/>
        </w:rPr>
      </w:pPr>
      <w:r w:rsidRPr="009C4376">
        <w:rPr>
          <w:lang w:eastAsia="en-AU"/>
        </w:rPr>
        <w:t>Requirement</w:t>
      </w:r>
      <w:r>
        <w:rPr>
          <w:lang w:eastAsia="en-AU"/>
        </w:rPr>
        <w:t>s</w:t>
      </w:r>
    </w:p>
    <w:p w14:paraId="2112E901" w14:textId="6289A32F" w:rsidR="003F065B" w:rsidRPr="003F065B" w:rsidRDefault="003F065B" w:rsidP="003F065B">
      <w:pPr>
        <w:pStyle w:val="Heading4"/>
        <w:rPr>
          <w:lang w:eastAsia="en-AU"/>
        </w:rPr>
      </w:pPr>
      <w:r w:rsidRPr="00633ADC">
        <w:rPr>
          <w:lang w:eastAsia="en-AU"/>
        </w:rPr>
        <w:t>Activity</w:t>
      </w:r>
      <w:r w:rsidRPr="003F065B">
        <w:rPr>
          <w:lang w:eastAsia="en-AU"/>
        </w:rPr>
        <w:t xml:space="preserve"> </w:t>
      </w:r>
      <w:r w:rsidRPr="00633ADC">
        <w:rPr>
          <w:lang w:eastAsia="en-AU"/>
        </w:rPr>
        <w:t>Intake</w:t>
      </w:r>
      <w:r>
        <w:rPr>
          <w:lang w:eastAsia="en-AU"/>
        </w:rPr>
        <w:t xml:space="preserve"> </w:t>
      </w:r>
      <w:r w:rsidRPr="00633ADC">
        <w:rPr>
          <w:lang w:eastAsia="en-AU"/>
        </w:rPr>
        <w:t>and</w:t>
      </w:r>
      <w:r>
        <w:rPr>
          <w:lang w:eastAsia="en-AU"/>
        </w:rPr>
        <w:t xml:space="preserve"> </w:t>
      </w:r>
      <w:r w:rsidRPr="00633ADC">
        <w:rPr>
          <w:lang w:eastAsia="en-AU"/>
        </w:rPr>
        <w:t>Access</w:t>
      </w:r>
      <w:r>
        <w:rPr>
          <w:lang w:eastAsia="en-AU"/>
        </w:rPr>
        <w:t xml:space="preserve"> </w:t>
      </w:r>
      <w:r w:rsidRPr="00633ADC">
        <w:rPr>
          <w:lang w:eastAsia="en-AU"/>
        </w:rPr>
        <w:t>–</w:t>
      </w:r>
      <w:r>
        <w:rPr>
          <w:lang w:eastAsia="en-AU"/>
        </w:rPr>
        <w:t xml:space="preserve"> </w:t>
      </w:r>
      <w:r w:rsidRPr="00633ADC">
        <w:rPr>
          <w:lang w:eastAsia="en-AU"/>
        </w:rPr>
        <w:t>Better</w:t>
      </w:r>
      <w:r>
        <w:rPr>
          <w:lang w:eastAsia="en-AU"/>
        </w:rPr>
        <w:t xml:space="preserve"> </w:t>
      </w:r>
      <w:r w:rsidRPr="00633ADC">
        <w:rPr>
          <w:lang w:eastAsia="en-AU"/>
        </w:rPr>
        <w:t>Futures</w:t>
      </w:r>
      <w:r>
        <w:rPr>
          <w:lang w:eastAsia="en-AU"/>
        </w:rPr>
        <w:t xml:space="preserve"> </w:t>
      </w:r>
      <w:r w:rsidRPr="00633ADC">
        <w:rPr>
          <w:lang w:eastAsia="en-AU"/>
        </w:rPr>
        <w:t>31289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2"/>
        <w:gridCol w:w="1699"/>
        <w:gridCol w:w="1699"/>
        <w:gridCol w:w="1699"/>
      </w:tblGrid>
      <w:tr w:rsidR="003F065B" w:rsidRPr="00633ADC" w14:paraId="25ABF380" w14:textId="77777777" w:rsidTr="003F065B">
        <w:tc>
          <w:tcPr>
            <w:tcW w:w="2122" w:type="dxa"/>
          </w:tcPr>
          <w:p w14:paraId="1ABBD5E2" w14:textId="77777777" w:rsidR="003F065B" w:rsidRPr="00633ADC" w:rsidRDefault="003F065B" w:rsidP="00633ADC">
            <w:pPr>
              <w:pStyle w:val="Tablecolhead"/>
              <w:rPr>
                <w:lang w:eastAsia="en-AU"/>
              </w:rPr>
            </w:pPr>
            <w:r w:rsidRPr="00633ADC">
              <w:rPr>
                <w:lang w:eastAsia="en-AU"/>
              </w:rPr>
              <w:t>Measure</w:t>
            </w:r>
          </w:p>
        </w:tc>
        <w:tc>
          <w:tcPr>
            <w:tcW w:w="2832" w:type="dxa"/>
          </w:tcPr>
          <w:p w14:paraId="33090D67" w14:textId="77777777" w:rsidR="003F065B" w:rsidRPr="00633ADC" w:rsidRDefault="003F065B" w:rsidP="00633ADC">
            <w:pPr>
              <w:pStyle w:val="Tablecolhead"/>
              <w:rPr>
                <w:lang w:eastAsia="en-AU"/>
              </w:rPr>
            </w:pPr>
            <w:r w:rsidRPr="00633ADC">
              <w:rPr>
                <w:lang w:eastAsia="en-AU"/>
              </w:rPr>
              <w:t>Description</w:t>
            </w:r>
          </w:p>
        </w:tc>
        <w:tc>
          <w:tcPr>
            <w:tcW w:w="1699" w:type="dxa"/>
          </w:tcPr>
          <w:p w14:paraId="7D53FB23" w14:textId="77777777" w:rsidR="003F065B" w:rsidRPr="00633ADC" w:rsidRDefault="003F065B" w:rsidP="00633ADC">
            <w:pPr>
              <w:pStyle w:val="Tablecolhead"/>
              <w:rPr>
                <w:lang w:eastAsia="en-AU"/>
              </w:rPr>
            </w:pPr>
            <w:r w:rsidRPr="00633ADC">
              <w:rPr>
                <w:lang w:eastAsia="en-AU"/>
              </w:rPr>
              <w:t>Count</w:t>
            </w:r>
          </w:p>
        </w:tc>
        <w:tc>
          <w:tcPr>
            <w:tcW w:w="1699" w:type="dxa"/>
          </w:tcPr>
          <w:p w14:paraId="19D65BF0" w14:textId="4075A122" w:rsidR="003F065B" w:rsidRPr="00633ADC" w:rsidRDefault="003F065B" w:rsidP="00633ADC">
            <w:pPr>
              <w:pStyle w:val="Tablecolhead"/>
              <w:rPr>
                <w:lang w:eastAsia="en-AU"/>
              </w:rPr>
            </w:pPr>
            <w:r w:rsidRPr="00633ADC">
              <w:rPr>
                <w:lang w:eastAsia="en-AU"/>
              </w:rPr>
              <w:t>Reporting</w:t>
            </w:r>
            <w:r>
              <w:rPr>
                <w:lang w:eastAsia="en-AU"/>
              </w:rPr>
              <w:t xml:space="preserve"> </w:t>
            </w:r>
            <w:r w:rsidRPr="00633ADC">
              <w:rPr>
                <w:lang w:eastAsia="en-AU"/>
              </w:rPr>
              <w:t>frequency</w:t>
            </w:r>
          </w:p>
        </w:tc>
        <w:tc>
          <w:tcPr>
            <w:tcW w:w="1699" w:type="dxa"/>
          </w:tcPr>
          <w:p w14:paraId="4F91C128" w14:textId="77777777" w:rsidR="003F065B" w:rsidRPr="00633ADC" w:rsidRDefault="003F065B" w:rsidP="00633ADC">
            <w:pPr>
              <w:pStyle w:val="Tablecolhead"/>
              <w:rPr>
                <w:lang w:eastAsia="en-AU"/>
              </w:rPr>
            </w:pPr>
            <w:r w:rsidRPr="00633ADC">
              <w:rPr>
                <w:lang w:eastAsia="en-AU"/>
              </w:rPr>
              <w:t>Report</w:t>
            </w:r>
          </w:p>
        </w:tc>
      </w:tr>
      <w:tr w:rsidR="003F065B" w:rsidRPr="00633ADC" w14:paraId="13BBBC20" w14:textId="77777777" w:rsidTr="003F065B">
        <w:tc>
          <w:tcPr>
            <w:tcW w:w="2122" w:type="dxa"/>
          </w:tcPr>
          <w:p w14:paraId="06000033" w14:textId="4AB9EEF4" w:rsidR="003F065B" w:rsidRPr="00633ADC" w:rsidRDefault="003F065B" w:rsidP="00633ADC">
            <w:pPr>
              <w:pStyle w:val="Tabletext"/>
              <w:rPr>
                <w:lang w:eastAsia="en-AU"/>
              </w:rPr>
            </w:pPr>
            <w:r w:rsidRPr="00633ADC">
              <w:rPr>
                <w:lang w:eastAsia="en-AU"/>
              </w:rPr>
              <w:t>Key</w:t>
            </w:r>
            <w:r>
              <w:rPr>
                <w:lang w:eastAsia="en-AU"/>
              </w:rPr>
              <w:t xml:space="preserve"> </w:t>
            </w:r>
            <w:r w:rsidRPr="00633ADC">
              <w:rPr>
                <w:lang w:eastAsia="en-AU"/>
              </w:rPr>
              <w:t>performance</w:t>
            </w:r>
            <w:r>
              <w:rPr>
                <w:lang w:eastAsia="en-AU"/>
              </w:rPr>
              <w:t xml:space="preserve"> </w:t>
            </w:r>
            <w:r w:rsidRPr="00633ADC">
              <w:rPr>
                <w:lang w:eastAsia="en-AU"/>
              </w:rPr>
              <w:t>measure</w:t>
            </w:r>
            <w:r>
              <w:rPr>
                <w:lang w:eastAsia="en-AU"/>
              </w:rPr>
              <w:t xml:space="preserve"> </w:t>
            </w:r>
            <w:r w:rsidRPr="00633ADC">
              <w:rPr>
                <w:lang w:eastAsia="en-AU"/>
              </w:rPr>
              <w:t>1</w:t>
            </w:r>
          </w:p>
        </w:tc>
        <w:tc>
          <w:tcPr>
            <w:tcW w:w="2832" w:type="dxa"/>
          </w:tcPr>
          <w:p w14:paraId="49146963" w14:textId="3E399D73" w:rsidR="003F065B" w:rsidRPr="00633ADC" w:rsidRDefault="003F065B" w:rsidP="00633ADC">
            <w:pPr>
              <w:pStyle w:val="Tabletext"/>
              <w:rPr>
                <w:lang w:eastAsia="en-AU"/>
              </w:rPr>
            </w:pPr>
            <w:r w:rsidRPr="00633ADC">
              <w:rPr>
                <w:lang w:eastAsia="en-AU"/>
              </w:rPr>
              <w:t>Number</w:t>
            </w:r>
            <w:r>
              <w:rPr>
                <w:lang w:eastAsia="en-AU"/>
              </w:rPr>
              <w:t xml:space="preserve"> </w:t>
            </w:r>
            <w:r w:rsidRPr="00633ADC">
              <w:rPr>
                <w:lang w:eastAsia="en-AU"/>
              </w:rPr>
              <w:t>of</w:t>
            </w:r>
            <w:r>
              <w:rPr>
                <w:lang w:eastAsia="en-AU"/>
              </w:rPr>
              <w:t xml:space="preserve"> </w:t>
            </w:r>
            <w:r w:rsidRPr="00633ADC">
              <w:rPr>
                <w:lang w:eastAsia="en-AU"/>
              </w:rPr>
              <w:t>hours</w:t>
            </w:r>
            <w:r>
              <w:rPr>
                <w:lang w:eastAsia="en-AU"/>
              </w:rPr>
              <w:t xml:space="preserve"> </w:t>
            </w:r>
            <w:r w:rsidRPr="00633ADC">
              <w:rPr>
                <w:lang w:eastAsia="en-AU"/>
              </w:rPr>
              <w:t>of</w:t>
            </w:r>
            <w:r>
              <w:rPr>
                <w:lang w:eastAsia="en-AU"/>
              </w:rPr>
              <w:t xml:space="preserve"> </w:t>
            </w:r>
            <w:r w:rsidRPr="00633ADC">
              <w:rPr>
                <w:lang w:eastAsia="en-AU"/>
              </w:rPr>
              <w:t>service</w:t>
            </w:r>
            <w:r>
              <w:rPr>
                <w:lang w:eastAsia="en-AU"/>
              </w:rPr>
              <w:t xml:space="preserve"> </w:t>
            </w:r>
            <w:r w:rsidRPr="00633ADC">
              <w:rPr>
                <w:lang w:eastAsia="en-AU"/>
              </w:rPr>
              <w:t>provided</w:t>
            </w:r>
          </w:p>
        </w:tc>
        <w:tc>
          <w:tcPr>
            <w:tcW w:w="1699" w:type="dxa"/>
          </w:tcPr>
          <w:p w14:paraId="2F1BD208" w14:textId="77777777" w:rsidR="003F065B" w:rsidRPr="00633ADC" w:rsidRDefault="003F065B" w:rsidP="00633ADC">
            <w:pPr>
              <w:pStyle w:val="Tabletext"/>
              <w:rPr>
                <w:lang w:eastAsia="en-AU"/>
              </w:rPr>
            </w:pPr>
            <w:r w:rsidRPr="00633ADC">
              <w:rPr>
                <w:lang w:eastAsia="en-AU"/>
              </w:rPr>
              <w:t>Cumulative</w:t>
            </w:r>
          </w:p>
        </w:tc>
        <w:tc>
          <w:tcPr>
            <w:tcW w:w="1699" w:type="dxa"/>
          </w:tcPr>
          <w:p w14:paraId="5955594B" w14:textId="77777777" w:rsidR="003F065B" w:rsidRPr="00633ADC" w:rsidRDefault="003F065B" w:rsidP="00633ADC">
            <w:pPr>
              <w:pStyle w:val="Tabletext"/>
              <w:rPr>
                <w:lang w:eastAsia="en-AU"/>
              </w:rPr>
            </w:pPr>
            <w:r w:rsidRPr="00633ADC">
              <w:rPr>
                <w:lang w:eastAsia="en-AU"/>
              </w:rPr>
              <w:t>Monthly</w:t>
            </w:r>
          </w:p>
        </w:tc>
        <w:tc>
          <w:tcPr>
            <w:tcW w:w="1699" w:type="dxa"/>
          </w:tcPr>
          <w:p w14:paraId="3A4F6AAA" w14:textId="77777777" w:rsidR="003F065B" w:rsidRPr="00633ADC" w:rsidRDefault="003F065B" w:rsidP="00633ADC">
            <w:pPr>
              <w:pStyle w:val="Tabletext"/>
              <w:rPr>
                <w:lang w:eastAsia="en-AU"/>
              </w:rPr>
            </w:pPr>
            <w:r w:rsidRPr="00633ADC">
              <w:rPr>
                <w:lang w:eastAsia="en-AU"/>
              </w:rPr>
              <w:t>SDT</w:t>
            </w:r>
          </w:p>
        </w:tc>
      </w:tr>
      <w:tr w:rsidR="003F065B" w:rsidRPr="00633ADC" w14:paraId="0BF1402E" w14:textId="77777777" w:rsidTr="003F065B">
        <w:tc>
          <w:tcPr>
            <w:tcW w:w="2122" w:type="dxa"/>
          </w:tcPr>
          <w:p w14:paraId="65A3942D" w14:textId="4D8E7BE8" w:rsidR="003F065B" w:rsidRPr="00633ADC" w:rsidRDefault="003F065B" w:rsidP="00633ADC">
            <w:pPr>
              <w:pStyle w:val="Tabletext"/>
              <w:rPr>
                <w:lang w:eastAsia="en-AU"/>
              </w:rPr>
            </w:pPr>
            <w:r w:rsidRPr="00633ADC">
              <w:rPr>
                <w:lang w:eastAsia="en-AU"/>
              </w:rPr>
              <w:t>Performance</w:t>
            </w:r>
            <w:r>
              <w:rPr>
                <w:lang w:eastAsia="en-AU"/>
              </w:rPr>
              <w:t xml:space="preserve"> </w:t>
            </w:r>
            <w:r w:rsidRPr="00633ADC">
              <w:rPr>
                <w:lang w:eastAsia="en-AU"/>
              </w:rPr>
              <w:t>measure</w:t>
            </w:r>
            <w:r>
              <w:rPr>
                <w:lang w:eastAsia="en-AU"/>
              </w:rPr>
              <w:t xml:space="preserve"> </w:t>
            </w:r>
            <w:r w:rsidRPr="00633ADC">
              <w:rPr>
                <w:lang w:eastAsia="en-AU"/>
              </w:rPr>
              <w:t>2</w:t>
            </w:r>
          </w:p>
        </w:tc>
        <w:tc>
          <w:tcPr>
            <w:tcW w:w="2832" w:type="dxa"/>
          </w:tcPr>
          <w:p w14:paraId="4F786AA6" w14:textId="16A272FE" w:rsidR="003F065B" w:rsidRPr="00633ADC" w:rsidRDefault="003F065B" w:rsidP="00633ADC">
            <w:pPr>
              <w:pStyle w:val="Tabletext"/>
              <w:rPr>
                <w:lang w:eastAsia="en-AU"/>
              </w:rPr>
            </w:pPr>
            <w:r w:rsidRPr="00633ADC">
              <w:rPr>
                <w:lang w:eastAsia="en-AU"/>
              </w:rPr>
              <w:t>Number</w:t>
            </w:r>
            <w:r>
              <w:rPr>
                <w:lang w:eastAsia="en-AU"/>
              </w:rPr>
              <w:t xml:space="preserve"> </w:t>
            </w:r>
            <w:r w:rsidRPr="00633ADC">
              <w:rPr>
                <w:lang w:eastAsia="en-AU"/>
              </w:rPr>
              <w:t>of</w:t>
            </w:r>
            <w:r>
              <w:rPr>
                <w:lang w:eastAsia="en-AU"/>
              </w:rPr>
              <w:t xml:space="preserve"> </w:t>
            </w:r>
            <w:r w:rsidRPr="00633ADC">
              <w:rPr>
                <w:lang w:eastAsia="en-AU"/>
              </w:rPr>
              <w:t>new</w:t>
            </w:r>
            <w:r>
              <w:rPr>
                <w:lang w:eastAsia="en-AU"/>
              </w:rPr>
              <w:t xml:space="preserve"> </w:t>
            </w:r>
            <w:r w:rsidRPr="00633ADC">
              <w:rPr>
                <w:lang w:eastAsia="en-AU"/>
              </w:rPr>
              <w:t>cases</w:t>
            </w:r>
            <w:r>
              <w:rPr>
                <w:lang w:eastAsia="en-AU"/>
              </w:rPr>
              <w:t xml:space="preserve"> </w:t>
            </w:r>
            <w:r w:rsidRPr="00633ADC">
              <w:rPr>
                <w:lang w:eastAsia="en-AU"/>
              </w:rPr>
              <w:t>receiving</w:t>
            </w:r>
            <w:r>
              <w:rPr>
                <w:lang w:eastAsia="en-AU"/>
              </w:rPr>
              <w:t xml:space="preserve"> </w:t>
            </w:r>
            <w:r w:rsidRPr="00633ADC">
              <w:rPr>
                <w:lang w:eastAsia="en-AU"/>
              </w:rPr>
              <w:t>an</w:t>
            </w:r>
            <w:r>
              <w:rPr>
                <w:lang w:eastAsia="en-AU"/>
              </w:rPr>
              <w:t xml:space="preserve"> </w:t>
            </w:r>
            <w:r w:rsidRPr="00633ADC">
              <w:rPr>
                <w:lang w:eastAsia="en-AU"/>
              </w:rPr>
              <w:t>Intake</w:t>
            </w:r>
            <w:r>
              <w:rPr>
                <w:lang w:eastAsia="en-AU"/>
              </w:rPr>
              <w:t xml:space="preserve"> </w:t>
            </w:r>
            <w:r w:rsidRPr="00633ADC">
              <w:rPr>
                <w:lang w:eastAsia="en-AU"/>
              </w:rPr>
              <w:t>and</w:t>
            </w:r>
            <w:r>
              <w:rPr>
                <w:lang w:eastAsia="en-AU"/>
              </w:rPr>
              <w:t xml:space="preserve"> </w:t>
            </w:r>
            <w:r w:rsidRPr="00633ADC">
              <w:rPr>
                <w:lang w:eastAsia="en-AU"/>
              </w:rPr>
              <w:t>Access</w:t>
            </w:r>
            <w:r>
              <w:rPr>
                <w:lang w:eastAsia="en-AU"/>
              </w:rPr>
              <w:t xml:space="preserve"> </w:t>
            </w:r>
            <w:r w:rsidRPr="00633ADC">
              <w:rPr>
                <w:lang w:eastAsia="en-AU"/>
              </w:rPr>
              <w:t>–</w:t>
            </w:r>
            <w:r>
              <w:rPr>
                <w:lang w:eastAsia="en-AU"/>
              </w:rPr>
              <w:t xml:space="preserve"> </w:t>
            </w:r>
            <w:r w:rsidRPr="00633ADC">
              <w:rPr>
                <w:lang w:eastAsia="en-AU"/>
              </w:rPr>
              <w:t>Better</w:t>
            </w:r>
            <w:r>
              <w:rPr>
                <w:lang w:eastAsia="en-AU"/>
              </w:rPr>
              <w:t xml:space="preserve"> </w:t>
            </w:r>
            <w:r w:rsidRPr="00633ADC">
              <w:rPr>
                <w:lang w:eastAsia="en-AU"/>
              </w:rPr>
              <w:t>Futures</w:t>
            </w:r>
            <w:r>
              <w:rPr>
                <w:lang w:eastAsia="en-AU"/>
              </w:rPr>
              <w:t xml:space="preserve"> </w:t>
            </w:r>
            <w:r w:rsidRPr="00633ADC">
              <w:rPr>
                <w:lang w:eastAsia="en-AU"/>
              </w:rPr>
              <w:t>service</w:t>
            </w:r>
          </w:p>
        </w:tc>
        <w:tc>
          <w:tcPr>
            <w:tcW w:w="1699" w:type="dxa"/>
          </w:tcPr>
          <w:p w14:paraId="59A03626" w14:textId="77777777" w:rsidR="003F065B" w:rsidRPr="00633ADC" w:rsidRDefault="003F065B" w:rsidP="00633ADC">
            <w:pPr>
              <w:pStyle w:val="Tabletext"/>
              <w:rPr>
                <w:lang w:eastAsia="en-AU"/>
              </w:rPr>
            </w:pPr>
            <w:r w:rsidRPr="00633ADC">
              <w:rPr>
                <w:lang w:eastAsia="en-AU"/>
              </w:rPr>
              <w:t>Cumulative</w:t>
            </w:r>
          </w:p>
        </w:tc>
        <w:tc>
          <w:tcPr>
            <w:tcW w:w="1699" w:type="dxa"/>
          </w:tcPr>
          <w:p w14:paraId="724A3375" w14:textId="77777777" w:rsidR="003F065B" w:rsidRPr="00633ADC" w:rsidRDefault="003F065B" w:rsidP="00633ADC">
            <w:pPr>
              <w:pStyle w:val="Tabletext"/>
              <w:rPr>
                <w:lang w:eastAsia="en-AU"/>
              </w:rPr>
            </w:pPr>
            <w:r w:rsidRPr="00633ADC">
              <w:rPr>
                <w:lang w:eastAsia="en-AU"/>
              </w:rPr>
              <w:t>Monthly</w:t>
            </w:r>
          </w:p>
        </w:tc>
        <w:tc>
          <w:tcPr>
            <w:tcW w:w="1699" w:type="dxa"/>
          </w:tcPr>
          <w:p w14:paraId="23A4FFAC" w14:textId="77777777" w:rsidR="003F065B" w:rsidRPr="00633ADC" w:rsidRDefault="003F065B" w:rsidP="00633ADC">
            <w:pPr>
              <w:pStyle w:val="Tabletext"/>
              <w:rPr>
                <w:lang w:eastAsia="en-AU"/>
              </w:rPr>
            </w:pPr>
            <w:r w:rsidRPr="00633ADC">
              <w:rPr>
                <w:lang w:eastAsia="en-AU"/>
              </w:rPr>
              <w:t>CRISSP</w:t>
            </w:r>
          </w:p>
        </w:tc>
      </w:tr>
    </w:tbl>
    <w:p w14:paraId="2A7BD77C" w14:textId="7AE9EFDD" w:rsidR="001B20B3" w:rsidRPr="001B20B3" w:rsidRDefault="001B20B3" w:rsidP="001B20B3">
      <w:pPr>
        <w:pStyle w:val="Heading2"/>
      </w:pPr>
      <w:bookmarkStart w:id="20" w:name="_Toc89733723"/>
      <w:bookmarkStart w:id="21" w:name="_Toc91146869"/>
      <w:r w:rsidRPr="009C4376">
        <w:rPr>
          <w:lang w:eastAsia="en-AU"/>
        </w:rPr>
        <w:lastRenderedPageBreak/>
        <w:t>Individual,</w:t>
      </w:r>
      <w:r w:rsidR="00EE6D35">
        <w:rPr>
          <w:lang w:eastAsia="en-AU"/>
        </w:rPr>
        <w:t xml:space="preserve"> </w:t>
      </w:r>
      <w:r w:rsidRPr="009C4376">
        <w:rPr>
          <w:lang w:eastAsia="en-AU"/>
        </w:rPr>
        <w:t>Child</w:t>
      </w:r>
      <w:r w:rsidR="00EE6D35">
        <w:rPr>
          <w:lang w:eastAsia="en-AU"/>
        </w:rPr>
        <w:t xml:space="preserve"> </w:t>
      </w:r>
      <w:r w:rsidRPr="009C4376">
        <w:rPr>
          <w:lang w:eastAsia="en-AU"/>
        </w:rPr>
        <w:t>and</w:t>
      </w:r>
      <w:r w:rsidR="00EE6D35">
        <w:rPr>
          <w:lang w:eastAsia="en-AU"/>
        </w:rPr>
        <w:t xml:space="preserve"> </w:t>
      </w:r>
      <w:r w:rsidRPr="009C4376">
        <w:rPr>
          <w:lang w:eastAsia="en-AU"/>
        </w:rPr>
        <w:t>Family</w:t>
      </w:r>
      <w:r w:rsidR="00EE6D35">
        <w:rPr>
          <w:lang w:eastAsia="en-AU"/>
        </w:rPr>
        <w:t xml:space="preserve"> </w:t>
      </w:r>
      <w:r w:rsidRPr="009C4376">
        <w:rPr>
          <w:lang w:eastAsia="en-AU"/>
        </w:rPr>
        <w:t>Support</w:t>
      </w:r>
      <w:r w:rsidR="00EE6D35">
        <w:rPr>
          <w:lang w:eastAsia="en-AU"/>
        </w:rPr>
        <w:t xml:space="preserve"> </w:t>
      </w:r>
      <w:r w:rsidRPr="009C4376">
        <w:rPr>
          <w:lang w:eastAsia="en-AU"/>
        </w:rPr>
        <w:t>–</w:t>
      </w:r>
      <w:r w:rsidR="00EE6D35">
        <w:rPr>
          <w:lang w:eastAsia="en-AU"/>
        </w:rPr>
        <w:t xml:space="preserve"> </w:t>
      </w:r>
      <w:r w:rsidRPr="009C4376">
        <w:rPr>
          <w:lang w:eastAsia="en-AU"/>
        </w:rPr>
        <w:t>Better</w:t>
      </w:r>
      <w:r w:rsidR="00EE6D35">
        <w:rPr>
          <w:lang w:eastAsia="en-AU"/>
        </w:rPr>
        <w:t xml:space="preserve"> </w:t>
      </w:r>
      <w:r w:rsidRPr="009C4376">
        <w:rPr>
          <w:lang w:eastAsia="en-AU"/>
        </w:rPr>
        <w:t>Futures</w:t>
      </w:r>
      <w:r w:rsidR="00EE6D35">
        <w:rPr>
          <w:lang w:eastAsia="en-AU"/>
        </w:rPr>
        <w:t xml:space="preserve"> </w:t>
      </w:r>
      <w:r w:rsidRPr="009C4376">
        <w:rPr>
          <w:lang w:eastAsia="en-AU"/>
        </w:rPr>
        <w:t>31290</w:t>
      </w:r>
      <w:bookmarkEnd w:id="20"/>
      <w:bookmarkEnd w:id="21"/>
    </w:p>
    <w:p w14:paraId="6C0675BA" w14:textId="77AA38A1" w:rsidR="001B20B3" w:rsidRPr="0018402F" w:rsidRDefault="001B20B3" w:rsidP="001B20B3">
      <w:pPr>
        <w:pStyle w:val="DHHSbody"/>
      </w:pPr>
      <w:r w:rsidRPr="0018402F">
        <w:t>This</w:t>
      </w:r>
      <w:r w:rsidR="00EE6D35">
        <w:t xml:space="preserve"> </w:t>
      </w:r>
      <w:r w:rsidRPr="0018402F">
        <w:t>activity</w:t>
      </w:r>
      <w:r w:rsidR="00EE6D35">
        <w:t xml:space="preserve"> </w:t>
      </w:r>
      <w:r w:rsidRPr="0018402F">
        <w:t>relates</w:t>
      </w:r>
      <w:r w:rsidR="00EE6D35">
        <w:t xml:space="preserve"> </w:t>
      </w:r>
      <w:r w:rsidRPr="0018402F">
        <w:t>to</w:t>
      </w:r>
      <w:r w:rsidR="00EE6D35">
        <w:t xml:space="preserve"> </w:t>
      </w:r>
      <w:r w:rsidRPr="0018402F">
        <w:t>Better</w:t>
      </w:r>
      <w:r w:rsidR="00EE6D35">
        <w:t xml:space="preserve"> </w:t>
      </w:r>
      <w:r w:rsidRPr="0018402F">
        <w:t>Futures</w:t>
      </w:r>
      <w:r w:rsidR="00EE6D35">
        <w:t xml:space="preserve"> </w:t>
      </w:r>
      <w:r w:rsidRPr="0018402F">
        <w:t>and</w:t>
      </w:r>
      <w:r w:rsidR="00EE6D35">
        <w:t xml:space="preserve"> </w:t>
      </w:r>
      <w:r w:rsidRPr="0018402F">
        <w:t>Home</w:t>
      </w:r>
      <w:r w:rsidR="00EE6D35">
        <w:t xml:space="preserve"> </w:t>
      </w:r>
      <w:r w:rsidRPr="0018402F">
        <w:t>Stretch</w:t>
      </w:r>
      <w:r w:rsidR="00EE6D35">
        <w:t xml:space="preserve"> </w:t>
      </w:r>
      <w:r w:rsidRPr="0018402F">
        <w:t>case</w:t>
      </w:r>
      <w:r w:rsidR="00EE6D35">
        <w:t xml:space="preserve"> </w:t>
      </w:r>
      <w:r w:rsidRPr="0018402F">
        <w:t>work</w:t>
      </w:r>
      <w:r w:rsidR="00EE6D35">
        <w:t xml:space="preserve"> </w:t>
      </w:r>
      <w:r w:rsidRPr="0018402F">
        <w:t>support</w:t>
      </w:r>
      <w:r w:rsidR="00EE6D35">
        <w:t xml:space="preserve"> </w:t>
      </w:r>
      <w:r w:rsidRPr="0018402F">
        <w:t>provided</w:t>
      </w:r>
      <w:r w:rsidR="00EE6D35">
        <w:t xml:space="preserve"> </w:t>
      </w:r>
      <w:r w:rsidRPr="0018402F">
        <w:t>to</w:t>
      </w:r>
      <w:r w:rsidR="00EE6D35">
        <w:t xml:space="preserve"> </w:t>
      </w:r>
      <w:r w:rsidRPr="0018402F">
        <w:t>young</w:t>
      </w:r>
      <w:r w:rsidR="00EE6D35">
        <w:t xml:space="preserve"> </w:t>
      </w:r>
      <w:r w:rsidRPr="0018402F">
        <w:t>people</w:t>
      </w:r>
      <w:r w:rsidR="00EE6D35">
        <w:t xml:space="preserve"> </w:t>
      </w:r>
      <w:r w:rsidRPr="0018402F">
        <w:t>transitioning</w:t>
      </w:r>
      <w:r w:rsidR="00EE6D35">
        <w:t xml:space="preserve"> </w:t>
      </w:r>
      <w:r w:rsidRPr="0018402F">
        <w:t>from</w:t>
      </w:r>
      <w:r w:rsidR="00EE6D35">
        <w:t xml:space="preserve"> </w:t>
      </w:r>
      <w:r w:rsidRPr="0018402F">
        <w:t>care,</w:t>
      </w:r>
      <w:r w:rsidR="00EE6D35">
        <w:t xml:space="preserve"> </w:t>
      </w:r>
      <w:r w:rsidRPr="0018402F">
        <w:t>including</w:t>
      </w:r>
      <w:r w:rsidR="00EE6D35">
        <w:t xml:space="preserve"> </w:t>
      </w:r>
      <w:r w:rsidRPr="0018402F">
        <w:t>young</w:t>
      </w:r>
      <w:r w:rsidR="00EE6D35">
        <w:t xml:space="preserve"> </w:t>
      </w:r>
      <w:r w:rsidRPr="0018402F">
        <w:t>people</w:t>
      </w:r>
      <w:r w:rsidR="00EE6D35">
        <w:t xml:space="preserve"> </w:t>
      </w:r>
      <w:r w:rsidRPr="0018402F">
        <w:t>still</w:t>
      </w:r>
      <w:r w:rsidR="00EE6D35">
        <w:t xml:space="preserve"> </w:t>
      </w:r>
      <w:r w:rsidRPr="0018402F">
        <w:t>in</w:t>
      </w:r>
      <w:r w:rsidR="00EE6D35">
        <w:t xml:space="preserve"> </w:t>
      </w:r>
      <w:r w:rsidRPr="0018402F">
        <w:t>care</w:t>
      </w:r>
      <w:r w:rsidR="00EE6D35">
        <w:t xml:space="preserve"> </w:t>
      </w:r>
      <w:r w:rsidRPr="0018402F">
        <w:t>and</w:t>
      </w:r>
      <w:r w:rsidR="00EE6D35">
        <w:t xml:space="preserve"> </w:t>
      </w:r>
      <w:r w:rsidRPr="0018402F">
        <w:t>preparing</w:t>
      </w:r>
      <w:r w:rsidR="00EE6D35">
        <w:t xml:space="preserve"> </w:t>
      </w:r>
      <w:r w:rsidRPr="0018402F">
        <w:t>to</w:t>
      </w:r>
      <w:r w:rsidR="00EE6D35">
        <w:t xml:space="preserve"> </w:t>
      </w:r>
      <w:r w:rsidRPr="0018402F">
        <w:t>transition</w:t>
      </w:r>
      <w:r w:rsidR="00EE6D35">
        <w:t xml:space="preserve"> </w:t>
      </w:r>
      <w:r w:rsidRPr="0018402F">
        <w:t>and</w:t>
      </w:r>
      <w:r w:rsidR="00EE6D35">
        <w:t xml:space="preserve"> </w:t>
      </w:r>
      <w:r w:rsidRPr="0018402F">
        <w:t>those</w:t>
      </w:r>
      <w:r w:rsidR="00EE6D35">
        <w:t xml:space="preserve"> </w:t>
      </w:r>
      <w:r w:rsidRPr="0018402F">
        <w:t>who</w:t>
      </w:r>
      <w:r w:rsidR="00EE6D35">
        <w:t xml:space="preserve"> </w:t>
      </w:r>
      <w:r w:rsidRPr="0018402F">
        <w:t>have</w:t>
      </w:r>
      <w:r w:rsidR="00EE6D35">
        <w:t xml:space="preserve"> </w:t>
      </w:r>
      <w:r w:rsidRPr="0018402F">
        <w:t>left</w:t>
      </w:r>
      <w:r w:rsidR="00EE6D35">
        <w:t xml:space="preserve"> </w:t>
      </w:r>
      <w:r w:rsidRPr="0018402F">
        <w:t>care.</w:t>
      </w:r>
      <w:r w:rsidR="00EE6D35">
        <w:t xml:space="preserve"> </w:t>
      </w:r>
      <w:r w:rsidRPr="0018402F">
        <w:t>It</w:t>
      </w:r>
      <w:r w:rsidR="00EE6D35">
        <w:t xml:space="preserve"> </w:t>
      </w:r>
      <w:r w:rsidRPr="0018402F">
        <w:t>applies</w:t>
      </w:r>
      <w:r w:rsidR="00EE6D35">
        <w:t xml:space="preserve"> </w:t>
      </w:r>
      <w:r w:rsidRPr="0018402F">
        <w:t>to</w:t>
      </w:r>
      <w:r w:rsidR="00EE6D35">
        <w:t xml:space="preserve"> </w:t>
      </w:r>
      <w:r w:rsidRPr="0018402F">
        <w:t>young</w:t>
      </w:r>
      <w:r w:rsidR="00EE6D35">
        <w:t xml:space="preserve"> </w:t>
      </w:r>
      <w:r w:rsidRPr="0018402F">
        <w:t>people</w:t>
      </w:r>
      <w:r w:rsidR="00EE6D35">
        <w:t xml:space="preserve"> </w:t>
      </w:r>
      <w:r w:rsidRPr="0018402F">
        <w:t>who</w:t>
      </w:r>
      <w:r w:rsidR="00EE6D35">
        <w:t xml:space="preserve"> </w:t>
      </w:r>
      <w:r w:rsidRPr="0018402F">
        <w:t>are</w:t>
      </w:r>
      <w:r w:rsidR="00EE6D35">
        <w:t xml:space="preserve"> </w:t>
      </w:r>
      <w:r w:rsidRPr="0018402F">
        <w:t>receiving</w:t>
      </w:r>
      <w:r w:rsidR="00EE6D35">
        <w:t xml:space="preserve"> </w:t>
      </w:r>
      <w:r w:rsidRPr="0018402F">
        <w:t>active</w:t>
      </w:r>
      <w:r w:rsidR="00EE6D35">
        <w:t xml:space="preserve"> </w:t>
      </w:r>
      <w:r w:rsidRPr="0018402F">
        <w:t>hold,</w:t>
      </w:r>
      <w:r w:rsidR="00EE6D35">
        <w:t xml:space="preserve"> </w:t>
      </w:r>
      <w:r w:rsidRPr="0018402F">
        <w:t>limited</w:t>
      </w:r>
      <w:r w:rsidR="00EE6D35">
        <w:t xml:space="preserve"> </w:t>
      </w:r>
      <w:r w:rsidRPr="0018402F">
        <w:t>support,</w:t>
      </w:r>
      <w:r w:rsidR="00EE6D35">
        <w:t xml:space="preserve"> </w:t>
      </w:r>
      <w:r w:rsidRPr="0018402F">
        <w:t>and</w:t>
      </w:r>
      <w:r w:rsidR="00EE6D35">
        <w:t xml:space="preserve"> </w:t>
      </w:r>
      <w:r w:rsidRPr="0018402F">
        <w:t>active</w:t>
      </w:r>
      <w:r w:rsidR="00EE6D35">
        <w:t xml:space="preserve"> </w:t>
      </w:r>
      <w:r w:rsidRPr="0018402F">
        <w:t>support</w:t>
      </w:r>
      <w:r w:rsidR="00EE6D35">
        <w:t xml:space="preserve"> </w:t>
      </w:r>
      <w:r w:rsidRPr="0018402F">
        <w:t>from</w:t>
      </w:r>
      <w:r w:rsidR="00EE6D35">
        <w:t xml:space="preserve"> </w:t>
      </w:r>
      <w:r w:rsidRPr="0018402F">
        <w:t>Better</w:t>
      </w:r>
      <w:r w:rsidR="00EE6D35">
        <w:t xml:space="preserve"> </w:t>
      </w:r>
      <w:r w:rsidRPr="0018402F">
        <w:t>Futures</w:t>
      </w:r>
      <w:r w:rsidR="00EE6D35">
        <w:t xml:space="preserve"> </w:t>
      </w:r>
      <w:r w:rsidRPr="0018402F">
        <w:t>funded</w:t>
      </w:r>
      <w:r w:rsidR="00EE6D35">
        <w:t xml:space="preserve"> </w:t>
      </w:r>
      <w:r w:rsidRPr="0018402F">
        <w:t>organisations.</w:t>
      </w:r>
      <w:r w:rsidR="00EE6D35">
        <w:t xml:space="preserve"> </w:t>
      </w:r>
    </w:p>
    <w:p w14:paraId="4EDF5DED" w14:textId="6A3A2BA4" w:rsidR="001B20B3" w:rsidRPr="0018402F" w:rsidRDefault="001B20B3" w:rsidP="001B20B3">
      <w:pPr>
        <w:pStyle w:val="DHHSbody"/>
      </w:pPr>
      <w:r w:rsidRPr="0018402F">
        <w:t>Organisations</w:t>
      </w:r>
      <w:r w:rsidR="00EE6D35">
        <w:t xml:space="preserve"> </w:t>
      </w:r>
      <w:r w:rsidRPr="0018402F">
        <w:t>must</w:t>
      </w:r>
      <w:r w:rsidR="00EE6D35">
        <w:t xml:space="preserve"> </w:t>
      </w:r>
      <w:r w:rsidRPr="0018402F">
        <w:t>report</w:t>
      </w:r>
      <w:r w:rsidR="00EE6D35">
        <w:t xml:space="preserve"> </w:t>
      </w:r>
      <w:r w:rsidRPr="0018402F">
        <w:t>on</w:t>
      </w:r>
      <w:r w:rsidR="00EE6D35">
        <w:t xml:space="preserve"> </w:t>
      </w:r>
      <w:r w:rsidRPr="0018402F">
        <w:t>the</w:t>
      </w:r>
      <w:r w:rsidR="00EE6D35">
        <w:t xml:space="preserve"> </w:t>
      </w:r>
    </w:p>
    <w:p w14:paraId="6A232297" w14:textId="6EAAC368" w:rsidR="001B20B3" w:rsidRPr="0018402F" w:rsidRDefault="001B20B3" w:rsidP="001B20B3">
      <w:pPr>
        <w:pStyle w:val="DHHSbody"/>
        <w:numPr>
          <w:ilvl w:val="0"/>
          <w:numId w:val="43"/>
        </w:numPr>
      </w:pPr>
      <w:r w:rsidRPr="0018402F">
        <w:t>total</w:t>
      </w:r>
      <w:r w:rsidR="00EE6D35">
        <w:t xml:space="preserve"> </w:t>
      </w:r>
      <w:r w:rsidRPr="0018402F">
        <w:t>number</w:t>
      </w:r>
      <w:r w:rsidR="00EE6D35">
        <w:t xml:space="preserve"> </w:t>
      </w:r>
      <w:r w:rsidRPr="0018402F">
        <w:t>of</w:t>
      </w:r>
      <w:r w:rsidR="00EE6D35">
        <w:t xml:space="preserve"> </w:t>
      </w:r>
      <w:r w:rsidRPr="0018402F">
        <w:t>hours</w:t>
      </w:r>
      <w:r w:rsidR="00EE6D35">
        <w:t xml:space="preserve"> </w:t>
      </w:r>
      <w:r w:rsidRPr="0018402F">
        <w:t>of</w:t>
      </w:r>
      <w:r w:rsidR="00EE6D35">
        <w:t xml:space="preserve"> </w:t>
      </w:r>
      <w:r w:rsidRPr="0018402F">
        <w:t>case</w:t>
      </w:r>
      <w:r w:rsidR="00EE6D35">
        <w:t xml:space="preserve"> </w:t>
      </w:r>
      <w:r w:rsidRPr="0018402F">
        <w:t>work</w:t>
      </w:r>
      <w:r w:rsidR="00EE6D35">
        <w:t xml:space="preserve"> </w:t>
      </w:r>
      <w:r w:rsidRPr="0018402F">
        <w:t>provided</w:t>
      </w:r>
      <w:r w:rsidR="00EE6D35">
        <w:t xml:space="preserve"> </w:t>
      </w:r>
      <w:r w:rsidRPr="0018402F">
        <w:t>(service</w:t>
      </w:r>
      <w:r w:rsidR="00EE6D35">
        <w:t xml:space="preserve"> </w:t>
      </w:r>
      <w:r w:rsidRPr="0018402F">
        <w:t>hours)</w:t>
      </w:r>
      <w:r w:rsidR="00EE6D35">
        <w:t xml:space="preserve"> </w:t>
      </w:r>
      <w:r w:rsidRPr="0018402F">
        <w:t>to</w:t>
      </w:r>
      <w:r w:rsidR="00EE6D35">
        <w:t xml:space="preserve"> </w:t>
      </w:r>
      <w:r w:rsidRPr="0018402F">
        <w:t>new</w:t>
      </w:r>
      <w:r w:rsidR="00EE6D35">
        <w:t xml:space="preserve"> </w:t>
      </w:r>
      <w:r w:rsidRPr="0018402F">
        <w:t>and</w:t>
      </w:r>
      <w:r w:rsidR="00EE6D35">
        <w:t xml:space="preserve"> </w:t>
      </w:r>
      <w:r w:rsidRPr="0018402F">
        <w:t>existing</w:t>
      </w:r>
      <w:r w:rsidR="00EE6D35">
        <w:t xml:space="preserve"> </w:t>
      </w:r>
      <w:r w:rsidRPr="0018402F">
        <w:t>clients.</w:t>
      </w:r>
      <w:r w:rsidR="00EE6D35">
        <w:t xml:space="preserve"> </w:t>
      </w:r>
    </w:p>
    <w:p w14:paraId="60F2DE5C" w14:textId="22CA0679" w:rsidR="001B20B3" w:rsidRPr="0018402F" w:rsidRDefault="001B20B3" w:rsidP="001B20B3">
      <w:pPr>
        <w:pStyle w:val="DHHSbody"/>
      </w:pPr>
      <w:r>
        <w:t>Case</w:t>
      </w:r>
      <w:r w:rsidR="00EE6D35">
        <w:t xml:space="preserve"> </w:t>
      </w:r>
      <w:r>
        <w:t>work</w:t>
      </w:r>
      <w:r w:rsidR="00EE6D35">
        <w:t xml:space="preserve"> </w:t>
      </w:r>
      <w:r>
        <w:t>support</w:t>
      </w:r>
      <w:r w:rsidR="00EE6D35">
        <w:t xml:space="preserve"> </w:t>
      </w:r>
      <w:r>
        <w:t>includes</w:t>
      </w:r>
      <w:r w:rsidR="00EE6D35">
        <w:t xml:space="preserve"> </w:t>
      </w:r>
      <w:r>
        <w:t>a</w:t>
      </w:r>
      <w:r w:rsidR="00EE6D35">
        <w:t xml:space="preserve"> </w:t>
      </w:r>
      <w:r>
        <w:t>range</w:t>
      </w:r>
      <w:r w:rsidR="00EE6D35">
        <w:t xml:space="preserve"> </w:t>
      </w:r>
      <w:r>
        <w:t>of</w:t>
      </w:r>
      <w:r w:rsidR="00EE6D35">
        <w:t xml:space="preserve"> </w:t>
      </w:r>
      <w:r>
        <w:t>service</w:t>
      </w:r>
      <w:r w:rsidR="00EE6D35">
        <w:t xml:space="preserve"> </w:t>
      </w:r>
      <w:r>
        <w:t>activities</w:t>
      </w:r>
      <w:r w:rsidR="00EE6D35">
        <w:t xml:space="preserve"> </w:t>
      </w:r>
      <w:r>
        <w:t>such</w:t>
      </w:r>
      <w:r w:rsidR="00EE6D35">
        <w:t xml:space="preserve"> </w:t>
      </w:r>
      <w:r>
        <w:t>as</w:t>
      </w:r>
      <w:r w:rsidR="00EE6D35">
        <w:t xml:space="preserve"> </w:t>
      </w:r>
      <w:r>
        <w:t>assessment,</w:t>
      </w:r>
      <w:r w:rsidR="00EE6D35">
        <w:t xml:space="preserve"> </w:t>
      </w:r>
      <w:r>
        <w:t>active</w:t>
      </w:r>
      <w:r w:rsidR="00EE6D35">
        <w:t xml:space="preserve"> </w:t>
      </w:r>
      <w:r>
        <w:t>engagement,</w:t>
      </w:r>
      <w:r w:rsidR="00EE6D35">
        <w:t xml:space="preserve"> </w:t>
      </w:r>
      <w:r>
        <w:t>planning</w:t>
      </w:r>
      <w:r w:rsidR="00EE6D35">
        <w:t xml:space="preserve"> </w:t>
      </w:r>
      <w:r>
        <w:t>and</w:t>
      </w:r>
      <w:r w:rsidR="00EE6D35">
        <w:t xml:space="preserve"> </w:t>
      </w:r>
      <w:r>
        <w:t>review.</w:t>
      </w:r>
      <w:r w:rsidR="00EE6D35">
        <w:t xml:space="preserve"> </w:t>
      </w:r>
      <w:r>
        <w:t>Service</w:t>
      </w:r>
      <w:r w:rsidR="00EE6D35">
        <w:t xml:space="preserve"> </w:t>
      </w:r>
      <w:r>
        <w:t>hours</w:t>
      </w:r>
      <w:r w:rsidR="00EE6D35">
        <w:t xml:space="preserve"> </w:t>
      </w:r>
      <w:r>
        <w:t>are</w:t>
      </w:r>
      <w:r w:rsidR="00EE6D35">
        <w:t xml:space="preserve"> </w:t>
      </w:r>
      <w:r>
        <w:t>defined</w:t>
      </w:r>
      <w:r w:rsidR="00EE6D35">
        <w:t xml:space="preserve"> </w:t>
      </w:r>
      <w:r>
        <w:t>as</w:t>
      </w:r>
      <w:r w:rsidR="00EE6D35">
        <w:t xml:space="preserve"> </w:t>
      </w:r>
      <w:r>
        <w:t>hours</w:t>
      </w:r>
      <w:r w:rsidR="00EE6D35">
        <w:t xml:space="preserve"> </w:t>
      </w:r>
      <w:r>
        <w:t>spent</w:t>
      </w:r>
      <w:r w:rsidR="00EE6D35">
        <w:t xml:space="preserve"> </w:t>
      </w:r>
      <w:r>
        <w:t>by</w:t>
      </w:r>
      <w:r w:rsidR="00EE6D35">
        <w:t xml:space="preserve"> </w:t>
      </w:r>
      <w:r>
        <w:t>the</w:t>
      </w:r>
      <w:r w:rsidR="00EE6D35">
        <w:t xml:space="preserve"> </w:t>
      </w:r>
      <w:r>
        <w:t>service</w:t>
      </w:r>
      <w:r w:rsidR="00EE6D35">
        <w:t xml:space="preserve"> </w:t>
      </w:r>
      <w:r>
        <w:t>provider’s</w:t>
      </w:r>
      <w:r w:rsidR="00EE6D35">
        <w:t xml:space="preserve"> </w:t>
      </w:r>
      <w:r>
        <w:t>staff</w:t>
      </w:r>
      <w:r w:rsidR="00EE6D35">
        <w:t xml:space="preserve"> </w:t>
      </w:r>
      <w:r>
        <w:t>providing</w:t>
      </w:r>
      <w:r w:rsidR="00EE6D35">
        <w:t xml:space="preserve"> </w:t>
      </w:r>
      <w:r>
        <w:t>Better</w:t>
      </w:r>
      <w:r w:rsidR="00EE6D35">
        <w:t xml:space="preserve"> </w:t>
      </w:r>
      <w:r>
        <w:t>Futures</w:t>
      </w:r>
      <w:r w:rsidR="00EE6D35">
        <w:t xml:space="preserve"> </w:t>
      </w:r>
      <w:r>
        <w:t>or</w:t>
      </w:r>
      <w:r w:rsidR="00EE6D35">
        <w:t xml:space="preserve"> </w:t>
      </w:r>
      <w:r>
        <w:t>Home</w:t>
      </w:r>
      <w:r w:rsidR="00EE6D35">
        <w:t xml:space="preserve"> </w:t>
      </w:r>
      <w:r>
        <w:t>Stretch</w:t>
      </w:r>
      <w:r w:rsidR="00EE6D35">
        <w:t xml:space="preserve"> </w:t>
      </w:r>
      <w:r>
        <w:t>case</w:t>
      </w:r>
      <w:r w:rsidR="00EE6D35">
        <w:t xml:space="preserve"> </w:t>
      </w:r>
      <w:r>
        <w:t>work</w:t>
      </w:r>
      <w:r w:rsidR="00EE6D35">
        <w:t xml:space="preserve"> </w:t>
      </w:r>
      <w:r>
        <w:t>support</w:t>
      </w:r>
      <w:r w:rsidR="00EE6D35">
        <w:t xml:space="preserve"> </w:t>
      </w:r>
      <w:r>
        <w:t>to</w:t>
      </w:r>
      <w:r w:rsidR="00EE6D35">
        <w:t xml:space="preserve"> </w:t>
      </w:r>
      <w:r>
        <w:t>young</w:t>
      </w:r>
      <w:r w:rsidR="00EE6D35">
        <w:t xml:space="preserve"> </w:t>
      </w:r>
      <w:r>
        <w:t>people.</w:t>
      </w:r>
      <w:r w:rsidR="00EE6D35">
        <w:t xml:space="preserve"> </w:t>
      </w:r>
      <w:r>
        <w:t>Service</w:t>
      </w:r>
      <w:r w:rsidR="00EE6D35">
        <w:t xml:space="preserve"> </w:t>
      </w:r>
      <w:r>
        <w:t>hours</w:t>
      </w:r>
      <w:r w:rsidR="00EE6D35">
        <w:t xml:space="preserve"> </w:t>
      </w:r>
      <w:r>
        <w:t>include</w:t>
      </w:r>
      <w:r w:rsidR="00EE6D35">
        <w:t xml:space="preserve"> </w:t>
      </w:r>
      <w:r>
        <w:t>time</w:t>
      </w:r>
      <w:r w:rsidR="00EE6D35">
        <w:t xml:space="preserve"> </w:t>
      </w:r>
      <w:r>
        <w:t>spent</w:t>
      </w:r>
      <w:r w:rsidR="00EE6D35">
        <w:t xml:space="preserve"> </w:t>
      </w:r>
      <w:r>
        <w:t>writing</w:t>
      </w:r>
      <w:r w:rsidR="00EE6D35">
        <w:t xml:space="preserve"> </w:t>
      </w:r>
      <w:r>
        <w:t>case</w:t>
      </w:r>
      <w:r w:rsidR="00EE6D35">
        <w:t xml:space="preserve"> </w:t>
      </w:r>
      <w:r>
        <w:t>notes</w:t>
      </w:r>
      <w:r w:rsidR="00EE6D35">
        <w:t xml:space="preserve"> </w:t>
      </w:r>
      <w:r>
        <w:t>and</w:t>
      </w:r>
      <w:r w:rsidR="00EE6D35">
        <w:t xml:space="preserve"> </w:t>
      </w:r>
      <w:r>
        <w:t>other</w:t>
      </w:r>
      <w:r w:rsidR="00EE6D35">
        <w:t xml:space="preserve"> </w:t>
      </w:r>
      <w:r>
        <w:t>activities</w:t>
      </w:r>
      <w:r w:rsidR="00EE6D35">
        <w:t xml:space="preserve"> </w:t>
      </w:r>
      <w:r>
        <w:t>directly</w:t>
      </w:r>
      <w:r w:rsidR="00EE6D35">
        <w:t xml:space="preserve"> </w:t>
      </w:r>
      <w:r>
        <w:t>relating</w:t>
      </w:r>
      <w:r w:rsidR="00EE6D35">
        <w:t xml:space="preserve"> </w:t>
      </w:r>
      <w:r>
        <w:t>to</w:t>
      </w:r>
      <w:r w:rsidR="00EE6D35">
        <w:t xml:space="preserve"> </w:t>
      </w:r>
      <w:r>
        <w:t>individual</w:t>
      </w:r>
      <w:r w:rsidR="00EE6D35">
        <w:t xml:space="preserve"> </w:t>
      </w:r>
      <w:r>
        <w:t>young</w:t>
      </w:r>
      <w:r w:rsidR="00EE6D35">
        <w:t xml:space="preserve"> </w:t>
      </w:r>
      <w:r>
        <w:t>people.</w:t>
      </w:r>
      <w:r w:rsidR="00EE6D35">
        <w:t xml:space="preserve"> </w:t>
      </w:r>
      <w:r>
        <w:t>A</w:t>
      </w:r>
      <w:r w:rsidR="00EE6D35">
        <w:t xml:space="preserve"> </w:t>
      </w:r>
      <w:r>
        <w:t>guideline</w:t>
      </w:r>
      <w:r w:rsidR="00EE6D35">
        <w:t xml:space="preserve"> </w:t>
      </w:r>
      <w:r>
        <w:t>for</w:t>
      </w:r>
      <w:r w:rsidR="00EE6D35">
        <w:t xml:space="preserve"> </w:t>
      </w:r>
      <w:r>
        <w:t>calculating</w:t>
      </w:r>
      <w:r w:rsidR="00EE6D35">
        <w:t xml:space="preserve"> </w:t>
      </w:r>
      <w:r>
        <w:t>service</w:t>
      </w:r>
      <w:r w:rsidR="00EE6D35">
        <w:t xml:space="preserve"> </w:t>
      </w:r>
      <w:r>
        <w:t>hours</w:t>
      </w:r>
      <w:r w:rsidR="00EE6D35">
        <w:t xml:space="preserve"> </w:t>
      </w:r>
      <w:r>
        <w:t>is</w:t>
      </w:r>
      <w:r w:rsidR="00EE6D35">
        <w:t xml:space="preserve"> </w:t>
      </w:r>
      <w:r>
        <w:t>provided</w:t>
      </w:r>
      <w:r w:rsidR="00EE6D35">
        <w:t xml:space="preserve"> </w:t>
      </w:r>
      <w:r w:rsidR="001675AF">
        <w:t>below</w:t>
      </w:r>
      <w:r>
        <w:t>.</w:t>
      </w:r>
      <w:r w:rsidR="00EE6D35">
        <w:t xml:space="preserve"> </w:t>
      </w:r>
      <w:r>
        <w:t>The</w:t>
      </w:r>
      <w:r w:rsidR="00EE6D35">
        <w:t xml:space="preserve"> </w:t>
      </w:r>
      <w:r>
        <w:t>total</w:t>
      </w:r>
      <w:r w:rsidR="00EE6D35">
        <w:t xml:space="preserve"> </w:t>
      </w:r>
      <w:r>
        <w:t>number</w:t>
      </w:r>
      <w:r w:rsidR="00EE6D35">
        <w:t xml:space="preserve"> </w:t>
      </w:r>
      <w:r>
        <w:t>of</w:t>
      </w:r>
      <w:r w:rsidR="00EE6D35">
        <w:t xml:space="preserve"> </w:t>
      </w:r>
      <w:r>
        <w:t>service</w:t>
      </w:r>
      <w:r w:rsidR="00EE6D35">
        <w:t xml:space="preserve"> </w:t>
      </w:r>
      <w:r>
        <w:t>hours</w:t>
      </w:r>
      <w:r w:rsidR="00EE6D35">
        <w:t xml:space="preserve"> </w:t>
      </w:r>
      <w:r>
        <w:t>is</w:t>
      </w:r>
      <w:r w:rsidR="00EE6D35">
        <w:t xml:space="preserve"> </w:t>
      </w:r>
      <w:r>
        <w:t>recorded</w:t>
      </w:r>
      <w:r w:rsidR="00EE6D35">
        <w:t xml:space="preserve"> </w:t>
      </w:r>
      <w:r>
        <w:t>on</w:t>
      </w:r>
      <w:r w:rsidR="00EE6D35">
        <w:t xml:space="preserve"> </w:t>
      </w:r>
      <w:r>
        <w:t>CRISSP,</w:t>
      </w:r>
      <w:r w:rsidR="00EE6D35">
        <w:t xml:space="preserve"> </w:t>
      </w:r>
      <w:r>
        <w:t>generated</w:t>
      </w:r>
      <w:r w:rsidR="00EE6D35">
        <w:t xml:space="preserve"> </w:t>
      </w:r>
      <w:r>
        <w:t>into</w:t>
      </w:r>
      <w:r w:rsidR="00EE6D35">
        <w:t xml:space="preserve"> </w:t>
      </w:r>
      <w:r>
        <w:t>the</w:t>
      </w:r>
      <w:r w:rsidR="00EE6D35">
        <w:t xml:space="preserve"> </w:t>
      </w:r>
      <w:r>
        <w:t>monthly</w:t>
      </w:r>
      <w:r w:rsidR="00EE6D35">
        <w:t xml:space="preserve"> </w:t>
      </w:r>
      <w:r>
        <w:t>CRISSP</w:t>
      </w:r>
      <w:r w:rsidR="00EE6D35">
        <w:t xml:space="preserve"> </w:t>
      </w:r>
      <w:r>
        <w:t>report,</w:t>
      </w:r>
      <w:r w:rsidR="00EE6D35">
        <w:t xml:space="preserve"> </w:t>
      </w:r>
      <w:r>
        <w:t>and</w:t>
      </w:r>
      <w:r w:rsidR="00EE6D35">
        <w:t xml:space="preserve"> </w:t>
      </w:r>
      <w:r>
        <w:t>entered</w:t>
      </w:r>
      <w:r w:rsidR="00EE6D35">
        <w:t xml:space="preserve"> </w:t>
      </w:r>
      <w:r>
        <w:t>into</w:t>
      </w:r>
      <w:r w:rsidR="00EE6D35">
        <w:t xml:space="preserve"> </w:t>
      </w:r>
      <w:r>
        <w:t>SDT.</w:t>
      </w:r>
      <w:r w:rsidR="00EE6D35">
        <w:t xml:space="preserve"> </w:t>
      </w:r>
    </w:p>
    <w:p w14:paraId="604951A7" w14:textId="35BC652C" w:rsidR="001B20B3" w:rsidRPr="0018402F" w:rsidRDefault="001B20B3" w:rsidP="001B20B3">
      <w:pPr>
        <w:pStyle w:val="DHHSbody"/>
      </w:pPr>
      <w:r w:rsidRPr="0018402F">
        <w:t>Better</w:t>
      </w:r>
      <w:r w:rsidR="00EE6D35">
        <w:t xml:space="preserve"> </w:t>
      </w:r>
      <w:r w:rsidRPr="0018402F">
        <w:t>Futures</w:t>
      </w:r>
      <w:r w:rsidR="00EE6D35">
        <w:t xml:space="preserve"> </w:t>
      </w:r>
      <w:r w:rsidRPr="0018402F">
        <w:t>providers</w:t>
      </w:r>
      <w:r w:rsidR="00EE6D35">
        <w:t xml:space="preserve"> </w:t>
      </w:r>
      <w:r w:rsidRPr="0018402F">
        <w:t>undertaking</w:t>
      </w:r>
      <w:r w:rsidR="00EE6D35">
        <w:t xml:space="preserve"> </w:t>
      </w:r>
      <w:r w:rsidRPr="0018402F">
        <w:t>triage</w:t>
      </w:r>
      <w:r w:rsidR="00EE6D35">
        <w:t xml:space="preserve"> </w:t>
      </w:r>
      <w:r w:rsidRPr="0018402F">
        <w:t>functions,</w:t>
      </w:r>
      <w:r w:rsidR="00EE6D35">
        <w:t xml:space="preserve"> </w:t>
      </w:r>
      <w:r w:rsidRPr="0018402F">
        <w:t>and</w:t>
      </w:r>
      <w:r w:rsidR="00EE6D35">
        <w:t xml:space="preserve"> </w:t>
      </w:r>
      <w:r w:rsidRPr="0018402F">
        <w:t>considering</w:t>
      </w:r>
      <w:r w:rsidR="00EE6D35">
        <w:t xml:space="preserve"> </w:t>
      </w:r>
      <w:r w:rsidRPr="0018402F">
        <w:t>referrals</w:t>
      </w:r>
      <w:r w:rsidR="00EE6D35">
        <w:t xml:space="preserve"> </w:t>
      </w:r>
      <w:r w:rsidRPr="0018402F">
        <w:t>at</w:t>
      </w:r>
      <w:r w:rsidR="00EE6D35">
        <w:t xml:space="preserve"> </w:t>
      </w:r>
      <w:r w:rsidRPr="0018402F">
        <w:t>leaving</w:t>
      </w:r>
      <w:r w:rsidR="00EE6D35">
        <w:t xml:space="preserve"> </w:t>
      </w:r>
      <w:r w:rsidRPr="0018402F">
        <w:t>care</w:t>
      </w:r>
      <w:r w:rsidR="00EE6D35">
        <w:t xml:space="preserve"> </w:t>
      </w:r>
      <w:r w:rsidRPr="0018402F">
        <w:t>panel</w:t>
      </w:r>
      <w:r w:rsidR="00EE6D35">
        <w:t xml:space="preserve"> </w:t>
      </w:r>
      <w:r w:rsidRPr="0018402F">
        <w:t>meetings,</w:t>
      </w:r>
      <w:r w:rsidR="00EE6D35">
        <w:t xml:space="preserve"> </w:t>
      </w:r>
      <w:r w:rsidRPr="0018402F">
        <w:t>are</w:t>
      </w:r>
      <w:r w:rsidR="00EE6D35">
        <w:t xml:space="preserve"> </w:t>
      </w:r>
      <w:r w:rsidRPr="0018402F">
        <w:t>to</w:t>
      </w:r>
      <w:r w:rsidR="00EE6D35">
        <w:t xml:space="preserve"> </w:t>
      </w:r>
      <w:r w:rsidRPr="0018402F">
        <w:t>report</w:t>
      </w:r>
      <w:r w:rsidR="00EE6D35">
        <w:t xml:space="preserve"> </w:t>
      </w:r>
      <w:r w:rsidRPr="0018402F">
        <w:t>the</w:t>
      </w:r>
      <w:r w:rsidR="00EE6D35">
        <w:t xml:space="preserve"> </w:t>
      </w:r>
      <w:r w:rsidRPr="0018402F">
        <w:t>number</w:t>
      </w:r>
      <w:r w:rsidR="00EE6D35">
        <w:t xml:space="preserve"> </w:t>
      </w:r>
      <w:r w:rsidRPr="0018402F">
        <w:t>of</w:t>
      </w:r>
      <w:r w:rsidR="00EE6D35">
        <w:t xml:space="preserve"> </w:t>
      </w:r>
      <w:r w:rsidRPr="0018402F">
        <w:t>hours</w:t>
      </w:r>
      <w:r w:rsidR="00EE6D35">
        <w:t xml:space="preserve"> </w:t>
      </w:r>
      <w:r w:rsidRPr="0018402F">
        <w:t>of</w:t>
      </w:r>
      <w:r w:rsidR="00EE6D35">
        <w:t xml:space="preserve"> </w:t>
      </w:r>
      <w:r w:rsidRPr="0018402F">
        <w:t>service</w:t>
      </w:r>
      <w:r w:rsidR="00EE6D35">
        <w:t xml:space="preserve"> </w:t>
      </w:r>
      <w:r w:rsidRPr="0018402F">
        <w:t>via</w:t>
      </w:r>
      <w:r w:rsidR="00EE6D35">
        <w:t xml:space="preserve"> </w:t>
      </w:r>
      <w:r w:rsidRPr="0018402F">
        <w:t>this</w:t>
      </w:r>
      <w:r w:rsidR="00EE6D35">
        <w:t xml:space="preserve"> </w:t>
      </w:r>
      <w:r w:rsidRPr="0018402F">
        <w:t>activity</w:t>
      </w:r>
      <w:r w:rsidR="00EE6D35">
        <w:t xml:space="preserve"> </w:t>
      </w:r>
      <w:r w:rsidRPr="0018402F">
        <w:t>description.</w:t>
      </w:r>
      <w:r w:rsidR="00EE6D35">
        <w:t xml:space="preserve"> </w:t>
      </w:r>
      <w:r w:rsidRPr="0018402F">
        <w:t>Better</w:t>
      </w:r>
      <w:r w:rsidR="00EE6D35">
        <w:t xml:space="preserve"> </w:t>
      </w:r>
      <w:r w:rsidRPr="0018402F">
        <w:t>Futures</w:t>
      </w:r>
      <w:r w:rsidR="00EE6D35">
        <w:t xml:space="preserve"> </w:t>
      </w:r>
      <w:r w:rsidRPr="0018402F">
        <w:t>triage</w:t>
      </w:r>
      <w:r w:rsidR="00EE6D35">
        <w:t xml:space="preserve"> </w:t>
      </w:r>
      <w:r w:rsidRPr="0018402F">
        <w:t>agencies</w:t>
      </w:r>
      <w:r w:rsidR="00EE6D35">
        <w:t xml:space="preserve"> </w:t>
      </w:r>
      <w:r w:rsidRPr="0018402F">
        <w:t>or</w:t>
      </w:r>
      <w:r w:rsidR="00EE6D35">
        <w:t xml:space="preserve"> </w:t>
      </w:r>
      <w:r w:rsidRPr="0018402F">
        <w:t>lead</w:t>
      </w:r>
      <w:r w:rsidR="00EE6D35">
        <w:t xml:space="preserve"> </w:t>
      </w:r>
      <w:r w:rsidRPr="0018402F">
        <w:t>consortium</w:t>
      </w:r>
      <w:r w:rsidR="00EE6D35">
        <w:t xml:space="preserve"> </w:t>
      </w:r>
      <w:r w:rsidRPr="0018402F">
        <w:t>agencies</w:t>
      </w:r>
      <w:r w:rsidR="00EE6D35">
        <w:t xml:space="preserve"> </w:t>
      </w:r>
      <w:r w:rsidRPr="0018402F">
        <w:t>are</w:t>
      </w:r>
      <w:r w:rsidR="00EE6D35">
        <w:t xml:space="preserve"> </w:t>
      </w:r>
      <w:r w:rsidRPr="0018402F">
        <w:t>currently</w:t>
      </w:r>
      <w:r w:rsidR="00EE6D35">
        <w:t xml:space="preserve"> </w:t>
      </w:r>
      <w:r w:rsidRPr="0018402F">
        <w:t>unable</w:t>
      </w:r>
      <w:r w:rsidR="00EE6D35">
        <w:t xml:space="preserve"> </w:t>
      </w:r>
      <w:r w:rsidRPr="0018402F">
        <w:t>to</w:t>
      </w:r>
      <w:r w:rsidR="00EE6D35">
        <w:t xml:space="preserve"> </w:t>
      </w:r>
      <w:r w:rsidRPr="0018402F">
        <w:t>capture</w:t>
      </w:r>
      <w:r w:rsidR="00EE6D35">
        <w:t xml:space="preserve"> </w:t>
      </w:r>
      <w:r w:rsidRPr="0018402F">
        <w:t>intake</w:t>
      </w:r>
      <w:r w:rsidR="00EE6D35">
        <w:t xml:space="preserve"> </w:t>
      </w:r>
      <w:r w:rsidRPr="0018402F">
        <w:t>related</w:t>
      </w:r>
      <w:r w:rsidR="00EE6D35">
        <w:t xml:space="preserve"> </w:t>
      </w:r>
      <w:r w:rsidRPr="0018402F">
        <w:t>activities</w:t>
      </w:r>
      <w:r w:rsidR="00EE6D35">
        <w:t xml:space="preserve"> </w:t>
      </w:r>
      <w:r w:rsidRPr="0018402F">
        <w:t>in</w:t>
      </w:r>
      <w:r w:rsidR="00EE6D35">
        <w:t xml:space="preserve"> </w:t>
      </w:r>
      <w:r w:rsidRPr="0018402F">
        <w:t>CRISSP</w:t>
      </w:r>
      <w:r w:rsidR="00EE6D35">
        <w:t xml:space="preserve"> </w:t>
      </w:r>
      <w:r w:rsidRPr="0018402F">
        <w:t>as</w:t>
      </w:r>
      <w:r w:rsidR="00EE6D35">
        <w:t xml:space="preserve"> </w:t>
      </w:r>
      <w:r w:rsidRPr="0018402F">
        <w:t>cases</w:t>
      </w:r>
      <w:r w:rsidR="00EE6D35">
        <w:t xml:space="preserve"> </w:t>
      </w:r>
      <w:r>
        <w:t>are</w:t>
      </w:r>
      <w:r w:rsidR="00EE6D35">
        <w:t xml:space="preserve"> </w:t>
      </w:r>
      <w:r w:rsidRPr="0018402F">
        <w:t>referred</w:t>
      </w:r>
      <w:r w:rsidR="00EE6D35">
        <w:t xml:space="preserve"> </w:t>
      </w:r>
      <w:r w:rsidRPr="0018402F">
        <w:t>on</w:t>
      </w:r>
      <w:r w:rsidR="00EE6D35">
        <w:t xml:space="preserve"> </w:t>
      </w:r>
      <w:r w:rsidRPr="0018402F">
        <w:t>to</w:t>
      </w:r>
      <w:r w:rsidR="00EE6D35">
        <w:t xml:space="preserve"> </w:t>
      </w:r>
      <w:r w:rsidRPr="0018402F">
        <w:t>other</w:t>
      </w:r>
      <w:r w:rsidR="00EE6D35">
        <w:t xml:space="preserve"> </w:t>
      </w:r>
      <w:r w:rsidRPr="0018402F">
        <w:t>funded</w:t>
      </w:r>
      <w:r w:rsidR="00EE6D35">
        <w:t xml:space="preserve"> </w:t>
      </w:r>
      <w:r w:rsidRPr="0018402F">
        <w:t>providers.</w:t>
      </w:r>
      <w:r w:rsidR="00410C81">
        <w:t xml:space="preserve"> </w:t>
      </w:r>
      <w:r w:rsidRPr="0018402F">
        <w:t>Impacted</w:t>
      </w:r>
      <w:r w:rsidR="00EE6D35">
        <w:t xml:space="preserve"> </w:t>
      </w:r>
      <w:r w:rsidRPr="0018402F">
        <w:t>organisations</w:t>
      </w:r>
      <w:r w:rsidR="00EE6D35">
        <w:t xml:space="preserve"> </w:t>
      </w:r>
      <w:r w:rsidRPr="0018402F">
        <w:t>should</w:t>
      </w:r>
      <w:r w:rsidR="00EE6D35">
        <w:t xml:space="preserve"> </w:t>
      </w:r>
      <w:r w:rsidRPr="0018402F">
        <w:t>use</w:t>
      </w:r>
      <w:r w:rsidR="00EE6D35">
        <w:t xml:space="preserve"> </w:t>
      </w:r>
      <w:r w:rsidRPr="0018402F">
        <w:t>the</w:t>
      </w:r>
      <w:r w:rsidR="00EE6D35">
        <w:t xml:space="preserve"> </w:t>
      </w:r>
      <w:r w:rsidRPr="0018402F">
        <w:t>CRISSP</w:t>
      </w:r>
      <w:r w:rsidR="00EE6D35">
        <w:t xml:space="preserve"> </w:t>
      </w:r>
      <w:r w:rsidRPr="0018402F">
        <w:t>running</w:t>
      </w:r>
      <w:r w:rsidR="00EE6D35">
        <w:t xml:space="preserve"> </w:t>
      </w:r>
      <w:r w:rsidRPr="0018402F">
        <w:t>sheet</w:t>
      </w:r>
      <w:r w:rsidR="00EE6D35">
        <w:t xml:space="preserve"> </w:t>
      </w:r>
      <w:r w:rsidRPr="0018402F">
        <w:t>function</w:t>
      </w:r>
      <w:r w:rsidR="00EE6D35">
        <w:t xml:space="preserve"> </w:t>
      </w:r>
      <w:r w:rsidRPr="0018402F">
        <w:t>to</w:t>
      </w:r>
      <w:r w:rsidR="00EE6D35">
        <w:t xml:space="preserve"> </w:t>
      </w:r>
      <w:r w:rsidRPr="0018402F">
        <w:t>record</w:t>
      </w:r>
      <w:r w:rsidR="00EE6D35">
        <w:t xml:space="preserve"> </w:t>
      </w:r>
      <w:r w:rsidRPr="0018402F">
        <w:t>service</w:t>
      </w:r>
      <w:r w:rsidR="00EE6D35">
        <w:t xml:space="preserve"> </w:t>
      </w:r>
      <w:r w:rsidRPr="0018402F">
        <w:t>activities</w:t>
      </w:r>
      <w:r w:rsidR="00EE6D35">
        <w:t xml:space="preserve"> </w:t>
      </w:r>
      <w:r w:rsidRPr="0018402F">
        <w:t>and</w:t>
      </w:r>
      <w:r w:rsidR="00EE6D35">
        <w:t xml:space="preserve"> </w:t>
      </w:r>
      <w:r w:rsidRPr="0018402F">
        <w:t>hours</w:t>
      </w:r>
      <w:r w:rsidR="00EE6D35">
        <w:t xml:space="preserve"> </w:t>
      </w:r>
      <w:r w:rsidRPr="0018402F">
        <w:t>delivered.</w:t>
      </w:r>
      <w:r w:rsidR="00EE6D35">
        <w:t xml:space="preserve"> </w:t>
      </w:r>
    </w:p>
    <w:p w14:paraId="77CE5286" w14:textId="61A2CD8B" w:rsidR="001B20B3" w:rsidRPr="0018402F" w:rsidRDefault="001B20B3" w:rsidP="001B20B3">
      <w:pPr>
        <w:pStyle w:val="DHHSbody"/>
      </w:pPr>
      <w:r w:rsidRPr="0018402F">
        <w:t>An</w:t>
      </w:r>
      <w:r w:rsidR="00EE6D35">
        <w:t xml:space="preserve"> </w:t>
      </w:r>
      <w:r w:rsidRPr="0018402F">
        <w:t>extract</w:t>
      </w:r>
      <w:r w:rsidR="00EE6D35">
        <w:t xml:space="preserve"> </w:t>
      </w:r>
      <w:r w:rsidRPr="0018402F">
        <w:t>of</w:t>
      </w:r>
      <w:r w:rsidR="00EE6D35">
        <w:t xml:space="preserve"> </w:t>
      </w:r>
      <w:r w:rsidRPr="0018402F">
        <w:t>the</w:t>
      </w:r>
      <w:r w:rsidR="00EE6D35">
        <w:t xml:space="preserve"> </w:t>
      </w:r>
      <w:r w:rsidRPr="0018402F">
        <w:t>running</w:t>
      </w:r>
      <w:r w:rsidR="00EE6D35">
        <w:t xml:space="preserve"> </w:t>
      </w:r>
      <w:r w:rsidRPr="0018402F">
        <w:t>sheet</w:t>
      </w:r>
      <w:r w:rsidR="00EE6D35">
        <w:t xml:space="preserve"> </w:t>
      </w:r>
      <w:r w:rsidRPr="0018402F">
        <w:t>should</w:t>
      </w:r>
      <w:r w:rsidR="00EE6D35">
        <w:t xml:space="preserve"> </w:t>
      </w:r>
      <w:r w:rsidRPr="0018402F">
        <w:t>be</w:t>
      </w:r>
      <w:r w:rsidR="00EE6D35">
        <w:t xml:space="preserve"> </w:t>
      </w:r>
      <w:r w:rsidRPr="0018402F">
        <w:t>used</w:t>
      </w:r>
      <w:r w:rsidR="00EE6D35">
        <w:t xml:space="preserve"> </w:t>
      </w:r>
      <w:r w:rsidRPr="0018402F">
        <w:t>to</w:t>
      </w:r>
      <w:r w:rsidR="00EE6D35">
        <w:t xml:space="preserve"> </w:t>
      </w:r>
      <w:r w:rsidRPr="0018402F">
        <w:t>supplement</w:t>
      </w:r>
      <w:r w:rsidR="00EE6D35">
        <w:t xml:space="preserve"> </w:t>
      </w:r>
      <w:r w:rsidRPr="0018402F">
        <w:t>the</w:t>
      </w:r>
      <w:r w:rsidR="00EE6D35">
        <w:t xml:space="preserve"> </w:t>
      </w:r>
      <w:r w:rsidRPr="0018402F">
        <w:t>Better</w:t>
      </w:r>
      <w:r w:rsidR="00EE6D35">
        <w:t xml:space="preserve"> </w:t>
      </w:r>
      <w:r w:rsidRPr="0018402F">
        <w:t>Futures</w:t>
      </w:r>
      <w:r w:rsidR="00EE6D35">
        <w:t xml:space="preserve"> </w:t>
      </w:r>
      <w:r w:rsidRPr="0018402F">
        <w:t>monthly</w:t>
      </w:r>
      <w:r w:rsidR="00EE6D35">
        <w:t xml:space="preserve"> </w:t>
      </w:r>
      <w:r w:rsidRPr="0018402F">
        <w:t>report</w:t>
      </w:r>
      <w:r w:rsidR="00EE6D35">
        <w:t xml:space="preserve"> </w:t>
      </w:r>
      <w:r w:rsidRPr="0018402F">
        <w:t>–</w:t>
      </w:r>
      <w:r w:rsidR="00EE6D35">
        <w:t xml:space="preserve"> </w:t>
      </w:r>
      <w:r w:rsidRPr="0018402F">
        <w:t>producing</w:t>
      </w:r>
      <w:r w:rsidR="00EE6D35">
        <w:t xml:space="preserve"> </w:t>
      </w:r>
      <w:r w:rsidRPr="0018402F">
        <w:t>the</w:t>
      </w:r>
      <w:r w:rsidR="00EE6D35">
        <w:t xml:space="preserve"> </w:t>
      </w:r>
      <w:r w:rsidRPr="0018402F">
        <w:t>record</w:t>
      </w:r>
      <w:r w:rsidR="00EE6D35">
        <w:t xml:space="preserve"> </w:t>
      </w:r>
      <w:r w:rsidRPr="0018402F">
        <w:t>of</w:t>
      </w:r>
      <w:r w:rsidR="00EE6D35">
        <w:t xml:space="preserve"> </w:t>
      </w:r>
      <w:r w:rsidRPr="0018402F">
        <w:t>service</w:t>
      </w:r>
      <w:r w:rsidR="00EE6D35">
        <w:t xml:space="preserve"> </w:t>
      </w:r>
      <w:r w:rsidRPr="0018402F">
        <w:t>activities</w:t>
      </w:r>
      <w:r w:rsidR="00EE6D35">
        <w:t xml:space="preserve"> </w:t>
      </w:r>
      <w:r w:rsidRPr="0018402F">
        <w:t>delivered</w:t>
      </w:r>
      <w:r w:rsidR="00EE6D35">
        <w:t xml:space="preserve"> </w:t>
      </w:r>
      <w:r w:rsidRPr="0018402F">
        <w:t>by</w:t>
      </w:r>
      <w:r w:rsidR="00EE6D35">
        <w:t xml:space="preserve"> </w:t>
      </w:r>
      <w:r w:rsidRPr="0018402F">
        <w:t>the</w:t>
      </w:r>
      <w:r w:rsidR="00EE6D35">
        <w:t xml:space="preserve"> </w:t>
      </w:r>
      <w:r w:rsidRPr="0018402F">
        <w:t>triage</w:t>
      </w:r>
      <w:r w:rsidR="00EE6D35">
        <w:t xml:space="preserve"> </w:t>
      </w:r>
      <w:r w:rsidRPr="0018402F">
        <w:t>agency</w:t>
      </w:r>
      <w:r w:rsidR="00EE6D35">
        <w:t xml:space="preserve"> </w:t>
      </w:r>
      <w:r w:rsidRPr="0018402F">
        <w:t>or</w:t>
      </w:r>
      <w:r w:rsidR="00EE6D35">
        <w:t xml:space="preserve"> </w:t>
      </w:r>
      <w:r w:rsidRPr="0018402F">
        <w:t>lead</w:t>
      </w:r>
      <w:r w:rsidR="00EE6D35">
        <w:t xml:space="preserve"> </w:t>
      </w:r>
      <w:r w:rsidRPr="0018402F">
        <w:t>consortium</w:t>
      </w:r>
      <w:r w:rsidR="00EE6D35">
        <w:t xml:space="preserve"> </w:t>
      </w:r>
      <w:r w:rsidRPr="0018402F">
        <w:t>agency</w:t>
      </w:r>
      <w:r w:rsidR="00EE6D35">
        <w:t xml:space="preserve"> </w:t>
      </w:r>
      <w:r w:rsidRPr="0018402F">
        <w:t>in</w:t>
      </w:r>
      <w:r w:rsidR="00EE6D35">
        <w:t xml:space="preserve"> </w:t>
      </w:r>
      <w:r w:rsidRPr="0018402F">
        <w:t>the</w:t>
      </w:r>
      <w:r w:rsidR="00EE6D35">
        <w:t xml:space="preserve"> </w:t>
      </w:r>
      <w:r w:rsidRPr="0018402F">
        <w:t>reporting</w:t>
      </w:r>
      <w:r w:rsidR="00EE6D35">
        <w:t xml:space="preserve"> </w:t>
      </w:r>
      <w:r w:rsidRPr="0018402F">
        <w:t>period.</w:t>
      </w:r>
      <w:r w:rsidR="00EE6D35">
        <w:t xml:space="preserve"> </w:t>
      </w:r>
    </w:p>
    <w:p w14:paraId="4140DD3C" w14:textId="6B652D5E" w:rsidR="001B20B3" w:rsidRDefault="001B20B3" w:rsidP="001B20B3">
      <w:pPr>
        <w:pStyle w:val="DHHSbody"/>
      </w:pPr>
      <w:r w:rsidRPr="0018402F">
        <w:t>Counting</w:t>
      </w:r>
      <w:r w:rsidR="00EE6D35">
        <w:t xml:space="preserve"> </w:t>
      </w:r>
      <w:r w:rsidRPr="0018402F">
        <w:t>the</w:t>
      </w:r>
      <w:r w:rsidR="00EE6D35">
        <w:t xml:space="preserve"> </w:t>
      </w:r>
      <w:r w:rsidRPr="0018402F">
        <w:t>total</w:t>
      </w:r>
      <w:r w:rsidR="00EE6D35">
        <w:t xml:space="preserve"> </w:t>
      </w:r>
      <w:r w:rsidRPr="0018402F">
        <w:t>number</w:t>
      </w:r>
      <w:r w:rsidR="00EE6D35">
        <w:t xml:space="preserve"> </w:t>
      </w:r>
      <w:r w:rsidRPr="0018402F">
        <w:t>of</w:t>
      </w:r>
      <w:r w:rsidR="00EE6D35">
        <w:t xml:space="preserve"> </w:t>
      </w:r>
      <w:r w:rsidRPr="0018402F">
        <w:t>hours</w:t>
      </w:r>
      <w:r w:rsidR="00EE6D35">
        <w:t xml:space="preserve"> </w:t>
      </w:r>
      <w:r w:rsidRPr="0018402F">
        <w:t>provided</w:t>
      </w:r>
      <w:r w:rsidR="00EE6D35">
        <w:t xml:space="preserve"> </w:t>
      </w:r>
      <w:r w:rsidRPr="0018402F">
        <w:t>per</w:t>
      </w:r>
      <w:r w:rsidR="00EE6D35">
        <w:t xml:space="preserve"> </w:t>
      </w:r>
      <w:r w:rsidRPr="0018402F">
        <w:t>young</w:t>
      </w:r>
      <w:r w:rsidR="00EE6D35">
        <w:t xml:space="preserve"> </w:t>
      </w:r>
      <w:r w:rsidRPr="0018402F">
        <w:t>person</w:t>
      </w:r>
      <w:r w:rsidR="00EE6D35">
        <w:t xml:space="preserve"> </w:t>
      </w:r>
      <w:r w:rsidRPr="0018402F">
        <w:t>(via</w:t>
      </w:r>
      <w:r w:rsidR="00EE6D35">
        <w:t xml:space="preserve"> </w:t>
      </w:r>
      <w:r w:rsidRPr="0018402F">
        <w:t>a</w:t>
      </w:r>
      <w:r w:rsidR="00EE6D35">
        <w:t xml:space="preserve"> </w:t>
      </w:r>
      <w:r w:rsidRPr="0018402F">
        <w:t>Better</w:t>
      </w:r>
      <w:r w:rsidR="00EE6D35">
        <w:t xml:space="preserve"> </w:t>
      </w:r>
      <w:r w:rsidRPr="0018402F">
        <w:t>Futures</w:t>
      </w:r>
      <w:r w:rsidR="00EE6D35">
        <w:t xml:space="preserve"> </w:t>
      </w:r>
      <w:r w:rsidRPr="0018402F">
        <w:t>or</w:t>
      </w:r>
      <w:r w:rsidR="00EE6D35">
        <w:t xml:space="preserve"> </w:t>
      </w:r>
      <w:r w:rsidRPr="0018402F">
        <w:t>Home</w:t>
      </w:r>
      <w:r w:rsidR="00EE6D35">
        <w:t xml:space="preserve"> </w:t>
      </w:r>
      <w:r w:rsidRPr="0018402F">
        <w:t>Stretch</w:t>
      </w:r>
      <w:r w:rsidR="00EE6D35">
        <w:t xml:space="preserve"> </w:t>
      </w:r>
      <w:r w:rsidRPr="0018402F">
        <w:t>response)</w:t>
      </w:r>
      <w:r w:rsidR="00EE6D35">
        <w:t xml:space="preserve"> </w:t>
      </w:r>
      <w:r w:rsidRPr="0018402F">
        <w:t>each</w:t>
      </w:r>
      <w:r w:rsidR="00EE6D35">
        <w:t xml:space="preserve"> </w:t>
      </w:r>
      <w:r w:rsidRPr="0018402F">
        <w:t>month</w:t>
      </w:r>
      <w:r w:rsidR="00EE6D35">
        <w:t xml:space="preserve"> </w:t>
      </w:r>
      <w:r w:rsidRPr="0018402F">
        <w:t>should</w:t>
      </w:r>
      <w:r w:rsidR="00EE6D35">
        <w:t xml:space="preserve"> </w:t>
      </w:r>
      <w:r w:rsidRPr="0018402F">
        <w:t>be</w:t>
      </w:r>
      <w:r w:rsidR="00EE6D35">
        <w:t xml:space="preserve"> </w:t>
      </w:r>
      <w:r w:rsidRPr="0018402F">
        <w:t>used</w:t>
      </w:r>
      <w:r w:rsidR="00EE6D35">
        <w:t xml:space="preserve"> </w:t>
      </w:r>
      <w:r w:rsidRPr="0018402F">
        <w:t>to</w:t>
      </w:r>
      <w:r w:rsidR="00EE6D35">
        <w:t xml:space="preserve"> </w:t>
      </w:r>
      <w:r w:rsidRPr="0018402F">
        <w:t>correlate</w:t>
      </w:r>
      <w:r w:rsidR="00EE6D35">
        <w:t xml:space="preserve"> </w:t>
      </w:r>
      <w:r w:rsidRPr="0018402F">
        <w:t>a</w:t>
      </w:r>
      <w:r w:rsidR="00EE6D35">
        <w:t xml:space="preserve"> </w:t>
      </w:r>
      <w:r w:rsidRPr="0018402F">
        <w:t>level</w:t>
      </w:r>
      <w:r w:rsidR="00EE6D35">
        <w:t xml:space="preserve"> </w:t>
      </w:r>
      <w:r w:rsidRPr="0018402F">
        <w:t>of</w:t>
      </w:r>
      <w:r w:rsidR="00EE6D35">
        <w:t xml:space="preserve"> </w:t>
      </w:r>
      <w:r w:rsidRPr="0018402F">
        <w:t>support</w:t>
      </w:r>
      <w:r w:rsidR="00EE6D35">
        <w:t xml:space="preserve"> </w:t>
      </w:r>
      <w:r w:rsidRPr="0018402F">
        <w:t>received:</w:t>
      </w:r>
      <w:r w:rsidR="00EE6D35">
        <w:t xml:space="preserve"> </w:t>
      </w:r>
      <w:r w:rsidRPr="0018402F">
        <w:t>brief</w:t>
      </w:r>
      <w:r w:rsidR="00EE6D35">
        <w:t xml:space="preserve"> </w:t>
      </w:r>
      <w:r w:rsidRPr="0018402F">
        <w:t>intervention</w:t>
      </w:r>
      <w:r w:rsidR="00EE6D35">
        <w:t xml:space="preserve"> </w:t>
      </w:r>
      <w:r w:rsidRPr="0018402F">
        <w:t>(active</w:t>
      </w:r>
      <w:r w:rsidR="00EE6D35">
        <w:t xml:space="preserve"> </w:t>
      </w:r>
      <w:r w:rsidRPr="0018402F">
        <w:t>hold),</w:t>
      </w:r>
      <w:r w:rsidR="00EE6D35">
        <w:t xml:space="preserve"> </w:t>
      </w:r>
      <w:r w:rsidRPr="0018402F">
        <w:t>foundation</w:t>
      </w:r>
      <w:r w:rsidR="00EE6D35">
        <w:t xml:space="preserve"> </w:t>
      </w:r>
      <w:r w:rsidRPr="0018402F">
        <w:t>(limited</w:t>
      </w:r>
      <w:r w:rsidR="00EE6D35">
        <w:t xml:space="preserve"> </w:t>
      </w:r>
      <w:r w:rsidRPr="0018402F">
        <w:t>support)</w:t>
      </w:r>
      <w:r w:rsidR="00EE6D35">
        <w:t xml:space="preserve"> </w:t>
      </w:r>
      <w:r w:rsidRPr="0018402F">
        <w:t>or</w:t>
      </w:r>
      <w:r w:rsidR="00EE6D35">
        <w:t xml:space="preserve"> </w:t>
      </w:r>
      <w:r w:rsidRPr="0018402F">
        <w:t>sustained</w:t>
      </w:r>
      <w:r w:rsidR="00EE6D35">
        <w:t xml:space="preserve"> </w:t>
      </w:r>
      <w:r w:rsidRPr="0018402F">
        <w:t>(active</w:t>
      </w:r>
      <w:r w:rsidR="00EE6D35">
        <w:t xml:space="preserve"> </w:t>
      </w:r>
      <w:r w:rsidRPr="0018402F">
        <w:t>support).</w:t>
      </w:r>
      <w:r w:rsidR="00EE6D35">
        <w:t xml:space="preserve"> </w:t>
      </w:r>
      <w:r w:rsidRPr="0018402F">
        <w:t>This</w:t>
      </w:r>
      <w:r w:rsidR="00EE6D35">
        <w:t xml:space="preserve"> </w:t>
      </w:r>
      <w:r w:rsidRPr="0018402F">
        <w:t>data</w:t>
      </w:r>
      <w:r w:rsidR="00EE6D35">
        <w:t xml:space="preserve"> </w:t>
      </w:r>
      <w:r w:rsidRPr="0018402F">
        <w:t>is</w:t>
      </w:r>
      <w:r w:rsidR="00EE6D35">
        <w:t xml:space="preserve"> </w:t>
      </w:r>
      <w:r w:rsidRPr="0018402F">
        <w:t>generated</w:t>
      </w:r>
      <w:r w:rsidR="00EE6D35">
        <w:t xml:space="preserve"> </w:t>
      </w:r>
      <w:r w:rsidRPr="0018402F">
        <w:t>into</w:t>
      </w:r>
      <w:r w:rsidR="00EE6D35">
        <w:t xml:space="preserve"> </w:t>
      </w:r>
      <w:r w:rsidRPr="0018402F">
        <w:t>the</w:t>
      </w:r>
      <w:r w:rsidR="00EE6D35">
        <w:t xml:space="preserve"> </w:t>
      </w:r>
      <w:r w:rsidRPr="0018402F">
        <w:t>monthly</w:t>
      </w:r>
      <w:r w:rsidR="00EE6D35">
        <w:t xml:space="preserve"> </w:t>
      </w:r>
      <w:r w:rsidRPr="0018402F">
        <w:t>CRISSP</w:t>
      </w:r>
      <w:r w:rsidR="00EE6D35">
        <w:t xml:space="preserve"> </w:t>
      </w:r>
      <w:r w:rsidRPr="0018402F">
        <w:t>report</w:t>
      </w:r>
      <w:r w:rsidR="00EE6D35">
        <w:t xml:space="preserve"> </w:t>
      </w:r>
      <w:r w:rsidRPr="0018402F">
        <w:t>and</w:t>
      </w:r>
      <w:r w:rsidR="00EE6D35">
        <w:t xml:space="preserve"> </w:t>
      </w:r>
      <w:r>
        <w:t>used</w:t>
      </w:r>
      <w:r w:rsidR="00EE6D35">
        <w:t xml:space="preserve"> </w:t>
      </w:r>
      <w:r>
        <w:t>to</w:t>
      </w:r>
      <w:r w:rsidR="00EE6D35">
        <w:t xml:space="preserve"> </w:t>
      </w:r>
      <w:r>
        <w:t>inform</w:t>
      </w:r>
      <w:r w:rsidR="00EE6D35">
        <w:t xml:space="preserve"> </w:t>
      </w:r>
      <w:r>
        <w:t>SDT</w:t>
      </w:r>
      <w:r w:rsidR="00EE6D35">
        <w:t xml:space="preserve"> </w:t>
      </w:r>
      <w:r>
        <w:t>reporting</w:t>
      </w:r>
      <w:r w:rsidRPr="0018402F">
        <w:t>.</w:t>
      </w:r>
      <w:r w:rsidR="00EE6D35">
        <w:t xml:space="preserve"> </w:t>
      </w:r>
    </w:p>
    <w:p w14:paraId="707418B1" w14:textId="1A9383DB" w:rsidR="001B20B3" w:rsidRDefault="001B20B3" w:rsidP="001B20B3">
      <w:pPr>
        <w:pStyle w:val="Heading3"/>
        <w:rPr>
          <w:lang w:eastAsia="en-AU"/>
        </w:rPr>
      </w:pPr>
      <w:r>
        <w:rPr>
          <w:lang w:eastAsia="en-AU"/>
        </w:rPr>
        <w:t>Requirements</w:t>
      </w:r>
    </w:p>
    <w:p w14:paraId="4054F04C" w14:textId="7370ED7F" w:rsidR="003F065B" w:rsidRPr="002B1D51" w:rsidRDefault="003F065B" w:rsidP="003F065B">
      <w:pPr>
        <w:pStyle w:val="Heading4"/>
      </w:pPr>
      <w:r>
        <w:rPr>
          <w:lang w:eastAsia="en-AU"/>
        </w:rPr>
        <w:t xml:space="preserve">Activity </w:t>
      </w:r>
      <w:r w:rsidRPr="002B1D51">
        <w:t>Individual,</w:t>
      </w:r>
      <w:r>
        <w:t xml:space="preserve"> </w:t>
      </w:r>
      <w:r w:rsidRPr="002B1D51">
        <w:t>Child</w:t>
      </w:r>
      <w:r>
        <w:t xml:space="preserve"> </w:t>
      </w:r>
      <w:r w:rsidRPr="002B1D51">
        <w:t>and</w:t>
      </w:r>
      <w:r>
        <w:t xml:space="preserve"> </w:t>
      </w:r>
      <w:r w:rsidRPr="002B1D51">
        <w:t>Family</w:t>
      </w:r>
      <w:r>
        <w:t xml:space="preserve"> </w:t>
      </w:r>
      <w:r w:rsidRPr="002B1D51">
        <w:t>Support</w:t>
      </w:r>
      <w:r>
        <w:t xml:space="preserve"> </w:t>
      </w:r>
      <w:r w:rsidRPr="002B1D51">
        <w:t>–</w:t>
      </w:r>
      <w:r>
        <w:t xml:space="preserve"> </w:t>
      </w:r>
      <w:r w:rsidRPr="002B1D51">
        <w:t>Better</w:t>
      </w:r>
      <w:r>
        <w:t xml:space="preserve"> </w:t>
      </w:r>
      <w:r w:rsidRPr="002B1D51">
        <w:t>Futures</w:t>
      </w:r>
      <w:r>
        <w:t xml:space="preserve"> </w:t>
      </w:r>
      <w:r w:rsidRPr="002B1D51">
        <w:t>31290</w:t>
      </w:r>
      <w:r w:rsidR="00410C81">
        <w:t xml:space="preserve"> </w:t>
      </w:r>
    </w:p>
    <w:p w14:paraId="28362A33" w14:textId="2DBC8594" w:rsidR="003F065B" w:rsidRPr="003F065B" w:rsidRDefault="003F065B" w:rsidP="003F065B">
      <w:pPr>
        <w:pStyle w:val="Tabletext"/>
        <w:rPr>
          <w:lang w:eastAsia="en-AU"/>
        </w:rPr>
      </w:pPr>
      <w:r w:rsidRPr="002B1D51">
        <w:t>Program</w:t>
      </w:r>
      <w:r>
        <w:t xml:space="preserve"> </w:t>
      </w:r>
      <w:r w:rsidRPr="002B1D51">
        <w:t>component:</w:t>
      </w:r>
      <w:r w:rsidR="00410C81">
        <w:t xml:space="preserve"> </w:t>
      </w:r>
      <w:r w:rsidRPr="002B1D51">
        <w:t>Better</w:t>
      </w:r>
      <w:r>
        <w:t xml:space="preserve"> </w:t>
      </w:r>
      <w:r w:rsidRPr="002B1D51">
        <w:t>Futures</w:t>
      </w:r>
      <w:r>
        <w:t xml:space="preserve"> </w:t>
      </w:r>
      <w:r w:rsidRPr="002B1D51">
        <w:t>and</w:t>
      </w:r>
      <w:r>
        <w:t xml:space="preserve"> </w:t>
      </w:r>
      <w:r w:rsidRPr="002B1D51">
        <w:t>Home</w:t>
      </w:r>
      <w:r>
        <w:t xml:space="preserve"> </w:t>
      </w:r>
      <w:r w:rsidRPr="002B1D51">
        <w:t>Stretch</w:t>
      </w:r>
      <w:r>
        <w:t xml:space="preserve"> </w:t>
      </w:r>
      <w:r w:rsidRPr="002B1D51">
        <w:t>casework</w:t>
      </w:r>
      <w:r>
        <w:t xml:space="preserve"> </w:t>
      </w:r>
      <w:r w:rsidRPr="002B1D51">
        <w:t>support</w:t>
      </w:r>
    </w:p>
    <w:tbl>
      <w:tblPr>
        <w:tblStyle w:val="TableGrid"/>
        <w:tblW w:w="9893" w:type="dxa"/>
        <w:tblLook w:val="06A0" w:firstRow="1" w:lastRow="0" w:firstColumn="1" w:lastColumn="0" w:noHBand="1" w:noVBand="1"/>
      </w:tblPr>
      <w:tblGrid>
        <w:gridCol w:w="1587"/>
        <w:gridCol w:w="1782"/>
        <w:gridCol w:w="1373"/>
        <w:gridCol w:w="1069"/>
        <w:gridCol w:w="2406"/>
        <w:gridCol w:w="1676"/>
      </w:tblGrid>
      <w:tr w:rsidR="003F065B" w:rsidRPr="001B20B3" w14:paraId="251CFC92" w14:textId="77777777" w:rsidTr="003F065B">
        <w:tc>
          <w:tcPr>
            <w:tcW w:w="1587" w:type="dxa"/>
          </w:tcPr>
          <w:p w14:paraId="3C8FAB72" w14:textId="77777777" w:rsidR="003F065B" w:rsidRPr="001B20B3" w:rsidRDefault="003F065B" w:rsidP="001B20B3">
            <w:pPr>
              <w:pStyle w:val="Tablecolhead"/>
            </w:pPr>
            <w:r w:rsidRPr="001B20B3">
              <w:t>Measure</w:t>
            </w:r>
          </w:p>
        </w:tc>
        <w:tc>
          <w:tcPr>
            <w:tcW w:w="1782" w:type="dxa"/>
          </w:tcPr>
          <w:p w14:paraId="6EB1014A" w14:textId="77777777" w:rsidR="003F065B" w:rsidRPr="001B20B3" w:rsidRDefault="003F065B" w:rsidP="001B20B3">
            <w:pPr>
              <w:pStyle w:val="Tablecolhead"/>
            </w:pPr>
            <w:r w:rsidRPr="001B20B3">
              <w:t>Description</w:t>
            </w:r>
          </w:p>
        </w:tc>
        <w:tc>
          <w:tcPr>
            <w:tcW w:w="1373" w:type="dxa"/>
          </w:tcPr>
          <w:p w14:paraId="178B5BA9" w14:textId="77777777" w:rsidR="003F065B" w:rsidRPr="001B20B3" w:rsidRDefault="003F065B" w:rsidP="001B20B3">
            <w:pPr>
              <w:pStyle w:val="Tablecolhead"/>
            </w:pPr>
            <w:r w:rsidRPr="001B20B3">
              <w:t>Count</w:t>
            </w:r>
          </w:p>
        </w:tc>
        <w:tc>
          <w:tcPr>
            <w:tcW w:w="1069" w:type="dxa"/>
          </w:tcPr>
          <w:p w14:paraId="58482BE6" w14:textId="00A17051" w:rsidR="003F065B" w:rsidRPr="001B20B3" w:rsidRDefault="003F065B" w:rsidP="001B20B3">
            <w:pPr>
              <w:pStyle w:val="Tablecolhead"/>
            </w:pPr>
            <w:r w:rsidRPr="001B20B3">
              <w:t>CRISSP</w:t>
            </w:r>
            <w:r>
              <w:t xml:space="preserve"> </w:t>
            </w:r>
            <w:r w:rsidRPr="001B20B3">
              <w:t>Report</w:t>
            </w:r>
          </w:p>
        </w:tc>
        <w:tc>
          <w:tcPr>
            <w:tcW w:w="2406" w:type="dxa"/>
          </w:tcPr>
          <w:p w14:paraId="63C8F7A9" w14:textId="639204C2" w:rsidR="003F065B" w:rsidRPr="001B20B3" w:rsidRDefault="003F065B" w:rsidP="001B20B3">
            <w:pPr>
              <w:pStyle w:val="Tablecolhead"/>
            </w:pPr>
            <w:r w:rsidRPr="001B20B3">
              <w:t>Reporting</w:t>
            </w:r>
            <w:r>
              <w:t xml:space="preserve"> </w:t>
            </w:r>
            <w:r w:rsidRPr="001B20B3">
              <w:t>frequency</w:t>
            </w:r>
          </w:p>
        </w:tc>
        <w:tc>
          <w:tcPr>
            <w:tcW w:w="1676" w:type="dxa"/>
          </w:tcPr>
          <w:p w14:paraId="2FD1F7D2" w14:textId="77777777" w:rsidR="003F065B" w:rsidRPr="001B20B3" w:rsidRDefault="003F065B" w:rsidP="001B20B3">
            <w:pPr>
              <w:pStyle w:val="Tablecolhead"/>
            </w:pPr>
            <w:r w:rsidRPr="001B20B3">
              <w:t>Report</w:t>
            </w:r>
          </w:p>
        </w:tc>
      </w:tr>
      <w:tr w:rsidR="003F065B" w14:paraId="15E06521" w14:textId="77777777" w:rsidTr="003F065B">
        <w:tc>
          <w:tcPr>
            <w:tcW w:w="1587" w:type="dxa"/>
          </w:tcPr>
          <w:p w14:paraId="438F3E55" w14:textId="51DA8B7E" w:rsidR="003F065B" w:rsidRPr="002B1D51" w:rsidRDefault="003F065B" w:rsidP="001B20B3">
            <w:pPr>
              <w:pStyle w:val="Tabletext"/>
            </w:pPr>
            <w:r w:rsidRPr="002B1D51">
              <w:t>Key</w:t>
            </w:r>
            <w:r>
              <w:t xml:space="preserve"> </w:t>
            </w:r>
            <w:r w:rsidRPr="002B1D51">
              <w:t>performance</w:t>
            </w:r>
            <w:r>
              <w:t xml:space="preserve"> </w:t>
            </w:r>
            <w:r w:rsidRPr="002B1D51">
              <w:t>measure</w:t>
            </w:r>
            <w:r>
              <w:t xml:space="preserve"> </w:t>
            </w:r>
            <w:r w:rsidRPr="002B1D51">
              <w:t>1</w:t>
            </w:r>
            <w:r>
              <w:t xml:space="preserve"> </w:t>
            </w:r>
          </w:p>
        </w:tc>
        <w:tc>
          <w:tcPr>
            <w:tcW w:w="1782" w:type="dxa"/>
          </w:tcPr>
          <w:p w14:paraId="6957281B" w14:textId="3620FAA6" w:rsidR="003F065B" w:rsidRPr="002B1D51" w:rsidRDefault="003F065B" w:rsidP="001B20B3">
            <w:pPr>
              <w:pStyle w:val="Tabletext"/>
            </w:pPr>
            <w:r w:rsidRPr="002B1D51">
              <w:t>Number</w:t>
            </w:r>
            <w:r>
              <w:t xml:space="preserve"> </w:t>
            </w:r>
            <w:r w:rsidRPr="002B1D51">
              <w:t>of</w:t>
            </w:r>
            <w:r>
              <w:t xml:space="preserve"> </w:t>
            </w:r>
            <w:r w:rsidRPr="002B1D51">
              <w:t>service</w:t>
            </w:r>
            <w:r>
              <w:t xml:space="preserve"> </w:t>
            </w:r>
            <w:r w:rsidRPr="002B1D51">
              <w:t>hours</w:t>
            </w:r>
            <w:r>
              <w:t xml:space="preserve"> </w:t>
            </w:r>
            <w:r w:rsidRPr="002B1D51">
              <w:t>-</w:t>
            </w:r>
            <w:r>
              <w:t xml:space="preserve"> </w:t>
            </w:r>
            <w:r w:rsidRPr="002B1D51">
              <w:t>Better</w:t>
            </w:r>
            <w:r>
              <w:t xml:space="preserve"> </w:t>
            </w:r>
            <w:r w:rsidRPr="002B1D51">
              <w:t>Futures</w:t>
            </w:r>
            <w:r>
              <w:t xml:space="preserve"> </w:t>
            </w:r>
            <w:r w:rsidRPr="002B1D51">
              <w:t>and</w:t>
            </w:r>
            <w:r>
              <w:t xml:space="preserve"> </w:t>
            </w:r>
            <w:r w:rsidRPr="002B1D51">
              <w:t>or</w:t>
            </w:r>
            <w:r>
              <w:t xml:space="preserve"> </w:t>
            </w:r>
            <w:r w:rsidRPr="002B1D51">
              <w:t>Home</w:t>
            </w:r>
            <w:r>
              <w:t xml:space="preserve"> </w:t>
            </w:r>
            <w:r w:rsidRPr="002B1D51">
              <w:t>Stretch</w:t>
            </w:r>
          </w:p>
        </w:tc>
        <w:tc>
          <w:tcPr>
            <w:tcW w:w="1373" w:type="dxa"/>
          </w:tcPr>
          <w:p w14:paraId="4FAA7CDC" w14:textId="77777777" w:rsidR="003F065B" w:rsidRPr="002B1D51" w:rsidRDefault="003F065B" w:rsidP="001B20B3">
            <w:pPr>
              <w:pStyle w:val="Tabletext"/>
            </w:pPr>
            <w:r w:rsidRPr="002B1D51">
              <w:t>Cumulative</w:t>
            </w:r>
          </w:p>
        </w:tc>
        <w:tc>
          <w:tcPr>
            <w:tcW w:w="1069" w:type="dxa"/>
          </w:tcPr>
          <w:p w14:paraId="5A84D0B9" w14:textId="194EAB3C" w:rsidR="003F065B" w:rsidRPr="002B1D51" w:rsidRDefault="003F065B" w:rsidP="001B20B3">
            <w:pPr>
              <w:pStyle w:val="Tabletext"/>
            </w:pPr>
            <w:r w:rsidRPr="002B1D51">
              <w:t>Better</w:t>
            </w:r>
            <w:r>
              <w:t xml:space="preserve"> </w:t>
            </w:r>
            <w:r w:rsidRPr="002B1D51">
              <w:t>Futures</w:t>
            </w:r>
            <w:r>
              <w:t xml:space="preserve"> </w:t>
            </w:r>
            <w:r w:rsidRPr="002B1D51">
              <w:t>Monthly</w:t>
            </w:r>
            <w:r>
              <w:t xml:space="preserve"> </w:t>
            </w:r>
            <w:r w:rsidRPr="002B1D51">
              <w:t>Report</w:t>
            </w:r>
            <w:r>
              <w:t xml:space="preserve"> </w:t>
            </w:r>
            <w:r w:rsidRPr="002B1D51">
              <w:t>CP504R</w:t>
            </w:r>
            <w:r>
              <w:t xml:space="preserve"> </w:t>
            </w:r>
          </w:p>
        </w:tc>
        <w:tc>
          <w:tcPr>
            <w:tcW w:w="2406" w:type="dxa"/>
          </w:tcPr>
          <w:p w14:paraId="34482A04" w14:textId="7946FA1E" w:rsidR="003F065B" w:rsidRPr="002B1D51" w:rsidRDefault="003F065B" w:rsidP="001B20B3">
            <w:pPr>
              <w:pStyle w:val="Tabletext"/>
            </w:pPr>
            <w:r w:rsidRPr="002B1D51">
              <w:t>Monthly</w:t>
            </w:r>
            <w:r>
              <w:t xml:space="preserve"> </w:t>
            </w:r>
            <w:r w:rsidRPr="002B1D51">
              <w:t>-</w:t>
            </w:r>
            <w:r>
              <w:t xml:space="preserve"> </w:t>
            </w:r>
            <w:r w:rsidRPr="002B1D51">
              <w:t>Better</w:t>
            </w:r>
            <w:r>
              <w:t xml:space="preserve"> </w:t>
            </w:r>
            <w:r w:rsidRPr="002B1D51">
              <w:t>Futures</w:t>
            </w:r>
            <w:r>
              <w:t xml:space="preserve"> </w:t>
            </w:r>
            <w:r w:rsidRPr="002B1D51">
              <w:t>providers</w:t>
            </w:r>
            <w:r>
              <w:t xml:space="preserve"> </w:t>
            </w:r>
            <w:r w:rsidRPr="002B1D51">
              <w:t>should</w:t>
            </w:r>
            <w:r>
              <w:t xml:space="preserve"> </w:t>
            </w:r>
            <w:r w:rsidRPr="002B1D51">
              <w:t>extract</w:t>
            </w:r>
            <w:r>
              <w:t xml:space="preserve"> </w:t>
            </w:r>
            <w:r w:rsidRPr="002B1D51">
              <w:t>the</w:t>
            </w:r>
            <w:r>
              <w:t xml:space="preserve"> </w:t>
            </w:r>
            <w:r w:rsidRPr="002B1D51">
              <w:t>CRISSP</w:t>
            </w:r>
            <w:r>
              <w:t xml:space="preserve"> </w:t>
            </w:r>
            <w:r w:rsidRPr="002B1D51">
              <w:t>report</w:t>
            </w:r>
            <w:r>
              <w:t xml:space="preserve"> </w:t>
            </w:r>
            <w:r w:rsidRPr="002B1D51">
              <w:t>at</w:t>
            </w:r>
            <w:r>
              <w:t xml:space="preserve"> </w:t>
            </w:r>
            <w:r w:rsidRPr="002B1D51">
              <w:t>the</w:t>
            </w:r>
            <w:r>
              <w:t xml:space="preserve"> </w:t>
            </w:r>
            <w:r w:rsidRPr="002B1D51">
              <w:t>end</w:t>
            </w:r>
            <w:r>
              <w:t xml:space="preserve"> </w:t>
            </w:r>
            <w:r w:rsidRPr="002B1D51">
              <w:t>of</w:t>
            </w:r>
            <w:r>
              <w:t xml:space="preserve"> </w:t>
            </w:r>
            <w:r w:rsidRPr="002B1D51">
              <w:t>the</w:t>
            </w:r>
            <w:r>
              <w:t xml:space="preserve"> </w:t>
            </w:r>
            <w:r w:rsidRPr="002B1D51">
              <w:t>month</w:t>
            </w:r>
            <w:r>
              <w:t xml:space="preserve"> </w:t>
            </w:r>
            <w:r w:rsidRPr="002B1D51">
              <w:t>to</w:t>
            </w:r>
            <w:r>
              <w:t xml:space="preserve"> </w:t>
            </w:r>
            <w:r w:rsidRPr="002B1D51">
              <w:t>inform</w:t>
            </w:r>
            <w:r>
              <w:t xml:space="preserve"> </w:t>
            </w:r>
            <w:r w:rsidRPr="002B1D51">
              <w:t>the</w:t>
            </w:r>
            <w:r>
              <w:t xml:space="preserve"> </w:t>
            </w:r>
            <w:r w:rsidRPr="002B1D51">
              <w:t>SDT</w:t>
            </w:r>
            <w:r>
              <w:t xml:space="preserve"> </w:t>
            </w:r>
            <w:r w:rsidRPr="002B1D51">
              <w:t>report.</w:t>
            </w:r>
            <w:r>
              <w:t xml:space="preserve"> </w:t>
            </w:r>
          </w:p>
        </w:tc>
        <w:tc>
          <w:tcPr>
            <w:tcW w:w="1676" w:type="dxa"/>
          </w:tcPr>
          <w:p w14:paraId="4F80A901" w14:textId="7C8ADB17" w:rsidR="003F065B" w:rsidRPr="002B1D51" w:rsidRDefault="003F065B" w:rsidP="001B20B3">
            <w:pPr>
              <w:pStyle w:val="Tabletext"/>
            </w:pPr>
            <w:r>
              <w:t>SDT - due on 10th day of the following month</w:t>
            </w:r>
          </w:p>
        </w:tc>
      </w:tr>
    </w:tbl>
    <w:p w14:paraId="7F5D07C0" w14:textId="77777777" w:rsidR="00A710FD" w:rsidRDefault="00A710FD" w:rsidP="001579AD">
      <w:pPr>
        <w:pStyle w:val="DHHSbody"/>
        <w:rPr>
          <w:lang w:eastAsia="en-AU"/>
        </w:rPr>
      </w:pPr>
      <w:bookmarkStart w:id="22" w:name="_Toc89733724"/>
    </w:p>
    <w:p w14:paraId="5C946DB1" w14:textId="49C48F52" w:rsidR="001B20B3" w:rsidRPr="009C4376" w:rsidRDefault="001B20B3" w:rsidP="001B20B3">
      <w:pPr>
        <w:pStyle w:val="Heading2"/>
        <w:rPr>
          <w:rFonts w:ascii="Segoe UI" w:hAnsi="Segoe UI" w:cs="Segoe UI"/>
          <w:sz w:val="18"/>
          <w:szCs w:val="18"/>
          <w:lang w:eastAsia="en-AU"/>
        </w:rPr>
      </w:pPr>
      <w:bookmarkStart w:id="23" w:name="_Toc91146870"/>
      <w:r w:rsidRPr="009C4376">
        <w:rPr>
          <w:lang w:eastAsia="en-AU"/>
        </w:rPr>
        <w:t>System</w:t>
      </w:r>
      <w:r w:rsidR="00EE6D35">
        <w:rPr>
          <w:lang w:eastAsia="en-AU"/>
        </w:rPr>
        <w:t xml:space="preserve"> </w:t>
      </w:r>
      <w:r w:rsidRPr="009C4376">
        <w:rPr>
          <w:lang w:eastAsia="en-AU"/>
        </w:rPr>
        <w:t>Enablers</w:t>
      </w:r>
      <w:r w:rsidR="00EE6D35">
        <w:rPr>
          <w:lang w:eastAsia="en-AU"/>
        </w:rPr>
        <w:t xml:space="preserve"> </w:t>
      </w:r>
      <w:r w:rsidRPr="009C4376">
        <w:rPr>
          <w:lang w:eastAsia="en-AU"/>
        </w:rPr>
        <w:t>–</w:t>
      </w:r>
      <w:r w:rsidR="00EE6D35">
        <w:rPr>
          <w:lang w:eastAsia="en-AU"/>
        </w:rPr>
        <w:t xml:space="preserve"> </w:t>
      </w:r>
      <w:r w:rsidRPr="009C4376">
        <w:rPr>
          <w:lang w:eastAsia="en-AU"/>
        </w:rPr>
        <w:t>Better</w:t>
      </w:r>
      <w:r w:rsidR="00EE6D35">
        <w:rPr>
          <w:lang w:eastAsia="en-AU"/>
        </w:rPr>
        <w:t xml:space="preserve"> </w:t>
      </w:r>
      <w:r w:rsidRPr="009C4376">
        <w:rPr>
          <w:lang w:eastAsia="en-AU"/>
        </w:rPr>
        <w:t>Futures</w:t>
      </w:r>
      <w:r w:rsidR="00EE6D35">
        <w:rPr>
          <w:lang w:eastAsia="en-AU"/>
        </w:rPr>
        <w:t xml:space="preserve"> </w:t>
      </w:r>
      <w:r w:rsidRPr="009C4376">
        <w:rPr>
          <w:lang w:eastAsia="en-AU"/>
        </w:rPr>
        <w:t>31291</w:t>
      </w:r>
      <w:bookmarkEnd w:id="22"/>
      <w:bookmarkEnd w:id="23"/>
      <w:r w:rsidR="00EE6D35">
        <w:rPr>
          <w:lang w:eastAsia="en-AU"/>
        </w:rPr>
        <w:t xml:space="preserve"> </w:t>
      </w:r>
    </w:p>
    <w:p w14:paraId="4540FCD0" w14:textId="6AD54226" w:rsidR="001B20B3" w:rsidRPr="00403061" w:rsidRDefault="001B20B3" w:rsidP="001B20B3">
      <w:pPr>
        <w:pStyle w:val="DHHSbody"/>
      </w:pPr>
      <w:r w:rsidRPr="00403061">
        <w:t>This</w:t>
      </w:r>
      <w:r w:rsidR="00EE6D35">
        <w:t xml:space="preserve"> </w:t>
      </w:r>
      <w:r w:rsidRPr="00403061">
        <w:t>activity</w:t>
      </w:r>
      <w:r w:rsidR="00EE6D35">
        <w:t xml:space="preserve"> </w:t>
      </w:r>
      <w:r w:rsidRPr="00403061">
        <w:t>supports</w:t>
      </w:r>
      <w:r w:rsidR="00EE6D35">
        <w:t xml:space="preserve"> </w:t>
      </w:r>
      <w:r w:rsidRPr="00403061">
        <w:t>delivery</w:t>
      </w:r>
      <w:r w:rsidR="00EE6D35">
        <w:t xml:space="preserve"> </w:t>
      </w:r>
      <w:r w:rsidRPr="00403061">
        <w:t>of</w:t>
      </w:r>
      <w:r w:rsidR="00EE6D35">
        <w:t xml:space="preserve"> </w:t>
      </w:r>
      <w:r w:rsidRPr="00403061">
        <w:t>Community</w:t>
      </w:r>
      <w:r w:rsidR="00EE6D35">
        <w:t xml:space="preserve"> </w:t>
      </w:r>
      <w:r w:rsidRPr="00403061">
        <w:t>Connections</w:t>
      </w:r>
      <w:r w:rsidR="00EE6D35">
        <w:t xml:space="preserve"> </w:t>
      </w:r>
      <w:r w:rsidRPr="00403061">
        <w:t>within</w:t>
      </w:r>
      <w:r w:rsidR="00EE6D35">
        <w:t xml:space="preserve"> </w:t>
      </w:r>
      <w:r w:rsidRPr="00403061">
        <w:t>the</w:t>
      </w:r>
      <w:r w:rsidR="00EE6D35">
        <w:t xml:space="preserve"> </w:t>
      </w:r>
      <w:r w:rsidRPr="00403061">
        <w:t>Better</w:t>
      </w:r>
      <w:r w:rsidR="00EE6D35">
        <w:t xml:space="preserve"> </w:t>
      </w:r>
      <w:r w:rsidRPr="00403061">
        <w:t>Futures</w:t>
      </w:r>
      <w:r w:rsidR="00EE6D35">
        <w:t xml:space="preserve"> </w:t>
      </w:r>
      <w:r w:rsidRPr="00403061">
        <w:t>model.</w:t>
      </w:r>
      <w:r w:rsidR="00EE6D35">
        <w:t xml:space="preserve"> </w:t>
      </w:r>
      <w:r w:rsidRPr="00403061">
        <w:t>Community</w:t>
      </w:r>
      <w:r w:rsidR="00EE6D35">
        <w:t xml:space="preserve"> </w:t>
      </w:r>
      <w:r w:rsidRPr="00403061">
        <w:t>Connectors</w:t>
      </w:r>
      <w:r w:rsidR="00EE6D35">
        <w:t xml:space="preserve"> </w:t>
      </w:r>
      <w:r w:rsidRPr="00403061">
        <w:t>build,</w:t>
      </w:r>
      <w:r w:rsidR="00EE6D35">
        <w:t xml:space="preserve"> </w:t>
      </w:r>
      <w:r w:rsidRPr="00403061">
        <w:t>strengthen,</w:t>
      </w:r>
      <w:r w:rsidR="00EE6D35">
        <w:t xml:space="preserve"> </w:t>
      </w:r>
      <w:r w:rsidRPr="00403061">
        <w:t>and</w:t>
      </w:r>
      <w:r w:rsidR="00EE6D35">
        <w:t xml:space="preserve"> </w:t>
      </w:r>
      <w:r w:rsidRPr="00403061">
        <w:t>maintain</w:t>
      </w:r>
      <w:r w:rsidR="00EE6D35">
        <w:t xml:space="preserve"> </w:t>
      </w:r>
      <w:r w:rsidRPr="00403061">
        <w:t>partnerships</w:t>
      </w:r>
      <w:r w:rsidR="00EE6D35">
        <w:t xml:space="preserve"> </w:t>
      </w:r>
      <w:r w:rsidRPr="00403061">
        <w:t>within</w:t>
      </w:r>
      <w:r w:rsidR="00EE6D35">
        <w:t xml:space="preserve"> </w:t>
      </w:r>
      <w:r w:rsidRPr="00403061">
        <w:t>and</w:t>
      </w:r>
      <w:r w:rsidR="00EE6D35">
        <w:t xml:space="preserve"> </w:t>
      </w:r>
      <w:r w:rsidRPr="00403061">
        <w:t>across</w:t>
      </w:r>
      <w:r w:rsidR="00EE6D35">
        <w:t xml:space="preserve"> </w:t>
      </w:r>
      <w:r w:rsidRPr="00403061">
        <w:t>local</w:t>
      </w:r>
      <w:r w:rsidR="00EE6D35">
        <w:t xml:space="preserve"> </w:t>
      </w:r>
      <w:r w:rsidRPr="00403061">
        <w:t>communities,</w:t>
      </w:r>
      <w:r w:rsidR="00EE6D35">
        <w:t xml:space="preserve"> </w:t>
      </w:r>
      <w:r w:rsidRPr="00403061">
        <w:t>including</w:t>
      </w:r>
      <w:r w:rsidR="00EE6D35">
        <w:t xml:space="preserve"> </w:t>
      </w:r>
      <w:r w:rsidRPr="00403061">
        <w:t>with</w:t>
      </w:r>
      <w:r w:rsidR="00EE6D35">
        <w:t xml:space="preserve"> </w:t>
      </w:r>
      <w:r w:rsidRPr="00403061">
        <w:t>local</w:t>
      </w:r>
      <w:r w:rsidR="00EE6D35">
        <w:t xml:space="preserve"> </w:t>
      </w:r>
      <w:r w:rsidRPr="00403061">
        <w:t>businesses,</w:t>
      </w:r>
      <w:r w:rsidR="00EE6D35">
        <w:t xml:space="preserve"> </w:t>
      </w:r>
      <w:r w:rsidRPr="00403061">
        <w:t>services,</w:t>
      </w:r>
      <w:r w:rsidR="00EE6D35">
        <w:t xml:space="preserve"> </w:t>
      </w:r>
      <w:r w:rsidRPr="00403061">
        <w:t>government,</w:t>
      </w:r>
      <w:r w:rsidR="00EE6D35">
        <w:t xml:space="preserve"> </w:t>
      </w:r>
      <w:r w:rsidRPr="00403061">
        <w:t>and</w:t>
      </w:r>
      <w:r w:rsidR="00EE6D35">
        <w:t xml:space="preserve"> </w:t>
      </w:r>
      <w:r w:rsidRPr="00403061">
        <w:t>philanthropic</w:t>
      </w:r>
      <w:r w:rsidR="00EE6D35">
        <w:t xml:space="preserve"> </w:t>
      </w:r>
      <w:r w:rsidRPr="00403061">
        <w:t>organisations.</w:t>
      </w:r>
      <w:r w:rsidR="00EE6D35">
        <w:t xml:space="preserve"> </w:t>
      </w:r>
      <w:r w:rsidRPr="00403061">
        <w:t>Community</w:t>
      </w:r>
      <w:r w:rsidR="00EE6D35">
        <w:t xml:space="preserve"> </w:t>
      </w:r>
      <w:r w:rsidRPr="00403061">
        <w:t>Connectors</w:t>
      </w:r>
      <w:r w:rsidR="00EE6D35">
        <w:t xml:space="preserve"> </w:t>
      </w:r>
      <w:r w:rsidRPr="00403061">
        <w:t>seek</w:t>
      </w:r>
      <w:r w:rsidR="00EE6D35">
        <w:t xml:space="preserve"> </w:t>
      </w:r>
      <w:r w:rsidRPr="00403061">
        <w:t>out</w:t>
      </w:r>
      <w:r w:rsidR="00EE6D35">
        <w:t xml:space="preserve"> </w:t>
      </w:r>
      <w:r w:rsidRPr="00403061">
        <w:t>and</w:t>
      </w:r>
      <w:r w:rsidR="00EE6D35">
        <w:t xml:space="preserve"> </w:t>
      </w:r>
      <w:r w:rsidRPr="00403061">
        <w:t>build</w:t>
      </w:r>
      <w:r w:rsidR="00EE6D35">
        <w:t xml:space="preserve"> </w:t>
      </w:r>
      <w:r w:rsidRPr="00403061">
        <w:t>networks</w:t>
      </w:r>
      <w:r w:rsidR="00EE6D35">
        <w:t xml:space="preserve"> </w:t>
      </w:r>
      <w:r w:rsidRPr="00403061">
        <w:t>with</w:t>
      </w:r>
      <w:r w:rsidR="00EE6D35">
        <w:t xml:space="preserve"> </w:t>
      </w:r>
      <w:r w:rsidRPr="00403061">
        <w:t>the</w:t>
      </w:r>
      <w:r w:rsidR="00EE6D35">
        <w:t xml:space="preserve"> </w:t>
      </w:r>
      <w:r w:rsidRPr="00403061">
        <w:t>purpose</w:t>
      </w:r>
      <w:r w:rsidR="00EE6D35">
        <w:t xml:space="preserve"> </w:t>
      </w:r>
      <w:r w:rsidRPr="00403061">
        <w:t>of</w:t>
      </w:r>
      <w:r w:rsidR="00EE6D35">
        <w:t xml:space="preserve"> </w:t>
      </w:r>
      <w:r w:rsidRPr="00403061">
        <w:t>leveraging</w:t>
      </w:r>
      <w:r w:rsidR="00EE6D35">
        <w:t xml:space="preserve"> </w:t>
      </w:r>
      <w:r w:rsidRPr="00403061">
        <w:t>community</w:t>
      </w:r>
      <w:r w:rsidR="00EE6D35">
        <w:t xml:space="preserve"> </w:t>
      </w:r>
      <w:r w:rsidRPr="00403061">
        <w:t>investment</w:t>
      </w:r>
      <w:r w:rsidR="00EE6D35">
        <w:t xml:space="preserve"> </w:t>
      </w:r>
      <w:r w:rsidRPr="00403061">
        <w:t>to</w:t>
      </w:r>
      <w:r w:rsidR="00EE6D35">
        <w:t xml:space="preserve"> </w:t>
      </w:r>
      <w:r w:rsidRPr="00403061">
        <w:t>strengthen</w:t>
      </w:r>
      <w:r w:rsidR="00EE6D35">
        <w:t xml:space="preserve"> </w:t>
      </w:r>
      <w:r w:rsidRPr="00403061">
        <w:t>social</w:t>
      </w:r>
      <w:r w:rsidR="00EE6D35">
        <w:t xml:space="preserve"> </w:t>
      </w:r>
      <w:r w:rsidRPr="00403061">
        <w:t>relationships</w:t>
      </w:r>
      <w:r w:rsidR="00EE6D35">
        <w:t xml:space="preserve"> </w:t>
      </w:r>
      <w:r w:rsidRPr="00403061">
        <w:t>and</w:t>
      </w:r>
      <w:r w:rsidR="00EE6D35">
        <w:t xml:space="preserve"> </w:t>
      </w:r>
      <w:r w:rsidRPr="00403061">
        <w:t>community</w:t>
      </w:r>
      <w:r w:rsidR="00EE6D35">
        <w:t xml:space="preserve"> </w:t>
      </w:r>
      <w:r w:rsidRPr="00403061">
        <w:t>connectedness</w:t>
      </w:r>
      <w:r w:rsidR="00EE6D35">
        <w:t xml:space="preserve"> </w:t>
      </w:r>
      <w:r w:rsidRPr="00403061">
        <w:t>for</w:t>
      </w:r>
      <w:r w:rsidR="00EE6D35">
        <w:t xml:space="preserve"> </w:t>
      </w:r>
      <w:r w:rsidRPr="00403061">
        <w:t>young</w:t>
      </w:r>
      <w:r w:rsidR="00EE6D35">
        <w:t xml:space="preserve"> </w:t>
      </w:r>
      <w:r w:rsidRPr="00403061">
        <w:t>people</w:t>
      </w:r>
      <w:r w:rsidR="00EE6D35">
        <w:t xml:space="preserve"> </w:t>
      </w:r>
      <w:r w:rsidRPr="00403061">
        <w:t>transitioning</w:t>
      </w:r>
      <w:r w:rsidR="00EE6D35">
        <w:t xml:space="preserve"> </w:t>
      </w:r>
      <w:r w:rsidRPr="00403061">
        <w:t>from</w:t>
      </w:r>
      <w:r w:rsidR="00EE6D35">
        <w:t xml:space="preserve"> </w:t>
      </w:r>
      <w:r w:rsidRPr="00403061">
        <w:t>care.</w:t>
      </w:r>
      <w:r w:rsidR="00EE6D35">
        <w:t xml:space="preserve"> </w:t>
      </w:r>
      <w:r w:rsidRPr="00403061">
        <w:t>They</w:t>
      </w:r>
      <w:r w:rsidR="00EE6D35">
        <w:t xml:space="preserve"> </w:t>
      </w:r>
      <w:r w:rsidRPr="00403061">
        <w:t>focus</w:t>
      </w:r>
      <w:r w:rsidR="00EE6D35">
        <w:t xml:space="preserve"> </w:t>
      </w:r>
      <w:r w:rsidRPr="00403061">
        <w:t>on</w:t>
      </w:r>
      <w:r w:rsidR="00EE6D35">
        <w:t xml:space="preserve"> </w:t>
      </w:r>
      <w:r w:rsidRPr="00403061">
        <w:t>strengthening</w:t>
      </w:r>
      <w:r w:rsidR="00EE6D35">
        <w:t xml:space="preserve"> </w:t>
      </w:r>
      <w:r w:rsidRPr="00403061">
        <w:t>young</w:t>
      </w:r>
      <w:r w:rsidR="00EE6D35">
        <w:t xml:space="preserve"> </w:t>
      </w:r>
      <w:r w:rsidRPr="00403061">
        <w:t>people’s</w:t>
      </w:r>
      <w:r w:rsidR="00EE6D35">
        <w:t xml:space="preserve"> </w:t>
      </w:r>
      <w:r w:rsidRPr="00403061">
        <w:t>social</w:t>
      </w:r>
      <w:r w:rsidR="00EE6D35">
        <w:t xml:space="preserve"> </w:t>
      </w:r>
      <w:r w:rsidRPr="00403061">
        <w:t>capital</w:t>
      </w:r>
      <w:r w:rsidR="00EE6D35">
        <w:t xml:space="preserve"> </w:t>
      </w:r>
      <w:r w:rsidRPr="00403061">
        <w:t>as</w:t>
      </w:r>
      <w:r w:rsidR="00EE6D35">
        <w:t xml:space="preserve"> </w:t>
      </w:r>
      <w:r w:rsidRPr="00403061">
        <w:t>well</w:t>
      </w:r>
      <w:r w:rsidR="00EE6D35">
        <w:t xml:space="preserve"> </w:t>
      </w:r>
      <w:r w:rsidRPr="00403061">
        <w:t>as</w:t>
      </w:r>
      <w:r w:rsidR="00EE6D35">
        <w:t xml:space="preserve"> </w:t>
      </w:r>
      <w:r w:rsidRPr="00403061">
        <w:t>building</w:t>
      </w:r>
      <w:r w:rsidR="00EE6D35">
        <w:t xml:space="preserve"> </w:t>
      </w:r>
      <w:r w:rsidRPr="00403061">
        <w:t>support</w:t>
      </w:r>
      <w:r w:rsidR="00EE6D35">
        <w:t xml:space="preserve"> </w:t>
      </w:r>
      <w:r w:rsidRPr="00403061">
        <w:t>networks</w:t>
      </w:r>
      <w:r w:rsidR="00EE6D35">
        <w:t xml:space="preserve"> </w:t>
      </w:r>
      <w:r w:rsidRPr="00403061">
        <w:t>for</w:t>
      </w:r>
      <w:r w:rsidR="00EE6D35">
        <w:t xml:space="preserve"> </w:t>
      </w:r>
      <w:r w:rsidRPr="00403061">
        <w:t>young</w:t>
      </w:r>
      <w:r w:rsidR="00EE6D35">
        <w:t xml:space="preserve"> </w:t>
      </w:r>
      <w:r w:rsidRPr="00403061">
        <w:t>people</w:t>
      </w:r>
      <w:r w:rsidR="00EE6D35">
        <w:t xml:space="preserve"> </w:t>
      </w:r>
      <w:r w:rsidRPr="00403061">
        <w:t>beyond</w:t>
      </w:r>
      <w:r w:rsidR="00EE6D35">
        <w:t xml:space="preserve"> </w:t>
      </w:r>
      <w:r w:rsidRPr="00403061">
        <w:t>the</w:t>
      </w:r>
      <w:r w:rsidR="00EE6D35">
        <w:t xml:space="preserve"> </w:t>
      </w:r>
      <w:r w:rsidRPr="00403061">
        <w:t>service</w:t>
      </w:r>
      <w:r w:rsidR="00EE6D35">
        <w:t xml:space="preserve"> </w:t>
      </w:r>
      <w:r w:rsidRPr="00403061">
        <w:t>system;</w:t>
      </w:r>
      <w:r w:rsidR="00EE6D35">
        <w:t xml:space="preserve"> </w:t>
      </w:r>
      <w:r w:rsidRPr="00403061">
        <w:t>this</w:t>
      </w:r>
      <w:r w:rsidR="00EE6D35">
        <w:t xml:space="preserve"> </w:t>
      </w:r>
      <w:r w:rsidRPr="00403061">
        <w:t>may</w:t>
      </w:r>
      <w:r w:rsidR="00EE6D35">
        <w:t xml:space="preserve"> </w:t>
      </w:r>
      <w:r w:rsidRPr="00403061">
        <w:t>include</w:t>
      </w:r>
      <w:r w:rsidR="00EE6D35">
        <w:t xml:space="preserve"> </w:t>
      </w:r>
      <w:r w:rsidRPr="00403061">
        <w:t>matching</w:t>
      </w:r>
      <w:r w:rsidR="00EE6D35">
        <w:t xml:space="preserve"> </w:t>
      </w:r>
      <w:r w:rsidRPr="00403061">
        <w:t>young</w:t>
      </w:r>
      <w:r w:rsidR="00EE6D35">
        <w:t xml:space="preserve"> </w:t>
      </w:r>
      <w:r w:rsidRPr="00403061">
        <w:t>people</w:t>
      </w:r>
      <w:r w:rsidR="00EE6D35">
        <w:t xml:space="preserve"> </w:t>
      </w:r>
      <w:r w:rsidRPr="00403061">
        <w:lastRenderedPageBreak/>
        <w:t>with</w:t>
      </w:r>
      <w:r w:rsidR="00EE6D35">
        <w:t xml:space="preserve"> </w:t>
      </w:r>
      <w:r w:rsidRPr="00403061">
        <w:t>a</w:t>
      </w:r>
      <w:r w:rsidR="00EE6D35">
        <w:t xml:space="preserve"> </w:t>
      </w:r>
      <w:r w:rsidRPr="00403061">
        <w:t>mentor</w:t>
      </w:r>
      <w:r w:rsidR="00EE6D35">
        <w:t xml:space="preserve"> </w:t>
      </w:r>
      <w:r w:rsidRPr="00403061">
        <w:t>based</w:t>
      </w:r>
      <w:r w:rsidR="00EE6D35">
        <w:t xml:space="preserve"> </w:t>
      </w:r>
      <w:r w:rsidRPr="00403061">
        <w:t>on</w:t>
      </w:r>
      <w:r w:rsidR="00EE6D35">
        <w:t xml:space="preserve"> </w:t>
      </w:r>
      <w:r w:rsidRPr="00403061">
        <w:t>their</w:t>
      </w:r>
      <w:r w:rsidR="00EE6D35">
        <w:t xml:space="preserve"> </w:t>
      </w:r>
      <w:r w:rsidRPr="00403061">
        <w:t>interests,</w:t>
      </w:r>
      <w:r w:rsidR="00EE6D35">
        <w:t xml:space="preserve"> </w:t>
      </w:r>
      <w:r w:rsidRPr="00403061">
        <w:t>goals</w:t>
      </w:r>
      <w:r w:rsidR="00EE6D35">
        <w:t xml:space="preserve"> </w:t>
      </w:r>
      <w:r w:rsidRPr="00403061">
        <w:t>and</w:t>
      </w:r>
      <w:r w:rsidR="00EE6D35">
        <w:t xml:space="preserve"> </w:t>
      </w:r>
      <w:r w:rsidRPr="00403061">
        <w:t>aspirations.</w:t>
      </w:r>
      <w:r w:rsidR="00410C81">
        <w:t xml:space="preserve"> </w:t>
      </w:r>
      <w:r w:rsidRPr="00403061">
        <w:t>Community</w:t>
      </w:r>
      <w:r w:rsidR="00EE6D35">
        <w:t xml:space="preserve"> </w:t>
      </w:r>
      <w:r w:rsidRPr="00403061">
        <w:t>Connectors</w:t>
      </w:r>
      <w:r w:rsidR="00EE6D35">
        <w:t xml:space="preserve"> </w:t>
      </w:r>
      <w:r w:rsidRPr="00403061">
        <w:t>do</w:t>
      </w:r>
      <w:r w:rsidR="00EE6D35">
        <w:t xml:space="preserve"> </w:t>
      </w:r>
      <w:r w:rsidRPr="00403061">
        <w:t>not</w:t>
      </w:r>
      <w:r w:rsidR="00EE6D35">
        <w:t xml:space="preserve"> </w:t>
      </w:r>
      <w:r w:rsidRPr="00403061">
        <w:t>provide</w:t>
      </w:r>
      <w:r w:rsidR="00EE6D35">
        <w:t xml:space="preserve"> </w:t>
      </w:r>
      <w:r w:rsidRPr="00403061">
        <w:t>case</w:t>
      </w:r>
      <w:r w:rsidR="00EE6D35">
        <w:t xml:space="preserve"> </w:t>
      </w:r>
      <w:r w:rsidRPr="00403061">
        <w:t>work</w:t>
      </w:r>
      <w:r w:rsidR="00EE6D35">
        <w:t xml:space="preserve"> </w:t>
      </w:r>
      <w:r w:rsidRPr="00403061">
        <w:t>support.</w:t>
      </w:r>
      <w:r w:rsidR="00410C81">
        <w:t xml:space="preserve"> </w:t>
      </w:r>
    </w:p>
    <w:p w14:paraId="692F8569" w14:textId="43BFF07A" w:rsidR="001B20B3" w:rsidRPr="00403061" w:rsidRDefault="001B20B3" w:rsidP="001B20B3">
      <w:pPr>
        <w:pStyle w:val="DHHSbody"/>
      </w:pPr>
      <w:r w:rsidRPr="00403061">
        <w:t>Organisations</w:t>
      </w:r>
      <w:r w:rsidR="00EE6D35">
        <w:t xml:space="preserve"> </w:t>
      </w:r>
      <w:r w:rsidRPr="00403061">
        <w:t>must</w:t>
      </w:r>
      <w:r w:rsidR="00EE6D35">
        <w:t xml:space="preserve"> </w:t>
      </w:r>
      <w:r w:rsidRPr="00403061">
        <w:t>report</w:t>
      </w:r>
      <w:r w:rsidR="00EE6D35">
        <w:t xml:space="preserve"> </w:t>
      </w:r>
      <w:r w:rsidRPr="00403061">
        <w:t>on</w:t>
      </w:r>
      <w:r w:rsidR="00EE6D35">
        <w:t xml:space="preserve"> </w:t>
      </w:r>
      <w:r w:rsidRPr="00403061">
        <w:t>agreed</w:t>
      </w:r>
      <w:r w:rsidR="00EE6D35">
        <w:t xml:space="preserve"> </w:t>
      </w:r>
      <w:r w:rsidRPr="00403061">
        <w:t>objectives</w:t>
      </w:r>
      <w:r w:rsidR="00EE6D35">
        <w:t xml:space="preserve"> </w:t>
      </w:r>
      <w:r w:rsidRPr="00403061">
        <w:t>for</w:t>
      </w:r>
      <w:r w:rsidR="00EE6D35">
        <w:t xml:space="preserve"> </w:t>
      </w:r>
      <w:r w:rsidRPr="00403061">
        <w:t>the</w:t>
      </w:r>
      <w:r w:rsidR="00EE6D35">
        <w:t xml:space="preserve"> </w:t>
      </w:r>
      <w:r w:rsidRPr="00403061">
        <w:t>Community</w:t>
      </w:r>
      <w:r w:rsidR="00EE6D35">
        <w:t xml:space="preserve"> </w:t>
      </w:r>
      <w:r w:rsidRPr="00403061">
        <w:t>Connectors,</w:t>
      </w:r>
      <w:r w:rsidR="00EE6D35">
        <w:t xml:space="preserve"> </w:t>
      </w:r>
      <w:r w:rsidRPr="00403061">
        <w:t>Community</w:t>
      </w:r>
      <w:r w:rsidR="00EE6D35">
        <w:t xml:space="preserve"> </w:t>
      </w:r>
      <w:r w:rsidRPr="00403061">
        <w:t>Integration</w:t>
      </w:r>
      <w:r w:rsidR="00EE6D35">
        <w:t xml:space="preserve"> </w:t>
      </w:r>
      <w:r w:rsidRPr="00403061">
        <w:t>Program</w:t>
      </w:r>
      <w:r w:rsidR="00EE6D35">
        <w:t xml:space="preserve"> </w:t>
      </w:r>
      <w:r w:rsidRPr="00403061">
        <w:t>and</w:t>
      </w:r>
      <w:r w:rsidR="00EE6D35">
        <w:t xml:space="preserve"> </w:t>
      </w:r>
      <w:r w:rsidRPr="00403061">
        <w:t>Ramp</w:t>
      </w:r>
      <w:r w:rsidR="00EE6D35">
        <w:t xml:space="preserve"> </w:t>
      </w:r>
      <w:r w:rsidRPr="00403061">
        <w:t>Mentoring</w:t>
      </w:r>
      <w:r w:rsidR="00EE6D35">
        <w:t xml:space="preserve"> </w:t>
      </w:r>
      <w:r w:rsidRPr="00403061">
        <w:t>Program.</w:t>
      </w:r>
      <w:r w:rsidR="00410C81">
        <w:t xml:space="preserve"> </w:t>
      </w:r>
    </w:p>
    <w:p w14:paraId="5F1E02C8" w14:textId="49EA01E4" w:rsidR="001B20B3" w:rsidRPr="00403061" w:rsidRDefault="001B20B3" w:rsidP="001B20B3">
      <w:pPr>
        <w:pStyle w:val="DHHSbody"/>
      </w:pPr>
      <w:r w:rsidRPr="00403061">
        <w:t>The</w:t>
      </w:r>
      <w:r w:rsidR="00EE6D35">
        <w:t xml:space="preserve"> </w:t>
      </w:r>
      <w:r w:rsidRPr="00403061">
        <w:t>Community</w:t>
      </w:r>
      <w:r w:rsidR="00EE6D35">
        <w:t xml:space="preserve"> </w:t>
      </w:r>
      <w:r w:rsidRPr="00403061">
        <w:t>Connections</w:t>
      </w:r>
      <w:r w:rsidR="00EE6D35">
        <w:t xml:space="preserve"> </w:t>
      </w:r>
      <w:r w:rsidRPr="00403061">
        <w:t>Directions</w:t>
      </w:r>
      <w:r w:rsidR="00EE6D35">
        <w:t xml:space="preserve"> </w:t>
      </w:r>
      <w:r w:rsidRPr="00403061">
        <w:t>Plan</w:t>
      </w:r>
      <w:r w:rsidR="00EE6D35">
        <w:t xml:space="preserve"> </w:t>
      </w:r>
      <w:r w:rsidRPr="00403061">
        <w:t>should</w:t>
      </w:r>
      <w:r w:rsidR="00EE6D35">
        <w:t xml:space="preserve"> </w:t>
      </w:r>
      <w:r w:rsidRPr="00403061">
        <w:t>include</w:t>
      </w:r>
      <w:r w:rsidR="00EE6D35">
        <w:t xml:space="preserve"> </w:t>
      </w:r>
      <w:r w:rsidRPr="00403061">
        <w:t>the</w:t>
      </w:r>
      <w:r w:rsidR="00EE6D35">
        <w:t xml:space="preserve"> </w:t>
      </w:r>
      <w:r w:rsidRPr="00403061">
        <w:t>planned</w:t>
      </w:r>
      <w:r w:rsidR="00EE6D35">
        <w:t xml:space="preserve"> </w:t>
      </w:r>
      <w:r w:rsidRPr="00403061">
        <w:t>objectives,</w:t>
      </w:r>
      <w:r w:rsidR="00EE6D35">
        <w:t xml:space="preserve"> </w:t>
      </w:r>
      <w:r w:rsidRPr="00403061">
        <w:t>priorities,</w:t>
      </w:r>
      <w:r w:rsidR="00EE6D35">
        <w:t xml:space="preserve"> </w:t>
      </w:r>
      <w:r w:rsidRPr="00403061">
        <w:t>directions,</w:t>
      </w:r>
      <w:r w:rsidR="00EE6D35">
        <w:t xml:space="preserve"> </w:t>
      </w:r>
      <w:r w:rsidRPr="00403061">
        <w:t>and</w:t>
      </w:r>
      <w:r w:rsidR="00EE6D35">
        <w:t xml:space="preserve"> </w:t>
      </w:r>
      <w:r w:rsidRPr="00403061">
        <w:t>activities</w:t>
      </w:r>
      <w:r w:rsidR="00EE6D35">
        <w:t xml:space="preserve"> </w:t>
      </w:r>
      <w:r w:rsidRPr="00403061">
        <w:t>for</w:t>
      </w:r>
      <w:r w:rsidR="00EE6D35">
        <w:t xml:space="preserve"> </w:t>
      </w:r>
      <w:r w:rsidRPr="00403061">
        <w:t>the</w:t>
      </w:r>
      <w:r w:rsidR="00EE6D35">
        <w:t xml:space="preserve"> </w:t>
      </w:r>
      <w:r w:rsidRPr="00403061">
        <w:t>coming</w:t>
      </w:r>
      <w:r w:rsidR="00EE6D35">
        <w:t xml:space="preserve"> </w:t>
      </w:r>
      <w:r w:rsidRPr="00403061">
        <w:t>financial</w:t>
      </w:r>
      <w:r w:rsidR="00EE6D35">
        <w:t xml:space="preserve"> </w:t>
      </w:r>
      <w:r w:rsidRPr="00403061">
        <w:t>year.</w:t>
      </w:r>
      <w:r w:rsidR="00EE6D35">
        <w:t xml:space="preserve"> </w:t>
      </w:r>
      <w:r w:rsidRPr="00403061">
        <w:t>The</w:t>
      </w:r>
      <w:r w:rsidR="00EE6D35">
        <w:t xml:space="preserve"> </w:t>
      </w:r>
      <w:r w:rsidRPr="00403061">
        <w:t>Community</w:t>
      </w:r>
      <w:r w:rsidR="00EE6D35">
        <w:t xml:space="preserve"> </w:t>
      </w:r>
      <w:r w:rsidRPr="00403061">
        <w:t>Connections</w:t>
      </w:r>
      <w:r w:rsidR="00EE6D35">
        <w:t xml:space="preserve"> </w:t>
      </w:r>
      <w:r w:rsidRPr="00403061">
        <w:t>Outcomes</w:t>
      </w:r>
      <w:r w:rsidR="00EE6D35">
        <w:t xml:space="preserve"> </w:t>
      </w:r>
      <w:r w:rsidRPr="00403061">
        <w:t>Report</w:t>
      </w:r>
      <w:r w:rsidR="00EE6D35">
        <w:t xml:space="preserve"> </w:t>
      </w:r>
      <w:r w:rsidRPr="00403061">
        <w:t>should</w:t>
      </w:r>
      <w:r w:rsidR="00EE6D35">
        <w:t xml:space="preserve"> </w:t>
      </w:r>
      <w:r w:rsidRPr="00403061">
        <w:t>identify</w:t>
      </w:r>
      <w:r w:rsidR="00EE6D35">
        <w:t xml:space="preserve"> </w:t>
      </w:r>
      <w:r w:rsidRPr="00403061">
        <w:t>the</w:t>
      </w:r>
      <w:r w:rsidR="00EE6D35">
        <w:t xml:space="preserve"> </w:t>
      </w:r>
      <w:r w:rsidRPr="00403061">
        <w:t>outcomes</w:t>
      </w:r>
      <w:r w:rsidR="00EE6D35">
        <w:t xml:space="preserve"> </w:t>
      </w:r>
      <w:r w:rsidRPr="00403061">
        <w:t>for</w:t>
      </w:r>
      <w:r w:rsidR="00EE6D35">
        <w:t xml:space="preserve"> </w:t>
      </w:r>
      <w:r w:rsidRPr="00403061">
        <w:t>young</w:t>
      </w:r>
      <w:r w:rsidR="00EE6D35">
        <w:t xml:space="preserve"> </w:t>
      </w:r>
      <w:r w:rsidRPr="00403061">
        <w:t>people</w:t>
      </w:r>
      <w:r w:rsidR="00EE6D35">
        <w:t xml:space="preserve"> </w:t>
      </w:r>
      <w:r w:rsidRPr="00403061">
        <w:t>as</w:t>
      </w:r>
      <w:r w:rsidR="00EE6D35">
        <w:t xml:space="preserve"> </w:t>
      </w:r>
      <w:r w:rsidRPr="00403061">
        <w:t>a</w:t>
      </w:r>
      <w:r w:rsidR="00EE6D35">
        <w:t xml:space="preserve"> </w:t>
      </w:r>
      <w:r w:rsidRPr="00403061">
        <w:t>result</w:t>
      </w:r>
      <w:r w:rsidR="00EE6D35">
        <w:t xml:space="preserve"> </w:t>
      </w:r>
      <w:r w:rsidRPr="00403061">
        <w:t>of</w:t>
      </w:r>
      <w:r w:rsidR="00EE6D35">
        <w:t xml:space="preserve"> </w:t>
      </w:r>
      <w:r w:rsidRPr="00403061">
        <w:t>the</w:t>
      </w:r>
      <w:r w:rsidR="00EE6D35">
        <w:t xml:space="preserve"> </w:t>
      </w:r>
      <w:r w:rsidRPr="00403061">
        <w:t>planned</w:t>
      </w:r>
      <w:r w:rsidR="00EE6D35">
        <w:t xml:space="preserve"> </w:t>
      </w:r>
      <w:r w:rsidRPr="00403061">
        <w:t>objectives</w:t>
      </w:r>
      <w:r w:rsidR="00EE6D35">
        <w:t xml:space="preserve"> </w:t>
      </w:r>
      <w:r w:rsidRPr="00403061">
        <w:t>determined</w:t>
      </w:r>
      <w:r w:rsidR="00EE6D35">
        <w:t xml:space="preserve"> </w:t>
      </w:r>
      <w:r w:rsidRPr="00403061">
        <w:t>in</w:t>
      </w:r>
      <w:r w:rsidR="00EE6D35">
        <w:t xml:space="preserve"> </w:t>
      </w:r>
      <w:r w:rsidRPr="00403061">
        <w:t>the</w:t>
      </w:r>
      <w:r w:rsidR="00EE6D35">
        <w:t xml:space="preserve"> </w:t>
      </w:r>
      <w:r w:rsidRPr="00403061">
        <w:t>Community</w:t>
      </w:r>
      <w:r w:rsidR="00EE6D35">
        <w:t xml:space="preserve"> </w:t>
      </w:r>
      <w:r w:rsidRPr="00403061">
        <w:t>Connections</w:t>
      </w:r>
      <w:r w:rsidR="00EE6D35">
        <w:t xml:space="preserve"> </w:t>
      </w:r>
      <w:r w:rsidRPr="00403061">
        <w:t>Annual</w:t>
      </w:r>
      <w:r w:rsidR="00EE6D35">
        <w:t xml:space="preserve"> </w:t>
      </w:r>
      <w:r w:rsidRPr="00403061">
        <w:t>Directions</w:t>
      </w:r>
      <w:r w:rsidR="00EE6D35">
        <w:t xml:space="preserve"> </w:t>
      </w:r>
      <w:r w:rsidRPr="00403061">
        <w:t>Plan</w:t>
      </w:r>
      <w:r w:rsidR="00EE6D35">
        <w:t xml:space="preserve"> </w:t>
      </w:r>
      <w:r w:rsidRPr="00403061">
        <w:t>for</w:t>
      </w:r>
      <w:r w:rsidR="00EE6D35">
        <w:t xml:space="preserve"> </w:t>
      </w:r>
      <w:r w:rsidRPr="00403061">
        <w:t>the</w:t>
      </w:r>
      <w:r w:rsidR="00EE6D35">
        <w:t xml:space="preserve"> </w:t>
      </w:r>
      <w:r w:rsidRPr="00403061">
        <w:t>previous</w:t>
      </w:r>
      <w:r w:rsidR="00EE6D35">
        <w:t xml:space="preserve"> </w:t>
      </w:r>
      <w:r w:rsidRPr="00403061">
        <w:t>year.</w:t>
      </w:r>
      <w:r w:rsidR="00EE6D35">
        <w:t xml:space="preserve"> </w:t>
      </w:r>
    </w:p>
    <w:p w14:paraId="70126490" w14:textId="77777777" w:rsidR="00410C81" w:rsidRDefault="001B20B3" w:rsidP="001B20B3">
      <w:pPr>
        <w:pStyle w:val="DHHSbody"/>
      </w:pPr>
      <w:r w:rsidRPr="00403061">
        <w:t>The</w:t>
      </w:r>
      <w:r w:rsidR="00EE6D35">
        <w:t xml:space="preserve"> </w:t>
      </w:r>
      <w:r w:rsidRPr="00403061">
        <w:t>Community</w:t>
      </w:r>
      <w:r w:rsidR="00EE6D35">
        <w:t xml:space="preserve"> </w:t>
      </w:r>
      <w:r w:rsidRPr="00403061">
        <w:t>Integration</w:t>
      </w:r>
      <w:r w:rsidR="00EE6D35">
        <w:t xml:space="preserve"> </w:t>
      </w:r>
      <w:r w:rsidRPr="00403061">
        <w:t>Program</w:t>
      </w:r>
      <w:r w:rsidR="00EE6D35">
        <w:t xml:space="preserve"> </w:t>
      </w:r>
      <w:r w:rsidRPr="00403061">
        <w:t>and</w:t>
      </w:r>
      <w:r w:rsidR="00EE6D35">
        <w:t xml:space="preserve"> </w:t>
      </w:r>
      <w:r w:rsidRPr="00403061">
        <w:t>the</w:t>
      </w:r>
      <w:r w:rsidR="00EE6D35">
        <w:t xml:space="preserve"> </w:t>
      </w:r>
      <w:r w:rsidRPr="00403061">
        <w:t>Ramp</w:t>
      </w:r>
      <w:r w:rsidR="00EE6D35">
        <w:t xml:space="preserve"> </w:t>
      </w:r>
      <w:r w:rsidRPr="00403061">
        <w:t>Mentoring</w:t>
      </w:r>
      <w:r w:rsidR="00EE6D35">
        <w:t xml:space="preserve"> </w:t>
      </w:r>
      <w:r w:rsidRPr="00403061">
        <w:t>Program</w:t>
      </w:r>
      <w:r w:rsidR="00EE6D35">
        <w:t xml:space="preserve"> </w:t>
      </w:r>
      <w:r w:rsidRPr="00403061">
        <w:t>are</w:t>
      </w:r>
      <w:r w:rsidR="00EE6D35">
        <w:t xml:space="preserve"> </w:t>
      </w:r>
      <w:r w:rsidRPr="00403061">
        <w:t>also</w:t>
      </w:r>
      <w:r w:rsidR="00EE6D35">
        <w:t xml:space="preserve"> </w:t>
      </w:r>
      <w:r w:rsidRPr="00403061">
        <w:t>delivered</w:t>
      </w:r>
      <w:r w:rsidR="00EE6D35">
        <w:t xml:space="preserve"> </w:t>
      </w:r>
      <w:r w:rsidRPr="00403061">
        <w:t>via</w:t>
      </w:r>
      <w:r w:rsidR="00EE6D35">
        <w:t xml:space="preserve"> </w:t>
      </w:r>
      <w:r w:rsidRPr="00403061">
        <w:t>this</w:t>
      </w:r>
      <w:r w:rsidR="00EE6D35">
        <w:t xml:space="preserve"> </w:t>
      </w:r>
      <w:r w:rsidRPr="00403061">
        <w:t>activity</w:t>
      </w:r>
      <w:r w:rsidR="00EE6D35">
        <w:t xml:space="preserve"> </w:t>
      </w:r>
      <w:r w:rsidRPr="00403061">
        <w:t>however</w:t>
      </w:r>
      <w:r w:rsidR="00EE6D35">
        <w:t xml:space="preserve"> </w:t>
      </w:r>
      <w:r w:rsidRPr="00403061">
        <w:t>are</w:t>
      </w:r>
      <w:r w:rsidR="00EE6D35">
        <w:t xml:space="preserve"> </w:t>
      </w:r>
      <w:r w:rsidRPr="00403061">
        <w:t>not</w:t>
      </w:r>
      <w:r w:rsidR="00EE6D35">
        <w:t xml:space="preserve"> </w:t>
      </w:r>
      <w:r w:rsidRPr="00403061">
        <w:t>Better</w:t>
      </w:r>
      <w:r w:rsidR="00EE6D35">
        <w:t xml:space="preserve"> </w:t>
      </w:r>
      <w:r w:rsidRPr="00403061">
        <w:t>Futures</w:t>
      </w:r>
      <w:r w:rsidR="00EE6D35">
        <w:t xml:space="preserve"> </w:t>
      </w:r>
      <w:r w:rsidRPr="00403061">
        <w:t>services.</w:t>
      </w:r>
      <w:r w:rsidR="00EE6D35">
        <w:t xml:space="preserve"> </w:t>
      </w:r>
      <w:r w:rsidRPr="00403061">
        <w:t>These</w:t>
      </w:r>
      <w:r w:rsidR="00EE6D35">
        <w:t xml:space="preserve"> </w:t>
      </w:r>
      <w:r w:rsidRPr="00403061">
        <w:t>programs</w:t>
      </w:r>
      <w:r w:rsidR="00EE6D35">
        <w:t xml:space="preserve"> </w:t>
      </w:r>
      <w:r w:rsidRPr="00403061">
        <w:t>are</w:t>
      </w:r>
      <w:r w:rsidR="00EE6D35">
        <w:t xml:space="preserve"> </w:t>
      </w:r>
      <w:r w:rsidRPr="00403061">
        <w:t>required</w:t>
      </w:r>
      <w:r w:rsidR="00EE6D35">
        <w:t xml:space="preserve"> </w:t>
      </w:r>
      <w:r w:rsidRPr="00403061">
        <w:t>to</w:t>
      </w:r>
      <w:r w:rsidR="00EE6D35">
        <w:t xml:space="preserve"> </w:t>
      </w:r>
      <w:r w:rsidRPr="00403061">
        <w:t>report</w:t>
      </w:r>
      <w:r w:rsidR="00EE6D35">
        <w:t xml:space="preserve"> </w:t>
      </w:r>
      <w:r w:rsidRPr="00403061">
        <w:t>quarterly</w:t>
      </w:r>
      <w:r w:rsidR="00EE6D35">
        <w:t xml:space="preserve"> </w:t>
      </w:r>
      <w:r w:rsidRPr="00403061">
        <w:t>to</w:t>
      </w:r>
      <w:r w:rsidR="00EE6D35">
        <w:t xml:space="preserve"> </w:t>
      </w:r>
      <w:r w:rsidRPr="00403061">
        <w:t>the</w:t>
      </w:r>
      <w:r w:rsidR="00EE6D35">
        <w:t xml:space="preserve"> </w:t>
      </w:r>
      <w:r w:rsidRPr="00403061">
        <w:t>central</w:t>
      </w:r>
      <w:r w:rsidR="00EE6D35">
        <w:t xml:space="preserve"> </w:t>
      </w:r>
      <w:r w:rsidRPr="00403061">
        <w:t>Transitions</w:t>
      </w:r>
      <w:r w:rsidR="00EE6D35">
        <w:t xml:space="preserve"> </w:t>
      </w:r>
      <w:r w:rsidRPr="00403061">
        <w:t>from</w:t>
      </w:r>
      <w:r w:rsidR="00EE6D35">
        <w:t xml:space="preserve"> </w:t>
      </w:r>
      <w:r w:rsidRPr="00403061">
        <w:t>Care</w:t>
      </w:r>
      <w:r w:rsidR="00EE6D35">
        <w:t xml:space="preserve"> </w:t>
      </w:r>
      <w:r w:rsidRPr="00403061">
        <w:t>team</w:t>
      </w:r>
      <w:r w:rsidR="00EE6D35">
        <w:t xml:space="preserve"> </w:t>
      </w:r>
      <w:r w:rsidRPr="00403061">
        <w:t>or</w:t>
      </w:r>
      <w:r w:rsidR="00EE6D35">
        <w:t xml:space="preserve"> </w:t>
      </w:r>
      <w:r w:rsidRPr="00403061">
        <w:t>the</w:t>
      </w:r>
      <w:r w:rsidR="00EE6D35">
        <w:t xml:space="preserve"> </w:t>
      </w:r>
      <w:r w:rsidRPr="00403061">
        <w:t>local</w:t>
      </w:r>
      <w:r w:rsidR="00EE6D35">
        <w:t xml:space="preserve"> </w:t>
      </w:r>
      <w:r w:rsidRPr="00403061">
        <w:t>APSS</w:t>
      </w:r>
      <w:r w:rsidR="00EE6D35">
        <w:t xml:space="preserve"> </w:t>
      </w:r>
      <w:r w:rsidRPr="00403061">
        <w:t>advisor</w:t>
      </w:r>
      <w:r w:rsidR="00EE6D35">
        <w:t xml:space="preserve"> </w:t>
      </w:r>
      <w:r w:rsidRPr="00403061">
        <w:t>in</w:t>
      </w:r>
      <w:r w:rsidR="00EE6D35">
        <w:t xml:space="preserve"> </w:t>
      </w:r>
      <w:r w:rsidRPr="00403061">
        <w:t>relation</w:t>
      </w:r>
      <w:r w:rsidR="00EE6D35">
        <w:t xml:space="preserve"> </w:t>
      </w:r>
      <w:r w:rsidRPr="00403061">
        <w:t>to</w:t>
      </w:r>
      <w:r w:rsidR="00EE6D35">
        <w:t xml:space="preserve"> </w:t>
      </w:r>
      <w:r w:rsidRPr="00403061">
        <w:t>the</w:t>
      </w:r>
      <w:r w:rsidR="00EE6D35">
        <w:t xml:space="preserve"> </w:t>
      </w:r>
      <w:r w:rsidRPr="00403061">
        <w:t>number</w:t>
      </w:r>
      <w:r w:rsidR="00EE6D35">
        <w:t xml:space="preserve"> </w:t>
      </w:r>
      <w:r w:rsidRPr="00403061">
        <w:t>of</w:t>
      </w:r>
      <w:r w:rsidR="00EE6D35">
        <w:t xml:space="preserve"> </w:t>
      </w:r>
      <w:r w:rsidRPr="00403061">
        <w:t>young</w:t>
      </w:r>
      <w:r w:rsidR="00EE6D35">
        <w:t xml:space="preserve"> </w:t>
      </w:r>
      <w:r w:rsidRPr="00403061">
        <w:t>people</w:t>
      </w:r>
      <w:r w:rsidR="00EE6D35">
        <w:t xml:space="preserve"> </w:t>
      </w:r>
      <w:r w:rsidRPr="00403061">
        <w:t>referred</w:t>
      </w:r>
      <w:r w:rsidR="00EE6D35">
        <w:t xml:space="preserve"> </w:t>
      </w:r>
      <w:r w:rsidRPr="00403061">
        <w:t>to</w:t>
      </w:r>
      <w:r w:rsidR="00EE6D35">
        <w:t xml:space="preserve"> </w:t>
      </w:r>
      <w:r w:rsidRPr="00403061">
        <w:t>the</w:t>
      </w:r>
      <w:r w:rsidR="00EE6D35">
        <w:t xml:space="preserve"> </w:t>
      </w:r>
      <w:r w:rsidRPr="00403061">
        <w:t>service,</w:t>
      </w:r>
      <w:r w:rsidR="00EE6D35">
        <w:t xml:space="preserve"> </w:t>
      </w:r>
      <w:r w:rsidRPr="00403061">
        <w:t>number</w:t>
      </w:r>
      <w:r w:rsidR="00EE6D35">
        <w:t xml:space="preserve"> </w:t>
      </w:r>
      <w:r w:rsidRPr="00403061">
        <w:t>of</w:t>
      </w:r>
      <w:r w:rsidR="00EE6D35">
        <w:t xml:space="preserve"> </w:t>
      </w:r>
      <w:r w:rsidRPr="00403061">
        <w:t>mentors</w:t>
      </w:r>
      <w:r w:rsidR="00EE6D35">
        <w:t xml:space="preserve"> </w:t>
      </w:r>
      <w:r w:rsidRPr="00403061">
        <w:t>trained</w:t>
      </w:r>
      <w:r w:rsidR="00EE6D35">
        <w:t xml:space="preserve"> </w:t>
      </w:r>
      <w:r w:rsidRPr="00403061">
        <w:t>and</w:t>
      </w:r>
      <w:r w:rsidR="00EE6D35">
        <w:t xml:space="preserve"> </w:t>
      </w:r>
      <w:r w:rsidRPr="00403061">
        <w:t>matched</w:t>
      </w:r>
      <w:r w:rsidR="00EE6D35">
        <w:t xml:space="preserve"> </w:t>
      </w:r>
      <w:r w:rsidRPr="00403061">
        <w:t>with</w:t>
      </w:r>
      <w:r w:rsidR="00EE6D35">
        <w:t xml:space="preserve"> </w:t>
      </w:r>
      <w:r w:rsidRPr="00403061">
        <w:t>young</w:t>
      </w:r>
      <w:r w:rsidR="00EE6D35">
        <w:t xml:space="preserve"> </w:t>
      </w:r>
      <w:r w:rsidRPr="00403061">
        <w:t>people,</w:t>
      </w:r>
      <w:r w:rsidR="00EE6D35">
        <w:t xml:space="preserve"> </w:t>
      </w:r>
      <w:r w:rsidRPr="00403061">
        <w:t>and</w:t>
      </w:r>
      <w:r w:rsidR="00EE6D35">
        <w:t xml:space="preserve"> </w:t>
      </w:r>
      <w:r w:rsidRPr="00403061">
        <w:t>outcomes</w:t>
      </w:r>
      <w:r w:rsidR="00EE6D35">
        <w:t xml:space="preserve"> </w:t>
      </w:r>
      <w:r w:rsidRPr="00403061">
        <w:t>for</w:t>
      </w:r>
      <w:r w:rsidR="00EE6D35">
        <w:t xml:space="preserve"> </w:t>
      </w:r>
      <w:r w:rsidRPr="00403061">
        <w:t>young</w:t>
      </w:r>
      <w:r w:rsidR="00EE6D35">
        <w:t xml:space="preserve"> </w:t>
      </w:r>
      <w:r w:rsidRPr="00403061">
        <w:t>people</w:t>
      </w:r>
      <w:r w:rsidR="00EE6D35">
        <w:t xml:space="preserve"> </w:t>
      </w:r>
      <w:r w:rsidRPr="00403061">
        <w:t>and</w:t>
      </w:r>
      <w:r w:rsidR="00EE6D35">
        <w:t xml:space="preserve"> </w:t>
      </w:r>
      <w:r w:rsidRPr="00403061">
        <w:t>one</w:t>
      </w:r>
      <w:r w:rsidR="00EE6D35">
        <w:t xml:space="preserve"> </w:t>
      </w:r>
      <w:r w:rsidRPr="00403061">
        <w:t>case</w:t>
      </w:r>
      <w:r w:rsidR="00EE6D35">
        <w:t xml:space="preserve"> </w:t>
      </w:r>
      <w:r w:rsidRPr="00403061">
        <w:t>example.</w:t>
      </w:r>
      <w:r w:rsidR="00410C81">
        <w:t xml:space="preserve"> </w:t>
      </w:r>
    </w:p>
    <w:p w14:paraId="29E66A2C" w14:textId="766DDF09" w:rsidR="001579AD" w:rsidRDefault="001B20B3" w:rsidP="001B20B3">
      <w:pPr>
        <w:pStyle w:val="DHHSbody"/>
      </w:pPr>
      <w:r w:rsidRPr="00403061">
        <w:t>There</w:t>
      </w:r>
      <w:r w:rsidR="00EE6D35">
        <w:t xml:space="preserve"> </w:t>
      </w:r>
      <w:r w:rsidRPr="00403061">
        <w:t>are</w:t>
      </w:r>
      <w:r w:rsidR="00EE6D35">
        <w:t xml:space="preserve"> </w:t>
      </w:r>
      <w:r w:rsidRPr="00403061">
        <w:t>no</w:t>
      </w:r>
      <w:r w:rsidR="00EE6D35">
        <w:t xml:space="preserve"> </w:t>
      </w:r>
      <w:r w:rsidRPr="00403061">
        <w:t>SDT</w:t>
      </w:r>
      <w:r w:rsidR="00EE6D35">
        <w:t xml:space="preserve"> </w:t>
      </w:r>
      <w:r>
        <w:t>reporting</w:t>
      </w:r>
      <w:r w:rsidR="00EE6D35">
        <w:t xml:space="preserve"> </w:t>
      </w:r>
      <w:r w:rsidRPr="00403061">
        <w:t>requirements</w:t>
      </w:r>
      <w:r w:rsidR="00EE6D35">
        <w:t xml:space="preserve"> </w:t>
      </w:r>
      <w:r w:rsidRPr="00403061">
        <w:t>for</w:t>
      </w:r>
      <w:r w:rsidR="00EE6D35">
        <w:t xml:space="preserve"> </w:t>
      </w:r>
      <w:r w:rsidRPr="00403061">
        <w:t>System</w:t>
      </w:r>
      <w:r w:rsidR="00EE6D35">
        <w:t xml:space="preserve"> </w:t>
      </w:r>
      <w:r w:rsidRPr="00403061">
        <w:t>Enablers</w:t>
      </w:r>
      <w:r w:rsidR="00EE6D35">
        <w:t xml:space="preserve"> </w:t>
      </w:r>
      <w:r w:rsidRPr="00403061">
        <w:t>–</w:t>
      </w:r>
      <w:r w:rsidR="00EE6D35">
        <w:t xml:space="preserve"> </w:t>
      </w:r>
      <w:r w:rsidRPr="00403061">
        <w:t>Better</w:t>
      </w:r>
      <w:r w:rsidR="00EE6D35">
        <w:t xml:space="preserve"> </w:t>
      </w:r>
      <w:r w:rsidRPr="00403061">
        <w:t>Futures.</w:t>
      </w:r>
      <w:r w:rsidR="00EE6D35">
        <w:t xml:space="preserve"> </w:t>
      </w:r>
    </w:p>
    <w:p w14:paraId="1C179E81" w14:textId="7A66D29B" w:rsidR="001579AD" w:rsidRDefault="001579AD">
      <w:pPr>
        <w:spacing w:after="0" w:line="240" w:lineRule="auto"/>
        <w:rPr>
          <w:rFonts w:eastAsia="Times"/>
          <w:sz w:val="20"/>
        </w:rPr>
      </w:pPr>
    </w:p>
    <w:p w14:paraId="0783D9C1" w14:textId="0075C140" w:rsidR="001B20B3" w:rsidRDefault="001B20B3" w:rsidP="001B20B3">
      <w:pPr>
        <w:pStyle w:val="Heading3"/>
        <w:rPr>
          <w:lang w:eastAsia="en-AU"/>
        </w:rPr>
      </w:pPr>
      <w:r>
        <w:rPr>
          <w:lang w:eastAsia="en-AU"/>
        </w:rPr>
        <w:t>Requirements</w:t>
      </w:r>
    </w:p>
    <w:p w14:paraId="40835E6F" w14:textId="4480C092" w:rsidR="00633ADC" w:rsidRDefault="00633ADC" w:rsidP="00633ADC">
      <w:pPr>
        <w:pStyle w:val="Heading4"/>
      </w:pPr>
      <w:r w:rsidRPr="001B20B3">
        <w:t>Activity</w:t>
      </w:r>
      <w:r w:rsidR="00EE6D35">
        <w:t xml:space="preserve"> </w:t>
      </w:r>
      <w:r w:rsidRPr="002B1D51">
        <w:t>System</w:t>
      </w:r>
      <w:r w:rsidR="00EE6D35">
        <w:t xml:space="preserve"> </w:t>
      </w:r>
      <w:r w:rsidRPr="002B1D51">
        <w:t>Enablers</w:t>
      </w:r>
      <w:r w:rsidR="00EE6D35">
        <w:t xml:space="preserve"> </w:t>
      </w:r>
      <w:r w:rsidRPr="002B1D51">
        <w:t>–</w:t>
      </w:r>
      <w:r w:rsidR="00EE6D35">
        <w:t xml:space="preserve"> </w:t>
      </w:r>
      <w:r w:rsidRPr="002B1D51">
        <w:t>Better</w:t>
      </w:r>
      <w:r w:rsidR="00EE6D35">
        <w:t xml:space="preserve"> </w:t>
      </w:r>
      <w:r w:rsidRPr="002B1D51">
        <w:t>Futures</w:t>
      </w:r>
      <w:r w:rsidR="00EE6D35">
        <w:t xml:space="preserve"> </w:t>
      </w:r>
      <w:r w:rsidRPr="002B1D51">
        <w:t>31291</w:t>
      </w:r>
      <w:r w:rsidR="00EE6D35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633ADC" w:rsidRPr="00633ADC" w14:paraId="551EECE7" w14:textId="77777777" w:rsidTr="00633ADC">
        <w:tc>
          <w:tcPr>
            <w:tcW w:w="2548" w:type="dxa"/>
          </w:tcPr>
          <w:p w14:paraId="37B596E3" w14:textId="77777777" w:rsidR="00633ADC" w:rsidRPr="00633ADC" w:rsidRDefault="00633ADC" w:rsidP="00633ADC">
            <w:pPr>
              <w:pStyle w:val="Tablecolhead"/>
            </w:pPr>
            <w:r w:rsidRPr="00633ADC">
              <w:t>Measure</w:t>
            </w:r>
          </w:p>
        </w:tc>
        <w:tc>
          <w:tcPr>
            <w:tcW w:w="2548" w:type="dxa"/>
          </w:tcPr>
          <w:p w14:paraId="4C6A460D" w14:textId="77777777" w:rsidR="00633ADC" w:rsidRPr="00633ADC" w:rsidRDefault="00633ADC" w:rsidP="00633ADC">
            <w:pPr>
              <w:pStyle w:val="Tablecolhead"/>
            </w:pPr>
            <w:r w:rsidRPr="00633ADC">
              <w:t>Description</w:t>
            </w:r>
          </w:p>
        </w:tc>
        <w:tc>
          <w:tcPr>
            <w:tcW w:w="2549" w:type="dxa"/>
          </w:tcPr>
          <w:p w14:paraId="240E346B" w14:textId="348F834D" w:rsidR="00633ADC" w:rsidRPr="00633ADC" w:rsidRDefault="00633ADC" w:rsidP="00633ADC">
            <w:pPr>
              <w:pStyle w:val="Tablecolhead"/>
            </w:pPr>
            <w:r w:rsidRPr="00633ADC">
              <w:t>Reporting</w:t>
            </w:r>
            <w:r w:rsidR="00EE6D35">
              <w:t xml:space="preserve"> </w:t>
            </w:r>
            <w:r w:rsidRPr="00633ADC">
              <w:t>frequency</w:t>
            </w:r>
          </w:p>
        </w:tc>
        <w:tc>
          <w:tcPr>
            <w:tcW w:w="2549" w:type="dxa"/>
          </w:tcPr>
          <w:p w14:paraId="4FFDC297" w14:textId="77777777" w:rsidR="00633ADC" w:rsidRPr="00633ADC" w:rsidRDefault="00633ADC" w:rsidP="00633ADC">
            <w:pPr>
              <w:pStyle w:val="Tablecolhead"/>
            </w:pPr>
            <w:r w:rsidRPr="00633ADC">
              <w:t>Report</w:t>
            </w:r>
          </w:p>
        </w:tc>
      </w:tr>
      <w:tr w:rsidR="00633ADC" w:rsidRPr="00633ADC" w14:paraId="00280787" w14:textId="77777777" w:rsidTr="00633ADC">
        <w:tc>
          <w:tcPr>
            <w:tcW w:w="2548" w:type="dxa"/>
          </w:tcPr>
          <w:p w14:paraId="1E732FCA" w14:textId="334DAFB4" w:rsidR="00633ADC" w:rsidRPr="00633ADC" w:rsidRDefault="00633ADC" w:rsidP="00633ADC">
            <w:pPr>
              <w:pStyle w:val="Body"/>
            </w:pPr>
            <w:r w:rsidRPr="00633ADC">
              <w:t>Community</w:t>
            </w:r>
            <w:r w:rsidR="00EE6D35">
              <w:t xml:space="preserve"> </w:t>
            </w:r>
            <w:r w:rsidRPr="00633ADC">
              <w:t>Connections</w:t>
            </w:r>
            <w:r w:rsidR="00EE6D35">
              <w:t xml:space="preserve"> </w:t>
            </w:r>
            <w:r w:rsidRPr="00633ADC">
              <w:t>Annual</w:t>
            </w:r>
            <w:r w:rsidR="00EE6D35">
              <w:t xml:space="preserve"> </w:t>
            </w:r>
            <w:r w:rsidRPr="00633ADC">
              <w:t>Directions</w:t>
            </w:r>
            <w:r w:rsidR="00EE6D35">
              <w:t xml:space="preserve"> </w:t>
            </w:r>
            <w:r w:rsidRPr="00633ADC">
              <w:t>Plan</w:t>
            </w:r>
            <w:r w:rsidR="00EE6D35">
              <w:t xml:space="preserve"> </w:t>
            </w:r>
          </w:p>
        </w:tc>
        <w:tc>
          <w:tcPr>
            <w:tcW w:w="2548" w:type="dxa"/>
          </w:tcPr>
          <w:p w14:paraId="43FD1201" w14:textId="19D9D6CB" w:rsidR="00633ADC" w:rsidRPr="00633ADC" w:rsidRDefault="00633ADC" w:rsidP="00633ADC">
            <w:pPr>
              <w:pStyle w:val="Body"/>
            </w:pPr>
            <w:r w:rsidRPr="00633ADC">
              <w:t>Community</w:t>
            </w:r>
            <w:r w:rsidR="00EE6D35">
              <w:t xml:space="preserve"> </w:t>
            </w:r>
            <w:r w:rsidRPr="00633ADC">
              <w:t>connector</w:t>
            </w:r>
            <w:r w:rsidR="00EE6D35">
              <w:t xml:space="preserve"> </w:t>
            </w:r>
          </w:p>
        </w:tc>
        <w:tc>
          <w:tcPr>
            <w:tcW w:w="2549" w:type="dxa"/>
          </w:tcPr>
          <w:p w14:paraId="5EA87DFD" w14:textId="69B3CD28" w:rsidR="00633ADC" w:rsidRPr="00633ADC" w:rsidRDefault="00633ADC" w:rsidP="00633ADC">
            <w:pPr>
              <w:pStyle w:val="Body"/>
            </w:pPr>
            <w:r w:rsidRPr="00633ADC">
              <w:t>Annually</w:t>
            </w:r>
            <w:r w:rsidR="00EE6D35">
              <w:t xml:space="preserve"> </w:t>
            </w:r>
            <w:r w:rsidRPr="00633ADC">
              <w:t>(due</w:t>
            </w:r>
            <w:r w:rsidR="00EE6D35">
              <w:t xml:space="preserve"> </w:t>
            </w:r>
            <w:r w:rsidRPr="00633ADC">
              <w:t>on</w:t>
            </w:r>
            <w:r w:rsidR="00EE6D35">
              <w:t xml:space="preserve"> </w:t>
            </w:r>
            <w:r w:rsidRPr="00633ADC">
              <w:t>31</w:t>
            </w:r>
            <w:r w:rsidR="00EE6D35">
              <w:t xml:space="preserve"> </w:t>
            </w:r>
            <w:r w:rsidRPr="00633ADC">
              <w:t>July)</w:t>
            </w:r>
          </w:p>
        </w:tc>
        <w:tc>
          <w:tcPr>
            <w:tcW w:w="2549" w:type="dxa"/>
          </w:tcPr>
          <w:p w14:paraId="00F633A6" w14:textId="70DB2964" w:rsidR="00633ADC" w:rsidRPr="00633ADC" w:rsidRDefault="00633ADC" w:rsidP="00633ADC">
            <w:pPr>
              <w:pStyle w:val="Body"/>
            </w:pPr>
            <w:r w:rsidRPr="00633ADC">
              <w:t>APSS</w:t>
            </w:r>
            <w:r w:rsidR="00EE6D35">
              <w:t xml:space="preserve"> </w:t>
            </w:r>
            <w:r w:rsidRPr="00633ADC">
              <w:t>advisor</w:t>
            </w:r>
          </w:p>
        </w:tc>
      </w:tr>
      <w:tr w:rsidR="00633ADC" w:rsidRPr="00633ADC" w14:paraId="2478B068" w14:textId="77777777" w:rsidTr="00633ADC">
        <w:tc>
          <w:tcPr>
            <w:tcW w:w="2548" w:type="dxa"/>
          </w:tcPr>
          <w:p w14:paraId="437A42C8" w14:textId="71D409D3" w:rsidR="00633ADC" w:rsidRPr="00633ADC" w:rsidRDefault="00633ADC" w:rsidP="00633ADC">
            <w:pPr>
              <w:pStyle w:val="Body"/>
            </w:pPr>
            <w:r w:rsidRPr="00633ADC">
              <w:t>Community</w:t>
            </w:r>
            <w:r w:rsidR="00EE6D35">
              <w:t xml:space="preserve"> </w:t>
            </w:r>
            <w:r w:rsidRPr="00633ADC">
              <w:t>Connections</w:t>
            </w:r>
            <w:r w:rsidR="00EE6D35">
              <w:t xml:space="preserve"> </w:t>
            </w:r>
            <w:r w:rsidRPr="00633ADC">
              <w:t>Annual</w:t>
            </w:r>
            <w:r w:rsidR="00EE6D35">
              <w:t xml:space="preserve"> </w:t>
            </w:r>
            <w:r w:rsidRPr="00633ADC">
              <w:t>Outcomes</w:t>
            </w:r>
            <w:r w:rsidR="00EE6D35">
              <w:t xml:space="preserve"> </w:t>
            </w:r>
            <w:r w:rsidRPr="00633ADC">
              <w:t>Report</w:t>
            </w:r>
            <w:r w:rsidR="00EE6D35">
              <w:t xml:space="preserve"> </w:t>
            </w:r>
          </w:p>
        </w:tc>
        <w:tc>
          <w:tcPr>
            <w:tcW w:w="2548" w:type="dxa"/>
          </w:tcPr>
          <w:p w14:paraId="4460BA23" w14:textId="368D6D35" w:rsidR="00633ADC" w:rsidRPr="00633ADC" w:rsidRDefault="00633ADC" w:rsidP="00633ADC">
            <w:pPr>
              <w:pStyle w:val="Body"/>
            </w:pPr>
            <w:r w:rsidRPr="00633ADC">
              <w:t>Community</w:t>
            </w:r>
            <w:r w:rsidR="00EE6D35">
              <w:t xml:space="preserve"> </w:t>
            </w:r>
            <w:r w:rsidRPr="00633ADC">
              <w:t>connector</w:t>
            </w:r>
          </w:p>
        </w:tc>
        <w:tc>
          <w:tcPr>
            <w:tcW w:w="2549" w:type="dxa"/>
          </w:tcPr>
          <w:p w14:paraId="4DD1B57E" w14:textId="67C2305D" w:rsidR="00633ADC" w:rsidRPr="00633ADC" w:rsidRDefault="00633ADC" w:rsidP="00633ADC">
            <w:pPr>
              <w:pStyle w:val="Body"/>
            </w:pPr>
            <w:r w:rsidRPr="00633ADC">
              <w:t>Annually</w:t>
            </w:r>
            <w:r w:rsidR="00EE6D35">
              <w:t xml:space="preserve"> </w:t>
            </w:r>
            <w:r w:rsidRPr="00633ADC">
              <w:t>(due</w:t>
            </w:r>
            <w:r w:rsidR="00EE6D35">
              <w:t xml:space="preserve"> </w:t>
            </w:r>
            <w:r w:rsidRPr="00633ADC">
              <w:t>on</w:t>
            </w:r>
            <w:r w:rsidR="00EE6D35">
              <w:t xml:space="preserve"> </w:t>
            </w:r>
            <w:r w:rsidRPr="00633ADC">
              <w:t>1</w:t>
            </w:r>
            <w:r w:rsidR="00EE6D35">
              <w:t xml:space="preserve"> </w:t>
            </w:r>
            <w:r w:rsidRPr="00633ADC">
              <w:t>June)</w:t>
            </w:r>
          </w:p>
        </w:tc>
        <w:tc>
          <w:tcPr>
            <w:tcW w:w="2549" w:type="dxa"/>
          </w:tcPr>
          <w:p w14:paraId="012C8861" w14:textId="17BF25B3" w:rsidR="00633ADC" w:rsidRPr="00633ADC" w:rsidRDefault="00633ADC" w:rsidP="00633ADC">
            <w:pPr>
              <w:pStyle w:val="Body"/>
            </w:pPr>
            <w:r w:rsidRPr="00633ADC">
              <w:t>APSS</w:t>
            </w:r>
            <w:r w:rsidR="00EE6D35">
              <w:t xml:space="preserve"> </w:t>
            </w:r>
            <w:r w:rsidRPr="00633ADC">
              <w:t>advisor</w:t>
            </w:r>
          </w:p>
        </w:tc>
      </w:tr>
      <w:tr w:rsidR="00633ADC" w:rsidRPr="00633ADC" w14:paraId="58A66C48" w14:textId="77777777" w:rsidTr="00633ADC">
        <w:tc>
          <w:tcPr>
            <w:tcW w:w="2548" w:type="dxa"/>
          </w:tcPr>
          <w:p w14:paraId="643F3174" w14:textId="637E3E5F" w:rsidR="00633ADC" w:rsidRPr="00633ADC" w:rsidRDefault="00633ADC" w:rsidP="00633ADC">
            <w:pPr>
              <w:pStyle w:val="Body"/>
            </w:pPr>
            <w:r w:rsidRPr="00633ADC">
              <w:t>Quarterly</w:t>
            </w:r>
            <w:r w:rsidR="00EE6D35">
              <w:t xml:space="preserve"> </w:t>
            </w:r>
            <w:r w:rsidRPr="00633ADC">
              <w:t>report</w:t>
            </w:r>
            <w:r w:rsidR="00EE6D35">
              <w:t xml:space="preserve"> </w:t>
            </w:r>
          </w:p>
        </w:tc>
        <w:tc>
          <w:tcPr>
            <w:tcW w:w="2548" w:type="dxa"/>
          </w:tcPr>
          <w:p w14:paraId="6759133E" w14:textId="44E25D9C" w:rsidR="00633ADC" w:rsidRPr="00633ADC" w:rsidRDefault="00633ADC" w:rsidP="00633ADC">
            <w:pPr>
              <w:pStyle w:val="Body"/>
            </w:pPr>
            <w:r w:rsidRPr="00633ADC">
              <w:t>Community</w:t>
            </w:r>
            <w:r w:rsidR="00EE6D35">
              <w:t xml:space="preserve"> </w:t>
            </w:r>
            <w:r w:rsidRPr="00633ADC">
              <w:t>Integration</w:t>
            </w:r>
            <w:r w:rsidR="00EE6D35">
              <w:t xml:space="preserve"> </w:t>
            </w:r>
            <w:r w:rsidRPr="00633ADC">
              <w:t>Program</w:t>
            </w:r>
            <w:r w:rsidR="00410C81">
              <w:t xml:space="preserve"> </w:t>
            </w:r>
          </w:p>
        </w:tc>
        <w:tc>
          <w:tcPr>
            <w:tcW w:w="2549" w:type="dxa"/>
          </w:tcPr>
          <w:p w14:paraId="5F442523" w14:textId="399D76C6" w:rsidR="00633ADC" w:rsidRPr="00633ADC" w:rsidRDefault="00633ADC" w:rsidP="00633ADC">
            <w:pPr>
              <w:pStyle w:val="Body"/>
            </w:pPr>
            <w:r w:rsidRPr="00633ADC">
              <w:t>Quarterly</w:t>
            </w:r>
            <w:r w:rsidR="00EE6D35">
              <w:t xml:space="preserve"> </w:t>
            </w:r>
          </w:p>
        </w:tc>
        <w:tc>
          <w:tcPr>
            <w:tcW w:w="2549" w:type="dxa"/>
          </w:tcPr>
          <w:p w14:paraId="545193F8" w14:textId="46BF18D8" w:rsidR="00633ADC" w:rsidRPr="00633ADC" w:rsidRDefault="00633ADC" w:rsidP="00633ADC">
            <w:pPr>
              <w:pStyle w:val="Body"/>
            </w:pPr>
            <w:r w:rsidRPr="00633ADC">
              <w:t>Transitions</w:t>
            </w:r>
            <w:r w:rsidR="00EE6D35">
              <w:t xml:space="preserve"> </w:t>
            </w:r>
            <w:r w:rsidRPr="00633ADC">
              <w:t>from</w:t>
            </w:r>
            <w:r w:rsidR="00EE6D35">
              <w:t xml:space="preserve"> </w:t>
            </w:r>
            <w:r w:rsidRPr="00633ADC">
              <w:t>Care</w:t>
            </w:r>
            <w:r w:rsidR="00EE6D35">
              <w:t xml:space="preserve"> </w:t>
            </w:r>
            <w:r w:rsidRPr="00633ADC">
              <w:t>team</w:t>
            </w:r>
            <w:r w:rsidR="00EE6D35">
              <w:t xml:space="preserve"> </w:t>
            </w:r>
          </w:p>
        </w:tc>
      </w:tr>
      <w:tr w:rsidR="00633ADC" w:rsidRPr="00633ADC" w14:paraId="1A974396" w14:textId="77777777" w:rsidTr="00633ADC">
        <w:tc>
          <w:tcPr>
            <w:tcW w:w="2548" w:type="dxa"/>
          </w:tcPr>
          <w:p w14:paraId="0394E22C" w14:textId="6B5B5D03" w:rsidR="00633ADC" w:rsidRPr="00633ADC" w:rsidRDefault="00633ADC" w:rsidP="00633ADC">
            <w:pPr>
              <w:pStyle w:val="Body"/>
            </w:pPr>
            <w:r w:rsidRPr="00633ADC">
              <w:t>Quarterly</w:t>
            </w:r>
            <w:r w:rsidR="00EE6D35">
              <w:t xml:space="preserve"> </w:t>
            </w:r>
            <w:r w:rsidRPr="00633ADC">
              <w:t>report</w:t>
            </w:r>
            <w:r w:rsidR="00EE6D35">
              <w:t xml:space="preserve"> </w:t>
            </w:r>
          </w:p>
        </w:tc>
        <w:tc>
          <w:tcPr>
            <w:tcW w:w="2548" w:type="dxa"/>
          </w:tcPr>
          <w:p w14:paraId="01B56790" w14:textId="074386AE" w:rsidR="00633ADC" w:rsidRPr="00633ADC" w:rsidRDefault="00633ADC" w:rsidP="00633ADC">
            <w:pPr>
              <w:pStyle w:val="Body"/>
            </w:pPr>
            <w:r w:rsidRPr="00633ADC">
              <w:t>Ramp</w:t>
            </w:r>
            <w:r w:rsidR="00EE6D35">
              <w:t xml:space="preserve"> </w:t>
            </w:r>
            <w:r w:rsidRPr="00633ADC">
              <w:t>Mentoring</w:t>
            </w:r>
            <w:r w:rsidR="00EE6D35">
              <w:t xml:space="preserve"> </w:t>
            </w:r>
            <w:r w:rsidRPr="00633ADC">
              <w:t>Program</w:t>
            </w:r>
            <w:r w:rsidR="00EE6D35">
              <w:t xml:space="preserve"> </w:t>
            </w:r>
          </w:p>
        </w:tc>
        <w:tc>
          <w:tcPr>
            <w:tcW w:w="2549" w:type="dxa"/>
          </w:tcPr>
          <w:p w14:paraId="2752ADEB" w14:textId="4225EF04" w:rsidR="00633ADC" w:rsidRPr="00633ADC" w:rsidRDefault="00633ADC" w:rsidP="00633ADC">
            <w:pPr>
              <w:pStyle w:val="Body"/>
            </w:pPr>
            <w:r w:rsidRPr="00633ADC">
              <w:t>Quarterly</w:t>
            </w:r>
            <w:r w:rsidR="00EE6D35">
              <w:t xml:space="preserve"> </w:t>
            </w:r>
          </w:p>
        </w:tc>
        <w:tc>
          <w:tcPr>
            <w:tcW w:w="2549" w:type="dxa"/>
          </w:tcPr>
          <w:p w14:paraId="29E6E977" w14:textId="2D76FD61" w:rsidR="00633ADC" w:rsidRPr="00633ADC" w:rsidRDefault="00633ADC" w:rsidP="00633ADC">
            <w:pPr>
              <w:pStyle w:val="Body"/>
            </w:pPr>
            <w:r w:rsidRPr="00633ADC">
              <w:t>APSS</w:t>
            </w:r>
            <w:r w:rsidR="00EE6D35">
              <w:t xml:space="preserve"> </w:t>
            </w:r>
            <w:r w:rsidRPr="00633ADC">
              <w:t>advisor</w:t>
            </w:r>
          </w:p>
        </w:tc>
      </w:tr>
    </w:tbl>
    <w:p w14:paraId="1B849E96" w14:textId="77777777" w:rsidR="001579AD" w:rsidRDefault="001579AD" w:rsidP="001579AD">
      <w:pPr>
        <w:pStyle w:val="DHHSbody"/>
        <w:rPr>
          <w:lang w:eastAsia="en-AU"/>
        </w:rPr>
      </w:pPr>
      <w:bookmarkStart w:id="24" w:name="_Toc89733725"/>
    </w:p>
    <w:p w14:paraId="1FB19256" w14:textId="51288BB6" w:rsidR="001B20B3" w:rsidRPr="009C4376" w:rsidRDefault="001B20B3" w:rsidP="001B20B3">
      <w:pPr>
        <w:pStyle w:val="Heading2"/>
        <w:rPr>
          <w:rFonts w:ascii="Segoe UI" w:hAnsi="Segoe UI" w:cs="Segoe UI"/>
          <w:sz w:val="18"/>
          <w:szCs w:val="18"/>
          <w:lang w:eastAsia="en-AU"/>
        </w:rPr>
      </w:pPr>
      <w:bookmarkStart w:id="25" w:name="_Toc91146871"/>
      <w:r w:rsidRPr="009C4376">
        <w:rPr>
          <w:lang w:eastAsia="en-AU"/>
        </w:rPr>
        <w:t>Flexible</w:t>
      </w:r>
      <w:r w:rsidR="00EE6D35">
        <w:rPr>
          <w:lang w:eastAsia="en-AU"/>
        </w:rPr>
        <w:t xml:space="preserve"> </w:t>
      </w:r>
      <w:r w:rsidRPr="009C4376">
        <w:rPr>
          <w:lang w:eastAsia="en-AU"/>
        </w:rPr>
        <w:t>Funding</w:t>
      </w:r>
      <w:r w:rsidR="00EE6D35">
        <w:rPr>
          <w:lang w:eastAsia="en-AU"/>
        </w:rPr>
        <w:t xml:space="preserve"> </w:t>
      </w:r>
      <w:r w:rsidRPr="009C4376">
        <w:rPr>
          <w:lang w:eastAsia="en-AU"/>
        </w:rPr>
        <w:t>–</w:t>
      </w:r>
      <w:r w:rsidR="00EE6D35">
        <w:rPr>
          <w:lang w:eastAsia="en-AU"/>
        </w:rPr>
        <w:t xml:space="preserve"> </w:t>
      </w:r>
      <w:r w:rsidRPr="009C4376">
        <w:rPr>
          <w:lang w:eastAsia="en-AU"/>
        </w:rPr>
        <w:t>Better</w:t>
      </w:r>
      <w:r w:rsidR="00EE6D35">
        <w:rPr>
          <w:lang w:eastAsia="en-AU"/>
        </w:rPr>
        <w:t xml:space="preserve"> </w:t>
      </w:r>
      <w:r w:rsidRPr="009C4376">
        <w:rPr>
          <w:lang w:eastAsia="en-AU"/>
        </w:rPr>
        <w:t>Futures</w:t>
      </w:r>
      <w:r w:rsidR="00EE6D35">
        <w:rPr>
          <w:lang w:eastAsia="en-AU"/>
        </w:rPr>
        <w:t xml:space="preserve"> </w:t>
      </w:r>
      <w:r w:rsidRPr="009C4376">
        <w:rPr>
          <w:lang w:eastAsia="en-AU"/>
        </w:rPr>
        <w:t>31292</w:t>
      </w:r>
      <w:bookmarkEnd w:id="24"/>
      <w:bookmarkEnd w:id="25"/>
    </w:p>
    <w:p w14:paraId="7A47BB3D" w14:textId="0CF7D834" w:rsidR="001B20B3" w:rsidRPr="00A619D5" w:rsidRDefault="001B20B3" w:rsidP="001B20B3">
      <w:pPr>
        <w:pStyle w:val="DHHSbody"/>
      </w:pPr>
      <w:r w:rsidRPr="00A619D5">
        <w:t>This</w:t>
      </w:r>
      <w:r w:rsidR="00EE6D35">
        <w:t xml:space="preserve"> </w:t>
      </w:r>
      <w:r w:rsidRPr="00A619D5">
        <w:t>activity</w:t>
      </w:r>
      <w:r w:rsidR="00EE6D35">
        <w:t xml:space="preserve"> </w:t>
      </w:r>
      <w:r w:rsidRPr="00A619D5">
        <w:t>supports</w:t>
      </w:r>
      <w:r w:rsidR="00EE6D35">
        <w:t xml:space="preserve"> </w:t>
      </w:r>
      <w:r w:rsidRPr="00A619D5">
        <w:t>Better</w:t>
      </w:r>
      <w:r w:rsidR="00EE6D35">
        <w:t xml:space="preserve"> </w:t>
      </w:r>
      <w:r w:rsidRPr="00A619D5">
        <w:t>Futures</w:t>
      </w:r>
      <w:r w:rsidR="00EE6D35">
        <w:t xml:space="preserve"> </w:t>
      </w:r>
      <w:r w:rsidRPr="00A619D5">
        <w:t>and</w:t>
      </w:r>
      <w:r w:rsidR="00EE6D35">
        <w:t xml:space="preserve"> </w:t>
      </w:r>
      <w:r w:rsidRPr="00A619D5">
        <w:t>Home</w:t>
      </w:r>
      <w:r w:rsidR="00EE6D35">
        <w:t xml:space="preserve"> </w:t>
      </w:r>
      <w:r w:rsidRPr="00A619D5">
        <w:t>Stretch</w:t>
      </w:r>
      <w:r w:rsidR="00EE6D35">
        <w:t xml:space="preserve"> </w:t>
      </w:r>
      <w:r w:rsidRPr="00A619D5">
        <w:t>flexible</w:t>
      </w:r>
      <w:r w:rsidR="00EE6D35">
        <w:t xml:space="preserve"> </w:t>
      </w:r>
      <w:r w:rsidRPr="00A619D5">
        <w:t>funding</w:t>
      </w:r>
      <w:r w:rsidR="00EE6D35">
        <w:t xml:space="preserve"> </w:t>
      </w:r>
      <w:r w:rsidRPr="00A619D5">
        <w:t>and</w:t>
      </w:r>
      <w:r w:rsidR="00EE6D35">
        <w:t xml:space="preserve"> </w:t>
      </w:r>
      <w:r w:rsidRPr="00A619D5">
        <w:t>accommodation</w:t>
      </w:r>
      <w:r w:rsidR="00EE6D35">
        <w:t xml:space="preserve"> </w:t>
      </w:r>
      <w:r w:rsidRPr="00A619D5">
        <w:t>allowance</w:t>
      </w:r>
      <w:r w:rsidR="00EE6D35">
        <w:t xml:space="preserve"> </w:t>
      </w:r>
      <w:r w:rsidRPr="00A619D5">
        <w:t>responses</w:t>
      </w:r>
      <w:r w:rsidR="00EE6D35">
        <w:t xml:space="preserve"> </w:t>
      </w:r>
      <w:r w:rsidRPr="00A619D5">
        <w:t>provided</w:t>
      </w:r>
      <w:r w:rsidR="00EE6D35">
        <w:t xml:space="preserve"> </w:t>
      </w:r>
      <w:r w:rsidRPr="00A619D5">
        <w:t>to</w:t>
      </w:r>
      <w:r w:rsidR="00EE6D35">
        <w:t xml:space="preserve"> </w:t>
      </w:r>
      <w:r w:rsidRPr="00A619D5">
        <w:t>young</w:t>
      </w:r>
      <w:r w:rsidR="00EE6D35">
        <w:t xml:space="preserve"> </w:t>
      </w:r>
      <w:r w:rsidRPr="00A619D5">
        <w:t>people</w:t>
      </w:r>
      <w:r w:rsidR="00EE6D35">
        <w:t xml:space="preserve"> </w:t>
      </w:r>
      <w:r w:rsidRPr="00A619D5">
        <w:t>transitioning</w:t>
      </w:r>
      <w:r w:rsidR="00EE6D35">
        <w:t xml:space="preserve"> </w:t>
      </w:r>
      <w:r w:rsidRPr="00A619D5">
        <w:t>from</w:t>
      </w:r>
      <w:r w:rsidR="00EE6D35">
        <w:t xml:space="preserve"> </w:t>
      </w:r>
      <w:r w:rsidRPr="00A619D5">
        <w:t>care</w:t>
      </w:r>
      <w:r w:rsidR="00EE6D35">
        <w:t xml:space="preserve"> </w:t>
      </w:r>
      <w:r w:rsidRPr="00A619D5">
        <w:t>(including</w:t>
      </w:r>
      <w:r w:rsidR="00EE6D35">
        <w:t xml:space="preserve"> </w:t>
      </w:r>
      <w:r w:rsidRPr="00A619D5">
        <w:t>young</w:t>
      </w:r>
      <w:r w:rsidR="00EE6D35">
        <w:t xml:space="preserve"> </w:t>
      </w:r>
      <w:r w:rsidRPr="00A619D5">
        <w:t>people</w:t>
      </w:r>
      <w:r w:rsidR="00EE6D35">
        <w:t xml:space="preserve"> </w:t>
      </w:r>
      <w:r w:rsidRPr="00A619D5">
        <w:t>preparing</w:t>
      </w:r>
      <w:r w:rsidR="00EE6D35">
        <w:t xml:space="preserve"> </w:t>
      </w:r>
      <w:r w:rsidRPr="00A619D5">
        <w:t>to</w:t>
      </w:r>
      <w:r w:rsidR="00EE6D35">
        <w:t xml:space="preserve"> </w:t>
      </w:r>
      <w:r w:rsidRPr="00A619D5">
        <w:t>transition</w:t>
      </w:r>
      <w:r w:rsidR="00EE6D35">
        <w:t xml:space="preserve"> </w:t>
      </w:r>
      <w:r w:rsidRPr="00A619D5">
        <w:t>and</w:t>
      </w:r>
      <w:r w:rsidR="00EE6D35">
        <w:t xml:space="preserve"> </w:t>
      </w:r>
      <w:r w:rsidRPr="00A619D5">
        <w:t>those</w:t>
      </w:r>
      <w:r w:rsidR="00EE6D35">
        <w:t xml:space="preserve"> </w:t>
      </w:r>
      <w:r w:rsidRPr="00A619D5">
        <w:t>who</w:t>
      </w:r>
      <w:r w:rsidR="00EE6D35">
        <w:t xml:space="preserve"> </w:t>
      </w:r>
      <w:r w:rsidRPr="00A619D5">
        <w:t>have</w:t>
      </w:r>
      <w:r w:rsidR="00EE6D35">
        <w:t xml:space="preserve"> </w:t>
      </w:r>
      <w:r w:rsidRPr="00A619D5">
        <w:t>left</w:t>
      </w:r>
      <w:r w:rsidR="00EE6D35">
        <w:t xml:space="preserve"> </w:t>
      </w:r>
      <w:r w:rsidRPr="00A619D5">
        <w:t>care).</w:t>
      </w:r>
      <w:r w:rsidR="00EE6D35">
        <w:t xml:space="preserve"> </w:t>
      </w:r>
      <w:r w:rsidRPr="00A619D5">
        <w:t>It</w:t>
      </w:r>
      <w:r w:rsidR="00EE6D35">
        <w:t xml:space="preserve"> </w:t>
      </w:r>
      <w:r w:rsidRPr="00A619D5">
        <w:t>applies</w:t>
      </w:r>
      <w:r w:rsidR="00EE6D35">
        <w:t xml:space="preserve"> </w:t>
      </w:r>
      <w:r w:rsidRPr="00A619D5">
        <w:t>to</w:t>
      </w:r>
      <w:r w:rsidR="00EE6D35">
        <w:t xml:space="preserve"> </w:t>
      </w:r>
      <w:r w:rsidRPr="00A619D5">
        <w:t>young</w:t>
      </w:r>
      <w:r w:rsidR="00EE6D35">
        <w:t xml:space="preserve"> </w:t>
      </w:r>
      <w:r w:rsidRPr="00A619D5">
        <w:t>people</w:t>
      </w:r>
      <w:r w:rsidR="00EE6D35">
        <w:t xml:space="preserve"> </w:t>
      </w:r>
      <w:r w:rsidRPr="00A619D5">
        <w:t>who</w:t>
      </w:r>
      <w:r w:rsidR="00EE6D35">
        <w:t xml:space="preserve"> </w:t>
      </w:r>
      <w:r w:rsidRPr="00A619D5">
        <w:t>are</w:t>
      </w:r>
      <w:r w:rsidR="00EE6D35">
        <w:t xml:space="preserve"> </w:t>
      </w:r>
      <w:r w:rsidRPr="00A619D5">
        <w:t>receiving</w:t>
      </w:r>
      <w:r w:rsidR="00EE6D35">
        <w:t xml:space="preserve"> </w:t>
      </w:r>
      <w:r w:rsidRPr="00A619D5">
        <w:t>active</w:t>
      </w:r>
      <w:r w:rsidR="00EE6D35">
        <w:t xml:space="preserve"> </w:t>
      </w:r>
      <w:r w:rsidRPr="00A619D5">
        <w:t>hold,</w:t>
      </w:r>
      <w:r w:rsidR="00EE6D35">
        <w:t xml:space="preserve"> </w:t>
      </w:r>
      <w:r w:rsidRPr="00A619D5">
        <w:t>limited</w:t>
      </w:r>
      <w:r w:rsidR="00EE6D35">
        <w:t xml:space="preserve"> </w:t>
      </w:r>
      <w:r w:rsidRPr="00A619D5">
        <w:t>support,</w:t>
      </w:r>
      <w:r w:rsidR="00EE6D35">
        <w:t xml:space="preserve"> </w:t>
      </w:r>
      <w:r w:rsidRPr="00A619D5">
        <w:t>and</w:t>
      </w:r>
      <w:r w:rsidR="00EE6D35">
        <w:t xml:space="preserve"> </w:t>
      </w:r>
      <w:r w:rsidRPr="00A619D5">
        <w:t>active</w:t>
      </w:r>
      <w:r w:rsidR="00EE6D35">
        <w:t xml:space="preserve"> </w:t>
      </w:r>
      <w:r w:rsidRPr="00A619D5">
        <w:t>support</w:t>
      </w:r>
      <w:r w:rsidR="00EE6D35">
        <w:t xml:space="preserve"> </w:t>
      </w:r>
      <w:r w:rsidRPr="00A619D5">
        <w:t>from</w:t>
      </w:r>
      <w:r w:rsidR="00EE6D35">
        <w:t xml:space="preserve"> </w:t>
      </w:r>
      <w:r w:rsidRPr="00A619D5">
        <w:t>Better</w:t>
      </w:r>
      <w:r w:rsidR="00EE6D35">
        <w:t xml:space="preserve"> </w:t>
      </w:r>
      <w:r w:rsidRPr="00A619D5">
        <w:t>Futures</w:t>
      </w:r>
      <w:r w:rsidR="00EE6D35">
        <w:t xml:space="preserve"> </w:t>
      </w:r>
      <w:r w:rsidRPr="00A619D5">
        <w:t>funded</w:t>
      </w:r>
      <w:r w:rsidR="00EE6D35">
        <w:t xml:space="preserve"> </w:t>
      </w:r>
      <w:r w:rsidRPr="00A619D5">
        <w:t>organisations.</w:t>
      </w:r>
      <w:r w:rsidR="00EE6D35">
        <w:t xml:space="preserve"> </w:t>
      </w:r>
    </w:p>
    <w:p w14:paraId="2CE716BC" w14:textId="3CFEE27F" w:rsidR="001B20B3" w:rsidRPr="00A619D5" w:rsidRDefault="001B20B3" w:rsidP="001B20B3">
      <w:pPr>
        <w:pStyle w:val="DHHSbody"/>
      </w:pPr>
      <w:r w:rsidRPr="00A619D5">
        <w:t>Organisations</w:t>
      </w:r>
      <w:r w:rsidR="00EE6D35">
        <w:t xml:space="preserve"> </w:t>
      </w:r>
      <w:r w:rsidRPr="00A619D5">
        <w:t>must</w:t>
      </w:r>
      <w:r w:rsidR="00EE6D35">
        <w:t xml:space="preserve"> </w:t>
      </w:r>
      <w:r w:rsidRPr="00A619D5">
        <w:t>report</w:t>
      </w:r>
      <w:r w:rsidR="00EE6D35">
        <w:t xml:space="preserve"> </w:t>
      </w:r>
      <w:r w:rsidRPr="00A619D5">
        <w:t>on</w:t>
      </w:r>
      <w:r w:rsidR="00EE6D35">
        <w:t xml:space="preserve"> </w:t>
      </w:r>
      <w:r w:rsidRPr="00A619D5">
        <w:t>the</w:t>
      </w:r>
      <w:r w:rsidR="00EE6D35">
        <w:t xml:space="preserve"> </w:t>
      </w:r>
    </w:p>
    <w:p w14:paraId="386002A3" w14:textId="2096BA47" w:rsidR="001B20B3" w:rsidRPr="00A619D5" w:rsidRDefault="001B20B3" w:rsidP="001B20B3">
      <w:pPr>
        <w:pStyle w:val="DHHSbody"/>
        <w:numPr>
          <w:ilvl w:val="0"/>
          <w:numId w:val="43"/>
        </w:numPr>
      </w:pPr>
      <w:r w:rsidRPr="00A619D5">
        <w:t>total</w:t>
      </w:r>
      <w:r w:rsidR="00EE6D35">
        <w:t xml:space="preserve"> </w:t>
      </w:r>
      <w:r w:rsidRPr="00A619D5">
        <w:t>amount</w:t>
      </w:r>
      <w:r w:rsidR="00EE6D35">
        <w:t xml:space="preserve"> </w:t>
      </w:r>
      <w:r w:rsidRPr="00A619D5">
        <w:t>of</w:t>
      </w:r>
      <w:r w:rsidR="00EE6D35">
        <w:t xml:space="preserve"> </w:t>
      </w:r>
      <w:r w:rsidRPr="00A619D5">
        <w:t>Better</w:t>
      </w:r>
      <w:r w:rsidR="00EE6D35">
        <w:t xml:space="preserve"> </w:t>
      </w:r>
      <w:r w:rsidRPr="00A619D5">
        <w:t>Futures</w:t>
      </w:r>
      <w:r w:rsidR="00EE6D35">
        <w:t xml:space="preserve"> </w:t>
      </w:r>
      <w:r w:rsidRPr="00A619D5">
        <w:t>and</w:t>
      </w:r>
      <w:r w:rsidR="00EE6D35">
        <w:t xml:space="preserve"> </w:t>
      </w:r>
      <w:r w:rsidRPr="00A619D5">
        <w:t>or</w:t>
      </w:r>
      <w:r w:rsidR="00EE6D35">
        <w:t xml:space="preserve"> </w:t>
      </w:r>
      <w:r w:rsidRPr="00A619D5">
        <w:t>Home</w:t>
      </w:r>
      <w:r w:rsidR="00EE6D35">
        <w:t xml:space="preserve"> </w:t>
      </w:r>
      <w:r w:rsidRPr="00A619D5">
        <w:t>Stretch</w:t>
      </w:r>
      <w:r w:rsidR="00EE6D35">
        <w:t xml:space="preserve"> </w:t>
      </w:r>
      <w:r w:rsidRPr="00A619D5">
        <w:t>flexible</w:t>
      </w:r>
      <w:r w:rsidR="00EE6D35">
        <w:t xml:space="preserve"> </w:t>
      </w:r>
      <w:r w:rsidRPr="00A619D5">
        <w:t>funding</w:t>
      </w:r>
      <w:r w:rsidR="00EE6D35">
        <w:t xml:space="preserve"> </w:t>
      </w:r>
      <w:r w:rsidRPr="00A619D5">
        <w:t>expended</w:t>
      </w:r>
      <w:r w:rsidR="00EE6D35">
        <w:t xml:space="preserve"> </w:t>
      </w:r>
    </w:p>
    <w:p w14:paraId="565206F9" w14:textId="3B2D0BB3" w:rsidR="001B20B3" w:rsidRPr="00A619D5" w:rsidRDefault="001B20B3" w:rsidP="001B20B3">
      <w:pPr>
        <w:pStyle w:val="DHHSbody"/>
        <w:numPr>
          <w:ilvl w:val="0"/>
          <w:numId w:val="43"/>
        </w:numPr>
      </w:pPr>
      <w:r w:rsidRPr="00A619D5">
        <w:t>total</w:t>
      </w:r>
      <w:r w:rsidR="00EE6D35">
        <w:t xml:space="preserve"> </w:t>
      </w:r>
      <w:r w:rsidRPr="00A619D5">
        <w:t>amount</w:t>
      </w:r>
      <w:r w:rsidR="00EE6D35">
        <w:t xml:space="preserve"> </w:t>
      </w:r>
      <w:r w:rsidRPr="00A619D5">
        <w:t>of</w:t>
      </w:r>
      <w:r w:rsidR="00EE6D35">
        <w:t xml:space="preserve"> </w:t>
      </w:r>
      <w:r w:rsidRPr="00A619D5">
        <w:t>the</w:t>
      </w:r>
      <w:r w:rsidR="00EE6D35">
        <w:t xml:space="preserve"> </w:t>
      </w:r>
      <w:r w:rsidRPr="00A619D5">
        <w:t>Home</w:t>
      </w:r>
      <w:r w:rsidR="00EE6D35">
        <w:t xml:space="preserve"> </w:t>
      </w:r>
      <w:r w:rsidRPr="00A619D5">
        <w:t>Stretch</w:t>
      </w:r>
      <w:r w:rsidR="00EE6D35">
        <w:t xml:space="preserve"> </w:t>
      </w:r>
      <w:r w:rsidRPr="00A619D5">
        <w:t>Flexible</w:t>
      </w:r>
      <w:r w:rsidR="00EE6D35">
        <w:t xml:space="preserve"> </w:t>
      </w:r>
      <w:r w:rsidRPr="00A619D5">
        <w:t>Funding</w:t>
      </w:r>
      <w:r w:rsidR="00EE6D35">
        <w:t xml:space="preserve"> </w:t>
      </w:r>
      <w:r w:rsidRPr="00A619D5">
        <w:t>Independent</w:t>
      </w:r>
      <w:r w:rsidR="00EE6D35">
        <w:t xml:space="preserve"> </w:t>
      </w:r>
      <w:r w:rsidRPr="00A619D5">
        <w:t>Accommodation</w:t>
      </w:r>
      <w:r w:rsidR="00EE6D35">
        <w:t xml:space="preserve"> </w:t>
      </w:r>
      <w:r w:rsidRPr="00A619D5">
        <w:t>Allowance</w:t>
      </w:r>
      <w:r w:rsidR="00EE6D35">
        <w:t xml:space="preserve"> </w:t>
      </w:r>
      <w:r w:rsidRPr="00A619D5">
        <w:t>expended</w:t>
      </w:r>
      <w:r w:rsidR="00EE6D35">
        <w:t xml:space="preserve"> </w:t>
      </w:r>
    </w:p>
    <w:p w14:paraId="23E25D8B" w14:textId="2E98C401" w:rsidR="001B20B3" w:rsidRPr="00A619D5" w:rsidRDefault="001B20B3" w:rsidP="001B20B3">
      <w:pPr>
        <w:pStyle w:val="DHHSbody"/>
        <w:numPr>
          <w:ilvl w:val="0"/>
          <w:numId w:val="43"/>
        </w:numPr>
      </w:pPr>
      <w:r w:rsidRPr="00A619D5">
        <w:t>number</w:t>
      </w:r>
      <w:r w:rsidR="00EE6D35">
        <w:t xml:space="preserve"> </w:t>
      </w:r>
      <w:r w:rsidRPr="00A619D5">
        <w:t>of</w:t>
      </w:r>
      <w:r w:rsidR="00EE6D35">
        <w:t xml:space="preserve"> </w:t>
      </w:r>
      <w:r w:rsidRPr="00A619D5">
        <w:t>Better</w:t>
      </w:r>
      <w:r w:rsidR="00EE6D35">
        <w:t xml:space="preserve"> </w:t>
      </w:r>
      <w:r w:rsidRPr="00A619D5">
        <w:t>Futures</w:t>
      </w:r>
      <w:r w:rsidR="00EE6D35">
        <w:t xml:space="preserve"> </w:t>
      </w:r>
      <w:r w:rsidRPr="00A619D5">
        <w:t>or</w:t>
      </w:r>
      <w:r w:rsidR="00EE6D35">
        <w:t xml:space="preserve"> </w:t>
      </w:r>
      <w:r w:rsidRPr="00A619D5">
        <w:t>Home</w:t>
      </w:r>
      <w:r w:rsidR="00EE6D35">
        <w:t xml:space="preserve"> </w:t>
      </w:r>
      <w:r w:rsidRPr="00A619D5">
        <w:t>Stretch</w:t>
      </w:r>
      <w:r w:rsidR="00EE6D35">
        <w:t xml:space="preserve"> </w:t>
      </w:r>
      <w:r w:rsidRPr="00A619D5">
        <w:t>Flexible</w:t>
      </w:r>
      <w:r w:rsidR="00EE6D35">
        <w:t xml:space="preserve"> </w:t>
      </w:r>
      <w:r w:rsidRPr="00A619D5">
        <w:t>Funding</w:t>
      </w:r>
      <w:r w:rsidR="00EE6D35">
        <w:t xml:space="preserve"> </w:t>
      </w:r>
      <w:r w:rsidRPr="00A619D5">
        <w:t>packages</w:t>
      </w:r>
      <w:r w:rsidR="00EE6D35">
        <w:t xml:space="preserve"> </w:t>
      </w:r>
      <w:r w:rsidRPr="00A619D5">
        <w:t>provided</w:t>
      </w:r>
      <w:r w:rsidR="00EE6D35">
        <w:t xml:space="preserve"> </w:t>
      </w:r>
      <w:r w:rsidRPr="00A619D5">
        <w:t>and</w:t>
      </w:r>
      <w:r w:rsidR="00EE6D35">
        <w:t xml:space="preserve"> </w:t>
      </w:r>
      <w:r w:rsidRPr="00A619D5">
        <w:t>the</w:t>
      </w:r>
      <w:r w:rsidR="00EE6D35">
        <w:t xml:space="preserve"> </w:t>
      </w:r>
      <w:r w:rsidRPr="00A619D5">
        <w:t>type</w:t>
      </w:r>
      <w:r w:rsidR="00EE6D35">
        <w:t xml:space="preserve"> </w:t>
      </w:r>
      <w:r w:rsidRPr="00A619D5">
        <w:t>of</w:t>
      </w:r>
      <w:r w:rsidR="00EE6D35">
        <w:t xml:space="preserve"> </w:t>
      </w:r>
      <w:r w:rsidRPr="00A619D5">
        <w:t>expenditure</w:t>
      </w:r>
      <w:r w:rsidR="00EE6D35">
        <w:t xml:space="preserve"> </w:t>
      </w:r>
    </w:p>
    <w:p w14:paraId="3E2B643B" w14:textId="4816CA9B" w:rsidR="001B20B3" w:rsidRPr="00A619D5" w:rsidRDefault="001B20B3" w:rsidP="001B20B3">
      <w:pPr>
        <w:pStyle w:val="DHHSbody"/>
        <w:numPr>
          <w:ilvl w:val="0"/>
          <w:numId w:val="43"/>
        </w:numPr>
      </w:pPr>
      <w:r w:rsidRPr="00A619D5">
        <w:t>number</w:t>
      </w:r>
      <w:r w:rsidR="00EE6D35">
        <w:t xml:space="preserve"> </w:t>
      </w:r>
      <w:r w:rsidRPr="00A619D5">
        <w:t>of</w:t>
      </w:r>
      <w:r w:rsidR="00EE6D35">
        <w:t xml:space="preserve"> </w:t>
      </w:r>
      <w:r w:rsidRPr="00A619D5">
        <w:t>Home</w:t>
      </w:r>
      <w:r w:rsidR="00EE6D35">
        <w:t xml:space="preserve"> </w:t>
      </w:r>
      <w:r w:rsidRPr="00A619D5">
        <w:t>Stretch</w:t>
      </w:r>
      <w:r w:rsidR="00EE6D35">
        <w:t xml:space="preserve"> </w:t>
      </w:r>
      <w:r w:rsidRPr="00A619D5">
        <w:t>Flexible</w:t>
      </w:r>
      <w:r w:rsidR="00EE6D35">
        <w:t xml:space="preserve"> </w:t>
      </w:r>
      <w:r w:rsidRPr="00A619D5">
        <w:t>Funding</w:t>
      </w:r>
      <w:r w:rsidR="00EE6D35">
        <w:t xml:space="preserve"> </w:t>
      </w:r>
      <w:r w:rsidRPr="00A619D5">
        <w:t>Independent</w:t>
      </w:r>
      <w:r w:rsidR="00EE6D35">
        <w:t xml:space="preserve"> </w:t>
      </w:r>
      <w:r w:rsidRPr="00A619D5">
        <w:t>Accommodation</w:t>
      </w:r>
      <w:r w:rsidR="00EE6D35">
        <w:t xml:space="preserve"> </w:t>
      </w:r>
      <w:r w:rsidRPr="00A619D5">
        <w:t>Allowance</w:t>
      </w:r>
      <w:r w:rsidR="00EE6D35">
        <w:t xml:space="preserve"> </w:t>
      </w:r>
      <w:r w:rsidRPr="00A619D5">
        <w:t>packages</w:t>
      </w:r>
      <w:r w:rsidR="00EE6D35">
        <w:t xml:space="preserve"> </w:t>
      </w:r>
      <w:r w:rsidRPr="00A619D5">
        <w:t>provided</w:t>
      </w:r>
      <w:r w:rsidR="00EE6D35">
        <w:t xml:space="preserve"> </w:t>
      </w:r>
      <w:r w:rsidRPr="00A619D5">
        <w:t>and</w:t>
      </w:r>
      <w:r w:rsidR="00EE6D35">
        <w:t xml:space="preserve"> </w:t>
      </w:r>
      <w:r w:rsidRPr="00A619D5">
        <w:t>the</w:t>
      </w:r>
      <w:r w:rsidR="00EE6D35">
        <w:t xml:space="preserve"> </w:t>
      </w:r>
      <w:r w:rsidRPr="00A619D5">
        <w:t>type</w:t>
      </w:r>
      <w:r w:rsidR="00EE6D35">
        <w:t xml:space="preserve"> </w:t>
      </w:r>
      <w:r w:rsidRPr="00A619D5">
        <w:t>of</w:t>
      </w:r>
      <w:r w:rsidR="00EE6D35">
        <w:t xml:space="preserve"> </w:t>
      </w:r>
      <w:r w:rsidRPr="00A619D5">
        <w:t>expenditure.</w:t>
      </w:r>
      <w:r w:rsidR="00EE6D35">
        <w:t xml:space="preserve"> </w:t>
      </w:r>
    </w:p>
    <w:p w14:paraId="21B0F0E5" w14:textId="1F22B47A" w:rsidR="001B20B3" w:rsidRPr="00A619D5" w:rsidRDefault="001B20B3" w:rsidP="001B20B3">
      <w:pPr>
        <w:pStyle w:val="DHHSbody"/>
      </w:pPr>
      <w:r w:rsidRPr="00A619D5">
        <w:t>“Expended”</w:t>
      </w:r>
      <w:r w:rsidR="00EE6D35">
        <w:t xml:space="preserve"> </w:t>
      </w:r>
      <w:r w:rsidRPr="00A619D5">
        <w:t>refers</w:t>
      </w:r>
      <w:r w:rsidR="00EE6D35">
        <w:t xml:space="preserve"> </w:t>
      </w:r>
      <w:r w:rsidRPr="00A619D5">
        <w:t>to</w:t>
      </w:r>
      <w:r w:rsidR="00EE6D35">
        <w:t xml:space="preserve"> </w:t>
      </w:r>
      <w:r w:rsidRPr="00A619D5">
        <w:t>funds</w:t>
      </w:r>
      <w:r w:rsidR="00EE6D35">
        <w:t xml:space="preserve"> </w:t>
      </w:r>
      <w:r w:rsidRPr="00A619D5">
        <w:t>spent</w:t>
      </w:r>
      <w:r w:rsidR="00EE6D35">
        <w:t xml:space="preserve"> </w:t>
      </w:r>
      <w:r w:rsidRPr="00A619D5">
        <w:t>and</w:t>
      </w:r>
      <w:r w:rsidR="00EE6D35">
        <w:t xml:space="preserve"> </w:t>
      </w:r>
      <w:r w:rsidRPr="00A619D5">
        <w:t>not</w:t>
      </w:r>
      <w:r w:rsidR="00EE6D35">
        <w:t xml:space="preserve"> </w:t>
      </w:r>
      <w:r w:rsidRPr="00A619D5">
        <w:t>funds</w:t>
      </w:r>
      <w:r w:rsidR="00EE6D35">
        <w:t xml:space="preserve"> </w:t>
      </w:r>
      <w:r w:rsidRPr="00A619D5">
        <w:t>approved.</w:t>
      </w:r>
      <w:r w:rsidR="00EE6D35">
        <w:t xml:space="preserve"> </w:t>
      </w:r>
      <w:r w:rsidRPr="00A619D5">
        <w:t>The</w:t>
      </w:r>
      <w:r w:rsidR="00EE6D35">
        <w:t xml:space="preserve"> </w:t>
      </w:r>
      <w:r w:rsidRPr="00A619D5">
        <w:t>total</w:t>
      </w:r>
      <w:r w:rsidR="00EE6D35">
        <w:t xml:space="preserve"> </w:t>
      </w:r>
      <w:r w:rsidRPr="00A619D5">
        <w:t>flexible</w:t>
      </w:r>
      <w:r w:rsidR="00EE6D35">
        <w:t xml:space="preserve"> </w:t>
      </w:r>
      <w:r w:rsidRPr="00A619D5">
        <w:t>funding</w:t>
      </w:r>
      <w:r w:rsidR="00EE6D35">
        <w:t xml:space="preserve"> </w:t>
      </w:r>
      <w:r w:rsidRPr="00A619D5">
        <w:t>expenditure</w:t>
      </w:r>
      <w:r w:rsidR="00EE6D35">
        <w:t xml:space="preserve"> </w:t>
      </w:r>
      <w:r>
        <w:t>is</w:t>
      </w:r>
      <w:r w:rsidR="00EE6D35">
        <w:t xml:space="preserve"> </w:t>
      </w:r>
      <w:r w:rsidRPr="00A619D5">
        <w:t>recorded</w:t>
      </w:r>
      <w:r w:rsidR="00EE6D35">
        <w:t xml:space="preserve"> </w:t>
      </w:r>
      <w:r w:rsidRPr="00A619D5">
        <w:t>on</w:t>
      </w:r>
      <w:r w:rsidR="00EE6D35">
        <w:t xml:space="preserve"> </w:t>
      </w:r>
      <w:r w:rsidRPr="00A619D5">
        <w:t>CRISSP,</w:t>
      </w:r>
      <w:r w:rsidR="00EE6D35">
        <w:t xml:space="preserve"> </w:t>
      </w:r>
      <w:r w:rsidRPr="00A619D5">
        <w:t>generated</w:t>
      </w:r>
      <w:r w:rsidR="00EE6D35">
        <w:t xml:space="preserve"> </w:t>
      </w:r>
      <w:r w:rsidRPr="00A619D5">
        <w:t>into</w:t>
      </w:r>
      <w:r w:rsidR="00EE6D35">
        <w:t xml:space="preserve"> </w:t>
      </w:r>
      <w:r w:rsidRPr="00A619D5">
        <w:t>the</w:t>
      </w:r>
      <w:r w:rsidR="00EE6D35">
        <w:t xml:space="preserve"> </w:t>
      </w:r>
      <w:r w:rsidRPr="00A619D5">
        <w:t>monthly</w:t>
      </w:r>
      <w:r w:rsidR="00EE6D35">
        <w:t xml:space="preserve"> </w:t>
      </w:r>
      <w:r w:rsidRPr="00A619D5">
        <w:t>CRISSP</w:t>
      </w:r>
      <w:r w:rsidR="00EE6D35">
        <w:t xml:space="preserve"> </w:t>
      </w:r>
      <w:r w:rsidRPr="00A619D5">
        <w:t>report,</w:t>
      </w:r>
      <w:r w:rsidR="00EE6D35">
        <w:t xml:space="preserve"> </w:t>
      </w:r>
      <w:r w:rsidRPr="00A619D5">
        <w:t>and</w:t>
      </w:r>
      <w:r w:rsidR="00EE6D35">
        <w:t xml:space="preserve"> </w:t>
      </w:r>
      <w:r w:rsidRPr="00A619D5">
        <w:t>entered</w:t>
      </w:r>
      <w:r w:rsidR="00EE6D35">
        <w:t xml:space="preserve"> </w:t>
      </w:r>
      <w:r w:rsidRPr="00A619D5">
        <w:t>into</w:t>
      </w:r>
      <w:r w:rsidR="00EE6D35">
        <w:t xml:space="preserve"> </w:t>
      </w:r>
      <w:r w:rsidRPr="00A619D5">
        <w:t>SDT.</w:t>
      </w:r>
      <w:r w:rsidR="00EE6D35">
        <w:t xml:space="preserve"> </w:t>
      </w:r>
    </w:p>
    <w:p w14:paraId="43830904" w14:textId="77777777" w:rsidR="00410C81" w:rsidRDefault="001B20B3" w:rsidP="001B20B3">
      <w:pPr>
        <w:pStyle w:val="DHHSbody"/>
      </w:pPr>
      <w:r w:rsidRPr="00A619D5">
        <w:lastRenderedPageBreak/>
        <w:t>‘Packages’</w:t>
      </w:r>
      <w:r w:rsidR="00EE6D35">
        <w:t xml:space="preserve"> </w:t>
      </w:r>
      <w:r w:rsidRPr="00A619D5">
        <w:t>refers</w:t>
      </w:r>
      <w:r w:rsidR="00EE6D35">
        <w:t xml:space="preserve"> </w:t>
      </w:r>
      <w:r w:rsidRPr="00A619D5">
        <w:t>to</w:t>
      </w:r>
      <w:r w:rsidR="00EE6D35">
        <w:t xml:space="preserve"> </w:t>
      </w:r>
      <w:r w:rsidRPr="00A619D5">
        <w:t>an</w:t>
      </w:r>
      <w:r w:rsidR="00EE6D35">
        <w:t xml:space="preserve"> </w:t>
      </w:r>
      <w:r w:rsidRPr="00A619D5">
        <w:t>instance</w:t>
      </w:r>
      <w:r w:rsidR="00EE6D35">
        <w:t xml:space="preserve"> </w:t>
      </w:r>
      <w:r w:rsidRPr="00A619D5">
        <w:t>of</w:t>
      </w:r>
      <w:r w:rsidR="00EE6D35">
        <w:t xml:space="preserve"> </w:t>
      </w:r>
      <w:r w:rsidRPr="00A619D5">
        <w:t>Better</w:t>
      </w:r>
      <w:r w:rsidR="00EE6D35">
        <w:t xml:space="preserve"> </w:t>
      </w:r>
      <w:r w:rsidRPr="00A619D5">
        <w:t>Futures</w:t>
      </w:r>
      <w:r w:rsidR="00EE6D35">
        <w:t xml:space="preserve"> </w:t>
      </w:r>
      <w:r w:rsidRPr="00A619D5">
        <w:t>or</w:t>
      </w:r>
      <w:r w:rsidR="00EE6D35">
        <w:t xml:space="preserve"> </w:t>
      </w:r>
      <w:r w:rsidRPr="00A619D5">
        <w:t>Home</w:t>
      </w:r>
      <w:r w:rsidR="00EE6D35">
        <w:t xml:space="preserve"> </w:t>
      </w:r>
      <w:r w:rsidRPr="00A619D5">
        <w:t>Stretch</w:t>
      </w:r>
      <w:r w:rsidR="00EE6D35">
        <w:t xml:space="preserve"> </w:t>
      </w:r>
      <w:r w:rsidRPr="00A619D5">
        <w:t>Flexible</w:t>
      </w:r>
      <w:r w:rsidR="00EE6D35">
        <w:t xml:space="preserve"> </w:t>
      </w:r>
      <w:r w:rsidRPr="00A619D5">
        <w:t>Funding</w:t>
      </w:r>
      <w:r w:rsidR="00EE6D35">
        <w:t xml:space="preserve"> </w:t>
      </w:r>
      <w:r w:rsidRPr="00A619D5">
        <w:t>expenditure.</w:t>
      </w:r>
      <w:r w:rsidR="00EE6D35">
        <w:t xml:space="preserve"> </w:t>
      </w:r>
      <w:r w:rsidRPr="00A619D5">
        <w:t>For</w:t>
      </w:r>
      <w:r w:rsidR="00EE6D35">
        <w:t xml:space="preserve"> </w:t>
      </w:r>
      <w:r w:rsidRPr="00A619D5">
        <w:t>example,</w:t>
      </w:r>
      <w:r w:rsidR="00EE6D35">
        <w:t xml:space="preserve"> </w:t>
      </w:r>
      <w:r w:rsidRPr="00A619D5">
        <w:t>one</w:t>
      </w:r>
      <w:r w:rsidR="00EE6D35">
        <w:t xml:space="preserve"> </w:t>
      </w:r>
      <w:r w:rsidRPr="00A619D5">
        <w:t>package</w:t>
      </w:r>
      <w:r w:rsidR="00EE6D35">
        <w:t xml:space="preserve"> </w:t>
      </w:r>
      <w:r w:rsidRPr="00A619D5">
        <w:t>may</w:t>
      </w:r>
      <w:r w:rsidR="00EE6D35">
        <w:t xml:space="preserve"> </w:t>
      </w:r>
      <w:r w:rsidRPr="00A619D5">
        <w:t>be</w:t>
      </w:r>
      <w:r w:rsidR="00EE6D35">
        <w:t xml:space="preserve"> </w:t>
      </w:r>
      <w:r w:rsidRPr="00A619D5">
        <w:t>an</w:t>
      </w:r>
      <w:r w:rsidR="00EE6D35">
        <w:t xml:space="preserve"> </w:t>
      </w:r>
      <w:r w:rsidRPr="00A619D5">
        <w:t>instance</w:t>
      </w:r>
      <w:r w:rsidR="00EE6D35">
        <w:t xml:space="preserve"> </w:t>
      </w:r>
      <w:r w:rsidRPr="00A619D5">
        <w:t>of</w:t>
      </w:r>
      <w:r w:rsidR="00EE6D35">
        <w:t xml:space="preserve"> </w:t>
      </w:r>
      <w:r w:rsidRPr="00A619D5">
        <w:t>funding</w:t>
      </w:r>
      <w:r w:rsidR="00EE6D35">
        <w:t xml:space="preserve"> </w:t>
      </w:r>
      <w:r w:rsidRPr="00A619D5">
        <w:t>a</w:t>
      </w:r>
      <w:r w:rsidR="00EE6D35">
        <w:t xml:space="preserve"> </w:t>
      </w:r>
      <w:r w:rsidRPr="00A619D5">
        <w:t>telephone</w:t>
      </w:r>
      <w:r w:rsidR="00EE6D35">
        <w:t xml:space="preserve"> </w:t>
      </w:r>
      <w:r w:rsidRPr="00A619D5">
        <w:t>for</w:t>
      </w:r>
      <w:r w:rsidR="00EE6D35">
        <w:t xml:space="preserve"> </w:t>
      </w:r>
      <w:r w:rsidRPr="00A619D5">
        <w:t>a</w:t>
      </w:r>
      <w:r w:rsidR="00EE6D35">
        <w:t xml:space="preserve"> </w:t>
      </w:r>
      <w:r w:rsidRPr="00A619D5">
        <w:t>young</w:t>
      </w:r>
      <w:r w:rsidR="00EE6D35">
        <w:t xml:space="preserve"> </w:t>
      </w:r>
      <w:r w:rsidRPr="00A619D5">
        <w:t>person</w:t>
      </w:r>
      <w:r w:rsidR="00EE6D35">
        <w:t xml:space="preserve"> </w:t>
      </w:r>
      <w:r w:rsidRPr="00A619D5">
        <w:t>or</w:t>
      </w:r>
      <w:r w:rsidR="00EE6D35">
        <w:t xml:space="preserve"> </w:t>
      </w:r>
      <w:r w:rsidRPr="00A619D5">
        <w:t>one</w:t>
      </w:r>
      <w:r w:rsidR="00EE6D35">
        <w:t xml:space="preserve"> </w:t>
      </w:r>
      <w:r w:rsidRPr="00A619D5">
        <w:t>package</w:t>
      </w:r>
      <w:r w:rsidR="00EE6D35">
        <w:t xml:space="preserve"> </w:t>
      </w:r>
      <w:r w:rsidRPr="00A619D5">
        <w:t>may</w:t>
      </w:r>
      <w:r w:rsidR="00EE6D35">
        <w:t xml:space="preserve"> </w:t>
      </w:r>
      <w:r w:rsidRPr="00A619D5">
        <w:t>be</w:t>
      </w:r>
      <w:r w:rsidR="00EE6D35">
        <w:t xml:space="preserve"> </w:t>
      </w:r>
      <w:r w:rsidRPr="00A619D5">
        <w:t>funding</w:t>
      </w:r>
      <w:r w:rsidR="00EE6D35">
        <w:t xml:space="preserve"> </w:t>
      </w:r>
      <w:r w:rsidRPr="00A619D5">
        <w:t>for</w:t>
      </w:r>
      <w:r w:rsidR="00EE6D35">
        <w:t xml:space="preserve"> </w:t>
      </w:r>
      <w:r w:rsidRPr="00A619D5">
        <w:t>a</w:t>
      </w:r>
      <w:r w:rsidR="00EE6D35">
        <w:t xml:space="preserve"> </w:t>
      </w:r>
      <w:r w:rsidRPr="00A619D5">
        <w:t>bed,</w:t>
      </w:r>
      <w:r w:rsidR="00EE6D35">
        <w:t xml:space="preserve"> </w:t>
      </w:r>
      <w:r w:rsidRPr="00A619D5">
        <w:t>a</w:t>
      </w:r>
      <w:r w:rsidR="00EE6D35">
        <w:t xml:space="preserve"> </w:t>
      </w:r>
      <w:r w:rsidRPr="00A619D5">
        <w:t>fridge,</w:t>
      </w:r>
      <w:r w:rsidR="00EE6D35">
        <w:t xml:space="preserve"> </w:t>
      </w:r>
      <w:r w:rsidRPr="00A619D5">
        <w:t>and</w:t>
      </w:r>
      <w:r w:rsidR="00EE6D35">
        <w:t xml:space="preserve"> </w:t>
      </w:r>
      <w:r w:rsidRPr="00A619D5">
        <w:t>a</w:t>
      </w:r>
      <w:r w:rsidR="00EE6D35">
        <w:t xml:space="preserve"> </w:t>
      </w:r>
      <w:r w:rsidRPr="00A619D5">
        <w:t>washing</w:t>
      </w:r>
      <w:r w:rsidR="00EE6D35">
        <w:t xml:space="preserve"> </w:t>
      </w:r>
      <w:r w:rsidRPr="00A619D5">
        <w:t>machine</w:t>
      </w:r>
      <w:r w:rsidR="00EE6D35">
        <w:t xml:space="preserve"> </w:t>
      </w:r>
      <w:r w:rsidRPr="00A619D5">
        <w:t>for</w:t>
      </w:r>
      <w:r w:rsidR="00EE6D35">
        <w:t xml:space="preserve"> </w:t>
      </w:r>
      <w:r w:rsidRPr="00A619D5">
        <w:t>a</w:t>
      </w:r>
      <w:r w:rsidR="00EE6D35">
        <w:t xml:space="preserve"> </w:t>
      </w:r>
      <w:r w:rsidRPr="00A619D5">
        <w:t>young</w:t>
      </w:r>
      <w:r w:rsidR="00EE6D35">
        <w:t xml:space="preserve"> </w:t>
      </w:r>
      <w:r w:rsidRPr="00A619D5">
        <w:t>person.</w:t>
      </w:r>
      <w:r w:rsidR="00410C81">
        <w:t xml:space="preserve"> </w:t>
      </w:r>
      <w:r w:rsidRPr="00A619D5">
        <w:t>The</w:t>
      </w:r>
      <w:r w:rsidR="00EE6D35">
        <w:t xml:space="preserve"> </w:t>
      </w:r>
      <w:r w:rsidRPr="00A619D5">
        <w:t>number</w:t>
      </w:r>
      <w:r w:rsidR="00EE6D35">
        <w:t xml:space="preserve"> </w:t>
      </w:r>
      <w:r w:rsidRPr="00A619D5">
        <w:t>of</w:t>
      </w:r>
      <w:r w:rsidR="00EE6D35">
        <w:t xml:space="preserve"> </w:t>
      </w:r>
      <w:r w:rsidRPr="00A619D5">
        <w:t>young</w:t>
      </w:r>
      <w:r w:rsidR="00EE6D35">
        <w:t xml:space="preserve"> </w:t>
      </w:r>
      <w:r w:rsidRPr="00A619D5">
        <w:t>people</w:t>
      </w:r>
      <w:r w:rsidR="00EE6D35">
        <w:t xml:space="preserve"> </w:t>
      </w:r>
      <w:r w:rsidRPr="00A619D5">
        <w:t>receiving</w:t>
      </w:r>
      <w:r w:rsidR="00EE6D35">
        <w:t xml:space="preserve"> </w:t>
      </w:r>
      <w:r w:rsidRPr="00A619D5">
        <w:t>flexible</w:t>
      </w:r>
      <w:r w:rsidR="00EE6D35">
        <w:t xml:space="preserve"> </w:t>
      </w:r>
      <w:r w:rsidRPr="00A619D5">
        <w:t>funding</w:t>
      </w:r>
      <w:r w:rsidR="00EE6D35">
        <w:t xml:space="preserve"> </w:t>
      </w:r>
      <w:r w:rsidRPr="00A619D5">
        <w:t>packages</w:t>
      </w:r>
      <w:r w:rsidR="00EE6D35">
        <w:t xml:space="preserve"> </w:t>
      </w:r>
      <w:r w:rsidRPr="00A619D5">
        <w:t>is</w:t>
      </w:r>
      <w:r w:rsidR="00EE6D35">
        <w:t xml:space="preserve"> </w:t>
      </w:r>
      <w:r w:rsidRPr="00A619D5">
        <w:t>recorded</w:t>
      </w:r>
      <w:r w:rsidR="00EE6D35">
        <w:t xml:space="preserve"> </w:t>
      </w:r>
      <w:r w:rsidRPr="00A619D5">
        <w:t>by</w:t>
      </w:r>
      <w:r w:rsidR="00EE6D35">
        <w:t xml:space="preserve"> </w:t>
      </w:r>
      <w:r w:rsidRPr="00A619D5">
        <w:t>an</w:t>
      </w:r>
      <w:r w:rsidR="00EE6D35">
        <w:t xml:space="preserve"> </w:t>
      </w:r>
      <w:r w:rsidRPr="00A619D5">
        <w:t>organisation</w:t>
      </w:r>
      <w:r w:rsidR="00EE6D35">
        <w:t xml:space="preserve"> </w:t>
      </w:r>
      <w:r w:rsidRPr="00A619D5">
        <w:t>on</w:t>
      </w:r>
      <w:r w:rsidR="00EE6D35">
        <w:t xml:space="preserve"> </w:t>
      </w:r>
      <w:r w:rsidRPr="00A619D5">
        <w:t>CRISSP.</w:t>
      </w:r>
      <w:r w:rsidR="00EE6D35">
        <w:t xml:space="preserve"> </w:t>
      </w:r>
      <w:r w:rsidRPr="00A619D5">
        <w:t>A</w:t>
      </w:r>
      <w:r w:rsidR="00EE6D35">
        <w:t xml:space="preserve"> </w:t>
      </w:r>
      <w:r w:rsidRPr="00A619D5">
        <w:t>bi-annual</w:t>
      </w:r>
      <w:r w:rsidR="00EE6D35">
        <w:t xml:space="preserve"> </w:t>
      </w:r>
      <w:r w:rsidRPr="00A619D5">
        <w:t>report</w:t>
      </w:r>
      <w:r w:rsidR="00EE6D35">
        <w:t xml:space="preserve"> </w:t>
      </w:r>
      <w:r w:rsidRPr="00A619D5">
        <w:t>is</w:t>
      </w:r>
      <w:r w:rsidR="00EE6D35">
        <w:t xml:space="preserve"> </w:t>
      </w:r>
      <w:r w:rsidRPr="00A619D5">
        <w:t>then</w:t>
      </w:r>
      <w:r w:rsidR="00EE6D35">
        <w:t xml:space="preserve"> </w:t>
      </w:r>
      <w:r w:rsidRPr="00A619D5">
        <w:t>generated</w:t>
      </w:r>
      <w:r w:rsidR="00EE6D35">
        <w:t xml:space="preserve"> </w:t>
      </w:r>
      <w:r w:rsidRPr="00A619D5">
        <w:t>by</w:t>
      </w:r>
      <w:r w:rsidR="00EE6D35">
        <w:t xml:space="preserve"> </w:t>
      </w:r>
      <w:r w:rsidRPr="00A619D5">
        <w:t>organisations</w:t>
      </w:r>
      <w:r w:rsidR="00EE6D35">
        <w:t xml:space="preserve"> </w:t>
      </w:r>
      <w:r w:rsidRPr="00A619D5">
        <w:t>and</w:t>
      </w:r>
      <w:r w:rsidR="00EE6D35">
        <w:t xml:space="preserve"> </w:t>
      </w:r>
      <w:r w:rsidRPr="00A619D5">
        <w:t>sent</w:t>
      </w:r>
      <w:r w:rsidR="00EE6D35">
        <w:t xml:space="preserve"> </w:t>
      </w:r>
      <w:r w:rsidRPr="00A619D5">
        <w:t>to</w:t>
      </w:r>
      <w:r w:rsidR="00EE6D35">
        <w:t xml:space="preserve"> </w:t>
      </w:r>
      <w:r w:rsidRPr="00A619D5">
        <w:t>the</w:t>
      </w:r>
      <w:r w:rsidR="00EE6D35">
        <w:t xml:space="preserve"> </w:t>
      </w:r>
      <w:r w:rsidRPr="00A619D5">
        <w:t>local</w:t>
      </w:r>
      <w:r w:rsidR="00EE6D35">
        <w:t xml:space="preserve"> </w:t>
      </w:r>
      <w:r w:rsidRPr="00A619D5">
        <w:t>APSS</w:t>
      </w:r>
      <w:r w:rsidR="00EE6D35">
        <w:t xml:space="preserve"> </w:t>
      </w:r>
      <w:r w:rsidRPr="00A619D5">
        <w:t>advisor</w:t>
      </w:r>
      <w:r>
        <w:t>.</w:t>
      </w:r>
    </w:p>
    <w:p w14:paraId="242FF65B" w14:textId="0CA8D1BD" w:rsidR="00E47463" w:rsidRDefault="00E47463">
      <w:pPr>
        <w:spacing w:after="0" w:line="240" w:lineRule="auto"/>
        <w:rPr>
          <w:rFonts w:eastAsia="Times"/>
          <w:sz w:val="20"/>
        </w:rPr>
      </w:pPr>
      <w:r>
        <w:br w:type="page"/>
      </w:r>
    </w:p>
    <w:p w14:paraId="70A3E509" w14:textId="71ABDABC" w:rsidR="00A012DF" w:rsidRDefault="001B20B3" w:rsidP="001B20B3">
      <w:pPr>
        <w:pStyle w:val="Heading3"/>
        <w:rPr>
          <w:lang w:eastAsia="en-AU"/>
        </w:rPr>
      </w:pPr>
      <w:r w:rsidRPr="009C4376">
        <w:rPr>
          <w:lang w:eastAsia="en-AU"/>
        </w:rPr>
        <w:lastRenderedPageBreak/>
        <w:t>Requirement</w:t>
      </w:r>
      <w:r>
        <w:rPr>
          <w:lang w:eastAsia="en-AU"/>
        </w:rPr>
        <w:t>s</w:t>
      </w:r>
    </w:p>
    <w:p w14:paraId="118E81B8" w14:textId="7B6320E1" w:rsidR="003F065B" w:rsidRDefault="003F065B" w:rsidP="003F065B">
      <w:pPr>
        <w:pStyle w:val="Heading4"/>
        <w:rPr>
          <w:lang w:eastAsia="en-AU"/>
        </w:rPr>
      </w:pPr>
      <w:r w:rsidRPr="00A012DF">
        <w:rPr>
          <w:lang w:eastAsia="en-AU"/>
        </w:rPr>
        <w:t>Activity</w:t>
      </w:r>
      <w:r w:rsidRPr="003F065B">
        <w:rPr>
          <w:lang w:eastAsia="en-AU"/>
        </w:rPr>
        <w:t xml:space="preserve"> </w:t>
      </w:r>
      <w:r w:rsidRPr="00A012DF">
        <w:rPr>
          <w:lang w:eastAsia="en-AU"/>
        </w:rPr>
        <w:t>Flexible</w:t>
      </w:r>
      <w:r>
        <w:rPr>
          <w:lang w:eastAsia="en-AU"/>
        </w:rPr>
        <w:t xml:space="preserve"> </w:t>
      </w:r>
      <w:r w:rsidRPr="00A012DF">
        <w:rPr>
          <w:lang w:eastAsia="en-AU"/>
        </w:rPr>
        <w:t>Funding</w:t>
      </w:r>
      <w:r>
        <w:rPr>
          <w:lang w:eastAsia="en-AU"/>
        </w:rPr>
        <w:t xml:space="preserve"> </w:t>
      </w:r>
      <w:r w:rsidRPr="00A012DF">
        <w:rPr>
          <w:lang w:eastAsia="en-AU"/>
        </w:rPr>
        <w:t>–</w:t>
      </w:r>
      <w:r>
        <w:rPr>
          <w:lang w:eastAsia="en-AU"/>
        </w:rPr>
        <w:t xml:space="preserve"> </w:t>
      </w:r>
      <w:r w:rsidRPr="00A012DF">
        <w:rPr>
          <w:lang w:eastAsia="en-AU"/>
        </w:rPr>
        <w:t>Better</w:t>
      </w:r>
      <w:r>
        <w:rPr>
          <w:lang w:eastAsia="en-AU"/>
        </w:rPr>
        <w:t xml:space="preserve"> </w:t>
      </w:r>
      <w:r w:rsidRPr="00A012DF">
        <w:rPr>
          <w:lang w:eastAsia="en-AU"/>
        </w:rPr>
        <w:t>Futures</w:t>
      </w:r>
      <w:r>
        <w:rPr>
          <w:lang w:eastAsia="en-AU"/>
        </w:rPr>
        <w:t xml:space="preserve"> </w:t>
      </w:r>
      <w:r w:rsidRPr="00A012DF">
        <w:rPr>
          <w:lang w:eastAsia="en-AU"/>
        </w:rPr>
        <w:t>31292</w:t>
      </w:r>
    </w:p>
    <w:p w14:paraId="68F36491" w14:textId="44A26B34" w:rsidR="003F065B" w:rsidRPr="006E29AF" w:rsidRDefault="003F065B" w:rsidP="006E29AF">
      <w:pPr>
        <w:pStyle w:val="DHHSbody"/>
        <w:rPr>
          <w:b/>
          <w:bCs/>
          <w:lang w:eastAsia="en-AU"/>
        </w:rPr>
      </w:pPr>
      <w:r w:rsidRPr="006E29AF">
        <w:rPr>
          <w:b/>
          <w:bCs/>
          <w:lang w:eastAsia="en-AU"/>
        </w:rPr>
        <w:t>Program components: Better Futures and Home Stretch Flexible Funding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419"/>
        <w:gridCol w:w="2404"/>
        <w:gridCol w:w="1417"/>
        <w:gridCol w:w="1337"/>
        <w:gridCol w:w="2065"/>
        <w:gridCol w:w="1701"/>
      </w:tblGrid>
      <w:tr w:rsidR="00922FEA" w:rsidRPr="00A012DF" w14:paraId="316030A4" w14:textId="77EA84FA" w:rsidTr="00922FEA">
        <w:trPr>
          <w:tblHeader/>
        </w:trPr>
        <w:tc>
          <w:tcPr>
            <w:tcW w:w="1419" w:type="dxa"/>
          </w:tcPr>
          <w:p w14:paraId="3732D48F" w14:textId="551C04DF" w:rsidR="00922FEA" w:rsidRPr="00A012DF" w:rsidRDefault="00922FEA" w:rsidP="00A012DF">
            <w:pPr>
              <w:pStyle w:val="Tablecolhead"/>
              <w:rPr>
                <w:lang w:eastAsia="en-AU"/>
              </w:rPr>
            </w:pPr>
            <w:r w:rsidRPr="00A012DF">
              <w:rPr>
                <w:lang w:eastAsia="en-AU"/>
              </w:rPr>
              <w:t>Measure</w:t>
            </w:r>
          </w:p>
        </w:tc>
        <w:tc>
          <w:tcPr>
            <w:tcW w:w="2404" w:type="dxa"/>
          </w:tcPr>
          <w:p w14:paraId="79473DDB" w14:textId="2D0988C5" w:rsidR="00922FEA" w:rsidRPr="00A012DF" w:rsidRDefault="00922FEA" w:rsidP="00A012DF">
            <w:pPr>
              <w:pStyle w:val="Tablecolhead"/>
              <w:rPr>
                <w:lang w:eastAsia="en-AU"/>
              </w:rPr>
            </w:pPr>
            <w:r w:rsidRPr="00A012DF">
              <w:rPr>
                <w:lang w:eastAsia="en-AU"/>
              </w:rPr>
              <w:t>Description</w:t>
            </w:r>
          </w:p>
        </w:tc>
        <w:tc>
          <w:tcPr>
            <w:tcW w:w="1417" w:type="dxa"/>
          </w:tcPr>
          <w:p w14:paraId="63011C47" w14:textId="261E0201" w:rsidR="00922FEA" w:rsidRPr="00A012DF" w:rsidRDefault="00922FEA" w:rsidP="00A012DF">
            <w:pPr>
              <w:pStyle w:val="Tablecolhead"/>
              <w:rPr>
                <w:lang w:eastAsia="en-AU"/>
              </w:rPr>
            </w:pPr>
            <w:r w:rsidRPr="00A012DF">
              <w:rPr>
                <w:lang w:eastAsia="en-AU"/>
              </w:rPr>
              <w:t>Count</w:t>
            </w:r>
          </w:p>
        </w:tc>
        <w:tc>
          <w:tcPr>
            <w:tcW w:w="1337" w:type="dxa"/>
          </w:tcPr>
          <w:p w14:paraId="46088BC7" w14:textId="779DAA63" w:rsidR="00922FEA" w:rsidRPr="00A012DF" w:rsidRDefault="00922FEA" w:rsidP="00A012DF">
            <w:pPr>
              <w:pStyle w:val="Tablecolhead"/>
              <w:rPr>
                <w:lang w:eastAsia="en-AU"/>
              </w:rPr>
            </w:pPr>
            <w:r w:rsidRPr="00A012DF">
              <w:rPr>
                <w:lang w:eastAsia="en-AU"/>
              </w:rPr>
              <w:t>CRISSP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Report</w:t>
            </w:r>
          </w:p>
        </w:tc>
        <w:tc>
          <w:tcPr>
            <w:tcW w:w="2065" w:type="dxa"/>
          </w:tcPr>
          <w:p w14:paraId="091644ED" w14:textId="3C1E2881" w:rsidR="00922FEA" w:rsidRPr="00A012DF" w:rsidRDefault="00922FEA" w:rsidP="00A012DF">
            <w:pPr>
              <w:pStyle w:val="Tablecolhead"/>
              <w:rPr>
                <w:lang w:eastAsia="en-AU"/>
              </w:rPr>
            </w:pPr>
            <w:r w:rsidRPr="00A012DF">
              <w:rPr>
                <w:lang w:eastAsia="en-AU"/>
              </w:rPr>
              <w:t>Reporting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frequency</w:t>
            </w:r>
          </w:p>
        </w:tc>
        <w:tc>
          <w:tcPr>
            <w:tcW w:w="1701" w:type="dxa"/>
          </w:tcPr>
          <w:p w14:paraId="7AFC6925" w14:textId="40EDED0D" w:rsidR="00922FEA" w:rsidRPr="00A012DF" w:rsidRDefault="00922FEA" w:rsidP="00A012DF">
            <w:pPr>
              <w:pStyle w:val="Tablecolhead"/>
              <w:rPr>
                <w:lang w:eastAsia="en-AU"/>
              </w:rPr>
            </w:pPr>
            <w:r w:rsidRPr="00A012DF">
              <w:rPr>
                <w:lang w:eastAsia="en-AU"/>
              </w:rPr>
              <w:t>Report</w:t>
            </w:r>
          </w:p>
        </w:tc>
      </w:tr>
      <w:tr w:rsidR="00922FEA" w:rsidRPr="00A012DF" w14:paraId="1CB6D09B" w14:textId="405ABA3C" w:rsidTr="00922FEA">
        <w:tc>
          <w:tcPr>
            <w:tcW w:w="1419" w:type="dxa"/>
          </w:tcPr>
          <w:p w14:paraId="147BCE3E" w14:textId="5A0029C8" w:rsidR="00922FEA" w:rsidRPr="00A012DF" w:rsidRDefault="00922FEA" w:rsidP="00EE6D35">
            <w:pPr>
              <w:pStyle w:val="Tabletext"/>
              <w:rPr>
                <w:lang w:eastAsia="en-AU"/>
              </w:rPr>
            </w:pPr>
            <w:r w:rsidRPr="00A012DF">
              <w:rPr>
                <w:lang w:eastAsia="en-AU"/>
              </w:rPr>
              <w:t>Key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performance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measure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1</w:t>
            </w:r>
          </w:p>
        </w:tc>
        <w:tc>
          <w:tcPr>
            <w:tcW w:w="2404" w:type="dxa"/>
          </w:tcPr>
          <w:p w14:paraId="1AC188B1" w14:textId="22F5B3B7" w:rsidR="00922FEA" w:rsidRPr="00A012DF" w:rsidRDefault="00922FEA" w:rsidP="00EE6D35">
            <w:pPr>
              <w:pStyle w:val="Tabletext"/>
              <w:rPr>
                <w:lang w:eastAsia="en-AU"/>
              </w:rPr>
            </w:pPr>
            <w:r w:rsidRPr="00A012DF">
              <w:rPr>
                <w:lang w:eastAsia="en-AU"/>
              </w:rPr>
              <w:t>Amount</w:t>
            </w:r>
            <w:r>
              <w:rPr>
                <w:lang w:eastAsia="en-AU"/>
              </w:rPr>
              <w:t xml:space="preserve"> </w:t>
            </w:r>
            <w:r w:rsidRPr="00261795">
              <w:rPr>
                <w:lang w:eastAsia="en-AU"/>
              </w:rPr>
              <w:t xml:space="preserve">of flexible funding </w:t>
            </w:r>
            <w:r w:rsidRPr="00261795">
              <w:rPr>
                <w:b/>
                <w:bCs/>
                <w:lang w:eastAsia="en-AU"/>
              </w:rPr>
              <w:t>expended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in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the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reporting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period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–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Better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Futures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and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or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Home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Stretch</w:t>
            </w:r>
          </w:p>
        </w:tc>
        <w:tc>
          <w:tcPr>
            <w:tcW w:w="1417" w:type="dxa"/>
          </w:tcPr>
          <w:p w14:paraId="642D7656" w14:textId="31648D69" w:rsidR="00922FEA" w:rsidRPr="00A012DF" w:rsidRDefault="00922FEA" w:rsidP="00EE6D35">
            <w:pPr>
              <w:pStyle w:val="Tabletext"/>
              <w:rPr>
                <w:lang w:eastAsia="en-AU"/>
              </w:rPr>
            </w:pPr>
            <w:r w:rsidRPr="00A012DF">
              <w:rPr>
                <w:lang w:eastAsia="en-AU"/>
              </w:rPr>
              <w:t>Cumulative</w:t>
            </w:r>
          </w:p>
        </w:tc>
        <w:tc>
          <w:tcPr>
            <w:tcW w:w="1337" w:type="dxa"/>
          </w:tcPr>
          <w:p w14:paraId="4FC4C525" w14:textId="10E2DA57" w:rsidR="00922FEA" w:rsidRPr="00A012DF" w:rsidRDefault="00922FEA" w:rsidP="00EE6D35">
            <w:pPr>
              <w:pStyle w:val="Tabletext"/>
              <w:rPr>
                <w:lang w:eastAsia="en-AU"/>
              </w:rPr>
            </w:pPr>
            <w:r w:rsidRPr="00A012DF">
              <w:rPr>
                <w:lang w:eastAsia="en-AU"/>
              </w:rPr>
              <w:t>Client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Expenditure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Report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CP506R</w:t>
            </w:r>
          </w:p>
        </w:tc>
        <w:tc>
          <w:tcPr>
            <w:tcW w:w="2065" w:type="dxa"/>
          </w:tcPr>
          <w:p w14:paraId="7160C501" w14:textId="43A42ED8" w:rsidR="00922FEA" w:rsidRPr="00A012DF" w:rsidRDefault="00922FEA" w:rsidP="00EE6D35">
            <w:pPr>
              <w:pStyle w:val="Tabletext"/>
              <w:rPr>
                <w:lang w:eastAsia="en-AU"/>
              </w:rPr>
            </w:pPr>
            <w:r w:rsidRPr="00A012DF">
              <w:rPr>
                <w:lang w:eastAsia="en-AU"/>
              </w:rPr>
              <w:t>Monthly: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Better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Futures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providers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extracts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data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from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the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CRISSP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report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at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the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end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of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the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month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to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inform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the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SDT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report.</w:t>
            </w:r>
          </w:p>
        </w:tc>
        <w:tc>
          <w:tcPr>
            <w:tcW w:w="1701" w:type="dxa"/>
          </w:tcPr>
          <w:p w14:paraId="73A76B22" w14:textId="4FD1FCBA" w:rsidR="00922FEA" w:rsidRPr="00A012DF" w:rsidRDefault="00922FEA" w:rsidP="00EE6D35">
            <w:pPr>
              <w:pStyle w:val="Tabletext"/>
              <w:rPr>
                <w:lang w:eastAsia="en-AU"/>
              </w:rPr>
            </w:pPr>
            <w:r w:rsidRPr="00A012DF">
              <w:rPr>
                <w:lang w:eastAsia="en-AU"/>
              </w:rPr>
              <w:t>SDT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-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due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on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10th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day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of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the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following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month</w:t>
            </w:r>
          </w:p>
        </w:tc>
      </w:tr>
    </w:tbl>
    <w:p w14:paraId="0B734036" w14:textId="50563B00" w:rsidR="003F065B" w:rsidRPr="006E29AF" w:rsidRDefault="003F065B" w:rsidP="006E29AF">
      <w:pPr>
        <w:pStyle w:val="DHHSbody"/>
        <w:rPr>
          <w:b/>
          <w:bCs/>
        </w:rPr>
      </w:pPr>
      <w:r w:rsidRPr="006E29AF">
        <w:rPr>
          <w:b/>
          <w:bCs/>
          <w:lang w:eastAsia="en-AU"/>
        </w:rPr>
        <w:t>Program component: Home Stretch Independent Accommodation Allowance</w:t>
      </w:r>
      <w:r w:rsidR="00410C81">
        <w:rPr>
          <w:b/>
          <w:bCs/>
          <w:lang w:eastAsia="en-AU"/>
        </w:rPr>
        <w:t xml:space="preserve">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419"/>
        <w:gridCol w:w="2545"/>
        <w:gridCol w:w="1267"/>
        <w:gridCol w:w="1337"/>
        <w:gridCol w:w="2074"/>
        <w:gridCol w:w="1701"/>
      </w:tblGrid>
      <w:tr w:rsidR="00922FEA" w:rsidRPr="00A012DF" w14:paraId="0DED8244" w14:textId="77777777" w:rsidTr="00922FEA">
        <w:trPr>
          <w:tblHeader/>
        </w:trPr>
        <w:tc>
          <w:tcPr>
            <w:tcW w:w="1419" w:type="dxa"/>
          </w:tcPr>
          <w:p w14:paraId="50E4B123" w14:textId="77777777" w:rsidR="00922FEA" w:rsidRPr="00A012DF" w:rsidRDefault="00922FEA" w:rsidP="00E47463">
            <w:pPr>
              <w:pStyle w:val="Tablecolhead"/>
              <w:rPr>
                <w:lang w:eastAsia="en-AU"/>
              </w:rPr>
            </w:pPr>
            <w:r w:rsidRPr="00A012DF">
              <w:rPr>
                <w:lang w:eastAsia="en-AU"/>
              </w:rPr>
              <w:t>Measure</w:t>
            </w:r>
          </w:p>
        </w:tc>
        <w:tc>
          <w:tcPr>
            <w:tcW w:w="2545" w:type="dxa"/>
          </w:tcPr>
          <w:p w14:paraId="706C7DE7" w14:textId="77777777" w:rsidR="00922FEA" w:rsidRPr="00A012DF" w:rsidRDefault="00922FEA" w:rsidP="00E47463">
            <w:pPr>
              <w:pStyle w:val="Tablecolhead"/>
              <w:rPr>
                <w:lang w:eastAsia="en-AU"/>
              </w:rPr>
            </w:pPr>
            <w:r w:rsidRPr="00A012DF">
              <w:rPr>
                <w:lang w:eastAsia="en-AU"/>
              </w:rPr>
              <w:t>Description</w:t>
            </w:r>
          </w:p>
        </w:tc>
        <w:tc>
          <w:tcPr>
            <w:tcW w:w="1267" w:type="dxa"/>
          </w:tcPr>
          <w:p w14:paraId="0D27003B" w14:textId="77777777" w:rsidR="00922FEA" w:rsidRPr="00A012DF" w:rsidRDefault="00922FEA" w:rsidP="00E47463">
            <w:pPr>
              <w:pStyle w:val="Tablecolhead"/>
              <w:rPr>
                <w:lang w:eastAsia="en-AU"/>
              </w:rPr>
            </w:pPr>
            <w:r w:rsidRPr="00A012DF">
              <w:rPr>
                <w:lang w:eastAsia="en-AU"/>
              </w:rPr>
              <w:t>Count</w:t>
            </w:r>
          </w:p>
        </w:tc>
        <w:tc>
          <w:tcPr>
            <w:tcW w:w="1337" w:type="dxa"/>
          </w:tcPr>
          <w:p w14:paraId="2C408DE8" w14:textId="77777777" w:rsidR="00922FEA" w:rsidRPr="00A012DF" w:rsidRDefault="00922FEA" w:rsidP="00E47463">
            <w:pPr>
              <w:pStyle w:val="Tablecolhead"/>
              <w:rPr>
                <w:lang w:eastAsia="en-AU"/>
              </w:rPr>
            </w:pPr>
            <w:r w:rsidRPr="00A012DF">
              <w:rPr>
                <w:lang w:eastAsia="en-AU"/>
              </w:rPr>
              <w:t>CRISSP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Report</w:t>
            </w:r>
          </w:p>
        </w:tc>
        <w:tc>
          <w:tcPr>
            <w:tcW w:w="2074" w:type="dxa"/>
          </w:tcPr>
          <w:p w14:paraId="4390D925" w14:textId="77777777" w:rsidR="00922FEA" w:rsidRPr="00A012DF" w:rsidRDefault="00922FEA" w:rsidP="00E47463">
            <w:pPr>
              <w:pStyle w:val="Tablecolhead"/>
              <w:rPr>
                <w:lang w:eastAsia="en-AU"/>
              </w:rPr>
            </w:pPr>
            <w:r w:rsidRPr="00A012DF">
              <w:rPr>
                <w:lang w:eastAsia="en-AU"/>
              </w:rPr>
              <w:t>Reporting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frequency</w:t>
            </w:r>
          </w:p>
        </w:tc>
        <w:tc>
          <w:tcPr>
            <w:tcW w:w="1701" w:type="dxa"/>
          </w:tcPr>
          <w:p w14:paraId="26E72E72" w14:textId="77777777" w:rsidR="00922FEA" w:rsidRPr="00A012DF" w:rsidRDefault="00922FEA" w:rsidP="00E47463">
            <w:pPr>
              <w:pStyle w:val="Tablecolhead"/>
              <w:rPr>
                <w:lang w:eastAsia="en-AU"/>
              </w:rPr>
            </w:pPr>
            <w:r w:rsidRPr="00A012DF">
              <w:rPr>
                <w:lang w:eastAsia="en-AU"/>
              </w:rPr>
              <w:t>Report</w:t>
            </w:r>
          </w:p>
        </w:tc>
      </w:tr>
      <w:tr w:rsidR="00922FEA" w:rsidRPr="00A012DF" w14:paraId="421522F3" w14:textId="2D92B955" w:rsidTr="00922FEA">
        <w:tc>
          <w:tcPr>
            <w:tcW w:w="1419" w:type="dxa"/>
          </w:tcPr>
          <w:p w14:paraId="6397BA8F" w14:textId="0C092C8A" w:rsidR="00922FEA" w:rsidRPr="00A012DF" w:rsidRDefault="00922FEA" w:rsidP="00EE6D35">
            <w:pPr>
              <w:pStyle w:val="Tabletext"/>
              <w:rPr>
                <w:lang w:eastAsia="en-AU"/>
              </w:rPr>
            </w:pPr>
            <w:r w:rsidRPr="00A012DF">
              <w:rPr>
                <w:lang w:eastAsia="en-AU"/>
              </w:rPr>
              <w:t>Key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performance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measure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2</w:t>
            </w:r>
          </w:p>
        </w:tc>
        <w:tc>
          <w:tcPr>
            <w:tcW w:w="2545" w:type="dxa"/>
          </w:tcPr>
          <w:p w14:paraId="1CAA9B04" w14:textId="1C0BB25B" w:rsidR="00922FEA" w:rsidRPr="00A012DF" w:rsidRDefault="00922FEA" w:rsidP="00EE6D35">
            <w:pPr>
              <w:pStyle w:val="Tabletext"/>
              <w:rPr>
                <w:lang w:eastAsia="en-AU"/>
              </w:rPr>
            </w:pPr>
            <w:r w:rsidRPr="00A012DF">
              <w:rPr>
                <w:lang w:eastAsia="en-AU"/>
              </w:rPr>
              <w:t>Amount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of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Home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Stretch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-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Independent</w:t>
            </w:r>
            <w:r>
              <w:rPr>
                <w:lang w:eastAsia="en-AU"/>
              </w:rPr>
              <w:t xml:space="preserve"> </w:t>
            </w:r>
            <w:r w:rsidRPr="00261795">
              <w:rPr>
                <w:lang w:eastAsia="en-AU"/>
              </w:rPr>
              <w:t>Accommodation Allowance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funding</w:t>
            </w:r>
            <w:r>
              <w:rPr>
                <w:lang w:eastAsia="en-AU"/>
              </w:rPr>
              <w:t xml:space="preserve"> </w:t>
            </w:r>
            <w:r w:rsidRPr="00261795">
              <w:rPr>
                <w:b/>
                <w:bCs/>
                <w:lang w:eastAsia="en-AU"/>
              </w:rPr>
              <w:t>expended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in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the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reporting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period</w:t>
            </w:r>
            <w:r w:rsidR="00410C81">
              <w:rPr>
                <w:lang w:eastAsia="en-AU"/>
              </w:rPr>
              <w:t xml:space="preserve"> </w:t>
            </w:r>
          </w:p>
        </w:tc>
        <w:tc>
          <w:tcPr>
            <w:tcW w:w="1267" w:type="dxa"/>
          </w:tcPr>
          <w:p w14:paraId="5C82C165" w14:textId="3A3425AC" w:rsidR="00922FEA" w:rsidRPr="00A012DF" w:rsidRDefault="00922FEA" w:rsidP="00EE6D35">
            <w:pPr>
              <w:pStyle w:val="Tabletext"/>
              <w:rPr>
                <w:lang w:eastAsia="en-AU"/>
              </w:rPr>
            </w:pPr>
            <w:r w:rsidRPr="00A012DF">
              <w:rPr>
                <w:lang w:eastAsia="en-AU"/>
              </w:rPr>
              <w:t>Cumulative</w:t>
            </w:r>
          </w:p>
        </w:tc>
        <w:tc>
          <w:tcPr>
            <w:tcW w:w="1337" w:type="dxa"/>
          </w:tcPr>
          <w:p w14:paraId="220C78F7" w14:textId="40A522A8" w:rsidR="00922FEA" w:rsidRPr="00A012DF" w:rsidRDefault="00922FEA" w:rsidP="00EE6D35">
            <w:pPr>
              <w:pStyle w:val="Tabletext"/>
              <w:rPr>
                <w:lang w:eastAsia="en-AU"/>
              </w:rPr>
            </w:pPr>
            <w:r w:rsidRPr="00A012DF">
              <w:rPr>
                <w:lang w:eastAsia="en-AU"/>
              </w:rPr>
              <w:t>Client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Expenditure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Report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CP506R</w:t>
            </w:r>
          </w:p>
        </w:tc>
        <w:tc>
          <w:tcPr>
            <w:tcW w:w="2074" w:type="dxa"/>
          </w:tcPr>
          <w:p w14:paraId="236D28AD" w14:textId="5593827B" w:rsidR="00922FEA" w:rsidRPr="00A012DF" w:rsidRDefault="00922FEA" w:rsidP="00EE6D35">
            <w:pPr>
              <w:pStyle w:val="Tabletext"/>
              <w:rPr>
                <w:lang w:eastAsia="en-AU"/>
              </w:rPr>
            </w:pPr>
            <w:r w:rsidRPr="00A012DF">
              <w:rPr>
                <w:lang w:eastAsia="en-AU"/>
              </w:rPr>
              <w:t>Monthly: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Better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Futures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providers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extracts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data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from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the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CRISSP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report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at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the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end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of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the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month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to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inform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the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SDT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report.</w:t>
            </w:r>
          </w:p>
        </w:tc>
        <w:tc>
          <w:tcPr>
            <w:tcW w:w="1701" w:type="dxa"/>
          </w:tcPr>
          <w:p w14:paraId="70DCCB31" w14:textId="77C97654" w:rsidR="00922FEA" w:rsidRPr="00A012DF" w:rsidRDefault="00922FEA" w:rsidP="00EE6D35">
            <w:pPr>
              <w:pStyle w:val="Tabletext"/>
              <w:rPr>
                <w:lang w:eastAsia="en-AU"/>
              </w:rPr>
            </w:pPr>
            <w:r w:rsidRPr="00A012DF">
              <w:rPr>
                <w:lang w:eastAsia="en-AU"/>
              </w:rPr>
              <w:t>SDT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-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due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on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10th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day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of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the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following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month</w:t>
            </w:r>
          </w:p>
        </w:tc>
      </w:tr>
    </w:tbl>
    <w:p w14:paraId="100FB058" w14:textId="5165C112" w:rsidR="003F065B" w:rsidRPr="006E29AF" w:rsidRDefault="003F065B" w:rsidP="006E29AF">
      <w:pPr>
        <w:pStyle w:val="DHHSbody"/>
        <w:rPr>
          <w:b/>
          <w:bCs/>
        </w:rPr>
      </w:pPr>
      <w:r w:rsidRPr="006E29AF">
        <w:rPr>
          <w:b/>
          <w:bCs/>
          <w:lang w:eastAsia="en-AU"/>
        </w:rPr>
        <w:t>Program component: Better Futures and Home Stretch Flexible Funding</w:t>
      </w:r>
      <w:r w:rsidR="00410C81">
        <w:rPr>
          <w:b/>
          <w:bCs/>
          <w:lang w:eastAsia="en-AU"/>
        </w:rPr>
        <w:t xml:space="preserve">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419"/>
        <w:gridCol w:w="2545"/>
        <w:gridCol w:w="1267"/>
        <w:gridCol w:w="1337"/>
        <w:gridCol w:w="2074"/>
        <w:gridCol w:w="1701"/>
      </w:tblGrid>
      <w:tr w:rsidR="00922FEA" w:rsidRPr="00A012DF" w14:paraId="7F7C8A1F" w14:textId="77777777" w:rsidTr="00922FEA">
        <w:trPr>
          <w:tblHeader/>
        </w:trPr>
        <w:tc>
          <w:tcPr>
            <w:tcW w:w="1419" w:type="dxa"/>
          </w:tcPr>
          <w:p w14:paraId="45293715" w14:textId="77777777" w:rsidR="00922FEA" w:rsidRPr="00A012DF" w:rsidRDefault="00922FEA" w:rsidP="00E47463">
            <w:pPr>
              <w:pStyle w:val="Tablecolhead"/>
              <w:rPr>
                <w:lang w:eastAsia="en-AU"/>
              </w:rPr>
            </w:pPr>
            <w:r w:rsidRPr="00A012DF">
              <w:rPr>
                <w:lang w:eastAsia="en-AU"/>
              </w:rPr>
              <w:t>Measure</w:t>
            </w:r>
          </w:p>
        </w:tc>
        <w:tc>
          <w:tcPr>
            <w:tcW w:w="2545" w:type="dxa"/>
          </w:tcPr>
          <w:p w14:paraId="5932F01C" w14:textId="77777777" w:rsidR="00922FEA" w:rsidRPr="00A012DF" w:rsidRDefault="00922FEA" w:rsidP="00E47463">
            <w:pPr>
              <w:pStyle w:val="Tablecolhead"/>
              <w:rPr>
                <w:lang w:eastAsia="en-AU"/>
              </w:rPr>
            </w:pPr>
            <w:r w:rsidRPr="00A012DF">
              <w:rPr>
                <w:lang w:eastAsia="en-AU"/>
              </w:rPr>
              <w:t>Description</w:t>
            </w:r>
          </w:p>
        </w:tc>
        <w:tc>
          <w:tcPr>
            <w:tcW w:w="1267" w:type="dxa"/>
          </w:tcPr>
          <w:p w14:paraId="1232392B" w14:textId="77777777" w:rsidR="00922FEA" w:rsidRPr="00A012DF" w:rsidRDefault="00922FEA" w:rsidP="00E47463">
            <w:pPr>
              <w:pStyle w:val="Tablecolhead"/>
              <w:rPr>
                <w:lang w:eastAsia="en-AU"/>
              </w:rPr>
            </w:pPr>
            <w:r w:rsidRPr="00A012DF">
              <w:rPr>
                <w:lang w:eastAsia="en-AU"/>
              </w:rPr>
              <w:t>Count</w:t>
            </w:r>
          </w:p>
        </w:tc>
        <w:tc>
          <w:tcPr>
            <w:tcW w:w="1337" w:type="dxa"/>
          </w:tcPr>
          <w:p w14:paraId="2BC7D5AD" w14:textId="77777777" w:rsidR="00922FEA" w:rsidRPr="00A012DF" w:rsidRDefault="00922FEA" w:rsidP="00E47463">
            <w:pPr>
              <w:pStyle w:val="Tablecolhead"/>
              <w:rPr>
                <w:lang w:eastAsia="en-AU"/>
              </w:rPr>
            </w:pPr>
            <w:r w:rsidRPr="00A012DF">
              <w:rPr>
                <w:lang w:eastAsia="en-AU"/>
              </w:rPr>
              <w:t>CRISSP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Report</w:t>
            </w:r>
          </w:p>
        </w:tc>
        <w:tc>
          <w:tcPr>
            <w:tcW w:w="2074" w:type="dxa"/>
          </w:tcPr>
          <w:p w14:paraId="2C5D2A63" w14:textId="77777777" w:rsidR="00922FEA" w:rsidRPr="00A012DF" w:rsidRDefault="00922FEA" w:rsidP="00E47463">
            <w:pPr>
              <w:pStyle w:val="Tablecolhead"/>
              <w:rPr>
                <w:lang w:eastAsia="en-AU"/>
              </w:rPr>
            </w:pPr>
            <w:r w:rsidRPr="00A012DF">
              <w:rPr>
                <w:lang w:eastAsia="en-AU"/>
              </w:rPr>
              <w:t>Reporting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frequency</w:t>
            </w:r>
          </w:p>
        </w:tc>
        <w:tc>
          <w:tcPr>
            <w:tcW w:w="1701" w:type="dxa"/>
          </w:tcPr>
          <w:p w14:paraId="0D2FD7F5" w14:textId="77777777" w:rsidR="00922FEA" w:rsidRPr="00A012DF" w:rsidRDefault="00922FEA" w:rsidP="00E47463">
            <w:pPr>
              <w:pStyle w:val="Tablecolhead"/>
              <w:rPr>
                <w:lang w:eastAsia="en-AU"/>
              </w:rPr>
            </w:pPr>
            <w:r w:rsidRPr="00A012DF">
              <w:rPr>
                <w:lang w:eastAsia="en-AU"/>
              </w:rPr>
              <w:t>Report</w:t>
            </w:r>
          </w:p>
        </w:tc>
      </w:tr>
      <w:tr w:rsidR="00922FEA" w:rsidRPr="00A012DF" w14:paraId="78FCBFC5" w14:textId="7B39A4A4" w:rsidTr="00922FEA">
        <w:tc>
          <w:tcPr>
            <w:tcW w:w="1419" w:type="dxa"/>
          </w:tcPr>
          <w:p w14:paraId="5D88AC23" w14:textId="292E7C53" w:rsidR="00922FEA" w:rsidRPr="00A012DF" w:rsidRDefault="00922FEA" w:rsidP="00EE6D35">
            <w:pPr>
              <w:pStyle w:val="Tabletext"/>
              <w:rPr>
                <w:lang w:eastAsia="en-AU"/>
              </w:rPr>
            </w:pPr>
            <w:r w:rsidRPr="00A012DF">
              <w:rPr>
                <w:lang w:eastAsia="en-AU"/>
              </w:rPr>
              <w:t>Performance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measure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3</w:t>
            </w:r>
          </w:p>
        </w:tc>
        <w:tc>
          <w:tcPr>
            <w:tcW w:w="2545" w:type="dxa"/>
          </w:tcPr>
          <w:p w14:paraId="585BF0C7" w14:textId="29273669" w:rsidR="00922FEA" w:rsidRPr="00A012DF" w:rsidRDefault="00922FEA" w:rsidP="00EE6D35">
            <w:pPr>
              <w:pStyle w:val="Tabletext"/>
              <w:rPr>
                <w:lang w:eastAsia="en-AU"/>
              </w:rPr>
            </w:pPr>
            <w:r w:rsidRPr="00261795">
              <w:rPr>
                <w:b/>
                <w:bCs/>
                <w:lang w:eastAsia="en-AU"/>
              </w:rPr>
              <w:t>Number of flexible funding packages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-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Better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Futures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and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or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Home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Stretch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and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the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type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of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expenditure</w:t>
            </w:r>
          </w:p>
        </w:tc>
        <w:tc>
          <w:tcPr>
            <w:tcW w:w="1267" w:type="dxa"/>
          </w:tcPr>
          <w:p w14:paraId="20713CE6" w14:textId="142EB943" w:rsidR="00922FEA" w:rsidRPr="00A012DF" w:rsidRDefault="00922FEA" w:rsidP="00EE6D35">
            <w:pPr>
              <w:pStyle w:val="Tabletext"/>
              <w:rPr>
                <w:lang w:eastAsia="en-AU"/>
              </w:rPr>
            </w:pPr>
            <w:r w:rsidRPr="00A012DF">
              <w:rPr>
                <w:lang w:eastAsia="en-AU"/>
              </w:rPr>
              <w:t>Cumulative</w:t>
            </w:r>
          </w:p>
        </w:tc>
        <w:tc>
          <w:tcPr>
            <w:tcW w:w="1337" w:type="dxa"/>
          </w:tcPr>
          <w:p w14:paraId="58A15427" w14:textId="4E941F9B" w:rsidR="00922FEA" w:rsidRPr="00A012DF" w:rsidRDefault="00922FEA" w:rsidP="00EE6D35">
            <w:pPr>
              <w:pStyle w:val="Tabletext"/>
              <w:rPr>
                <w:lang w:eastAsia="en-AU"/>
              </w:rPr>
            </w:pPr>
            <w:r w:rsidRPr="00A012DF">
              <w:rPr>
                <w:lang w:eastAsia="en-AU"/>
              </w:rPr>
              <w:t>Client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Expenditure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Report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CP506R</w:t>
            </w:r>
          </w:p>
        </w:tc>
        <w:tc>
          <w:tcPr>
            <w:tcW w:w="2074" w:type="dxa"/>
          </w:tcPr>
          <w:p w14:paraId="1A67A599" w14:textId="3A74CCF3" w:rsidR="00922FEA" w:rsidRDefault="00922FEA" w:rsidP="00EE6D35">
            <w:pPr>
              <w:pStyle w:val="Tabletext"/>
              <w:rPr>
                <w:lang w:eastAsia="en-AU"/>
              </w:rPr>
            </w:pPr>
            <w:r w:rsidRPr="00A012DF">
              <w:rPr>
                <w:lang w:eastAsia="en-AU"/>
              </w:rPr>
              <w:t>Bi-annually: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Better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Futures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providers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submits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CRISSP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report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for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the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following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reporting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periods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-1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Jul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to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31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Dec</w:t>
            </w:r>
          </w:p>
          <w:p w14:paraId="353D6968" w14:textId="541204F2" w:rsidR="00922FEA" w:rsidRPr="00A012DF" w:rsidRDefault="00922FEA" w:rsidP="00EE6D35">
            <w:pPr>
              <w:pStyle w:val="Tabletext"/>
              <w:rPr>
                <w:lang w:eastAsia="en-AU"/>
              </w:rPr>
            </w:pPr>
            <w:r w:rsidRPr="00A012DF">
              <w:rPr>
                <w:lang w:eastAsia="en-AU"/>
              </w:rPr>
              <w:t>-1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Jan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to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30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Jun</w:t>
            </w:r>
          </w:p>
        </w:tc>
        <w:tc>
          <w:tcPr>
            <w:tcW w:w="1701" w:type="dxa"/>
          </w:tcPr>
          <w:p w14:paraId="6D6E2E39" w14:textId="24B39372" w:rsidR="00922FEA" w:rsidRPr="00A012DF" w:rsidRDefault="00922FEA" w:rsidP="00EE6D35">
            <w:pPr>
              <w:pStyle w:val="Tabletext"/>
              <w:rPr>
                <w:lang w:eastAsia="en-AU"/>
              </w:rPr>
            </w:pPr>
            <w:r w:rsidRPr="00A012DF">
              <w:rPr>
                <w:lang w:eastAsia="en-AU"/>
              </w:rPr>
              <w:t>CRISSP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Report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submitted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to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APSS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Adviser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at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the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end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of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the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reporting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period</w:t>
            </w:r>
          </w:p>
        </w:tc>
      </w:tr>
    </w:tbl>
    <w:p w14:paraId="1992C065" w14:textId="47CACA50" w:rsidR="003F065B" w:rsidRPr="006E29AF" w:rsidRDefault="003F065B" w:rsidP="006E29AF">
      <w:pPr>
        <w:pStyle w:val="DHHSbody"/>
        <w:rPr>
          <w:b/>
          <w:bCs/>
        </w:rPr>
      </w:pPr>
      <w:r w:rsidRPr="006E29AF">
        <w:rPr>
          <w:b/>
          <w:bCs/>
          <w:lang w:eastAsia="en-AU"/>
        </w:rPr>
        <w:t>Program component:</w:t>
      </w:r>
      <w:r w:rsidR="00410C81">
        <w:rPr>
          <w:b/>
          <w:bCs/>
          <w:lang w:eastAsia="en-AU"/>
        </w:rPr>
        <w:t xml:space="preserve"> </w:t>
      </w:r>
      <w:r w:rsidRPr="006E29AF">
        <w:rPr>
          <w:b/>
          <w:bCs/>
          <w:lang w:eastAsia="en-AU"/>
        </w:rPr>
        <w:t>Home Stretch Independent Accommodation Allowance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419"/>
        <w:gridCol w:w="2545"/>
        <w:gridCol w:w="1267"/>
        <w:gridCol w:w="1337"/>
        <w:gridCol w:w="2074"/>
        <w:gridCol w:w="1701"/>
      </w:tblGrid>
      <w:tr w:rsidR="003F065B" w:rsidRPr="00A012DF" w14:paraId="293A27ED" w14:textId="77777777" w:rsidTr="003F065B">
        <w:trPr>
          <w:tblHeader/>
        </w:trPr>
        <w:tc>
          <w:tcPr>
            <w:tcW w:w="1419" w:type="dxa"/>
          </w:tcPr>
          <w:p w14:paraId="15A4E7F0" w14:textId="77777777" w:rsidR="003F065B" w:rsidRPr="00A012DF" w:rsidRDefault="003F065B" w:rsidP="00E47463">
            <w:pPr>
              <w:pStyle w:val="Tablecolhead"/>
              <w:rPr>
                <w:lang w:eastAsia="en-AU"/>
              </w:rPr>
            </w:pPr>
            <w:r w:rsidRPr="00A012DF">
              <w:rPr>
                <w:lang w:eastAsia="en-AU"/>
              </w:rPr>
              <w:t>Measure</w:t>
            </w:r>
          </w:p>
        </w:tc>
        <w:tc>
          <w:tcPr>
            <w:tcW w:w="2545" w:type="dxa"/>
          </w:tcPr>
          <w:p w14:paraId="7262AB04" w14:textId="77777777" w:rsidR="003F065B" w:rsidRPr="00A012DF" w:rsidRDefault="003F065B" w:rsidP="00E47463">
            <w:pPr>
              <w:pStyle w:val="Tablecolhead"/>
              <w:rPr>
                <w:lang w:eastAsia="en-AU"/>
              </w:rPr>
            </w:pPr>
            <w:r w:rsidRPr="00A012DF">
              <w:rPr>
                <w:lang w:eastAsia="en-AU"/>
              </w:rPr>
              <w:t>Description</w:t>
            </w:r>
          </w:p>
        </w:tc>
        <w:tc>
          <w:tcPr>
            <w:tcW w:w="1267" w:type="dxa"/>
          </w:tcPr>
          <w:p w14:paraId="4E47A792" w14:textId="77777777" w:rsidR="003F065B" w:rsidRPr="00A012DF" w:rsidRDefault="003F065B" w:rsidP="00E47463">
            <w:pPr>
              <w:pStyle w:val="Tablecolhead"/>
              <w:rPr>
                <w:lang w:eastAsia="en-AU"/>
              </w:rPr>
            </w:pPr>
            <w:r w:rsidRPr="00A012DF">
              <w:rPr>
                <w:lang w:eastAsia="en-AU"/>
              </w:rPr>
              <w:t>Count</w:t>
            </w:r>
          </w:p>
        </w:tc>
        <w:tc>
          <w:tcPr>
            <w:tcW w:w="1337" w:type="dxa"/>
          </w:tcPr>
          <w:p w14:paraId="2DF47444" w14:textId="77777777" w:rsidR="003F065B" w:rsidRPr="00A012DF" w:rsidRDefault="003F065B" w:rsidP="00E47463">
            <w:pPr>
              <w:pStyle w:val="Tablecolhead"/>
              <w:rPr>
                <w:lang w:eastAsia="en-AU"/>
              </w:rPr>
            </w:pPr>
            <w:r w:rsidRPr="00A012DF">
              <w:rPr>
                <w:lang w:eastAsia="en-AU"/>
              </w:rPr>
              <w:t>CRISSP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Report</w:t>
            </w:r>
          </w:p>
        </w:tc>
        <w:tc>
          <w:tcPr>
            <w:tcW w:w="2074" w:type="dxa"/>
          </w:tcPr>
          <w:p w14:paraId="161D2195" w14:textId="77777777" w:rsidR="003F065B" w:rsidRPr="00A012DF" w:rsidRDefault="003F065B" w:rsidP="00E47463">
            <w:pPr>
              <w:pStyle w:val="Tablecolhead"/>
              <w:rPr>
                <w:lang w:eastAsia="en-AU"/>
              </w:rPr>
            </w:pPr>
            <w:r w:rsidRPr="00A012DF">
              <w:rPr>
                <w:lang w:eastAsia="en-AU"/>
              </w:rPr>
              <w:t>Reporting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frequency</w:t>
            </w:r>
          </w:p>
        </w:tc>
        <w:tc>
          <w:tcPr>
            <w:tcW w:w="1701" w:type="dxa"/>
          </w:tcPr>
          <w:p w14:paraId="769E128A" w14:textId="77777777" w:rsidR="003F065B" w:rsidRPr="00A012DF" w:rsidRDefault="003F065B" w:rsidP="00E47463">
            <w:pPr>
              <w:pStyle w:val="Tablecolhead"/>
              <w:rPr>
                <w:lang w:eastAsia="en-AU"/>
              </w:rPr>
            </w:pPr>
            <w:r w:rsidRPr="00A012DF">
              <w:rPr>
                <w:lang w:eastAsia="en-AU"/>
              </w:rPr>
              <w:t>Report</w:t>
            </w:r>
          </w:p>
        </w:tc>
      </w:tr>
      <w:tr w:rsidR="003F065B" w:rsidRPr="00A012DF" w14:paraId="24B2F65A" w14:textId="0761C4F1" w:rsidTr="003F065B">
        <w:tc>
          <w:tcPr>
            <w:tcW w:w="1419" w:type="dxa"/>
          </w:tcPr>
          <w:p w14:paraId="1125928D" w14:textId="7F0F7D4C" w:rsidR="003F065B" w:rsidRPr="00A012DF" w:rsidRDefault="003F065B" w:rsidP="00EE6D35">
            <w:pPr>
              <w:pStyle w:val="Tabletext"/>
              <w:rPr>
                <w:lang w:eastAsia="en-AU"/>
              </w:rPr>
            </w:pPr>
            <w:r w:rsidRPr="00A012DF">
              <w:rPr>
                <w:lang w:eastAsia="en-AU"/>
              </w:rPr>
              <w:t>Performance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measure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4</w:t>
            </w:r>
          </w:p>
        </w:tc>
        <w:tc>
          <w:tcPr>
            <w:tcW w:w="2545" w:type="dxa"/>
          </w:tcPr>
          <w:p w14:paraId="30973E46" w14:textId="63A96AF1" w:rsidR="003F065B" w:rsidRPr="00A012DF" w:rsidRDefault="003F065B" w:rsidP="00EE6D35">
            <w:pPr>
              <w:pStyle w:val="Tabletext"/>
              <w:rPr>
                <w:lang w:eastAsia="en-AU"/>
              </w:rPr>
            </w:pPr>
            <w:r w:rsidRPr="00261795">
              <w:rPr>
                <w:b/>
                <w:bCs/>
                <w:lang w:eastAsia="en-AU"/>
              </w:rPr>
              <w:t>Number of flexible funding packages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–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Home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Stretch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–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Independent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Accommodation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Allowance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and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the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type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of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expenditure</w:t>
            </w:r>
          </w:p>
        </w:tc>
        <w:tc>
          <w:tcPr>
            <w:tcW w:w="1267" w:type="dxa"/>
          </w:tcPr>
          <w:p w14:paraId="27EE6526" w14:textId="7A313E67" w:rsidR="003F065B" w:rsidRPr="00A012DF" w:rsidRDefault="003F065B" w:rsidP="00EE6D35">
            <w:pPr>
              <w:pStyle w:val="Tabletext"/>
              <w:rPr>
                <w:lang w:eastAsia="en-AU"/>
              </w:rPr>
            </w:pPr>
            <w:r w:rsidRPr="00A012DF">
              <w:rPr>
                <w:lang w:eastAsia="en-AU"/>
              </w:rPr>
              <w:t>Cumulative</w:t>
            </w:r>
          </w:p>
        </w:tc>
        <w:tc>
          <w:tcPr>
            <w:tcW w:w="1337" w:type="dxa"/>
          </w:tcPr>
          <w:p w14:paraId="673501D4" w14:textId="7C19860E" w:rsidR="003F065B" w:rsidRPr="00A012DF" w:rsidRDefault="003F065B" w:rsidP="00EE6D35">
            <w:pPr>
              <w:pStyle w:val="Tabletext"/>
              <w:rPr>
                <w:lang w:eastAsia="en-AU"/>
              </w:rPr>
            </w:pPr>
            <w:r w:rsidRPr="00A012DF">
              <w:rPr>
                <w:lang w:eastAsia="en-AU"/>
              </w:rPr>
              <w:t>Client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Expenditure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Report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CP506R</w:t>
            </w:r>
          </w:p>
        </w:tc>
        <w:tc>
          <w:tcPr>
            <w:tcW w:w="2074" w:type="dxa"/>
          </w:tcPr>
          <w:p w14:paraId="61AF4912" w14:textId="4FE31D14" w:rsidR="003F065B" w:rsidRDefault="003F065B" w:rsidP="00EE6D35">
            <w:pPr>
              <w:pStyle w:val="Tabletext"/>
              <w:rPr>
                <w:lang w:eastAsia="en-AU"/>
              </w:rPr>
            </w:pPr>
            <w:r w:rsidRPr="00A012DF">
              <w:rPr>
                <w:lang w:eastAsia="en-AU"/>
              </w:rPr>
              <w:t>Bi-annually: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Better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Futures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providers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submits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CRISSP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report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for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the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following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reporting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periods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-1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Jul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to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31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Dec</w:t>
            </w:r>
          </w:p>
          <w:p w14:paraId="25F6625B" w14:textId="4238D834" w:rsidR="003F065B" w:rsidRPr="00A012DF" w:rsidRDefault="003F065B" w:rsidP="00EE6D35">
            <w:pPr>
              <w:pStyle w:val="Tabletext"/>
              <w:rPr>
                <w:lang w:eastAsia="en-AU"/>
              </w:rPr>
            </w:pPr>
            <w:r w:rsidRPr="00A012DF">
              <w:rPr>
                <w:lang w:eastAsia="en-AU"/>
              </w:rPr>
              <w:t>-1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Jan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to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30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Jun</w:t>
            </w:r>
          </w:p>
        </w:tc>
        <w:tc>
          <w:tcPr>
            <w:tcW w:w="1701" w:type="dxa"/>
          </w:tcPr>
          <w:p w14:paraId="4CCD0CAB" w14:textId="12F5E39D" w:rsidR="003F065B" w:rsidRPr="00A012DF" w:rsidRDefault="003F065B" w:rsidP="00EE6D35">
            <w:pPr>
              <w:pStyle w:val="Tabletext"/>
              <w:rPr>
                <w:lang w:eastAsia="en-AU"/>
              </w:rPr>
            </w:pPr>
            <w:r w:rsidRPr="00A012DF">
              <w:rPr>
                <w:lang w:eastAsia="en-AU"/>
              </w:rPr>
              <w:t>CRISSP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Report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submitted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to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APSS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Adviser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at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the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end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of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the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reporting</w:t>
            </w:r>
            <w:r>
              <w:rPr>
                <w:lang w:eastAsia="en-AU"/>
              </w:rPr>
              <w:t xml:space="preserve"> </w:t>
            </w:r>
            <w:r w:rsidRPr="00A012DF">
              <w:rPr>
                <w:lang w:eastAsia="en-AU"/>
              </w:rPr>
              <w:t>period</w:t>
            </w:r>
          </w:p>
        </w:tc>
      </w:tr>
    </w:tbl>
    <w:p w14:paraId="406BA9B9" w14:textId="1E4842E2" w:rsidR="001B20B3" w:rsidRDefault="001B20B3" w:rsidP="001B20B3">
      <w:pPr>
        <w:pStyle w:val="Heading4"/>
      </w:pPr>
      <w:r>
        <w:lastRenderedPageBreak/>
        <w:t>Care</w:t>
      </w:r>
      <w:r w:rsidR="00EE6D35">
        <w:t xml:space="preserve"> </w:t>
      </w:r>
      <w:r>
        <w:t>Allowance</w:t>
      </w:r>
      <w:r w:rsidR="00EE6D35">
        <w:t xml:space="preserve"> </w:t>
      </w:r>
      <w:r>
        <w:t>Payments</w:t>
      </w:r>
      <w:r w:rsidR="00EE6D35">
        <w:t xml:space="preserve"> </w:t>
      </w:r>
      <w:r>
        <w:t>-</w:t>
      </w:r>
      <w:r w:rsidR="00EE6D35">
        <w:t xml:space="preserve"> </w:t>
      </w:r>
      <w:r>
        <w:t>Fortnightly</w:t>
      </w:r>
      <w:r w:rsidR="00EE6D35">
        <w:t xml:space="preserve"> </w:t>
      </w:r>
      <w:r>
        <w:t>Verification</w:t>
      </w:r>
      <w:r w:rsidR="00EE6D35">
        <w:t xml:space="preserve"> </w:t>
      </w:r>
      <w:r>
        <w:t>Reports</w:t>
      </w:r>
      <w:r w:rsidR="00EE6D35">
        <w:t xml:space="preserve"> </w:t>
      </w:r>
      <w:r>
        <w:t>(Home</w:t>
      </w:r>
      <w:r w:rsidR="00EE6D35">
        <w:t xml:space="preserve"> </w:t>
      </w:r>
      <w:r>
        <w:t>Stretch)</w:t>
      </w:r>
    </w:p>
    <w:p w14:paraId="7D5AF44C" w14:textId="34ED5691" w:rsidR="001B20B3" w:rsidRPr="0046221F" w:rsidRDefault="001B20B3" w:rsidP="001B20B3">
      <w:pPr>
        <w:pStyle w:val="DHHSbody"/>
      </w:pPr>
      <w:r w:rsidRPr="005126D2">
        <w:t>Fortnightly</w:t>
      </w:r>
      <w:r w:rsidR="00EE6D35">
        <w:t xml:space="preserve"> </w:t>
      </w:r>
      <w:r w:rsidRPr="005126D2">
        <w:t>verification</w:t>
      </w:r>
      <w:r w:rsidR="00EE6D35">
        <w:t xml:space="preserve"> </w:t>
      </w:r>
      <w:r w:rsidRPr="005126D2">
        <w:t>reports</w:t>
      </w:r>
      <w:r w:rsidR="00EE6D35">
        <w:t xml:space="preserve"> </w:t>
      </w:r>
      <w:r w:rsidRPr="005126D2">
        <w:t>are</w:t>
      </w:r>
      <w:r w:rsidR="00EE6D35">
        <w:t xml:space="preserve"> </w:t>
      </w:r>
      <w:r w:rsidRPr="005126D2">
        <w:t>provided</w:t>
      </w:r>
      <w:r w:rsidR="00EE6D35">
        <w:t xml:space="preserve"> </w:t>
      </w:r>
      <w:r w:rsidRPr="005126D2">
        <w:t>by</w:t>
      </w:r>
      <w:r w:rsidR="00EE6D35">
        <w:t xml:space="preserve"> </w:t>
      </w:r>
      <w:r w:rsidRPr="005126D2">
        <w:t>the</w:t>
      </w:r>
      <w:r w:rsidR="00EE6D35">
        <w:t xml:space="preserve"> </w:t>
      </w:r>
      <w:r w:rsidRPr="005126D2">
        <w:t>Care</w:t>
      </w:r>
      <w:r w:rsidR="00EE6D35">
        <w:t xml:space="preserve"> </w:t>
      </w:r>
      <w:r w:rsidRPr="005126D2">
        <w:t>Allowance</w:t>
      </w:r>
      <w:r w:rsidR="00EE6D35">
        <w:t xml:space="preserve"> </w:t>
      </w:r>
      <w:r w:rsidRPr="005126D2">
        <w:t>Helpdesk</w:t>
      </w:r>
      <w:r w:rsidR="00EE6D35">
        <w:t xml:space="preserve"> </w:t>
      </w:r>
      <w:r w:rsidRPr="005126D2">
        <w:t>to</w:t>
      </w:r>
      <w:r w:rsidR="00EE6D35">
        <w:t xml:space="preserve"> </w:t>
      </w:r>
      <w:r w:rsidRPr="005126D2">
        <w:t>funded</w:t>
      </w:r>
      <w:r w:rsidR="00EE6D35">
        <w:t xml:space="preserve"> </w:t>
      </w:r>
      <w:r w:rsidRPr="005126D2">
        <w:t>Community</w:t>
      </w:r>
      <w:r w:rsidR="00EE6D35">
        <w:t xml:space="preserve"> </w:t>
      </w:r>
      <w:r w:rsidRPr="005126D2">
        <w:t>Services</w:t>
      </w:r>
      <w:r w:rsidR="00EE6D35">
        <w:t xml:space="preserve"> </w:t>
      </w:r>
      <w:r w:rsidRPr="005126D2">
        <w:t>Organisations</w:t>
      </w:r>
      <w:r w:rsidR="00EE6D35">
        <w:t xml:space="preserve"> </w:t>
      </w:r>
      <w:r>
        <w:t>(CSOs)</w:t>
      </w:r>
      <w:r w:rsidR="00EE6D35">
        <w:t xml:space="preserve"> </w:t>
      </w:r>
      <w:r w:rsidRPr="005126D2">
        <w:t>and</w:t>
      </w:r>
      <w:r w:rsidR="00EE6D35">
        <w:t xml:space="preserve"> </w:t>
      </w:r>
      <w:r w:rsidRPr="005126D2">
        <w:t>Aboriginal</w:t>
      </w:r>
      <w:r w:rsidR="00EE6D35">
        <w:t xml:space="preserve"> </w:t>
      </w:r>
      <w:r w:rsidRPr="005126D2">
        <w:t>Community</w:t>
      </w:r>
      <w:r w:rsidR="00EE6D35">
        <w:t xml:space="preserve"> </w:t>
      </w:r>
      <w:r w:rsidRPr="005126D2">
        <w:t>Controlled</w:t>
      </w:r>
      <w:r w:rsidR="00EE6D35">
        <w:t xml:space="preserve"> </w:t>
      </w:r>
      <w:r w:rsidRPr="005126D2">
        <w:t>Organisations</w:t>
      </w:r>
      <w:r w:rsidR="00EE6D35">
        <w:t xml:space="preserve"> </w:t>
      </w:r>
      <w:r w:rsidRPr="005126D2">
        <w:t>(ACCOs</w:t>
      </w:r>
      <w:r>
        <w:t>)</w:t>
      </w:r>
      <w:r w:rsidR="00EE6D35">
        <w:t xml:space="preserve"> </w:t>
      </w:r>
      <w:r w:rsidRPr="0046221F">
        <w:t>after</w:t>
      </w:r>
      <w:r w:rsidR="00EE6D35">
        <w:t xml:space="preserve"> </w:t>
      </w:r>
      <w:r w:rsidRPr="0046221F">
        <w:t>each</w:t>
      </w:r>
      <w:r w:rsidR="00EE6D35">
        <w:t xml:space="preserve"> </w:t>
      </w:r>
      <w:r w:rsidRPr="0046221F">
        <w:t>fortnightly</w:t>
      </w:r>
      <w:r w:rsidR="00EE6D35">
        <w:t xml:space="preserve"> </w:t>
      </w:r>
      <w:r w:rsidRPr="0046221F">
        <w:t>care</w:t>
      </w:r>
      <w:r w:rsidR="00EE6D35">
        <w:t xml:space="preserve"> </w:t>
      </w:r>
      <w:r w:rsidRPr="0046221F">
        <w:t>allowance</w:t>
      </w:r>
      <w:r w:rsidR="00EE6D35">
        <w:t xml:space="preserve"> </w:t>
      </w:r>
      <w:r w:rsidRPr="0046221F">
        <w:t>payment</w:t>
      </w:r>
      <w:r w:rsidR="00EE6D35">
        <w:t xml:space="preserve"> </w:t>
      </w:r>
      <w:r w:rsidRPr="0046221F">
        <w:t>cycle.</w:t>
      </w:r>
      <w:r w:rsidR="00EE6D35">
        <w:t xml:space="preserve"> </w:t>
      </w:r>
      <w:r w:rsidRPr="0046221F">
        <w:t>The</w:t>
      </w:r>
      <w:r w:rsidR="00EE6D35">
        <w:t xml:space="preserve"> </w:t>
      </w:r>
      <w:r w:rsidRPr="0046221F">
        <w:t>objectives</w:t>
      </w:r>
      <w:r w:rsidR="00EE6D35">
        <w:t xml:space="preserve"> </w:t>
      </w:r>
      <w:r w:rsidRPr="0046221F">
        <w:t>of</w:t>
      </w:r>
      <w:r w:rsidR="00EE6D35">
        <w:t xml:space="preserve"> </w:t>
      </w:r>
      <w:r w:rsidRPr="0046221F">
        <w:t>the</w:t>
      </w:r>
      <w:r w:rsidR="00EE6D35">
        <w:t xml:space="preserve"> </w:t>
      </w:r>
      <w:r w:rsidRPr="0046221F">
        <w:t>verification</w:t>
      </w:r>
      <w:r w:rsidR="00EE6D35">
        <w:t xml:space="preserve"> </w:t>
      </w:r>
      <w:r w:rsidRPr="0046221F">
        <w:t>reports</w:t>
      </w:r>
      <w:r w:rsidR="00EE6D35">
        <w:t xml:space="preserve"> </w:t>
      </w:r>
      <w:r w:rsidRPr="0046221F">
        <w:t>are</w:t>
      </w:r>
      <w:r w:rsidR="00EE6D35">
        <w:t xml:space="preserve"> </w:t>
      </w:r>
      <w:r w:rsidRPr="0046221F">
        <w:t>for</w:t>
      </w:r>
      <w:r w:rsidR="00EE6D35">
        <w:t xml:space="preserve"> </w:t>
      </w:r>
      <w:r w:rsidRPr="0046221F">
        <w:t>CSOs</w:t>
      </w:r>
      <w:r w:rsidR="00EE6D35">
        <w:t xml:space="preserve"> </w:t>
      </w:r>
      <w:r w:rsidRPr="0046221F">
        <w:t>and</w:t>
      </w:r>
      <w:r w:rsidR="00EE6D35">
        <w:t xml:space="preserve"> </w:t>
      </w:r>
      <w:r w:rsidRPr="0046221F">
        <w:t>ACCOs</w:t>
      </w:r>
      <w:r w:rsidR="00EE6D35">
        <w:t xml:space="preserve"> </w:t>
      </w:r>
      <w:r w:rsidRPr="0046221F">
        <w:t>to:</w:t>
      </w:r>
    </w:p>
    <w:p w14:paraId="255AFC80" w14:textId="006C3971" w:rsidR="001B20B3" w:rsidRPr="00C779F6" w:rsidRDefault="001B20B3" w:rsidP="001B20B3">
      <w:pPr>
        <w:pStyle w:val="Bullet1"/>
        <w:numPr>
          <w:ilvl w:val="0"/>
          <w:numId w:val="45"/>
        </w:numPr>
        <w:rPr>
          <w:sz w:val="20"/>
        </w:rPr>
      </w:pPr>
      <w:r w:rsidRPr="00C779F6">
        <w:rPr>
          <w:sz w:val="20"/>
        </w:rPr>
        <w:t>confirm</w:t>
      </w:r>
      <w:r w:rsidR="00EE6D35">
        <w:rPr>
          <w:sz w:val="20"/>
        </w:rPr>
        <w:t xml:space="preserve"> </w:t>
      </w:r>
      <w:r w:rsidRPr="00C779F6">
        <w:rPr>
          <w:sz w:val="20"/>
        </w:rPr>
        <w:t>that</w:t>
      </w:r>
      <w:r w:rsidR="00EE6D35">
        <w:rPr>
          <w:sz w:val="20"/>
        </w:rPr>
        <w:t xml:space="preserve"> </w:t>
      </w:r>
      <w:r w:rsidRPr="00C779F6">
        <w:rPr>
          <w:sz w:val="20"/>
        </w:rPr>
        <w:t>young</w:t>
      </w:r>
      <w:r w:rsidR="00EE6D35">
        <w:rPr>
          <w:sz w:val="20"/>
        </w:rPr>
        <w:t xml:space="preserve"> </w:t>
      </w:r>
      <w:r w:rsidRPr="00C779F6">
        <w:rPr>
          <w:sz w:val="20"/>
        </w:rPr>
        <w:t>person,</w:t>
      </w:r>
      <w:r w:rsidR="00EE6D35">
        <w:rPr>
          <w:sz w:val="20"/>
        </w:rPr>
        <w:t xml:space="preserve"> </w:t>
      </w:r>
      <w:r w:rsidRPr="00C779F6">
        <w:rPr>
          <w:sz w:val="20"/>
        </w:rPr>
        <w:t>carer</w:t>
      </w:r>
      <w:r w:rsidR="00EE6D35">
        <w:rPr>
          <w:sz w:val="20"/>
        </w:rPr>
        <w:t xml:space="preserve"> </w:t>
      </w:r>
      <w:r w:rsidRPr="00C779F6">
        <w:rPr>
          <w:sz w:val="20"/>
        </w:rPr>
        <w:t>and</w:t>
      </w:r>
      <w:r w:rsidR="00EE6D35">
        <w:rPr>
          <w:sz w:val="20"/>
        </w:rPr>
        <w:t xml:space="preserve"> </w:t>
      </w:r>
      <w:r w:rsidRPr="00C779F6">
        <w:rPr>
          <w:sz w:val="20"/>
        </w:rPr>
        <w:t>care</w:t>
      </w:r>
      <w:r w:rsidR="00EE6D35">
        <w:rPr>
          <w:sz w:val="20"/>
        </w:rPr>
        <w:t xml:space="preserve"> </w:t>
      </w:r>
      <w:r w:rsidRPr="00C779F6">
        <w:rPr>
          <w:sz w:val="20"/>
        </w:rPr>
        <w:t>allowance</w:t>
      </w:r>
      <w:r w:rsidR="00EE6D35">
        <w:rPr>
          <w:sz w:val="20"/>
        </w:rPr>
        <w:t xml:space="preserve"> </w:t>
      </w:r>
      <w:r w:rsidRPr="00C779F6">
        <w:rPr>
          <w:sz w:val="20"/>
        </w:rPr>
        <w:t>details</w:t>
      </w:r>
      <w:r w:rsidR="00EE6D35">
        <w:rPr>
          <w:sz w:val="20"/>
        </w:rPr>
        <w:t xml:space="preserve"> </w:t>
      </w:r>
      <w:r w:rsidRPr="00C779F6">
        <w:rPr>
          <w:sz w:val="20"/>
        </w:rPr>
        <w:t>for</w:t>
      </w:r>
      <w:r w:rsidR="00EE6D35">
        <w:rPr>
          <w:sz w:val="20"/>
        </w:rPr>
        <w:t xml:space="preserve"> </w:t>
      </w:r>
      <w:r w:rsidRPr="00C779F6">
        <w:rPr>
          <w:sz w:val="20"/>
        </w:rPr>
        <w:t>all</w:t>
      </w:r>
      <w:r w:rsidR="00EE6D35">
        <w:rPr>
          <w:sz w:val="20"/>
        </w:rPr>
        <w:t xml:space="preserve"> </w:t>
      </w:r>
      <w:r w:rsidRPr="00C779F6">
        <w:rPr>
          <w:sz w:val="20"/>
        </w:rPr>
        <w:t>new</w:t>
      </w:r>
      <w:r w:rsidR="00EE6D35">
        <w:rPr>
          <w:sz w:val="20"/>
        </w:rPr>
        <w:t xml:space="preserve"> </w:t>
      </w:r>
      <w:r w:rsidRPr="00C779F6">
        <w:rPr>
          <w:sz w:val="20"/>
        </w:rPr>
        <w:t>Home</w:t>
      </w:r>
      <w:r w:rsidR="00EE6D35">
        <w:rPr>
          <w:sz w:val="20"/>
        </w:rPr>
        <w:t xml:space="preserve"> </w:t>
      </w:r>
      <w:r w:rsidRPr="00C779F6">
        <w:rPr>
          <w:sz w:val="20"/>
        </w:rPr>
        <w:t>Stretch</w:t>
      </w:r>
      <w:r w:rsidR="00EE6D35">
        <w:rPr>
          <w:sz w:val="20"/>
        </w:rPr>
        <w:t xml:space="preserve"> </w:t>
      </w:r>
      <w:r w:rsidRPr="00C779F6">
        <w:rPr>
          <w:sz w:val="20"/>
        </w:rPr>
        <w:t>arrangements</w:t>
      </w:r>
      <w:r w:rsidR="00EE6D35">
        <w:rPr>
          <w:sz w:val="20"/>
        </w:rPr>
        <w:t xml:space="preserve"> </w:t>
      </w:r>
      <w:r w:rsidRPr="00C779F6">
        <w:rPr>
          <w:sz w:val="20"/>
        </w:rPr>
        <w:t>that</w:t>
      </w:r>
      <w:r w:rsidR="00EE6D35">
        <w:rPr>
          <w:sz w:val="20"/>
        </w:rPr>
        <w:t xml:space="preserve"> </w:t>
      </w:r>
      <w:r w:rsidRPr="00C779F6">
        <w:rPr>
          <w:sz w:val="20"/>
        </w:rPr>
        <w:t>commenced</w:t>
      </w:r>
      <w:r w:rsidR="00EE6D35">
        <w:rPr>
          <w:sz w:val="20"/>
        </w:rPr>
        <w:t xml:space="preserve"> </w:t>
      </w:r>
      <w:r w:rsidRPr="00C779F6">
        <w:rPr>
          <w:sz w:val="20"/>
        </w:rPr>
        <w:t>in</w:t>
      </w:r>
      <w:r w:rsidR="00EE6D35">
        <w:rPr>
          <w:sz w:val="20"/>
        </w:rPr>
        <w:t xml:space="preserve"> </w:t>
      </w:r>
      <w:r w:rsidRPr="00C779F6">
        <w:rPr>
          <w:sz w:val="20"/>
        </w:rPr>
        <w:t>the</w:t>
      </w:r>
      <w:r w:rsidR="00EE6D35">
        <w:rPr>
          <w:sz w:val="20"/>
        </w:rPr>
        <w:t xml:space="preserve"> </w:t>
      </w:r>
      <w:r w:rsidRPr="00C779F6">
        <w:rPr>
          <w:sz w:val="20"/>
        </w:rPr>
        <w:t>previous</w:t>
      </w:r>
      <w:r w:rsidR="00EE6D35">
        <w:rPr>
          <w:sz w:val="20"/>
        </w:rPr>
        <w:t xml:space="preserve"> </w:t>
      </w:r>
      <w:r w:rsidRPr="00C779F6">
        <w:rPr>
          <w:sz w:val="20"/>
        </w:rPr>
        <w:t>fortnight</w:t>
      </w:r>
      <w:r w:rsidR="00EE6D35">
        <w:rPr>
          <w:sz w:val="20"/>
        </w:rPr>
        <w:t xml:space="preserve"> </w:t>
      </w:r>
      <w:r w:rsidRPr="00C779F6">
        <w:rPr>
          <w:sz w:val="20"/>
        </w:rPr>
        <w:t>are</w:t>
      </w:r>
      <w:r w:rsidR="00EE6D35">
        <w:rPr>
          <w:sz w:val="20"/>
        </w:rPr>
        <w:t xml:space="preserve"> </w:t>
      </w:r>
      <w:r w:rsidRPr="00C779F6">
        <w:rPr>
          <w:sz w:val="20"/>
        </w:rPr>
        <w:t>correct</w:t>
      </w:r>
      <w:r w:rsidR="00EE6D35">
        <w:rPr>
          <w:sz w:val="20"/>
        </w:rPr>
        <w:t xml:space="preserve"> </w:t>
      </w:r>
      <w:r>
        <w:rPr>
          <w:sz w:val="20"/>
        </w:rPr>
        <w:t>(including</w:t>
      </w:r>
      <w:r w:rsidR="00EE6D35">
        <w:rPr>
          <w:sz w:val="20"/>
        </w:rPr>
        <w:t xml:space="preserve"> </w:t>
      </w:r>
      <w:r>
        <w:rPr>
          <w:sz w:val="20"/>
        </w:rPr>
        <w:t>checking</w:t>
      </w:r>
      <w:r w:rsidR="00EE6D35">
        <w:rPr>
          <w:sz w:val="20"/>
        </w:rPr>
        <w:t xml:space="preserve"> </w:t>
      </w:r>
      <w:r>
        <w:rPr>
          <w:sz w:val="20"/>
        </w:rPr>
        <w:t>that</w:t>
      </w:r>
      <w:r w:rsidR="00EE6D35">
        <w:rPr>
          <w:sz w:val="20"/>
        </w:rPr>
        <w:t xml:space="preserve"> </w:t>
      </w:r>
      <w:r>
        <w:rPr>
          <w:sz w:val="20"/>
        </w:rPr>
        <w:t>the</w:t>
      </w:r>
      <w:r w:rsidR="00EE6D35">
        <w:rPr>
          <w:sz w:val="20"/>
        </w:rPr>
        <w:t xml:space="preserve"> </w:t>
      </w:r>
      <w:r>
        <w:rPr>
          <w:sz w:val="20"/>
        </w:rPr>
        <w:t>HBC</w:t>
      </w:r>
      <w:r w:rsidR="00EE6D35">
        <w:rPr>
          <w:sz w:val="20"/>
        </w:rPr>
        <w:t xml:space="preserve"> </w:t>
      </w:r>
      <w:r>
        <w:rPr>
          <w:sz w:val="20"/>
        </w:rPr>
        <w:t>arrangement</w:t>
      </w:r>
      <w:r w:rsidR="00EE6D35">
        <w:rPr>
          <w:sz w:val="20"/>
        </w:rPr>
        <w:t xml:space="preserve"> </w:t>
      </w:r>
      <w:r>
        <w:rPr>
          <w:sz w:val="20"/>
        </w:rPr>
        <w:t>is</w:t>
      </w:r>
      <w:r w:rsidR="00EE6D35">
        <w:rPr>
          <w:sz w:val="20"/>
        </w:rPr>
        <w:t xml:space="preserve"> </w:t>
      </w:r>
      <w:r>
        <w:rPr>
          <w:sz w:val="20"/>
        </w:rPr>
        <w:t>recorded</w:t>
      </w:r>
      <w:r w:rsidR="00EE6D35">
        <w:rPr>
          <w:sz w:val="20"/>
        </w:rPr>
        <w:t xml:space="preserve"> </w:t>
      </w:r>
      <w:r>
        <w:rPr>
          <w:sz w:val="20"/>
        </w:rPr>
        <w:t>against</w:t>
      </w:r>
      <w:r w:rsidR="00EE6D35">
        <w:rPr>
          <w:sz w:val="20"/>
        </w:rPr>
        <w:t xml:space="preserve"> </w:t>
      </w:r>
      <w:r>
        <w:rPr>
          <w:sz w:val="20"/>
        </w:rPr>
        <w:t>the</w:t>
      </w:r>
      <w:r w:rsidR="00EE6D35">
        <w:rPr>
          <w:sz w:val="20"/>
        </w:rPr>
        <w:t xml:space="preserve"> </w:t>
      </w:r>
      <w:r>
        <w:rPr>
          <w:sz w:val="20"/>
        </w:rPr>
        <w:t>correct</w:t>
      </w:r>
      <w:r w:rsidR="00EE6D35">
        <w:rPr>
          <w:sz w:val="20"/>
        </w:rPr>
        <w:t xml:space="preserve"> </w:t>
      </w:r>
      <w:r>
        <w:rPr>
          <w:sz w:val="20"/>
        </w:rPr>
        <w:t>division</w:t>
      </w:r>
      <w:r w:rsidR="00EE6D35">
        <w:rPr>
          <w:sz w:val="20"/>
        </w:rPr>
        <w:t xml:space="preserve"> </w:t>
      </w:r>
      <w:r>
        <w:rPr>
          <w:sz w:val="20"/>
        </w:rPr>
        <w:t>and</w:t>
      </w:r>
      <w:r w:rsidR="00EE6D35">
        <w:rPr>
          <w:sz w:val="20"/>
        </w:rPr>
        <w:t xml:space="preserve"> </w:t>
      </w:r>
      <w:r>
        <w:rPr>
          <w:sz w:val="20"/>
        </w:rPr>
        <w:t>Better</w:t>
      </w:r>
      <w:r w:rsidR="00EE6D35">
        <w:rPr>
          <w:sz w:val="20"/>
        </w:rPr>
        <w:t xml:space="preserve"> </w:t>
      </w:r>
      <w:r>
        <w:rPr>
          <w:sz w:val="20"/>
        </w:rPr>
        <w:t>Futures</w:t>
      </w:r>
      <w:r w:rsidR="00EE6D35">
        <w:rPr>
          <w:sz w:val="20"/>
        </w:rPr>
        <w:t xml:space="preserve"> </w:t>
      </w:r>
      <w:r>
        <w:rPr>
          <w:sz w:val="20"/>
        </w:rPr>
        <w:t>provider)</w:t>
      </w:r>
    </w:p>
    <w:p w14:paraId="2E957BC4" w14:textId="61E06C6B" w:rsidR="001B20B3" w:rsidRDefault="001B20B3" w:rsidP="001B20B3">
      <w:pPr>
        <w:pStyle w:val="Bullet1"/>
        <w:numPr>
          <w:ilvl w:val="0"/>
          <w:numId w:val="45"/>
        </w:numPr>
        <w:rPr>
          <w:sz w:val="20"/>
        </w:rPr>
      </w:pPr>
      <w:r w:rsidRPr="00C779F6">
        <w:rPr>
          <w:sz w:val="20"/>
        </w:rPr>
        <w:t>verify</w:t>
      </w:r>
      <w:r w:rsidR="00EE6D35">
        <w:rPr>
          <w:sz w:val="20"/>
        </w:rPr>
        <w:t xml:space="preserve"> </w:t>
      </w:r>
      <w:r w:rsidRPr="00C779F6">
        <w:rPr>
          <w:sz w:val="20"/>
        </w:rPr>
        <w:t>that</w:t>
      </w:r>
      <w:r w:rsidR="00EE6D35">
        <w:rPr>
          <w:sz w:val="20"/>
        </w:rPr>
        <w:t xml:space="preserve"> </w:t>
      </w:r>
      <w:r w:rsidRPr="00C779F6">
        <w:rPr>
          <w:sz w:val="20"/>
        </w:rPr>
        <w:t>home-based</w:t>
      </w:r>
      <w:r w:rsidR="00EE6D35">
        <w:rPr>
          <w:sz w:val="20"/>
        </w:rPr>
        <w:t xml:space="preserve"> </w:t>
      </w:r>
      <w:r w:rsidRPr="00C779F6">
        <w:rPr>
          <w:sz w:val="20"/>
        </w:rPr>
        <w:t>care</w:t>
      </w:r>
      <w:r w:rsidR="00EE6D35">
        <w:rPr>
          <w:sz w:val="20"/>
        </w:rPr>
        <w:t xml:space="preserve"> </w:t>
      </w:r>
      <w:r w:rsidRPr="00C779F6">
        <w:rPr>
          <w:sz w:val="20"/>
        </w:rPr>
        <w:t>(HBC)</w:t>
      </w:r>
      <w:r w:rsidR="00EE6D35">
        <w:rPr>
          <w:sz w:val="20"/>
        </w:rPr>
        <w:t xml:space="preserve"> </w:t>
      </w:r>
      <w:r w:rsidRPr="00C779F6">
        <w:rPr>
          <w:sz w:val="20"/>
        </w:rPr>
        <w:t>arrangements</w:t>
      </w:r>
      <w:r w:rsidR="00EE6D35">
        <w:rPr>
          <w:sz w:val="20"/>
        </w:rPr>
        <w:t xml:space="preserve"> </w:t>
      </w:r>
      <w:r w:rsidRPr="00C779F6">
        <w:rPr>
          <w:sz w:val="20"/>
        </w:rPr>
        <w:t>for</w:t>
      </w:r>
      <w:r w:rsidR="00EE6D35">
        <w:rPr>
          <w:sz w:val="20"/>
        </w:rPr>
        <w:t xml:space="preserve"> </w:t>
      </w:r>
      <w:r w:rsidRPr="00C779F6">
        <w:rPr>
          <w:sz w:val="20"/>
        </w:rPr>
        <w:t>which</w:t>
      </w:r>
      <w:r w:rsidR="00EE6D35">
        <w:rPr>
          <w:sz w:val="20"/>
        </w:rPr>
        <w:t xml:space="preserve"> </w:t>
      </w:r>
      <w:r w:rsidRPr="00C779F6">
        <w:rPr>
          <w:sz w:val="20"/>
        </w:rPr>
        <w:t>a</w:t>
      </w:r>
      <w:r w:rsidR="00EE6D35">
        <w:rPr>
          <w:sz w:val="20"/>
        </w:rPr>
        <w:t xml:space="preserve"> </w:t>
      </w:r>
      <w:r w:rsidRPr="00C779F6">
        <w:rPr>
          <w:sz w:val="20"/>
        </w:rPr>
        <w:t>care</w:t>
      </w:r>
      <w:r w:rsidR="00EE6D35">
        <w:rPr>
          <w:sz w:val="20"/>
        </w:rPr>
        <w:t xml:space="preserve"> </w:t>
      </w:r>
      <w:r w:rsidRPr="00C779F6">
        <w:rPr>
          <w:sz w:val="20"/>
        </w:rPr>
        <w:t>allowance</w:t>
      </w:r>
      <w:r w:rsidR="00EE6D35">
        <w:rPr>
          <w:sz w:val="20"/>
        </w:rPr>
        <w:t xml:space="preserve"> </w:t>
      </w:r>
      <w:r w:rsidRPr="00C779F6">
        <w:rPr>
          <w:sz w:val="20"/>
        </w:rPr>
        <w:t>is</w:t>
      </w:r>
      <w:r w:rsidR="00EE6D35">
        <w:rPr>
          <w:sz w:val="20"/>
        </w:rPr>
        <w:t xml:space="preserve"> </w:t>
      </w:r>
      <w:r w:rsidRPr="00C779F6">
        <w:rPr>
          <w:sz w:val="20"/>
        </w:rPr>
        <w:t>received</w:t>
      </w:r>
      <w:r w:rsidR="00EE6D35">
        <w:rPr>
          <w:sz w:val="20"/>
        </w:rPr>
        <w:t xml:space="preserve"> </w:t>
      </w:r>
      <w:r w:rsidRPr="00C779F6">
        <w:rPr>
          <w:sz w:val="20"/>
        </w:rPr>
        <w:t>remain</w:t>
      </w:r>
      <w:r w:rsidR="00EE6D35">
        <w:rPr>
          <w:sz w:val="20"/>
        </w:rPr>
        <w:t xml:space="preserve"> </w:t>
      </w:r>
      <w:r w:rsidRPr="00C779F6">
        <w:rPr>
          <w:sz w:val="20"/>
        </w:rPr>
        <w:t>active</w:t>
      </w:r>
      <w:r w:rsidR="00EE6D35">
        <w:rPr>
          <w:sz w:val="20"/>
        </w:rPr>
        <w:t xml:space="preserve"> </w:t>
      </w:r>
      <w:r w:rsidRPr="00C779F6">
        <w:rPr>
          <w:sz w:val="20"/>
        </w:rPr>
        <w:t>and</w:t>
      </w:r>
      <w:r w:rsidR="00EE6D35">
        <w:rPr>
          <w:sz w:val="20"/>
        </w:rPr>
        <w:t xml:space="preserve"> </w:t>
      </w:r>
      <w:r w:rsidRPr="00C779F6">
        <w:rPr>
          <w:sz w:val="20"/>
        </w:rPr>
        <w:t>end</w:t>
      </w:r>
      <w:r w:rsidR="00EE6D35">
        <w:rPr>
          <w:sz w:val="20"/>
        </w:rPr>
        <w:t xml:space="preserve"> </w:t>
      </w:r>
      <w:r w:rsidRPr="00C779F6">
        <w:rPr>
          <w:sz w:val="20"/>
        </w:rPr>
        <w:t>any</w:t>
      </w:r>
      <w:r w:rsidR="00EE6D35">
        <w:rPr>
          <w:sz w:val="20"/>
        </w:rPr>
        <w:t xml:space="preserve"> </w:t>
      </w:r>
      <w:r w:rsidRPr="00C779F6">
        <w:rPr>
          <w:sz w:val="20"/>
        </w:rPr>
        <w:t>Home</w:t>
      </w:r>
      <w:r w:rsidR="00EE6D35">
        <w:rPr>
          <w:sz w:val="20"/>
        </w:rPr>
        <w:t xml:space="preserve"> </w:t>
      </w:r>
      <w:r w:rsidRPr="00C779F6">
        <w:rPr>
          <w:sz w:val="20"/>
        </w:rPr>
        <w:t>Stretch</w:t>
      </w:r>
      <w:r w:rsidR="00EE6D35">
        <w:rPr>
          <w:sz w:val="20"/>
        </w:rPr>
        <w:t xml:space="preserve"> </w:t>
      </w:r>
      <w:r w:rsidRPr="00C779F6">
        <w:rPr>
          <w:sz w:val="20"/>
        </w:rPr>
        <w:t>HBC</w:t>
      </w:r>
      <w:r w:rsidR="00EE6D35">
        <w:rPr>
          <w:sz w:val="20"/>
        </w:rPr>
        <w:t xml:space="preserve"> </w:t>
      </w:r>
      <w:r w:rsidRPr="00C779F6">
        <w:rPr>
          <w:sz w:val="20"/>
        </w:rPr>
        <w:t>arrangements</w:t>
      </w:r>
      <w:r w:rsidR="00EE6D35">
        <w:rPr>
          <w:sz w:val="20"/>
        </w:rPr>
        <w:t xml:space="preserve"> </w:t>
      </w:r>
      <w:r w:rsidRPr="00C779F6">
        <w:rPr>
          <w:sz w:val="20"/>
        </w:rPr>
        <w:t>if</w:t>
      </w:r>
      <w:r w:rsidR="00EE6D35">
        <w:rPr>
          <w:sz w:val="20"/>
        </w:rPr>
        <w:t xml:space="preserve"> </w:t>
      </w:r>
      <w:r w:rsidRPr="00C779F6">
        <w:rPr>
          <w:sz w:val="20"/>
        </w:rPr>
        <w:t>they</w:t>
      </w:r>
      <w:r w:rsidR="00EE6D35">
        <w:rPr>
          <w:sz w:val="20"/>
        </w:rPr>
        <w:t xml:space="preserve"> </w:t>
      </w:r>
      <w:r w:rsidRPr="00C779F6">
        <w:rPr>
          <w:sz w:val="20"/>
        </w:rPr>
        <w:t>have</w:t>
      </w:r>
      <w:r w:rsidR="00EE6D35">
        <w:rPr>
          <w:sz w:val="20"/>
        </w:rPr>
        <w:t xml:space="preserve"> </w:t>
      </w:r>
      <w:r w:rsidRPr="00C779F6">
        <w:rPr>
          <w:sz w:val="20"/>
        </w:rPr>
        <w:t>ceased.</w:t>
      </w:r>
    </w:p>
    <w:p w14:paraId="37B9C9B2" w14:textId="2171B3BA" w:rsidR="001B20B3" w:rsidRPr="00C779F6" w:rsidRDefault="001B20B3" w:rsidP="001B20B3">
      <w:pPr>
        <w:pStyle w:val="Bullet1"/>
        <w:numPr>
          <w:ilvl w:val="0"/>
          <w:numId w:val="0"/>
        </w:numPr>
        <w:rPr>
          <w:sz w:val="20"/>
        </w:rPr>
      </w:pPr>
      <w:r>
        <w:rPr>
          <w:sz w:val="20"/>
        </w:rPr>
        <w:t>Better</w:t>
      </w:r>
      <w:r w:rsidR="00EE6D35">
        <w:rPr>
          <w:sz w:val="20"/>
        </w:rPr>
        <w:t xml:space="preserve"> </w:t>
      </w:r>
      <w:r>
        <w:rPr>
          <w:sz w:val="20"/>
        </w:rPr>
        <w:t>Futures</w:t>
      </w:r>
      <w:r w:rsidR="00EE6D35">
        <w:rPr>
          <w:sz w:val="20"/>
        </w:rPr>
        <w:t xml:space="preserve"> </w:t>
      </w:r>
      <w:r>
        <w:rPr>
          <w:sz w:val="20"/>
        </w:rPr>
        <w:t>providers</w:t>
      </w:r>
      <w:r w:rsidR="00EE6D35">
        <w:rPr>
          <w:sz w:val="20"/>
        </w:rPr>
        <w:t xml:space="preserve"> </w:t>
      </w:r>
      <w:r>
        <w:rPr>
          <w:sz w:val="20"/>
        </w:rPr>
        <w:t>supporting</w:t>
      </w:r>
      <w:r w:rsidR="00EE6D35">
        <w:rPr>
          <w:sz w:val="20"/>
        </w:rPr>
        <w:t xml:space="preserve"> </w:t>
      </w:r>
      <w:r>
        <w:rPr>
          <w:sz w:val="20"/>
        </w:rPr>
        <w:t>Home</w:t>
      </w:r>
      <w:r w:rsidR="00EE6D35">
        <w:rPr>
          <w:sz w:val="20"/>
        </w:rPr>
        <w:t xml:space="preserve"> </w:t>
      </w:r>
      <w:r>
        <w:rPr>
          <w:sz w:val="20"/>
        </w:rPr>
        <w:t>Stretch</w:t>
      </w:r>
      <w:r w:rsidR="00EE6D35">
        <w:rPr>
          <w:sz w:val="20"/>
        </w:rPr>
        <w:t xml:space="preserve"> </w:t>
      </w:r>
      <w:r>
        <w:rPr>
          <w:sz w:val="20"/>
        </w:rPr>
        <w:t>(HBC)</w:t>
      </w:r>
      <w:r w:rsidR="00EE6D35">
        <w:rPr>
          <w:sz w:val="20"/>
        </w:rPr>
        <w:t xml:space="preserve"> </w:t>
      </w:r>
      <w:r>
        <w:rPr>
          <w:sz w:val="20"/>
        </w:rPr>
        <w:t>living</w:t>
      </w:r>
      <w:r w:rsidR="00EE6D35">
        <w:rPr>
          <w:sz w:val="20"/>
        </w:rPr>
        <w:t xml:space="preserve"> </w:t>
      </w:r>
      <w:r>
        <w:rPr>
          <w:sz w:val="20"/>
        </w:rPr>
        <w:t>arrangements</w:t>
      </w:r>
      <w:r w:rsidR="00EE6D35">
        <w:rPr>
          <w:sz w:val="20"/>
        </w:rPr>
        <w:t xml:space="preserve"> </w:t>
      </w:r>
      <w:r>
        <w:rPr>
          <w:sz w:val="20"/>
        </w:rPr>
        <w:t>are</w:t>
      </w:r>
      <w:r w:rsidR="00EE6D35">
        <w:rPr>
          <w:sz w:val="20"/>
        </w:rPr>
        <w:t xml:space="preserve"> </w:t>
      </w:r>
      <w:r>
        <w:rPr>
          <w:sz w:val="20"/>
        </w:rPr>
        <w:t>required</w:t>
      </w:r>
      <w:r w:rsidR="00EE6D35">
        <w:rPr>
          <w:sz w:val="20"/>
        </w:rPr>
        <w:t xml:space="preserve"> </w:t>
      </w:r>
      <w:r>
        <w:rPr>
          <w:sz w:val="20"/>
        </w:rPr>
        <w:t>to</w:t>
      </w:r>
      <w:r w:rsidR="00EE6D35">
        <w:rPr>
          <w:sz w:val="20"/>
        </w:rPr>
        <w:t xml:space="preserve"> </w:t>
      </w:r>
      <w:r w:rsidRPr="00C779F6">
        <w:rPr>
          <w:sz w:val="20"/>
        </w:rPr>
        <w:t>check</w:t>
      </w:r>
      <w:r w:rsidR="00EE6D35">
        <w:rPr>
          <w:sz w:val="20"/>
        </w:rPr>
        <w:t xml:space="preserve"> </w:t>
      </w:r>
      <w:r w:rsidRPr="00C779F6">
        <w:rPr>
          <w:sz w:val="20"/>
        </w:rPr>
        <w:t>and</w:t>
      </w:r>
      <w:r w:rsidR="00EE6D35">
        <w:rPr>
          <w:sz w:val="20"/>
        </w:rPr>
        <w:t xml:space="preserve"> </w:t>
      </w:r>
      <w:r w:rsidRPr="00C779F6">
        <w:rPr>
          <w:sz w:val="20"/>
        </w:rPr>
        <w:t>respond</w:t>
      </w:r>
      <w:r w:rsidR="00EE6D35">
        <w:rPr>
          <w:sz w:val="20"/>
        </w:rPr>
        <w:t xml:space="preserve"> </w:t>
      </w:r>
      <w:r w:rsidRPr="00C779F6">
        <w:rPr>
          <w:sz w:val="20"/>
        </w:rPr>
        <w:t>to</w:t>
      </w:r>
      <w:r w:rsidR="00EE6D35">
        <w:rPr>
          <w:sz w:val="20"/>
        </w:rPr>
        <w:t xml:space="preserve"> </w:t>
      </w:r>
      <w:r w:rsidRPr="00C779F6">
        <w:rPr>
          <w:sz w:val="20"/>
        </w:rPr>
        <w:t>fortnightly</w:t>
      </w:r>
      <w:r w:rsidR="00EE6D35">
        <w:rPr>
          <w:sz w:val="20"/>
        </w:rPr>
        <w:t xml:space="preserve"> </w:t>
      </w:r>
      <w:r w:rsidRPr="00C779F6">
        <w:rPr>
          <w:sz w:val="20"/>
        </w:rPr>
        <w:t>verification</w:t>
      </w:r>
      <w:r w:rsidR="00EE6D35">
        <w:rPr>
          <w:sz w:val="20"/>
        </w:rPr>
        <w:t xml:space="preserve"> </w:t>
      </w:r>
      <w:r w:rsidRPr="00C779F6">
        <w:rPr>
          <w:sz w:val="20"/>
        </w:rPr>
        <w:t>reports</w:t>
      </w:r>
      <w:r w:rsidR="00EE6D35">
        <w:rPr>
          <w:sz w:val="20"/>
        </w:rPr>
        <w:t xml:space="preserve"> </w:t>
      </w:r>
      <w:r w:rsidRPr="00C779F6">
        <w:rPr>
          <w:sz w:val="20"/>
        </w:rPr>
        <w:t>and</w:t>
      </w:r>
      <w:r w:rsidR="00EE6D35">
        <w:rPr>
          <w:sz w:val="20"/>
        </w:rPr>
        <w:t xml:space="preserve"> </w:t>
      </w:r>
      <w:r w:rsidRPr="00C779F6">
        <w:rPr>
          <w:sz w:val="20"/>
        </w:rPr>
        <w:t>other</w:t>
      </w:r>
      <w:r w:rsidR="00EE6D35">
        <w:rPr>
          <w:sz w:val="20"/>
        </w:rPr>
        <w:t xml:space="preserve"> </w:t>
      </w:r>
      <w:r w:rsidRPr="00C779F6">
        <w:rPr>
          <w:sz w:val="20"/>
        </w:rPr>
        <w:t>reports</w:t>
      </w:r>
      <w:r w:rsidR="00EE6D35">
        <w:rPr>
          <w:sz w:val="20"/>
        </w:rPr>
        <w:t xml:space="preserve"> </w:t>
      </w:r>
      <w:r w:rsidRPr="00C779F6">
        <w:rPr>
          <w:sz w:val="20"/>
        </w:rPr>
        <w:t>provided</w:t>
      </w:r>
      <w:r w:rsidR="00EE6D35">
        <w:rPr>
          <w:sz w:val="20"/>
        </w:rPr>
        <w:t xml:space="preserve"> </w:t>
      </w:r>
      <w:r w:rsidRPr="00C779F6">
        <w:rPr>
          <w:sz w:val="20"/>
        </w:rPr>
        <w:t>by</w:t>
      </w:r>
      <w:r w:rsidR="00EE6D35">
        <w:rPr>
          <w:sz w:val="20"/>
        </w:rPr>
        <w:t xml:space="preserve"> </w:t>
      </w:r>
      <w:r w:rsidRPr="00C779F6">
        <w:rPr>
          <w:sz w:val="20"/>
        </w:rPr>
        <w:t>the</w:t>
      </w:r>
      <w:r w:rsidR="00EE6D35">
        <w:rPr>
          <w:sz w:val="20"/>
        </w:rPr>
        <w:t xml:space="preserve"> </w:t>
      </w:r>
      <w:r w:rsidRPr="00C779F6">
        <w:rPr>
          <w:sz w:val="20"/>
        </w:rPr>
        <w:t>Care</w:t>
      </w:r>
      <w:r w:rsidR="00EE6D35">
        <w:rPr>
          <w:sz w:val="20"/>
        </w:rPr>
        <w:t xml:space="preserve"> </w:t>
      </w:r>
      <w:r w:rsidRPr="00C779F6">
        <w:rPr>
          <w:sz w:val="20"/>
        </w:rPr>
        <w:t>Allowance</w:t>
      </w:r>
      <w:r w:rsidR="00EE6D35">
        <w:rPr>
          <w:sz w:val="20"/>
        </w:rPr>
        <w:t xml:space="preserve"> </w:t>
      </w:r>
      <w:r w:rsidRPr="00C779F6">
        <w:rPr>
          <w:sz w:val="20"/>
        </w:rPr>
        <w:t>Helpdesk,</w:t>
      </w:r>
      <w:r w:rsidR="00EE6D35">
        <w:rPr>
          <w:sz w:val="20"/>
        </w:rPr>
        <w:t xml:space="preserve"> </w:t>
      </w:r>
      <w:r w:rsidRPr="00C779F6">
        <w:rPr>
          <w:sz w:val="20"/>
        </w:rPr>
        <w:t>to</w:t>
      </w:r>
      <w:r w:rsidR="00EE6D35">
        <w:rPr>
          <w:sz w:val="20"/>
        </w:rPr>
        <w:t xml:space="preserve"> </w:t>
      </w:r>
      <w:r w:rsidRPr="00C779F6">
        <w:rPr>
          <w:sz w:val="20"/>
        </w:rPr>
        <w:t>monitor</w:t>
      </w:r>
      <w:r w:rsidR="00EE6D35">
        <w:rPr>
          <w:sz w:val="20"/>
        </w:rPr>
        <w:t xml:space="preserve"> </w:t>
      </w:r>
      <w:r w:rsidRPr="00C779F6">
        <w:rPr>
          <w:sz w:val="20"/>
        </w:rPr>
        <w:t>the</w:t>
      </w:r>
      <w:r w:rsidR="00EE6D35">
        <w:rPr>
          <w:sz w:val="20"/>
        </w:rPr>
        <w:t xml:space="preserve"> </w:t>
      </w:r>
      <w:r w:rsidRPr="00C779F6">
        <w:rPr>
          <w:sz w:val="20"/>
        </w:rPr>
        <w:t>accuracy</w:t>
      </w:r>
      <w:r w:rsidR="00EE6D35">
        <w:rPr>
          <w:sz w:val="20"/>
        </w:rPr>
        <w:t xml:space="preserve"> </w:t>
      </w:r>
      <w:r w:rsidRPr="00C779F6">
        <w:rPr>
          <w:sz w:val="20"/>
        </w:rPr>
        <w:t>of</w:t>
      </w:r>
      <w:r w:rsidR="00EE6D35">
        <w:rPr>
          <w:sz w:val="20"/>
        </w:rPr>
        <w:t xml:space="preserve"> </w:t>
      </w:r>
      <w:r w:rsidRPr="00C779F6">
        <w:rPr>
          <w:sz w:val="20"/>
        </w:rPr>
        <w:t>care</w:t>
      </w:r>
      <w:r w:rsidR="00EE6D35">
        <w:rPr>
          <w:sz w:val="20"/>
        </w:rPr>
        <w:t xml:space="preserve"> </w:t>
      </w:r>
      <w:r w:rsidRPr="00C779F6">
        <w:rPr>
          <w:sz w:val="20"/>
        </w:rPr>
        <w:t>allowance</w:t>
      </w:r>
      <w:r w:rsidR="00EE6D35">
        <w:rPr>
          <w:sz w:val="20"/>
        </w:rPr>
        <w:t xml:space="preserve"> </w:t>
      </w:r>
      <w:r w:rsidRPr="00C779F6">
        <w:rPr>
          <w:sz w:val="20"/>
        </w:rPr>
        <w:t>payments</w:t>
      </w:r>
      <w:r w:rsidR="00EE6D35">
        <w:rPr>
          <w:sz w:val="20"/>
        </w:rPr>
        <w:t xml:space="preserve"> </w:t>
      </w:r>
      <w:r w:rsidRPr="00C779F6">
        <w:rPr>
          <w:sz w:val="20"/>
        </w:rPr>
        <w:t>and</w:t>
      </w:r>
      <w:r w:rsidR="00EE6D35">
        <w:rPr>
          <w:sz w:val="20"/>
        </w:rPr>
        <w:t xml:space="preserve"> </w:t>
      </w:r>
      <w:r w:rsidRPr="00C779F6">
        <w:rPr>
          <w:sz w:val="20"/>
        </w:rPr>
        <w:t>to</w:t>
      </w:r>
      <w:r w:rsidR="00EE6D35">
        <w:rPr>
          <w:sz w:val="20"/>
        </w:rPr>
        <w:t xml:space="preserve"> </w:t>
      </w:r>
      <w:r w:rsidRPr="00C779F6">
        <w:rPr>
          <w:sz w:val="20"/>
        </w:rPr>
        <w:t>avoid</w:t>
      </w:r>
      <w:r w:rsidR="00EE6D35">
        <w:rPr>
          <w:sz w:val="20"/>
        </w:rPr>
        <w:t xml:space="preserve"> </w:t>
      </w:r>
      <w:r w:rsidRPr="00C779F6">
        <w:rPr>
          <w:sz w:val="20"/>
        </w:rPr>
        <w:t>overpayments</w:t>
      </w:r>
      <w:r w:rsidR="00EE6D35">
        <w:rPr>
          <w:sz w:val="20"/>
        </w:rPr>
        <w:t xml:space="preserve"> </w:t>
      </w:r>
      <w:r>
        <w:rPr>
          <w:sz w:val="20"/>
        </w:rPr>
        <w:t>to</w:t>
      </w:r>
      <w:r w:rsidR="00EE6D35">
        <w:rPr>
          <w:sz w:val="20"/>
        </w:rPr>
        <w:t xml:space="preserve"> </w:t>
      </w:r>
      <w:r>
        <w:rPr>
          <w:sz w:val="20"/>
        </w:rPr>
        <w:t>carers.</w:t>
      </w:r>
    </w:p>
    <w:p w14:paraId="6D7B940B" w14:textId="045AD584" w:rsidR="001B20B3" w:rsidRPr="00922FEA" w:rsidRDefault="001B20B3" w:rsidP="001B20B3">
      <w:pPr>
        <w:pStyle w:val="Heading2"/>
      </w:pPr>
      <w:bookmarkStart w:id="26" w:name="_Toc89733726"/>
      <w:bookmarkStart w:id="27" w:name="_Toc91146872"/>
      <w:r w:rsidRPr="009C4376">
        <w:rPr>
          <w:lang w:eastAsia="en-AU"/>
        </w:rPr>
        <w:t>Specialised</w:t>
      </w:r>
      <w:r w:rsidR="00EE6D35">
        <w:rPr>
          <w:lang w:eastAsia="en-AU"/>
        </w:rPr>
        <w:t xml:space="preserve"> </w:t>
      </w:r>
      <w:r w:rsidRPr="009C4376">
        <w:rPr>
          <w:lang w:eastAsia="en-AU"/>
        </w:rPr>
        <w:t>Interventions</w:t>
      </w:r>
      <w:r w:rsidR="00EE6D35">
        <w:rPr>
          <w:lang w:eastAsia="en-AU"/>
        </w:rPr>
        <w:t xml:space="preserve"> </w:t>
      </w:r>
      <w:r w:rsidRPr="009C4376">
        <w:rPr>
          <w:lang w:eastAsia="en-AU"/>
        </w:rPr>
        <w:t>–</w:t>
      </w:r>
      <w:r w:rsidR="00EE6D35">
        <w:rPr>
          <w:lang w:eastAsia="en-AU"/>
        </w:rPr>
        <w:t xml:space="preserve"> </w:t>
      </w:r>
      <w:r w:rsidRPr="009C4376">
        <w:rPr>
          <w:lang w:eastAsia="en-AU"/>
        </w:rPr>
        <w:t>Better</w:t>
      </w:r>
      <w:r w:rsidR="00EE6D35">
        <w:rPr>
          <w:lang w:eastAsia="en-AU"/>
        </w:rPr>
        <w:t xml:space="preserve"> </w:t>
      </w:r>
      <w:r w:rsidRPr="009C4376">
        <w:rPr>
          <w:lang w:eastAsia="en-AU"/>
        </w:rPr>
        <w:t>Futures</w:t>
      </w:r>
      <w:r w:rsidR="00EE6D35">
        <w:rPr>
          <w:lang w:eastAsia="en-AU"/>
        </w:rPr>
        <w:t xml:space="preserve"> </w:t>
      </w:r>
      <w:r w:rsidRPr="009C4376">
        <w:rPr>
          <w:lang w:eastAsia="en-AU"/>
        </w:rPr>
        <w:t>31293</w:t>
      </w:r>
      <w:bookmarkEnd w:id="26"/>
      <w:bookmarkEnd w:id="27"/>
    </w:p>
    <w:p w14:paraId="38EB56CB" w14:textId="6E9BA45B" w:rsidR="001B20B3" w:rsidRPr="001B20B3" w:rsidRDefault="001B20B3" w:rsidP="001B20B3">
      <w:pPr>
        <w:pStyle w:val="DHHSbody"/>
      </w:pPr>
      <w:r w:rsidRPr="001B20B3">
        <w:t>This</w:t>
      </w:r>
      <w:r w:rsidR="00EE6D35">
        <w:t xml:space="preserve"> </w:t>
      </w:r>
      <w:r w:rsidRPr="001B20B3">
        <w:t>activity</w:t>
      </w:r>
      <w:r w:rsidR="00EE6D35">
        <w:t xml:space="preserve"> </w:t>
      </w:r>
      <w:r w:rsidRPr="001B20B3">
        <w:t>applies</w:t>
      </w:r>
      <w:r w:rsidR="00EE6D35">
        <w:t xml:space="preserve"> </w:t>
      </w:r>
      <w:r w:rsidRPr="001B20B3">
        <w:t>to</w:t>
      </w:r>
      <w:r w:rsidR="00EE6D35">
        <w:t xml:space="preserve"> </w:t>
      </w:r>
      <w:r w:rsidRPr="001B20B3">
        <w:t>interventions</w:t>
      </w:r>
      <w:r w:rsidR="00EE6D35">
        <w:t xml:space="preserve"> </w:t>
      </w:r>
      <w:r w:rsidRPr="001B20B3">
        <w:t>providing</w:t>
      </w:r>
      <w:r w:rsidR="00EE6D35">
        <w:t xml:space="preserve"> </w:t>
      </w:r>
      <w:r w:rsidRPr="001B20B3">
        <w:t>specialised</w:t>
      </w:r>
      <w:r w:rsidR="00EE6D35">
        <w:t xml:space="preserve"> </w:t>
      </w:r>
      <w:r w:rsidRPr="001B20B3">
        <w:t>or</w:t>
      </w:r>
      <w:r w:rsidR="00EE6D35">
        <w:t xml:space="preserve"> </w:t>
      </w:r>
      <w:r w:rsidRPr="001B20B3">
        <w:t>therapeutic</w:t>
      </w:r>
      <w:r w:rsidR="00EE6D35">
        <w:t xml:space="preserve"> </w:t>
      </w:r>
      <w:r w:rsidRPr="001B20B3">
        <w:t>services</w:t>
      </w:r>
      <w:r w:rsidR="00EE6D35">
        <w:t xml:space="preserve"> </w:t>
      </w:r>
      <w:r w:rsidRPr="001B20B3">
        <w:t>for</w:t>
      </w:r>
      <w:r w:rsidR="00EE6D35">
        <w:t xml:space="preserve"> </w:t>
      </w:r>
      <w:r w:rsidRPr="001B20B3">
        <w:t>young</w:t>
      </w:r>
      <w:r w:rsidR="00EE6D35">
        <w:t xml:space="preserve"> </w:t>
      </w:r>
      <w:r w:rsidRPr="001B20B3">
        <w:t>people</w:t>
      </w:r>
      <w:r w:rsidR="00EE6D35">
        <w:t xml:space="preserve"> </w:t>
      </w:r>
      <w:r w:rsidRPr="001B20B3">
        <w:t>transitioning</w:t>
      </w:r>
      <w:r w:rsidR="00EE6D35">
        <w:t xml:space="preserve"> </w:t>
      </w:r>
      <w:r w:rsidRPr="001B20B3">
        <w:t>from</w:t>
      </w:r>
      <w:r w:rsidR="00EE6D35">
        <w:t xml:space="preserve"> </w:t>
      </w:r>
      <w:r w:rsidRPr="001B20B3">
        <w:t>care.</w:t>
      </w:r>
      <w:r w:rsidR="00EE6D35">
        <w:t xml:space="preserve"> </w:t>
      </w:r>
      <w:r w:rsidRPr="001B20B3">
        <w:t>This</w:t>
      </w:r>
      <w:r w:rsidR="00EE6D35">
        <w:t xml:space="preserve"> </w:t>
      </w:r>
      <w:r w:rsidRPr="001B20B3">
        <w:t>includes</w:t>
      </w:r>
      <w:r w:rsidR="00EE6D35">
        <w:t xml:space="preserve"> </w:t>
      </w:r>
      <w:r w:rsidRPr="001B20B3">
        <w:t>interventions</w:t>
      </w:r>
      <w:r w:rsidR="00EE6D35">
        <w:t xml:space="preserve"> </w:t>
      </w:r>
      <w:r w:rsidRPr="001B20B3">
        <w:t>that</w:t>
      </w:r>
      <w:r w:rsidR="00EE6D35">
        <w:t xml:space="preserve"> </w:t>
      </w:r>
      <w:r w:rsidRPr="001B20B3">
        <w:t>are</w:t>
      </w:r>
      <w:r w:rsidR="00EE6D35">
        <w:t xml:space="preserve"> </w:t>
      </w:r>
      <w:r w:rsidRPr="001B20B3">
        <w:t>innovative</w:t>
      </w:r>
      <w:r w:rsidR="00EE6D35">
        <w:t xml:space="preserve"> </w:t>
      </w:r>
      <w:r w:rsidRPr="001B20B3">
        <w:t>or</w:t>
      </w:r>
      <w:r w:rsidR="00EE6D35">
        <w:t xml:space="preserve"> </w:t>
      </w:r>
      <w:r w:rsidRPr="001B20B3">
        <w:t>experimental,</w:t>
      </w:r>
      <w:r w:rsidR="00EE6D35">
        <w:t xml:space="preserve"> </w:t>
      </w:r>
      <w:r w:rsidRPr="001B20B3">
        <w:t>or</w:t>
      </w:r>
      <w:r w:rsidR="00EE6D35">
        <w:t xml:space="preserve"> </w:t>
      </w:r>
      <w:r w:rsidRPr="001B20B3">
        <w:t>have</w:t>
      </w:r>
      <w:r w:rsidR="00EE6D35">
        <w:t xml:space="preserve"> </w:t>
      </w:r>
      <w:r w:rsidRPr="001B20B3">
        <w:t>a</w:t>
      </w:r>
      <w:r w:rsidR="00EE6D35">
        <w:t xml:space="preserve"> </w:t>
      </w:r>
      <w:r w:rsidRPr="001B20B3">
        <w:t>high</w:t>
      </w:r>
      <w:r w:rsidR="00EE6D35">
        <w:t xml:space="preserve"> </w:t>
      </w:r>
      <w:r w:rsidRPr="001B20B3">
        <w:t>cost</w:t>
      </w:r>
      <w:r w:rsidR="00EE6D35">
        <w:t xml:space="preserve"> </w:t>
      </w:r>
      <w:r w:rsidRPr="001B20B3">
        <w:t>due</w:t>
      </w:r>
      <w:r w:rsidR="00EE6D35">
        <w:t xml:space="preserve"> </w:t>
      </w:r>
      <w:r w:rsidRPr="001B20B3">
        <w:t>to</w:t>
      </w:r>
      <w:r w:rsidR="00EE6D35">
        <w:t xml:space="preserve"> </w:t>
      </w:r>
      <w:r w:rsidRPr="001B20B3">
        <w:t>specialist</w:t>
      </w:r>
      <w:r w:rsidR="00EE6D35">
        <w:t xml:space="preserve"> </w:t>
      </w:r>
      <w:r w:rsidRPr="001B20B3">
        <w:t>staffing,</w:t>
      </w:r>
      <w:r w:rsidR="00EE6D35">
        <w:t xml:space="preserve"> </w:t>
      </w:r>
      <w:r w:rsidRPr="001B20B3">
        <w:t>and</w:t>
      </w:r>
      <w:r w:rsidR="00EE6D35">
        <w:t xml:space="preserve"> </w:t>
      </w:r>
      <w:r w:rsidRPr="001B20B3">
        <w:t>require</w:t>
      </w:r>
      <w:r w:rsidR="00EE6D35">
        <w:t xml:space="preserve"> </w:t>
      </w:r>
      <w:r w:rsidRPr="001B20B3">
        <w:t>funding</w:t>
      </w:r>
      <w:r w:rsidR="00EE6D35">
        <w:t xml:space="preserve"> </w:t>
      </w:r>
      <w:r w:rsidRPr="001B20B3">
        <w:t>different</w:t>
      </w:r>
      <w:r w:rsidR="00EE6D35">
        <w:t xml:space="preserve"> </w:t>
      </w:r>
      <w:r w:rsidRPr="001B20B3">
        <w:t>to</w:t>
      </w:r>
      <w:r w:rsidR="00EE6D35">
        <w:t xml:space="preserve"> </w:t>
      </w:r>
      <w:r w:rsidRPr="001B20B3">
        <w:t>case</w:t>
      </w:r>
      <w:r w:rsidR="00EE6D35">
        <w:t xml:space="preserve"> </w:t>
      </w:r>
      <w:r w:rsidRPr="001B20B3">
        <w:t>work</w:t>
      </w:r>
      <w:r w:rsidR="00EE6D35">
        <w:t xml:space="preserve"> </w:t>
      </w:r>
      <w:r w:rsidRPr="001B20B3">
        <w:t>support</w:t>
      </w:r>
      <w:r w:rsidR="00EE6D35">
        <w:t xml:space="preserve"> </w:t>
      </w:r>
      <w:r w:rsidRPr="001B20B3">
        <w:t>provided</w:t>
      </w:r>
      <w:r w:rsidR="00EE6D35">
        <w:t xml:space="preserve"> </w:t>
      </w:r>
      <w:r w:rsidRPr="001B20B3">
        <w:t>via</w:t>
      </w:r>
      <w:r w:rsidR="00EE6D35">
        <w:t xml:space="preserve"> </w:t>
      </w:r>
      <w:r w:rsidRPr="001B20B3">
        <w:t>the</w:t>
      </w:r>
      <w:r w:rsidR="00EE6D35">
        <w:t xml:space="preserve"> </w:t>
      </w:r>
      <w:r w:rsidRPr="001B20B3">
        <w:t>Individual,</w:t>
      </w:r>
      <w:r w:rsidR="00EE6D35">
        <w:t xml:space="preserve"> </w:t>
      </w:r>
      <w:r w:rsidRPr="001B20B3">
        <w:t>Child</w:t>
      </w:r>
      <w:r w:rsidR="00EE6D35">
        <w:t xml:space="preserve"> </w:t>
      </w:r>
      <w:r w:rsidRPr="001B20B3">
        <w:t>and</w:t>
      </w:r>
      <w:r w:rsidR="00EE6D35">
        <w:t xml:space="preserve"> </w:t>
      </w:r>
      <w:r w:rsidRPr="001B20B3">
        <w:t>Family</w:t>
      </w:r>
      <w:r w:rsidR="00EE6D35">
        <w:t xml:space="preserve"> </w:t>
      </w:r>
      <w:r w:rsidRPr="001B20B3">
        <w:t>Support</w:t>
      </w:r>
      <w:r w:rsidR="00EE6D35">
        <w:t xml:space="preserve"> </w:t>
      </w:r>
      <w:r w:rsidRPr="001B20B3">
        <w:t>–</w:t>
      </w:r>
      <w:r w:rsidR="00EE6D35">
        <w:t xml:space="preserve"> </w:t>
      </w:r>
      <w:r w:rsidRPr="001B20B3">
        <w:t>Better</w:t>
      </w:r>
      <w:r w:rsidR="00EE6D35">
        <w:t xml:space="preserve"> </w:t>
      </w:r>
      <w:r w:rsidRPr="001B20B3">
        <w:t>Futures</w:t>
      </w:r>
      <w:r w:rsidR="00EE6D35">
        <w:t xml:space="preserve"> </w:t>
      </w:r>
      <w:r w:rsidRPr="001B20B3">
        <w:t>-</w:t>
      </w:r>
      <w:r w:rsidR="00EE6D35">
        <w:t xml:space="preserve"> </w:t>
      </w:r>
      <w:r w:rsidRPr="001B20B3">
        <w:t>31290.</w:t>
      </w:r>
      <w:r w:rsidR="00410C81">
        <w:t xml:space="preserve"> </w:t>
      </w:r>
    </w:p>
    <w:p w14:paraId="376D79B2" w14:textId="4411787E" w:rsidR="001B20B3" w:rsidRPr="001B20B3" w:rsidRDefault="001B20B3" w:rsidP="001B20B3">
      <w:pPr>
        <w:pStyle w:val="DHHSbody"/>
      </w:pPr>
      <w:r w:rsidRPr="001B20B3">
        <w:t>Organisations</w:t>
      </w:r>
      <w:r w:rsidR="00EE6D35">
        <w:t xml:space="preserve"> </w:t>
      </w:r>
      <w:r w:rsidRPr="001B20B3">
        <w:t>must</w:t>
      </w:r>
      <w:r w:rsidR="00EE6D35">
        <w:t xml:space="preserve"> </w:t>
      </w:r>
      <w:r w:rsidRPr="001B20B3">
        <w:t>submit</w:t>
      </w:r>
      <w:r w:rsidR="00EE6D35">
        <w:t xml:space="preserve"> </w:t>
      </w:r>
      <w:r w:rsidRPr="001B20B3">
        <w:t>a</w:t>
      </w:r>
      <w:r w:rsidR="00EE6D35">
        <w:t xml:space="preserve"> </w:t>
      </w:r>
      <w:r w:rsidRPr="001B20B3">
        <w:t>report</w:t>
      </w:r>
      <w:r w:rsidR="00EE6D35">
        <w:t xml:space="preserve"> </w:t>
      </w:r>
      <w:r w:rsidRPr="001B20B3">
        <w:t>including</w:t>
      </w:r>
      <w:r w:rsidR="00EE6D35">
        <w:t xml:space="preserve"> </w:t>
      </w:r>
      <w:r w:rsidRPr="001B20B3">
        <w:t>the</w:t>
      </w:r>
      <w:r w:rsidR="00EE6D35">
        <w:t xml:space="preserve"> </w:t>
      </w:r>
      <w:r w:rsidRPr="001B20B3">
        <w:t>number</w:t>
      </w:r>
      <w:r w:rsidR="00EE6D35">
        <w:t xml:space="preserve"> </w:t>
      </w:r>
      <w:r w:rsidRPr="001B20B3">
        <w:t>of</w:t>
      </w:r>
      <w:r w:rsidR="00EE6D35">
        <w:t xml:space="preserve"> </w:t>
      </w:r>
      <w:r w:rsidRPr="001B20B3">
        <w:t>young</w:t>
      </w:r>
      <w:r w:rsidR="00EE6D35">
        <w:t xml:space="preserve"> </w:t>
      </w:r>
      <w:r w:rsidRPr="001B20B3">
        <w:t>people,</w:t>
      </w:r>
      <w:r w:rsidR="00EE6D35">
        <w:t xml:space="preserve"> </w:t>
      </w:r>
      <w:r w:rsidRPr="001B20B3">
        <w:t>type</w:t>
      </w:r>
      <w:r w:rsidR="00EE6D35">
        <w:t xml:space="preserve"> </w:t>
      </w:r>
      <w:r w:rsidRPr="001B20B3">
        <w:t>of</w:t>
      </w:r>
      <w:r w:rsidR="00EE6D35">
        <w:t xml:space="preserve"> </w:t>
      </w:r>
      <w:r w:rsidRPr="001B20B3">
        <w:t>service</w:t>
      </w:r>
      <w:r w:rsidR="00EE6D35">
        <w:t xml:space="preserve"> </w:t>
      </w:r>
      <w:r w:rsidRPr="001B20B3">
        <w:t>(housing,</w:t>
      </w:r>
      <w:r w:rsidR="00EE6D35">
        <w:t xml:space="preserve"> </w:t>
      </w:r>
      <w:r w:rsidRPr="001B20B3">
        <w:t>education,</w:t>
      </w:r>
      <w:r w:rsidR="00EE6D35">
        <w:t xml:space="preserve"> </w:t>
      </w:r>
      <w:r w:rsidRPr="001B20B3">
        <w:t>employment,</w:t>
      </w:r>
      <w:r w:rsidR="00EE6D35">
        <w:t xml:space="preserve"> </w:t>
      </w:r>
      <w:r w:rsidRPr="001B20B3">
        <w:t>health</w:t>
      </w:r>
      <w:r w:rsidR="00EE6D35">
        <w:t xml:space="preserve"> </w:t>
      </w:r>
      <w:r w:rsidRPr="001B20B3">
        <w:t>and</w:t>
      </w:r>
      <w:r w:rsidR="00EE6D35">
        <w:t xml:space="preserve"> </w:t>
      </w:r>
      <w:r w:rsidRPr="001B20B3">
        <w:t>wellbeing</w:t>
      </w:r>
      <w:r w:rsidR="00EE6D35">
        <w:t xml:space="preserve"> </w:t>
      </w:r>
      <w:r w:rsidRPr="001B20B3">
        <w:t>or</w:t>
      </w:r>
      <w:r w:rsidR="00EE6D35">
        <w:t xml:space="preserve"> </w:t>
      </w:r>
      <w:r w:rsidRPr="001B20B3">
        <w:t>community</w:t>
      </w:r>
      <w:r w:rsidR="00EE6D35">
        <w:t xml:space="preserve"> </w:t>
      </w:r>
      <w:r w:rsidRPr="001B20B3">
        <w:t>connections),</w:t>
      </w:r>
      <w:r w:rsidR="00EE6D35">
        <w:t xml:space="preserve"> </w:t>
      </w:r>
      <w:r w:rsidRPr="001B20B3">
        <w:t>and</w:t>
      </w:r>
      <w:r w:rsidR="00EE6D35">
        <w:t xml:space="preserve"> </w:t>
      </w:r>
      <w:r w:rsidRPr="001B20B3">
        <w:t>outcomes</w:t>
      </w:r>
      <w:r w:rsidR="00EE6D35">
        <w:t xml:space="preserve"> </w:t>
      </w:r>
      <w:r w:rsidRPr="001B20B3">
        <w:t>of</w:t>
      </w:r>
      <w:r w:rsidR="00EE6D35">
        <w:t xml:space="preserve"> </w:t>
      </w:r>
      <w:r w:rsidRPr="001B20B3">
        <w:t>the</w:t>
      </w:r>
      <w:r w:rsidR="00EE6D35">
        <w:t xml:space="preserve"> </w:t>
      </w:r>
      <w:r w:rsidRPr="001B20B3">
        <w:t>service</w:t>
      </w:r>
      <w:r w:rsidR="00EE6D35">
        <w:t xml:space="preserve"> </w:t>
      </w:r>
      <w:r w:rsidRPr="001B20B3">
        <w:t>provision</w:t>
      </w:r>
      <w:r w:rsidR="00EE6D35">
        <w:t xml:space="preserve"> </w:t>
      </w:r>
      <w:r w:rsidRPr="001B20B3">
        <w:t>for</w:t>
      </w:r>
      <w:r w:rsidR="00EE6D35">
        <w:t xml:space="preserve"> </w:t>
      </w:r>
      <w:r w:rsidRPr="001B20B3">
        <w:t>young</w:t>
      </w:r>
      <w:r w:rsidR="00EE6D35">
        <w:t xml:space="preserve"> </w:t>
      </w:r>
      <w:r w:rsidRPr="001B20B3">
        <w:t>people,</w:t>
      </w:r>
      <w:r w:rsidR="00EE6D35">
        <w:t xml:space="preserve"> </w:t>
      </w:r>
      <w:r w:rsidRPr="001B20B3">
        <w:t>where</w:t>
      </w:r>
      <w:r w:rsidR="00EE6D35">
        <w:t xml:space="preserve"> </w:t>
      </w:r>
      <w:r w:rsidRPr="001B20B3">
        <w:t>service</w:t>
      </w:r>
      <w:r w:rsidR="00EE6D35">
        <w:t xml:space="preserve"> </w:t>
      </w:r>
      <w:r w:rsidRPr="001B20B3">
        <w:t>has</w:t>
      </w:r>
      <w:r w:rsidR="00EE6D35">
        <w:t xml:space="preserve"> </w:t>
      </w:r>
      <w:r w:rsidRPr="001B20B3">
        <w:t>been</w:t>
      </w:r>
      <w:r w:rsidR="00EE6D35">
        <w:t xml:space="preserve"> </w:t>
      </w:r>
      <w:r w:rsidRPr="001B20B3">
        <w:t>provided</w:t>
      </w:r>
      <w:r w:rsidR="00EE6D35">
        <w:t xml:space="preserve"> </w:t>
      </w:r>
      <w:r w:rsidRPr="001B20B3">
        <w:t>during</w:t>
      </w:r>
      <w:r w:rsidR="00EE6D35">
        <w:t xml:space="preserve"> </w:t>
      </w:r>
      <w:r w:rsidRPr="001B20B3">
        <w:t>the</w:t>
      </w:r>
      <w:r w:rsidR="00EE6D35">
        <w:t xml:space="preserve"> </w:t>
      </w:r>
      <w:r w:rsidRPr="001B20B3">
        <w:t>reporting</w:t>
      </w:r>
      <w:r w:rsidR="00EE6D35">
        <w:t xml:space="preserve"> </w:t>
      </w:r>
      <w:r w:rsidRPr="001B20B3">
        <w:t>period.</w:t>
      </w:r>
      <w:r w:rsidR="00EE6D35">
        <w:t xml:space="preserve"> </w:t>
      </w:r>
      <w:r w:rsidRPr="001B20B3">
        <w:t>Reports</w:t>
      </w:r>
      <w:r w:rsidR="00EE6D35">
        <w:t xml:space="preserve"> </w:t>
      </w:r>
      <w:r w:rsidRPr="001B20B3">
        <w:t>are</w:t>
      </w:r>
      <w:r w:rsidR="00EE6D35">
        <w:t xml:space="preserve"> </w:t>
      </w:r>
      <w:r w:rsidRPr="001B20B3">
        <w:t>submitted</w:t>
      </w:r>
      <w:r w:rsidR="00EE6D35">
        <w:t xml:space="preserve"> </w:t>
      </w:r>
      <w:r w:rsidRPr="001B20B3">
        <w:t>via</w:t>
      </w:r>
      <w:r w:rsidR="00EE6D35">
        <w:t xml:space="preserve"> </w:t>
      </w:r>
      <w:r w:rsidRPr="001B20B3">
        <w:t>CRISSP</w:t>
      </w:r>
      <w:r w:rsidR="00EE6D35">
        <w:t xml:space="preserve"> </w:t>
      </w:r>
      <w:r w:rsidRPr="001B20B3">
        <w:t>or</w:t>
      </w:r>
      <w:r w:rsidR="00EE6D35">
        <w:t xml:space="preserve"> </w:t>
      </w:r>
      <w:r w:rsidRPr="001B20B3">
        <w:t>supplementary</w:t>
      </w:r>
      <w:r w:rsidR="00EE6D35">
        <w:t xml:space="preserve"> </w:t>
      </w:r>
      <w:r w:rsidRPr="001B20B3">
        <w:t>reporting</w:t>
      </w:r>
      <w:r w:rsidR="00EE6D35">
        <w:t xml:space="preserve"> </w:t>
      </w:r>
      <w:r w:rsidRPr="001B20B3">
        <w:t>to</w:t>
      </w:r>
      <w:r w:rsidR="00EE6D35">
        <w:t xml:space="preserve"> </w:t>
      </w:r>
      <w:r w:rsidRPr="001B20B3">
        <w:t>the</w:t>
      </w:r>
      <w:r w:rsidR="00EE6D35">
        <w:t xml:space="preserve"> </w:t>
      </w:r>
      <w:r w:rsidRPr="001B20B3">
        <w:t>local</w:t>
      </w:r>
      <w:r w:rsidR="00EE6D35">
        <w:t xml:space="preserve"> </w:t>
      </w:r>
      <w:r w:rsidRPr="001B20B3">
        <w:t>APSS</w:t>
      </w:r>
      <w:r w:rsidR="00EE6D35">
        <w:t xml:space="preserve"> </w:t>
      </w:r>
      <w:r w:rsidRPr="001B20B3">
        <w:t>advisor,</w:t>
      </w:r>
      <w:r w:rsidR="00EE6D35">
        <w:t xml:space="preserve"> </w:t>
      </w:r>
      <w:r w:rsidRPr="001B20B3">
        <w:t>as</w:t>
      </w:r>
      <w:r w:rsidR="00EE6D35">
        <w:t xml:space="preserve"> </w:t>
      </w:r>
      <w:r w:rsidRPr="001B20B3">
        <w:t>agreed.</w:t>
      </w:r>
      <w:r w:rsidR="00EE6D35">
        <w:t xml:space="preserve"> </w:t>
      </w:r>
    </w:p>
    <w:p w14:paraId="7DE2743B" w14:textId="2E7B9CAC" w:rsidR="001B20B3" w:rsidRDefault="001B20B3" w:rsidP="003F065B">
      <w:pPr>
        <w:pStyle w:val="Heading3"/>
        <w:rPr>
          <w:lang w:eastAsia="en-AU"/>
        </w:rPr>
      </w:pPr>
      <w:r w:rsidRPr="009C4376">
        <w:rPr>
          <w:lang w:eastAsia="en-AU"/>
        </w:rPr>
        <w:t>Requirement</w:t>
      </w:r>
      <w:r>
        <w:rPr>
          <w:lang w:eastAsia="en-AU"/>
        </w:rPr>
        <w:t>s</w:t>
      </w:r>
    </w:p>
    <w:p w14:paraId="5736388B" w14:textId="04CB3F91" w:rsidR="003F065B" w:rsidRPr="003F065B" w:rsidRDefault="003F065B" w:rsidP="003F065B">
      <w:pPr>
        <w:pStyle w:val="Heading4"/>
        <w:rPr>
          <w:lang w:eastAsia="en-AU"/>
        </w:rPr>
      </w:pPr>
      <w:r>
        <w:t>Activity</w:t>
      </w:r>
      <w:r w:rsidRPr="003F065B">
        <w:rPr>
          <w:lang w:eastAsia="en-AU"/>
        </w:rPr>
        <w:t xml:space="preserve"> </w:t>
      </w:r>
      <w:r w:rsidRPr="009C4376">
        <w:rPr>
          <w:lang w:eastAsia="en-AU"/>
        </w:rPr>
        <w:t>Specialised</w:t>
      </w:r>
      <w:r>
        <w:rPr>
          <w:lang w:eastAsia="en-AU"/>
        </w:rPr>
        <w:t xml:space="preserve"> </w:t>
      </w:r>
      <w:r w:rsidRPr="009C4376">
        <w:rPr>
          <w:lang w:eastAsia="en-AU"/>
        </w:rPr>
        <w:t>Interventions</w:t>
      </w:r>
      <w:r>
        <w:rPr>
          <w:lang w:eastAsia="en-AU"/>
        </w:rPr>
        <w:t xml:space="preserve"> </w:t>
      </w:r>
      <w:r w:rsidRPr="009C4376">
        <w:rPr>
          <w:lang w:eastAsia="en-AU"/>
        </w:rPr>
        <w:t>–</w:t>
      </w:r>
      <w:r>
        <w:rPr>
          <w:lang w:eastAsia="en-AU"/>
        </w:rPr>
        <w:t xml:space="preserve"> </w:t>
      </w:r>
      <w:r w:rsidRPr="009C4376">
        <w:rPr>
          <w:lang w:eastAsia="en-AU"/>
        </w:rPr>
        <w:t>Better</w:t>
      </w:r>
      <w:r>
        <w:rPr>
          <w:lang w:eastAsia="en-AU"/>
        </w:rPr>
        <w:t xml:space="preserve"> </w:t>
      </w:r>
      <w:r w:rsidRPr="009C4376">
        <w:rPr>
          <w:lang w:eastAsia="en-AU"/>
        </w:rPr>
        <w:t>Futures</w:t>
      </w:r>
      <w:r>
        <w:rPr>
          <w:lang w:eastAsia="en-AU"/>
        </w:rPr>
        <w:t xml:space="preserve"> </w:t>
      </w:r>
      <w:r w:rsidRPr="009C4376">
        <w:rPr>
          <w:lang w:eastAsia="en-AU"/>
        </w:rPr>
        <w:t>31293</w:t>
      </w:r>
    </w:p>
    <w:tbl>
      <w:tblPr>
        <w:tblStyle w:val="TableGrid"/>
        <w:tblW w:w="10184" w:type="dxa"/>
        <w:tblLook w:val="06A0" w:firstRow="1" w:lastRow="0" w:firstColumn="1" w:lastColumn="0" w:noHBand="1" w:noVBand="1"/>
      </w:tblPr>
      <w:tblGrid>
        <w:gridCol w:w="1980"/>
        <w:gridCol w:w="2693"/>
        <w:gridCol w:w="1450"/>
        <w:gridCol w:w="1048"/>
        <w:gridCol w:w="1419"/>
        <w:gridCol w:w="1594"/>
      </w:tblGrid>
      <w:tr w:rsidR="003F065B" w14:paraId="48D5F8F7" w14:textId="77777777" w:rsidTr="00922FEA">
        <w:tc>
          <w:tcPr>
            <w:tcW w:w="1980" w:type="dxa"/>
          </w:tcPr>
          <w:p w14:paraId="4366A2D7" w14:textId="77777777" w:rsidR="003F065B" w:rsidRPr="00D53AC6" w:rsidRDefault="003F065B" w:rsidP="00633ADC">
            <w:pPr>
              <w:pStyle w:val="Tablecolhead"/>
            </w:pPr>
            <w:r>
              <w:t>Measure</w:t>
            </w:r>
          </w:p>
        </w:tc>
        <w:tc>
          <w:tcPr>
            <w:tcW w:w="2693" w:type="dxa"/>
          </w:tcPr>
          <w:p w14:paraId="5381E965" w14:textId="77777777" w:rsidR="003F065B" w:rsidRPr="00D53AC6" w:rsidRDefault="003F065B" w:rsidP="00633ADC">
            <w:pPr>
              <w:pStyle w:val="Tablecolhead"/>
            </w:pPr>
            <w:r>
              <w:t>Description</w:t>
            </w:r>
          </w:p>
        </w:tc>
        <w:tc>
          <w:tcPr>
            <w:tcW w:w="1450" w:type="dxa"/>
          </w:tcPr>
          <w:p w14:paraId="39E3B8FC" w14:textId="77777777" w:rsidR="003F065B" w:rsidRDefault="003F065B" w:rsidP="00633ADC">
            <w:pPr>
              <w:pStyle w:val="Tablecolhead"/>
            </w:pPr>
            <w:r>
              <w:t>Count</w:t>
            </w:r>
          </w:p>
        </w:tc>
        <w:tc>
          <w:tcPr>
            <w:tcW w:w="1048" w:type="dxa"/>
          </w:tcPr>
          <w:p w14:paraId="703C6799" w14:textId="081EBDD8" w:rsidR="003F065B" w:rsidRDefault="003F065B" w:rsidP="00633ADC">
            <w:pPr>
              <w:pStyle w:val="Tablecolhead"/>
            </w:pPr>
            <w:r>
              <w:t>CRISSP Report</w:t>
            </w:r>
          </w:p>
        </w:tc>
        <w:tc>
          <w:tcPr>
            <w:tcW w:w="1419" w:type="dxa"/>
          </w:tcPr>
          <w:p w14:paraId="585F406E" w14:textId="3FDE664B" w:rsidR="003F065B" w:rsidRDefault="003F065B" w:rsidP="00633ADC">
            <w:pPr>
              <w:pStyle w:val="Tablecolhead"/>
            </w:pPr>
            <w:r>
              <w:t>Reporting frequency</w:t>
            </w:r>
          </w:p>
        </w:tc>
        <w:tc>
          <w:tcPr>
            <w:tcW w:w="1594" w:type="dxa"/>
          </w:tcPr>
          <w:p w14:paraId="5937B2DF" w14:textId="77777777" w:rsidR="003F065B" w:rsidRDefault="003F065B" w:rsidP="00633ADC">
            <w:pPr>
              <w:pStyle w:val="Tablecolhead"/>
            </w:pPr>
            <w:r>
              <w:t>Report</w:t>
            </w:r>
          </w:p>
        </w:tc>
      </w:tr>
      <w:tr w:rsidR="003F065B" w14:paraId="06E51A3D" w14:textId="77777777" w:rsidTr="00922FEA">
        <w:tc>
          <w:tcPr>
            <w:tcW w:w="1980" w:type="dxa"/>
          </w:tcPr>
          <w:p w14:paraId="14EBDF48" w14:textId="6C6B319E" w:rsidR="003F065B" w:rsidRPr="00550BC0" w:rsidRDefault="003F065B" w:rsidP="001B20B3">
            <w:pPr>
              <w:pStyle w:val="Tabletext"/>
            </w:pPr>
            <w:r w:rsidRPr="00550BC0">
              <w:t>Key</w:t>
            </w:r>
            <w:r>
              <w:t xml:space="preserve"> </w:t>
            </w:r>
            <w:r w:rsidRPr="00550BC0">
              <w:t>performance</w:t>
            </w:r>
            <w:r>
              <w:t xml:space="preserve"> </w:t>
            </w:r>
            <w:r w:rsidRPr="00550BC0">
              <w:t>measure</w:t>
            </w:r>
            <w:r>
              <w:t xml:space="preserve"> </w:t>
            </w:r>
            <w:r w:rsidRPr="00550BC0">
              <w:t>1</w:t>
            </w:r>
            <w:r>
              <w:t xml:space="preserve"> </w:t>
            </w:r>
          </w:p>
        </w:tc>
        <w:tc>
          <w:tcPr>
            <w:tcW w:w="2693" w:type="dxa"/>
          </w:tcPr>
          <w:p w14:paraId="37E1813B" w14:textId="48A6208A" w:rsidR="003F065B" w:rsidRPr="00403061" w:rsidRDefault="003F065B" w:rsidP="001B20B3">
            <w:pPr>
              <w:pStyle w:val="Tabletext"/>
            </w:pPr>
            <w:r w:rsidRPr="009C4376">
              <w:rPr>
                <w:lang w:eastAsia="en-AU"/>
              </w:rPr>
              <w:t>This</w:t>
            </w:r>
            <w:r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performance</w:t>
            </w:r>
            <w:r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measure</w:t>
            </w:r>
            <w:r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provides</w:t>
            </w:r>
            <w:r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information</w:t>
            </w:r>
            <w:r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about</w:t>
            </w:r>
            <w:r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the</w:t>
            </w:r>
            <w:r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number</w:t>
            </w:r>
            <w:r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of</w:t>
            </w:r>
            <w:r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young</w:t>
            </w:r>
            <w:r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people</w:t>
            </w:r>
            <w:r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receiving</w:t>
            </w:r>
            <w:r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support</w:t>
            </w:r>
            <w:r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and</w:t>
            </w:r>
            <w:r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the</w:t>
            </w:r>
            <w:r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type</w:t>
            </w:r>
            <w:r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of</w:t>
            </w:r>
            <w:r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service</w:t>
            </w:r>
            <w:r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received</w:t>
            </w:r>
            <w:r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from</w:t>
            </w:r>
            <w:r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a</w:t>
            </w:r>
            <w:r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specialised</w:t>
            </w:r>
            <w:r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intervention</w:t>
            </w:r>
            <w:r>
              <w:rPr>
                <w:lang w:eastAsia="en-AU"/>
              </w:rPr>
              <w:t xml:space="preserve"> </w:t>
            </w:r>
          </w:p>
        </w:tc>
        <w:tc>
          <w:tcPr>
            <w:tcW w:w="1450" w:type="dxa"/>
          </w:tcPr>
          <w:p w14:paraId="6127977D" w14:textId="77777777" w:rsidR="003F065B" w:rsidRDefault="003F065B" w:rsidP="001B20B3">
            <w:pPr>
              <w:pStyle w:val="Tabletext"/>
            </w:pPr>
            <w:r>
              <w:t>Non-Cumulative</w:t>
            </w:r>
          </w:p>
        </w:tc>
        <w:tc>
          <w:tcPr>
            <w:tcW w:w="1048" w:type="dxa"/>
          </w:tcPr>
          <w:p w14:paraId="46EB7532" w14:textId="2A495419" w:rsidR="003F065B" w:rsidRPr="00403061" w:rsidRDefault="003F065B" w:rsidP="001B20B3">
            <w:pPr>
              <w:pStyle w:val="Tabletext"/>
            </w:pPr>
            <w:r w:rsidRPr="00403061">
              <w:t>Better</w:t>
            </w:r>
            <w:r>
              <w:t xml:space="preserve"> </w:t>
            </w:r>
            <w:r w:rsidRPr="00403061">
              <w:t>Futures</w:t>
            </w:r>
            <w:r>
              <w:t xml:space="preserve"> </w:t>
            </w:r>
            <w:r w:rsidRPr="00403061">
              <w:t>Monthly</w:t>
            </w:r>
            <w:r>
              <w:t xml:space="preserve"> </w:t>
            </w:r>
            <w:r w:rsidRPr="00403061">
              <w:t>Report</w:t>
            </w:r>
            <w:r>
              <w:t xml:space="preserve"> </w:t>
            </w:r>
            <w:r w:rsidRPr="00403061">
              <w:t>CP504R</w:t>
            </w:r>
            <w:r>
              <w:t xml:space="preserve"> </w:t>
            </w:r>
          </w:p>
        </w:tc>
        <w:tc>
          <w:tcPr>
            <w:tcW w:w="1419" w:type="dxa"/>
          </w:tcPr>
          <w:p w14:paraId="51FBD063" w14:textId="77777777" w:rsidR="003F065B" w:rsidRPr="00403061" w:rsidRDefault="003F065B" w:rsidP="001B20B3">
            <w:pPr>
              <w:pStyle w:val="Tabletext"/>
            </w:pPr>
            <w:r w:rsidRPr="00403061">
              <w:t>Monthly</w:t>
            </w:r>
          </w:p>
        </w:tc>
        <w:tc>
          <w:tcPr>
            <w:tcW w:w="1594" w:type="dxa"/>
          </w:tcPr>
          <w:p w14:paraId="44763BE8" w14:textId="151B1F40" w:rsidR="003F065B" w:rsidRPr="00403061" w:rsidRDefault="003F065B" w:rsidP="001B20B3">
            <w:pPr>
              <w:pStyle w:val="Tabletext"/>
            </w:pPr>
            <w:r w:rsidRPr="009C4376">
              <w:rPr>
                <w:lang w:eastAsia="en-AU"/>
              </w:rPr>
              <w:t>CRISSP</w:t>
            </w:r>
            <w:r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or</w:t>
            </w:r>
            <w:r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supplementary</w:t>
            </w:r>
            <w:r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reporting</w:t>
            </w:r>
            <w:r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as</w:t>
            </w:r>
            <w:r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agreed</w:t>
            </w:r>
            <w:r>
              <w:rPr>
                <w:lang w:eastAsia="en-AU"/>
              </w:rPr>
              <w:t xml:space="preserve"> </w:t>
            </w:r>
          </w:p>
        </w:tc>
      </w:tr>
    </w:tbl>
    <w:p w14:paraId="56037B11" w14:textId="77777777" w:rsidR="001579AD" w:rsidRDefault="001579AD" w:rsidP="001579AD">
      <w:pPr>
        <w:pStyle w:val="DHHSbody"/>
        <w:rPr>
          <w:lang w:eastAsia="en-AU"/>
        </w:rPr>
      </w:pPr>
      <w:bookmarkStart w:id="28" w:name="_Guidelines_for_number"/>
      <w:bookmarkStart w:id="29" w:name="_Toc89733727"/>
      <w:bookmarkEnd w:id="28"/>
    </w:p>
    <w:p w14:paraId="1884E9EE" w14:textId="77777777" w:rsidR="001579AD" w:rsidRDefault="001579AD">
      <w:pPr>
        <w:spacing w:after="0" w:line="240" w:lineRule="auto"/>
        <w:rPr>
          <w:rFonts w:eastAsia="MS Gothic" w:cs="Arial"/>
          <w:bCs/>
          <w:color w:val="201547"/>
          <w:kern w:val="32"/>
          <w:sz w:val="40"/>
          <w:szCs w:val="40"/>
          <w:lang w:eastAsia="en-AU"/>
        </w:rPr>
      </w:pPr>
      <w:r>
        <w:rPr>
          <w:lang w:eastAsia="en-AU"/>
        </w:rPr>
        <w:br w:type="page"/>
      </w:r>
    </w:p>
    <w:p w14:paraId="1E2C394E" w14:textId="5E951649" w:rsidR="001B20B3" w:rsidRPr="009C4376" w:rsidRDefault="001B20B3" w:rsidP="001B20B3">
      <w:pPr>
        <w:pStyle w:val="Heading1"/>
        <w:rPr>
          <w:rFonts w:ascii="Segoe UI" w:hAnsi="Segoe UI" w:cs="Segoe UI"/>
          <w:sz w:val="18"/>
          <w:szCs w:val="18"/>
          <w:lang w:eastAsia="en-AU"/>
        </w:rPr>
      </w:pPr>
      <w:bookmarkStart w:id="30" w:name="_Toc91146873"/>
      <w:r w:rsidRPr="009C4376">
        <w:rPr>
          <w:lang w:eastAsia="en-AU"/>
        </w:rPr>
        <w:lastRenderedPageBreak/>
        <w:t>Guidelines</w:t>
      </w:r>
      <w:r w:rsidR="00EE6D35">
        <w:rPr>
          <w:lang w:eastAsia="en-AU"/>
        </w:rPr>
        <w:t xml:space="preserve"> </w:t>
      </w:r>
      <w:r w:rsidRPr="009C4376">
        <w:rPr>
          <w:lang w:eastAsia="en-AU"/>
        </w:rPr>
        <w:t>for</w:t>
      </w:r>
      <w:r w:rsidR="00EE6D35">
        <w:rPr>
          <w:lang w:eastAsia="en-AU"/>
        </w:rPr>
        <w:t xml:space="preserve"> </w:t>
      </w:r>
      <w:r w:rsidRPr="009C4376">
        <w:rPr>
          <w:lang w:eastAsia="en-AU"/>
        </w:rPr>
        <w:t>number</w:t>
      </w:r>
      <w:r w:rsidR="00EE6D35">
        <w:rPr>
          <w:lang w:eastAsia="en-AU"/>
        </w:rPr>
        <w:t xml:space="preserve"> </w:t>
      </w:r>
      <w:r w:rsidRPr="009C4376">
        <w:rPr>
          <w:lang w:eastAsia="en-AU"/>
        </w:rPr>
        <w:t>of</w:t>
      </w:r>
      <w:r w:rsidR="00EE6D35">
        <w:rPr>
          <w:lang w:eastAsia="en-AU"/>
        </w:rPr>
        <w:t xml:space="preserve"> </w:t>
      </w:r>
      <w:r w:rsidRPr="009C4376">
        <w:rPr>
          <w:lang w:eastAsia="en-AU"/>
        </w:rPr>
        <w:t>service</w:t>
      </w:r>
      <w:r w:rsidR="00EE6D35">
        <w:rPr>
          <w:lang w:eastAsia="en-AU"/>
        </w:rPr>
        <w:t xml:space="preserve"> </w:t>
      </w:r>
      <w:r w:rsidRPr="009C4376">
        <w:rPr>
          <w:lang w:eastAsia="en-AU"/>
        </w:rPr>
        <w:t>hours</w:t>
      </w:r>
      <w:bookmarkEnd w:id="29"/>
      <w:bookmarkEnd w:id="30"/>
    </w:p>
    <w:p w14:paraId="219F2015" w14:textId="7B8D4A72" w:rsidR="001B20B3" w:rsidRPr="00900FB7" w:rsidRDefault="001B20B3" w:rsidP="001B20B3">
      <w:pPr>
        <w:pStyle w:val="DHHSbody"/>
      </w:pPr>
      <w:r w:rsidRPr="00900FB7">
        <w:t>The</w:t>
      </w:r>
      <w:r w:rsidR="00EE6D35">
        <w:t xml:space="preserve"> </w:t>
      </w:r>
      <w:r w:rsidRPr="00900FB7">
        <w:t>table</w:t>
      </w:r>
      <w:r w:rsidR="00EE6D35">
        <w:t xml:space="preserve"> </w:t>
      </w:r>
      <w:r w:rsidRPr="00900FB7">
        <w:t>below</w:t>
      </w:r>
      <w:r w:rsidR="00EE6D35">
        <w:t xml:space="preserve"> </w:t>
      </w:r>
      <w:r w:rsidRPr="00900FB7">
        <w:t>provides</w:t>
      </w:r>
      <w:r w:rsidR="00EE6D35">
        <w:t xml:space="preserve"> </w:t>
      </w:r>
      <w:r w:rsidRPr="00900FB7">
        <w:t>an</w:t>
      </w:r>
      <w:r w:rsidR="00EE6D35">
        <w:t xml:space="preserve"> </w:t>
      </w:r>
      <w:r w:rsidRPr="00900FB7">
        <w:t>estimated</w:t>
      </w:r>
      <w:r w:rsidR="00EE6D35">
        <w:t xml:space="preserve"> </w:t>
      </w:r>
      <w:r w:rsidRPr="00900FB7">
        <w:t>number</w:t>
      </w:r>
      <w:r w:rsidR="00EE6D35">
        <w:t xml:space="preserve"> </w:t>
      </w:r>
      <w:r w:rsidRPr="00900FB7">
        <w:t>of</w:t>
      </w:r>
      <w:r w:rsidR="00EE6D35">
        <w:t xml:space="preserve"> </w:t>
      </w:r>
      <w:r w:rsidRPr="00900FB7">
        <w:t>minutes</w:t>
      </w:r>
      <w:r w:rsidR="00EE6D35">
        <w:t xml:space="preserve"> </w:t>
      </w:r>
      <w:r w:rsidRPr="00900FB7">
        <w:t>or</w:t>
      </w:r>
      <w:r w:rsidR="00EE6D35">
        <w:t xml:space="preserve"> </w:t>
      </w:r>
      <w:r w:rsidRPr="00900FB7">
        <w:t>hours</w:t>
      </w:r>
      <w:r w:rsidR="00EE6D35">
        <w:t xml:space="preserve"> </w:t>
      </w:r>
      <w:r w:rsidRPr="00900FB7">
        <w:t>allocated</w:t>
      </w:r>
      <w:r w:rsidR="00EE6D35">
        <w:t xml:space="preserve"> </w:t>
      </w:r>
      <w:r w:rsidRPr="00900FB7">
        <w:t>to</w:t>
      </w:r>
      <w:r w:rsidR="00EE6D35">
        <w:t xml:space="preserve"> </w:t>
      </w:r>
      <w:r w:rsidRPr="00900FB7">
        <w:t>tasks</w:t>
      </w:r>
      <w:r w:rsidR="00EE6D35">
        <w:t xml:space="preserve"> </w:t>
      </w:r>
      <w:r w:rsidRPr="00900FB7">
        <w:t>undertaken</w:t>
      </w:r>
      <w:r w:rsidR="00EE6D35">
        <w:t xml:space="preserve"> </w:t>
      </w:r>
      <w:r w:rsidRPr="00900FB7">
        <w:t>by</w:t>
      </w:r>
      <w:r w:rsidR="00EE6D35">
        <w:t xml:space="preserve"> </w:t>
      </w:r>
      <w:r w:rsidRPr="00900FB7">
        <w:t>Better</w:t>
      </w:r>
      <w:r w:rsidR="00EE6D35">
        <w:t xml:space="preserve"> </w:t>
      </w:r>
      <w:r w:rsidRPr="00900FB7">
        <w:t>Futures</w:t>
      </w:r>
      <w:r w:rsidR="00EE6D35">
        <w:t xml:space="preserve"> </w:t>
      </w:r>
      <w:r w:rsidRPr="00900FB7">
        <w:t>providers.</w:t>
      </w:r>
      <w:r w:rsidR="00EE6D35">
        <w:t xml:space="preserve"> </w:t>
      </w:r>
      <w:r w:rsidRPr="00900FB7">
        <w:t>The</w:t>
      </w:r>
      <w:r w:rsidR="00EE6D35">
        <w:t xml:space="preserve"> </w:t>
      </w:r>
      <w:r w:rsidRPr="00900FB7">
        <w:t>estimated</w:t>
      </w:r>
      <w:r w:rsidR="00EE6D35">
        <w:t xml:space="preserve"> </w:t>
      </w:r>
      <w:r w:rsidRPr="00900FB7">
        <w:t>number</w:t>
      </w:r>
      <w:r w:rsidR="00EE6D35">
        <w:t xml:space="preserve"> </w:t>
      </w:r>
      <w:r w:rsidRPr="00900FB7">
        <w:t>of</w:t>
      </w:r>
      <w:r w:rsidR="00EE6D35">
        <w:t xml:space="preserve"> </w:t>
      </w:r>
      <w:r w:rsidRPr="00900FB7">
        <w:t>hours</w:t>
      </w:r>
      <w:r w:rsidR="00EE6D35">
        <w:t xml:space="preserve"> </w:t>
      </w:r>
      <w:r w:rsidRPr="00900FB7">
        <w:t>have</w:t>
      </w:r>
      <w:r w:rsidR="00EE6D35">
        <w:t xml:space="preserve"> </w:t>
      </w:r>
      <w:r w:rsidRPr="00900FB7">
        <w:t>been</w:t>
      </w:r>
      <w:r w:rsidR="00EE6D35">
        <w:t xml:space="preserve"> </w:t>
      </w:r>
      <w:r w:rsidRPr="00900FB7">
        <w:t>developed</w:t>
      </w:r>
      <w:r w:rsidR="00EE6D35">
        <w:t xml:space="preserve"> </w:t>
      </w:r>
      <w:r w:rsidRPr="00900FB7">
        <w:t>incorporating</w:t>
      </w:r>
      <w:r w:rsidR="00EE6D35">
        <w:t xml:space="preserve"> </w:t>
      </w:r>
      <w:r w:rsidRPr="00900FB7">
        <w:t>feedback</w:t>
      </w:r>
      <w:r w:rsidR="00EE6D35">
        <w:t xml:space="preserve"> </w:t>
      </w:r>
      <w:r w:rsidRPr="00900FB7">
        <w:t>from</w:t>
      </w:r>
      <w:r w:rsidR="00EE6D35">
        <w:t xml:space="preserve"> </w:t>
      </w:r>
      <w:r w:rsidRPr="00900FB7">
        <w:t>service</w:t>
      </w:r>
      <w:r w:rsidR="00EE6D35">
        <w:t xml:space="preserve"> </w:t>
      </w:r>
      <w:r w:rsidRPr="00900FB7">
        <w:t>providers</w:t>
      </w:r>
      <w:r w:rsidR="00EE6D35">
        <w:t xml:space="preserve"> </w:t>
      </w:r>
      <w:r w:rsidRPr="00900FB7">
        <w:t>and</w:t>
      </w:r>
      <w:r w:rsidR="00EE6D35">
        <w:t xml:space="preserve"> </w:t>
      </w:r>
      <w:r w:rsidRPr="00900FB7">
        <w:t>have</w:t>
      </w:r>
      <w:r w:rsidR="00EE6D35">
        <w:t xml:space="preserve"> </w:t>
      </w:r>
      <w:r w:rsidRPr="00900FB7">
        <w:t>been</w:t>
      </w:r>
      <w:r w:rsidR="00EE6D35">
        <w:t xml:space="preserve"> </w:t>
      </w:r>
      <w:r w:rsidRPr="00900FB7">
        <w:t>rounded.</w:t>
      </w:r>
      <w:r w:rsidR="00EE6D35">
        <w:t xml:space="preserve"> </w:t>
      </w:r>
      <w:r w:rsidRPr="00900FB7">
        <w:t>Tasks</w:t>
      </w:r>
      <w:r w:rsidR="00EE6D35">
        <w:t xml:space="preserve"> </w:t>
      </w:r>
      <w:r w:rsidRPr="00900FB7">
        <w:t>may</w:t>
      </w:r>
      <w:r w:rsidR="00EE6D35">
        <w:t xml:space="preserve"> </w:t>
      </w:r>
      <w:r w:rsidRPr="00900FB7">
        <w:t>take</w:t>
      </w:r>
      <w:r w:rsidR="00EE6D35">
        <w:t xml:space="preserve"> </w:t>
      </w:r>
      <w:r w:rsidRPr="00900FB7">
        <w:t>less</w:t>
      </w:r>
      <w:r w:rsidR="00EE6D35">
        <w:t xml:space="preserve"> </w:t>
      </w:r>
      <w:r w:rsidRPr="00900FB7">
        <w:t>or</w:t>
      </w:r>
      <w:r w:rsidR="00EE6D35">
        <w:t xml:space="preserve"> </w:t>
      </w:r>
      <w:r w:rsidRPr="00900FB7">
        <w:t>more</w:t>
      </w:r>
      <w:r w:rsidR="00EE6D35">
        <w:t xml:space="preserve"> </w:t>
      </w:r>
      <w:r w:rsidRPr="00900FB7">
        <w:t>time</w:t>
      </w:r>
      <w:r w:rsidR="00EE6D35">
        <w:t xml:space="preserve"> </w:t>
      </w:r>
      <w:r w:rsidRPr="00900FB7">
        <w:t>and</w:t>
      </w:r>
      <w:r w:rsidR="00EE6D35">
        <w:t xml:space="preserve"> </w:t>
      </w:r>
      <w:r w:rsidRPr="00900FB7">
        <w:t>the</w:t>
      </w:r>
      <w:r w:rsidR="00EE6D35">
        <w:t xml:space="preserve"> </w:t>
      </w:r>
      <w:r w:rsidRPr="00900FB7">
        <w:t>actual</w:t>
      </w:r>
      <w:r w:rsidR="00EE6D35">
        <w:t xml:space="preserve"> </w:t>
      </w:r>
      <w:r w:rsidRPr="00900FB7">
        <w:t>time</w:t>
      </w:r>
      <w:r w:rsidR="00EE6D35">
        <w:t xml:space="preserve"> </w:t>
      </w:r>
      <w:r w:rsidRPr="00900FB7">
        <w:t>taken</w:t>
      </w:r>
      <w:r w:rsidR="00EE6D35">
        <w:t xml:space="preserve"> </w:t>
      </w:r>
      <w:r w:rsidRPr="00900FB7">
        <w:t>should</w:t>
      </w:r>
      <w:r w:rsidR="00EE6D35">
        <w:t xml:space="preserve"> </w:t>
      </w:r>
      <w:r w:rsidRPr="00900FB7">
        <w:t>be</w:t>
      </w:r>
      <w:r w:rsidR="00EE6D35">
        <w:t xml:space="preserve"> </w:t>
      </w:r>
      <w:r w:rsidRPr="00900FB7">
        <w:t>recorded</w:t>
      </w:r>
      <w:r w:rsidR="00EE6D35">
        <w:t xml:space="preserve"> </w:t>
      </w:r>
      <w:r w:rsidRPr="00900FB7">
        <w:t>in</w:t>
      </w:r>
      <w:r w:rsidR="00EE6D35">
        <w:t xml:space="preserve"> </w:t>
      </w:r>
      <w:r w:rsidRPr="00900FB7">
        <w:t>CRISSP.</w:t>
      </w:r>
    </w:p>
    <w:p w14:paraId="709E88B0" w14:textId="345D54DC" w:rsidR="001B20B3" w:rsidRDefault="001B20B3" w:rsidP="001B20B3">
      <w:pPr>
        <w:pStyle w:val="DHHSbody"/>
      </w:pPr>
      <w:r w:rsidRPr="00900FB7">
        <w:t>These</w:t>
      </w:r>
      <w:r w:rsidR="00EE6D35">
        <w:t xml:space="preserve"> </w:t>
      </w:r>
      <w:r w:rsidRPr="00900FB7">
        <w:t>are</w:t>
      </w:r>
      <w:r w:rsidR="00EE6D35">
        <w:t xml:space="preserve"> </w:t>
      </w:r>
      <w:r w:rsidRPr="00900FB7">
        <w:t>guidelines</w:t>
      </w:r>
      <w:r w:rsidR="00EE6D35">
        <w:t xml:space="preserve"> </w:t>
      </w:r>
      <w:r w:rsidRPr="00900FB7">
        <w:t>only</w:t>
      </w:r>
      <w:r w:rsidR="00EE6D35">
        <w:t xml:space="preserve"> </w:t>
      </w:r>
      <w:r w:rsidRPr="00900FB7">
        <w:t>and</w:t>
      </w:r>
      <w:r w:rsidR="00EE6D35">
        <w:t xml:space="preserve"> </w:t>
      </w:r>
      <w:r w:rsidRPr="00900FB7">
        <w:t>should</w:t>
      </w:r>
      <w:r w:rsidR="00EE6D35">
        <w:t xml:space="preserve"> </w:t>
      </w:r>
      <w:r w:rsidRPr="00900FB7">
        <w:t>be</w:t>
      </w:r>
      <w:r w:rsidR="00EE6D35">
        <w:t xml:space="preserve"> </w:t>
      </w:r>
      <w:r w:rsidRPr="00900FB7">
        <w:t>applied</w:t>
      </w:r>
      <w:r w:rsidR="00EE6D35">
        <w:t xml:space="preserve"> </w:t>
      </w:r>
      <w:r w:rsidRPr="00900FB7">
        <w:t>flexibly.</w:t>
      </w:r>
    </w:p>
    <w:tbl>
      <w:tblPr>
        <w:tblStyle w:val="TableGrid"/>
        <w:tblW w:w="10060" w:type="dxa"/>
        <w:tblLook w:val="06A0" w:firstRow="1" w:lastRow="0" w:firstColumn="1" w:lastColumn="0" w:noHBand="1" w:noVBand="1"/>
      </w:tblPr>
      <w:tblGrid>
        <w:gridCol w:w="7083"/>
        <w:gridCol w:w="2977"/>
      </w:tblGrid>
      <w:tr w:rsidR="001B20B3" w14:paraId="1B2A9B0C" w14:textId="77777777" w:rsidTr="00EE6D35">
        <w:tc>
          <w:tcPr>
            <w:tcW w:w="7083" w:type="dxa"/>
          </w:tcPr>
          <w:p w14:paraId="0CEEB796" w14:textId="77777777" w:rsidR="001B20B3" w:rsidRPr="00CB3285" w:rsidRDefault="001B20B3" w:rsidP="001B20B3">
            <w:pPr>
              <w:pStyle w:val="Tablecolhead"/>
            </w:pPr>
            <w:r>
              <w:t>Task</w:t>
            </w:r>
          </w:p>
        </w:tc>
        <w:tc>
          <w:tcPr>
            <w:tcW w:w="2977" w:type="dxa"/>
          </w:tcPr>
          <w:p w14:paraId="3D059B7B" w14:textId="6A0671B3" w:rsidR="001B20B3" w:rsidRDefault="001B20B3" w:rsidP="001B20B3">
            <w:pPr>
              <w:pStyle w:val="Tablecolhead"/>
            </w:pPr>
            <w:r>
              <w:t>Estimated</w:t>
            </w:r>
            <w:r w:rsidR="00EE6D35">
              <w:t xml:space="preserve"> </w:t>
            </w:r>
            <w:r>
              <w:t>number</w:t>
            </w:r>
            <w:r w:rsidR="00EE6D35">
              <w:t xml:space="preserve"> </w:t>
            </w:r>
            <w:r>
              <w:t>of</w:t>
            </w:r>
            <w:r w:rsidR="00EE6D35">
              <w:t xml:space="preserve"> </w:t>
            </w:r>
            <w:r>
              <w:t>hours</w:t>
            </w:r>
          </w:p>
        </w:tc>
      </w:tr>
      <w:tr w:rsidR="001B20B3" w14:paraId="6AD79ABF" w14:textId="77777777" w:rsidTr="00EE6D35">
        <w:tc>
          <w:tcPr>
            <w:tcW w:w="7083" w:type="dxa"/>
            <w:vAlign w:val="bottom"/>
          </w:tcPr>
          <w:p w14:paraId="4C8ADB46" w14:textId="5585607A" w:rsidR="001B20B3" w:rsidRPr="0018402F" w:rsidRDefault="001B20B3" w:rsidP="001B20B3">
            <w:pPr>
              <w:pStyle w:val="Tabletext"/>
            </w:pPr>
            <w:r w:rsidRPr="009C4376">
              <w:rPr>
                <w:lang w:eastAsia="en-AU"/>
              </w:rPr>
              <w:t>Text</w:t>
            </w:r>
            <w:r w:rsidR="00EE6D35"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sent</w:t>
            </w:r>
            <w:r w:rsidR="00EE6D35">
              <w:rPr>
                <w:lang w:eastAsia="en-AU"/>
              </w:rPr>
              <w:t xml:space="preserve"> </w:t>
            </w:r>
          </w:p>
        </w:tc>
        <w:tc>
          <w:tcPr>
            <w:tcW w:w="2977" w:type="dxa"/>
            <w:vAlign w:val="bottom"/>
          </w:tcPr>
          <w:p w14:paraId="060AE3F3" w14:textId="032EFAAE" w:rsidR="001B20B3" w:rsidRPr="0018402F" w:rsidRDefault="001B20B3" w:rsidP="001B20B3">
            <w:pPr>
              <w:pStyle w:val="Tabletext"/>
            </w:pPr>
            <w:r w:rsidRPr="009C4376">
              <w:rPr>
                <w:lang w:eastAsia="en-AU"/>
              </w:rPr>
              <w:t>10</w:t>
            </w:r>
            <w:r w:rsidR="00EE6D35"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minutes</w:t>
            </w:r>
            <w:r w:rsidR="00EE6D35">
              <w:rPr>
                <w:lang w:eastAsia="en-AU"/>
              </w:rPr>
              <w:t xml:space="preserve"> </w:t>
            </w:r>
          </w:p>
        </w:tc>
      </w:tr>
      <w:tr w:rsidR="001B20B3" w14:paraId="078BBB69" w14:textId="77777777" w:rsidTr="00EE6D35">
        <w:tc>
          <w:tcPr>
            <w:tcW w:w="7083" w:type="dxa"/>
            <w:vAlign w:val="bottom"/>
          </w:tcPr>
          <w:p w14:paraId="6C587770" w14:textId="74C82768" w:rsidR="001B20B3" w:rsidRPr="009C4376" w:rsidRDefault="001B20B3" w:rsidP="001B20B3">
            <w:pPr>
              <w:pStyle w:val="Tabletext"/>
              <w:rPr>
                <w:lang w:eastAsia="en-AU"/>
              </w:rPr>
            </w:pPr>
            <w:r w:rsidRPr="009C4376">
              <w:rPr>
                <w:lang w:eastAsia="en-AU"/>
              </w:rPr>
              <w:t>Text</w:t>
            </w:r>
            <w:r w:rsidR="00EE6D35"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response</w:t>
            </w:r>
            <w:r w:rsidR="00EE6D35">
              <w:rPr>
                <w:lang w:eastAsia="en-AU"/>
              </w:rPr>
              <w:t xml:space="preserve"> </w:t>
            </w:r>
          </w:p>
        </w:tc>
        <w:tc>
          <w:tcPr>
            <w:tcW w:w="2977" w:type="dxa"/>
            <w:vAlign w:val="bottom"/>
          </w:tcPr>
          <w:p w14:paraId="18EAECD1" w14:textId="76947790" w:rsidR="001B20B3" w:rsidRPr="009C4376" w:rsidRDefault="001B20B3" w:rsidP="001B20B3">
            <w:pPr>
              <w:pStyle w:val="Tabletext"/>
              <w:rPr>
                <w:lang w:eastAsia="en-AU"/>
              </w:rPr>
            </w:pPr>
            <w:r w:rsidRPr="009C4376">
              <w:rPr>
                <w:lang w:eastAsia="en-AU"/>
              </w:rPr>
              <w:t>10</w:t>
            </w:r>
            <w:r w:rsidR="00EE6D35"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minutes</w:t>
            </w:r>
            <w:r w:rsidR="00EE6D35">
              <w:rPr>
                <w:lang w:eastAsia="en-AU"/>
              </w:rPr>
              <w:t xml:space="preserve"> </w:t>
            </w:r>
          </w:p>
        </w:tc>
      </w:tr>
      <w:tr w:rsidR="001B20B3" w14:paraId="5F0C6A64" w14:textId="77777777" w:rsidTr="00EE6D35">
        <w:tc>
          <w:tcPr>
            <w:tcW w:w="7083" w:type="dxa"/>
            <w:vAlign w:val="bottom"/>
          </w:tcPr>
          <w:p w14:paraId="16A16870" w14:textId="4C37C724" w:rsidR="001B20B3" w:rsidRPr="009C4376" w:rsidRDefault="001B20B3" w:rsidP="001B20B3">
            <w:pPr>
              <w:pStyle w:val="Tabletext"/>
              <w:rPr>
                <w:lang w:eastAsia="en-AU"/>
              </w:rPr>
            </w:pPr>
            <w:r w:rsidRPr="009C4376">
              <w:rPr>
                <w:lang w:eastAsia="en-AU"/>
              </w:rPr>
              <w:t>Phone</w:t>
            </w:r>
            <w:r w:rsidR="00EE6D35"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not</w:t>
            </w:r>
            <w:r w:rsidR="00EE6D35"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answered</w:t>
            </w:r>
            <w:r w:rsidR="00EE6D35"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voicemail</w:t>
            </w:r>
            <w:r w:rsidR="00EE6D35"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left</w:t>
            </w:r>
            <w:r w:rsidR="00EE6D35">
              <w:rPr>
                <w:lang w:eastAsia="en-AU"/>
              </w:rPr>
              <w:t xml:space="preserve"> </w:t>
            </w:r>
          </w:p>
        </w:tc>
        <w:tc>
          <w:tcPr>
            <w:tcW w:w="2977" w:type="dxa"/>
            <w:vAlign w:val="bottom"/>
          </w:tcPr>
          <w:p w14:paraId="49305A7E" w14:textId="1B59BDEE" w:rsidR="001B20B3" w:rsidRPr="009C4376" w:rsidRDefault="001B20B3" w:rsidP="001B20B3">
            <w:pPr>
              <w:pStyle w:val="Tabletext"/>
              <w:rPr>
                <w:lang w:eastAsia="en-AU"/>
              </w:rPr>
            </w:pPr>
            <w:r w:rsidRPr="009C4376">
              <w:rPr>
                <w:lang w:eastAsia="en-AU"/>
              </w:rPr>
              <w:t>10</w:t>
            </w:r>
            <w:r w:rsidR="00EE6D35"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minutes</w:t>
            </w:r>
            <w:r w:rsidR="00EE6D35">
              <w:rPr>
                <w:lang w:eastAsia="en-AU"/>
              </w:rPr>
              <w:t xml:space="preserve"> </w:t>
            </w:r>
          </w:p>
        </w:tc>
      </w:tr>
      <w:tr w:rsidR="001B20B3" w14:paraId="0DA38F1A" w14:textId="77777777" w:rsidTr="00EE6D35">
        <w:tc>
          <w:tcPr>
            <w:tcW w:w="7083" w:type="dxa"/>
            <w:vAlign w:val="bottom"/>
          </w:tcPr>
          <w:p w14:paraId="7A5A5744" w14:textId="2164C406" w:rsidR="001B20B3" w:rsidRPr="009C4376" w:rsidRDefault="001B20B3" w:rsidP="001B20B3">
            <w:pPr>
              <w:pStyle w:val="Tabletext"/>
              <w:rPr>
                <w:lang w:eastAsia="en-AU"/>
              </w:rPr>
            </w:pPr>
            <w:r w:rsidRPr="009C4376">
              <w:rPr>
                <w:lang w:eastAsia="en-AU"/>
              </w:rPr>
              <w:t>Outreach/face</w:t>
            </w:r>
            <w:r w:rsidR="00EE6D35"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to</w:t>
            </w:r>
            <w:r w:rsidR="00EE6D35"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face</w:t>
            </w:r>
            <w:r w:rsidR="00EE6D35"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contact</w:t>
            </w:r>
            <w:r w:rsidR="00EE6D35">
              <w:rPr>
                <w:lang w:eastAsia="en-AU"/>
              </w:rPr>
              <w:t xml:space="preserve"> </w:t>
            </w:r>
          </w:p>
        </w:tc>
        <w:tc>
          <w:tcPr>
            <w:tcW w:w="2977" w:type="dxa"/>
            <w:vAlign w:val="bottom"/>
          </w:tcPr>
          <w:p w14:paraId="76D2BCD8" w14:textId="50A38967" w:rsidR="001B20B3" w:rsidRPr="009C4376" w:rsidRDefault="001B20B3" w:rsidP="001B20B3">
            <w:pPr>
              <w:pStyle w:val="Tabletext"/>
              <w:rPr>
                <w:lang w:eastAsia="en-AU"/>
              </w:rPr>
            </w:pPr>
            <w:r w:rsidRPr="009C4376">
              <w:rPr>
                <w:lang w:eastAsia="en-AU"/>
              </w:rPr>
              <w:t>1hr</w:t>
            </w:r>
            <w:r w:rsidR="00EE6D35">
              <w:rPr>
                <w:lang w:eastAsia="en-AU"/>
              </w:rPr>
              <w:t xml:space="preserve"> </w:t>
            </w:r>
          </w:p>
        </w:tc>
      </w:tr>
      <w:tr w:rsidR="001B20B3" w14:paraId="640D103B" w14:textId="77777777" w:rsidTr="00EE6D35">
        <w:tc>
          <w:tcPr>
            <w:tcW w:w="7083" w:type="dxa"/>
            <w:vAlign w:val="bottom"/>
          </w:tcPr>
          <w:p w14:paraId="56B589D2" w14:textId="10A5A34F" w:rsidR="001B20B3" w:rsidRPr="009C4376" w:rsidRDefault="001B20B3" w:rsidP="001B20B3">
            <w:pPr>
              <w:pStyle w:val="Tabletext"/>
              <w:rPr>
                <w:lang w:eastAsia="en-AU"/>
              </w:rPr>
            </w:pPr>
            <w:r w:rsidRPr="009C4376">
              <w:rPr>
                <w:lang w:eastAsia="en-AU"/>
              </w:rPr>
              <w:t>Telephone</w:t>
            </w:r>
            <w:r w:rsidR="00EE6D35"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call</w:t>
            </w:r>
            <w:r w:rsidR="00410C81">
              <w:rPr>
                <w:lang w:eastAsia="en-AU"/>
              </w:rPr>
              <w:t xml:space="preserve"> </w:t>
            </w:r>
          </w:p>
        </w:tc>
        <w:tc>
          <w:tcPr>
            <w:tcW w:w="2977" w:type="dxa"/>
            <w:vAlign w:val="bottom"/>
          </w:tcPr>
          <w:p w14:paraId="0D753208" w14:textId="3A7F7C5E" w:rsidR="001B20B3" w:rsidRPr="009C4376" w:rsidRDefault="001B20B3" w:rsidP="001B20B3">
            <w:pPr>
              <w:pStyle w:val="Tabletext"/>
              <w:rPr>
                <w:lang w:eastAsia="en-AU"/>
              </w:rPr>
            </w:pPr>
            <w:r w:rsidRPr="009C4376">
              <w:rPr>
                <w:lang w:eastAsia="en-AU"/>
              </w:rPr>
              <w:t>10</w:t>
            </w:r>
            <w:r w:rsidR="00EE6D35"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minutes</w:t>
            </w:r>
            <w:r w:rsidR="00EE6D35">
              <w:rPr>
                <w:lang w:eastAsia="en-AU"/>
              </w:rPr>
              <w:t xml:space="preserve"> </w:t>
            </w:r>
          </w:p>
        </w:tc>
      </w:tr>
      <w:tr w:rsidR="001B20B3" w14:paraId="11687D1D" w14:textId="77777777" w:rsidTr="00EE6D35">
        <w:tc>
          <w:tcPr>
            <w:tcW w:w="7083" w:type="dxa"/>
            <w:vAlign w:val="bottom"/>
          </w:tcPr>
          <w:p w14:paraId="64349188" w14:textId="05F9F4FD" w:rsidR="001B20B3" w:rsidRPr="009C4376" w:rsidRDefault="001B20B3" w:rsidP="001B20B3">
            <w:pPr>
              <w:pStyle w:val="Tabletext"/>
              <w:rPr>
                <w:lang w:eastAsia="en-AU"/>
              </w:rPr>
            </w:pPr>
            <w:r w:rsidRPr="009C4376">
              <w:rPr>
                <w:lang w:eastAsia="en-AU"/>
              </w:rPr>
              <w:t>Email</w:t>
            </w:r>
            <w:r w:rsidR="00EE6D35">
              <w:rPr>
                <w:lang w:eastAsia="en-AU"/>
              </w:rPr>
              <w:t xml:space="preserve"> </w:t>
            </w:r>
          </w:p>
        </w:tc>
        <w:tc>
          <w:tcPr>
            <w:tcW w:w="2977" w:type="dxa"/>
            <w:vAlign w:val="bottom"/>
          </w:tcPr>
          <w:p w14:paraId="4FBFF00A" w14:textId="0A68AF9B" w:rsidR="001B20B3" w:rsidRPr="009C4376" w:rsidRDefault="001B20B3" w:rsidP="001B20B3">
            <w:pPr>
              <w:pStyle w:val="Tabletext"/>
              <w:rPr>
                <w:lang w:eastAsia="en-AU"/>
              </w:rPr>
            </w:pPr>
            <w:r w:rsidRPr="009C4376">
              <w:rPr>
                <w:lang w:eastAsia="en-AU"/>
              </w:rPr>
              <w:t>10</w:t>
            </w:r>
            <w:r w:rsidR="00EE6D35"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minutes</w:t>
            </w:r>
            <w:r w:rsidR="00EE6D35">
              <w:rPr>
                <w:lang w:eastAsia="en-AU"/>
              </w:rPr>
              <w:t xml:space="preserve"> </w:t>
            </w:r>
          </w:p>
        </w:tc>
      </w:tr>
      <w:tr w:rsidR="001B20B3" w14:paraId="3329C182" w14:textId="77777777" w:rsidTr="00EE6D35">
        <w:tc>
          <w:tcPr>
            <w:tcW w:w="7083" w:type="dxa"/>
            <w:vAlign w:val="bottom"/>
          </w:tcPr>
          <w:p w14:paraId="70946DF7" w14:textId="1327D408" w:rsidR="001B20B3" w:rsidRPr="009C4376" w:rsidRDefault="001B20B3" w:rsidP="001B20B3">
            <w:pPr>
              <w:pStyle w:val="Tabletext"/>
              <w:rPr>
                <w:lang w:eastAsia="en-AU"/>
              </w:rPr>
            </w:pPr>
            <w:r w:rsidRPr="009C4376">
              <w:rPr>
                <w:lang w:eastAsia="en-AU"/>
              </w:rPr>
              <w:t>Email</w:t>
            </w:r>
            <w:r w:rsidR="00EE6D35"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received</w:t>
            </w:r>
            <w:r w:rsidR="00EE6D35"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and</w:t>
            </w:r>
            <w:r w:rsidR="00EE6D35"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case</w:t>
            </w:r>
            <w:r w:rsidR="00EE6D35"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noted</w:t>
            </w:r>
            <w:r w:rsidR="00EE6D35">
              <w:rPr>
                <w:lang w:eastAsia="en-AU"/>
              </w:rPr>
              <w:t xml:space="preserve"> </w:t>
            </w:r>
          </w:p>
        </w:tc>
        <w:tc>
          <w:tcPr>
            <w:tcW w:w="2977" w:type="dxa"/>
            <w:vAlign w:val="bottom"/>
          </w:tcPr>
          <w:p w14:paraId="094B91EC" w14:textId="4947B4EF" w:rsidR="001B20B3" w:rsidRPr="009C4376" w:rsidRDefault="001B20B3" w:rsidP="001B20B3">
            <w:pPr>
              <w:pStyle w:val="Tabletext"/>
              <w:rPr>
                <w:lang w:eastAsia="en-AU"/>
              </w:rPr>
            </w:pPr>
            <w:r w:rsidRPr="009C4376">
              <w:rPr>
                <w:lang w:eastAsia="en-AU"/>
              </w:rPr>
              <w:t>10</w:t>
            </w:r>
            <w:r w:rsidR="00EE6D35"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minutes</w:t>
            </w:r>
            <w:r w:rsidR="00EE6D35">
              <w:rPr>
                <w:lang w:eastAsia="en-AU"/>
              </w:rPr>
              <w:t xml:space="preserve"> </w:t>
            </w:r>
          </w:p>
        </w:tc>
      </w:tr>
      <w:tr w:rsidR="001B20B3" w14:paraId="5237EB93" w14:textId="77777777" w:rsidTr="00EE6D35">
        <w:tc>
          <w:tcPr>
            <w:tcW w:w="7083" w:type="dxa"/>
            <w:vAlign w:val="bottom"/>
          </w:tcPr>
          <w:p w14:paraId="63F16999" w14:textId="2C16FB21" w:rsidR="001B20B3" w:rsidRPr="009C4376" w:rsidRDefault="001B20B3" w:rsidP="001B20B3">
            <w:pPr>
              <w:pStyle w:val="Tabletext"/>
              <w:rPr>
                <w:lang w:eastAsia="en-AU"/>
              </w:rPr>
            </w:pPr>
            <w:r w:rsidRPr="009C4376">
              <w:rPr>
                <w:lang w:eastAsia="en-AU"/>
              </w:rPr>
              <w:t>Email</w:t>
            </w:r>
            <w:r w:rsidR="00EE6D35"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sent</w:t>
            </w:r>
            <w:r w:rsidR="00EE6D35"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and</w:t>
            </w:r>
            <w:r w:rsidR="00EE6D35"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case</w:t>
            </w:r>
            <w:r w:rsidR="00EE6D35"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noted</w:t>
            </w:r>
            <w:r w:rsidR="00EE6D35">
              <w:rPr>
                <w:lang w:eastAsia="en-AU"/>
              </w:rPr>
              <w:t xml:space="preserve"> </w:t>
            </w:r>
          </w:p>
        </w:tc>
        <w:tc>
          <w:tcPr>
            <w:tcW w:w="2977" w:type="dxa"/>
            <w:vAlign w:val="bottom"/>
          </w:tcPr>
          <w:p w14:paraId="3F6CF676" w14:textId="1E462F38" w:rsidR="001B20B3" w:rsidRPr="009C4376" w:rsidRDefault="001B20B3" w:rsidP="001B20B3">
            <w:pPr>
              <w:pStyle w:val="Tabletext"/>
              <w:rPr>
                <w:lang w:eastAsia="en-AU"/>
              </w:rPr>
            </w:pPr>
            <w:r w:rsidRPr="009C4376">
              <w:rPr>
                <w:lang w:eastAsia="en-AU"/>
              </w:rPr>
              <w:t>10</w:t>
            </w:r>
            <w:r w:rsidR="00EE6D35"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minutes</w:t>
            </w:r>
            <w:r w:rsidR="00EE6D35">
              <w:rPr>
                <w:lang w:eastAsia="en-AU"/>
              </w:rPr>
              <w:t xml:space="preserve"> </w:t>
            </w:r>
          </w:p>
        </w:tc>
      </w:tr>
      <w:tr w:rsidR="001B20B3" w14:paraId="17118251" w14:textId="77777777" w:rsidTr="00EE6D35">
        <w:tc>
          <w:tcPr>
            <w:tcW w:w="7083" w:type="dxa"/>
            <w:vAlign w:val="bottom"/>
          </w:tcPr>
          <w:p w14:paraId="46555705" w14:textId="045CDC1E" w:rsidR="001B20B3" w:rsidRPr="009C4376" w:rsidRDefault="001B20B3" w:rsidP="001B20B3">
            <w:pPr>
              <w:pStyle w:val="Tabletext"/>
              <w:rPr>
                <w:lang w:eastAsia="en-AU"/>
              </w:rPr>
            </w:pPr>
            <w:r w:rsidRPr="009C4376">
              <w:rPr>
                <w:lang w:eastAsia="en-AU"/>
              </w:rPr>
              <w:t>Provided</w:t>
            </w:r>
            <w:r w:rsidR="00EE6D35"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secondary</w:t>
            </w:r>
            <w:r w:rsidR="00EE6D35"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consultation</w:t>
            </w:r>
            <w:r w:rsidR="00EE6D35">
              <w:rPr>
                <w:lang w:eastAsia="en-AU"/>
              </w:rPr>
              <w:t xml:space="preserve"> </w:t>
            </w:r>
          </w:p>
        </w:tc>
        <w:tc>
          <w:tcPr>
            <w:tcW w:w="2977" w:type="dxa"/>
            <w:vAlign w:val="bottom"/>
          </w:tcPr>
          <w:p w14:paraId="52F834E1" w14:textId="62244676" w:rsidR="001B20B3" w:rsidRPr="009C4376" w:rsidRDefault="001B20B3" w:rsidP="001B20B3">
            <w:pPr>
              <w:pStyle w:val="Tabletext"/>
              <w:rPr>
                <w:lang w:eastAsia="en-AU"/>
              </w:rPr>
            </w:pPr>
            <w:r w:rsidRPr="009C4376">
              <w:rPr>
                <w:lang w:eastAsia="en-AU"/>
              </w:rPr>
              <w:t>30</w:t>
            </w:r>
            <w:r w:rsidR="00EE6D35">
              <w:rPr>
                <w:lang w:eastAsia="en-AU"/>
              </w:rPr>
              <w:t xml:space="preserve"> </w:t>
            </w:r>
            <w:r w:rsidRPr="009C4376">
              <w:rPr>
                <w:lang w:eastAsia="en-AU"/>
              </w:rPr>
              <w:t>minutes</w:t>
            </w:r>
            <w:r w:rsidR="00EE6D35">
              <w:rPr>
                <w:lang w:eastAsia="en-AU"/>
              </w:rPr>
              <w:t xml:space="preserve"> </w:t>
            </w:r>
          </w:p>
        </w:tc>
      </w:tr>
      <w:tr w:rsidR="001B20B3" w14:paraId="770969F5" w14:textId="77777777" w:rsidTr="00EE6D35">
        <w:tc>
          <w:tcPr>
            <w:tcW w:w="7083" w:type="dxa"/>
            <w:vAlign w:val="bottom"/>
          </w:tcPr>
          <w:p w14:paraId="15C12A74" w14:textId="63DBD815" w:rsidR="001B20B3" w:rsidRPr="009C4376" w:rsidRDefault="001B20B3" w:rsidP="001B20B3">
            <w:pPr>
              <w:pStyle w:val="Tabletext"/>
              <w:rPr>
                <w:lang w:eastAsia="en-AU"/>
              </w:rPr>
            </w:pPr>
            <w:r w:rsidRPr="009C4376">
              <w:rPr>
                <w:rFonts w:cs="Arial"/>
                <w:lang w:eastAsia="en-AU"/>
              </w:rPr>
              <w:t>Undertaking</w:t>
            </w:r>
            <w:r w:rsidR="00EE6D35">
              <w:rPr>
                <w:rFonts w:cs="Arial"/>
                <w:lang w:eastAsia="en-AU"/>
              </w:rPr>
              <w:t xml:space="preserve"> </w:t>
            </w:r>
            <w:r w:rsidRPr="009C4376">
              <w:rPr>
                <w:rFonts w:cs="Arial"/>
                <w:lang w:eastAsia="en-AU"/>
              </w:rPr>
              <w:t>a</w:t>
            </w:r>
            <w:r w:rsidR="00EE6D35">
              <w:rPr>
                <w:rFonts w:cs="Arial"/>
                <w:lang w:eastAsia="en-AU"/>
              </w:rPr>
              <w:t xml:space="preserve"> </w:t>
            </w:r>
            <w:r w:rsidRPr="009C4376">
              <w:rPr>
                <w:rFonts w:cs="Arial"/>
                <w:lang w:eastAsia="en-AU"/>
              </w:rPr>
              <w:t>consultation</w:t>
            </w:r>
            <w:r w:rsidR="00EE6D35">
              <w:rPr>
                <w:rFonts w:cs="Arial"/>
                <w:lang w:eastAsia="en-AU"/>
              </w:rPr>
              <w:t xml:space="preserve"> </w:t>
            </w:r>
          </w:p>
        </w:tc>
        <w:tc>
          <w:tcPr>
            <w:tcW w:w="2977" w:type="dxa"/>
            <w:vAlign w:val="bottom"/>
          </w:tcPr>
          <w:p w14:paraId="2E86737E" w14:textId="5ED3E546" w:rsidR="001B20B3" w:rsidRPr="009C4376" w:rsidRDefault="001B20B3" w:rsidP="001B20B3">
            <w:pPr>
              <w:pStyle w:val="Tabletext"/>
              <w:rPr>
                <w:lang w:eastAsia="en-AU"/>
              </w:rPr>
            </w:pPr>
            <w:r w:rsidRPr="009C4376">
              <w:rPr>
                <w:rFonts w:cs="Arial"/>
                <w:lang w:eastAsia="en-AU"/>
              </w:rPr>
              <w:t>30</w:t>
            </w:r>
            <w:r w:rsidR="00EE6D35">
              <w:rPr>
                <w:rFonts w:cs="Arial"/>
                <w:lang w:eastAsia="en-AU"/>
              </w:rPr>
              <w:t xml:space="preserve"> </w:t>
            </w:r>
            <w:r w:rsidRPr="009C4376">
              <w:rPr>
                <w:rFonts w:cs="Arial"/>
                <w:lang w:eastAsia="en-AU"/>
              </w:rPr>
              <w:t>minutes</w:t>
            </w:r>
            <w:r w:rsidR="00EE6D35">
              <w:rPr>
                <w:rFonts w:cs="Arial"/>
                <w:lang w:eastAsia="en-AU"/>
              </w:rPr>
              <w:t xml:space="preserve"> </w:t>
            </w:r>
          </w:p>
        </w:tc>
      </w:tr>
      <w:tr w:rsidR="001B20B3" w14:paraId="5DBE3DD3" w14:textId="77777777" w:rsidTr="00EE6D35">
        <w:tc>
          <w:tcPr>
            <w:tcW w:w="7083" w:type="dxa"/>
            <w:vAlign w:val="bottom"/>
          </w:tcPr>
          <w:p w14:paraId="3F32DD41" w14:textId="293BBC57" w:rsidR="001B20B3" w:rsidRPr="009C4376" w:rsidRDefault="001B20B3" w:rsidP="001B20B3">
            <w:pPr>
              <w:pStyle w:val="Tabletext"/>
              <w:rPr>
                <w:lang w:eastAsia="en-AU"/>
              </w:rPr>
            </w:pPr>
            <w:r w:rsidRPr="009C4376">
              <w:rPr>
                <w:rFonts w:cs="Arial"/>
                <w:lang w:eastAsia="en-AU"/>
              </w:rPr>
              <w:t>Travel</w:t>
            </w:r>
            <w:r w:rsidR="00EE6D35">
              <w:rPr>
                <w:rFonts w:cs="Arial"/>
                <w:lang w:eastAsia="en-AU"/>
              </w:rPr>
              <w:t xml:space="preserve"> </w:t>
            </w:r>
            <w:r w:rsidRPr="009C4376">
              <w:rPr>
                <w:rFonts w:cs="Arial"/>
                <w:lang w:eastAsia="en-AU"/>
              </w:rPr>
              <w:t>time</w:t>
            </w:r>
            <w:r w:rsidR="00EE6D35">
              <w:rPr>
                <w:rFonts w:cs="Arial"/>
                <w:lang w:eastAsia="en-AU"/>
              </w:rPr>
              <w:t xml:space="preserve"> </w:t>
            </w:r>
          </w:p>
        </w:tc>
        <w:tc>
          <w:tcPr>
            <w:tcW w:w="2977" w:type="dxa"/>
            <w:vAlign w:val="bottom"/>
          </w:tcPr>
          <w:p w14:paraId="1D5EED31" w14:textId="1F87D1A4" w:rsidR="001B20B3" w:rsidRPr="009C4376" w:rsidRDefault="001B20B3" w:rsidP="001B20B3">
            <w:pPr>
              <w:pStyle w:val="Tabletext"/>
              <w:rPr>
                <w:lang w:eastAsia="en-AU"/>
              </w:rPr>
            </w:pPr>
            <w:r w:rsidRPr="009C4376">
              <w:rPr>
                <w:rFonts w:cs="Arial"/>
                <w:lang w:eastAsia="en-AU"/>
              </w:rPr>
              <w:t>10</w:t>
            </w:r>
            <w:r w:rsidR="00EE6D35">
              <w:rPr>
                <w:rFonts w:cs="Arial"/>
                <w:lang w:eastAsia="en-AU"/>
              </w:rPr>
              <w:t xml:space="preserve"> </w:t>
            </w:r>
            <w:r w:rsidRPr="009C4376">
              <w:rPr>
                <w:rFonts w:cs="Arial"/>
                <w:lang w:eastAsia="en-AU"/>
              </w:rPr>
              <w:t>minutes</w:t>
            </w:r>
            <w:r w:rsidR="00EE6D35">
              <w:rPr>
                <w:rFonts w:cs="Arial"/>
                <w:lang w:eastAsia="en-AU"/>
              </w:rPr>
              <w:t xml:space="preserve"> </w:t>
            </w:r>
          </w:p>
        </w:tc>
      </w:tr>
      <w:tr w:rsidR="001B20B3" w14:paraId="56673E21" w14:textId="77777777" w:rsidTr="00EE6D35">
        <w:tc>
          <w:tcPr>
            <w:tcW w:w="7083" w:type="dxa"/>
            <w:vAlign w:val="bottom"/>
          </w:tcPr>
          <w:p w14:paraId="6656BD5D" w14:textId="76530BE9" w:rsidR="001B20B3" w:rsidRPr="009C4376" w:rsidRDefault="001B20B3" w:rsidP="001B20B3">
            <w:pPr>
              <w:pStyle w:val="Tabletext"/>
              <w:rPr>
                <w:lang w:eastAsia="en-AU"/>
              </w:rPr>
            </w:pPr>
            <w:r w:rsidRPr="009C4376">
              <w:rPr>
                <w:rFonts w:cs="Arial"/>
                <w:lang w:eastAsia="en-AU"/>
              </w:rPr>
              <w:t>Administration</w:t>
            </w:r>
            <w:r w:rsidR="00EE6D35">
              <w:rPr>
                <w:rFonts w:cs="Arial"/>
                <w:lang w:eastAsia="en-AU"/>
              </w:rPr>
              <w:t xml:space="preserve"> </w:t>
            </w:r>
          </w:p>
        </w:tc>
        <w:tc>
          <w:tcPr>
            <w:tcW w:w="2977" w:type="dxa"/>
            <w:vAlign w:val="bottom"/>
          </w:tcPr>
          <w:p w14:paraId="28AB8056" w14:textId="62B777AB" w:rsidR="001B20B3" w:rsidRPr="009C4376" w:rsidRDefault="001B20B3" w:rsidP="001B20B3">
            <w:pPr>
              <w:pStyle w:val="Tabletext"/>
              <w:rPr>
                <w:lang w:eastAsia="en-AU"/>
              </w:rPr>
            </w:pPr>
            <w:r w:rsidRPr="009C4376">
              <w:rPr>
                <w:rFonts w:cs="Arial"/>
                <w:lang w:eastAsia="en-AU"/>
              </w:rPr>
              <w:t>10</w:t>
            </w:r>
            <w:r w:rsidR="00EE6D35">
              <w:rPr>
                <w:rFonts w:cs="Arial"/>
                <w:lang w:eastAsia="en-AU"/>
              </w:rPr>
              <w:t xml:space="preserve"> </w:t>
            </w:r>
            <w:r w:rsidRPr="009C4376">
              <w:rPr>
                <w:rFonts w:cs="Arial"/>
                <w:lang w:eastAsia="en-AU"/>
              </w:rPr>
              <w:t>minutes</w:t>
            </w:r>
            <w:r w:rsidR="00EE6D35">
              <w:rPr>
                <w:rFonts w:cs="Arial"/>
                <w:lang w:eastAsia="en-AU"/>
              </w:rPr>
              <w:t xml:space="preserve"> </w:t>
            </w:r>
          </w:p>
        </w:tc>
      </w:tr>
      <w:tr w:rsidR="001B20B3" w14:paraId="306537DA" w14:textId="77777777" w:rsidTr="00EE6D35">
        <w:tc>
          <w:tcPr>
            <w:tcW w:w="7083" w:type="dxa"/>
            <w:vAlign w:val="bottom"/>
          </w:tcPr>
          <w:p w14:paraId="51C75E7D" w14:textId="269E9A4C" w:rsidR="001B20B3" w:rsidRPr="009C4376" w:rsidRDefault="001B20B3" w:rsidP="001B20B3">
            <w:pPr>
              <w:pStyle w:val="Tabletext"/>
              <w:rPr>
                <w:lang w:eastAsia="en-AU"/>
              </w:rPr>
            </w:pPr>
            <w:r w:rsidRPr="009C4376">
              <w:rPr>
                <w:rFonts w:cs="Arial"/>
                <w:lang w:eastAsia="en-AU"/>
              </w:rPr>
              <w:t>Flexible</w:t>
            </w:r>
            <w:r w:rsidR="00EE6D35">
              <w:rPr>
                <w:rFonts w:cs="Arial"/>
                <w:lang w:eastAsia="en-AU"/>
              </w:rPr>
              <w:t xml:space="preserve"> </w:t>
            </w:r>
            <w:r w:rsidRPr="009C4376">
              <w:rPr>
                <w:rFonts w:cs="Arial"/>
                <w:lang w:eastAsia="en-AU"/>
              </w:rPr>
              <w:t>funding</w:t>
            </w:r>
            <w:r w:rsidR="00EE6D35">
              <w:rPr>
                <w:rFonts w:cs="Arial"/>
                <w:lang w:eastAsia="en-AU"/>
              </w:rPr>
              <w:t xml:space="preserve"> </w:t>
            </w:r>
            <w:r w:rsidRPr="009C4376">
              <w:rPr>
                <w:rFonts w:cs="Arial"/>
                <w:lang w:eastAsia="en-AU"/>
              </w:rPr>
              <w:t>request</w:t>
            </w:r>
            <w:r w:rsidR="00EE6D35">
              <w:rPr>
                <w:rFonts w:cs="Arial"/>
                <w:lang w:eastAsia="en-AU"/>
              </w:rPr>
              <w:t xml:space="preserve"> </w:t>
            </w:r>
            <w:r w:rsidRPr="009C4376">
              <w:rPr>
                <w:rFonts w:cs="Arial"/>
                <w:lang w:eastAsia="en-AU"/>
              </w:rPr>
              <w:t>administration</w:t>
            </w:r>
            <w:r w:rsidR="00EE6D35">
              <w:rPr>
                <w:rFonts w:cs="Arial"/>
                <w:lang w:eastAsia="en-AU"/>
              </w:rPr>
              <w:t xml:space="preserve"> </w:t>
            </w:r>
          </w:p>
        </w:tc>
        <w:tc>
          <w:tcPr>
            <w:tcW w:w="2977" w:type="dxa"/>
            <w:vAlign w:val="bottom"/>
          </w:tcPr>
          <w:p w14:paraId="6880CDD4" w14:textId="4CFDE054" w:rsidR="001B20B3" w:rsidRPr="009C4376" w:rsidRDefault="001B20B3" w:rsidP="001B20B3">
            <w:pPr>
              <w:pStyle w:val="Tabletext"/>
              <w:rPr>
                <w:lang w:eastAsia="en-AU"/>
              </w:rPr>
            </w:pPr>
            <w:r w:rsidRPr="009C4376">
              <w:rPr>
                <w:rFonts w:cs="Arial"/>
                <w:lang w:eastAsia="en-AU"/>
              </w:rPr>
              <w:t>30</w:t>
            </w:r>
            <w:r w:rsidR="00EE6D35">
              <w:rPr>
                <w:rFonts w:cs="Arial"/>
                <w:lang w:eastAsia="en-AU"/>
              </w:rPr>
              <w:t xml:space="preserve"> </w:t>
            </w:r>
            <w:r w:rsidRPr="009C4376">
              <w:rPr>
                <w:rFonts w:cs="Arial"/>
                <w:lang w:eastAsia="en-AU"/>
              </w:rPr>
              <w:t>minutes</w:t>
            </w:r>
            <w:r w:rsidR="00EE6D35">
              <w:rPr>
                <w:rFonts w:cs="Arial"/>
                <w:lang w:eastAsia="en-AU"/>
              </w:rPr>
              <w:t xml:space="preserve"> </w:t>
            </w:r>
          </w:p>
        </w:tc>
      </w:tr>
      <w:tr w:rsidR="001B20B3" w14:paraId="30949176" w14:textId="77777777" w:rsidTr="00EE6D35">
        <w:tc>
          <w:tcPr>
            <w:tcW w:w="7083" w:type="dxa"/>
            <w:vAlign w:val="bottom"/>
          </w:tcPr>
          <w:p w14:paraId="361C6702" w14:textId="46ED0771" w:rsidR="001B20B3" w:rsidRPr="009C4376" w:rsidRDefault="001B20B3" w:rsidP="001B20B3">
            <w:pPr>
              <w:pStyle w:val="Tabletext"/>
              <w:rPr>
                <w:lang w:eastAsia="en-AU"/>
              </w:rPr>
            </w:pPr>
            <w:r w:rsidRPr="009C4376">
              <w:rPr>
                <w:rFonts w:cs="Arial"/>
                <w:lang w:eastAsia="en-AU"/>
              </w:rPr>
              <w:t>Intake</w:t>
            </w:r>
            <w:r w:rsidR="00EE6D35">
              <w:rPr>
                <w:rFonts w:cs="Arial"/>
                <w:lang w:eastAsia="en-AU"/>
              </w:rPr>
              <w:t xml:space="preserve"> </w:t>
            </w:r>
            <w:r w:rsidRPr="009C4376">
              <w:rPr>
                <w:rFonts w:cs="Arial"/>
                <w:lang w:eastAsia="en-AU"/>
              </w:rPr>
              <w:t>triaging</w:t>
            </w:r>
            <w:r w:rsidR="00EE6D35">
              <w:rPr>
                <w:rFonts w:cs="Arial"/>
                <w:lang w:eastAsia="en-AU"/>
              </w:rPr>
              <w:t xml:space="preserve"> </w:t>
            </w:r>
          </w:p>
        </w:tc>
        <w:tc>
          <w:tcPr>
            <w:tcW w:w="2977" w:type="dxa"/>
            <w:vAlign w:val="bottom"/>
          </w:tcPr>
          <w:p w14:paraId="7AA89622" w14:textId="492C9588" w:rsidR="001B20B3" w:rsidRPr="009C4376" w:rsidRDefault="001B20B3" w:rsidP="001B20B3">
            <w:pPr>
              <w:pStyle w:val="Tabletext"/>
              <w:rPr>
                <w:lang w:eastAsia="en-AU"/>
              </w:rPr>
            </w:pPr>
            <w:r w:rsidRPr="009C4376">
              <w:rPr>
                <w:rFonts w:cs="Arial"/>
                <w:lang w:eastAsia="en-AU"/>
              </w:rPr>
              <w:t>1hr</w:t>
            </w:r>
            <w:r w:rsidR="00EE6D35">
              <w:rPr>
                <w:rFonts w:cs="Arial"/>
                <w:lang w:eastAsia="en-AU"/>
              </w:rPr>
              <w:t xml:space="preserve"> </w:t>
            </w:r>
          </w:p>
        </w:tc>
      </w:tr>
      <w:tr w:rsidR="001B20B3" w14:paraId="2BBE387A" w14:textId="77777777" w:rsidTr="00EE6D35">
        <w:tc>
          <w:tcPr>
            <w:tcW w:w="7083" w:type="dxa"/>
            <w:vAlign w:val="bottom"/>
          </w:tcPr>
          <w:p w14:paraId="4E9D2020" w14:textId="69C89A07" w:rsidR="001B20B3" w:rsidRPr="009C4376" w:rsidRDefault="001B20B3" w:rsidP="001B20B3">
            <w:pPr>
              <w:pStyle w:val="Tabletext"/>
              <w:rPr>
                <w:lang w:eastAsia="en-AU"/>
              </w:rPr>
            </w:pPr>
            <w:r w:rsidRPr="009C4376">
              <w:rPr>
                <w:rFonts w:cs="Arial"/>
                <w:lang w:eastAsia="en-AU"/>
              </w:rPr>
              <w:t>Research</w:t>
            </w:r>
            <w:r w:rsidR="00EE6D35">
              <w:rPr>
                <w:rFonts w:cs="Arial"/>
                <w:lang w:eastAsia="en-AU"/>
              </w:rPr>
              <w:t xml:space="preserve"> </w:t>
            </w:r>
            <w:r w:rsidRPr="009C4376">
              <w:rPr>
                <w:rFonts w:cs="Arial"/>
                <w:lang w:eastAsia="en-AU"/>
              </w:rPr>
              <w:t>and</w:t>
            </w:r>
            <w:r w:rsidR="00EE6D35">
              <w:rPr>
                <w:rFonts w:cs="Arial"/>
                <w:lang w:eastAsia="en-AU"/>
              </w:rPr>
              <w:t xml:space="preserve"> </w:t>
            </w:r>
            <w:r w:rsidRPr="009C4376">
              <w:rPr>
                <w:rFonts w:cs="Arial"/>
                <w:lang w:eastAsia="en-AU"/>
              </w:rPr>
              <w:t>information</w:t>
            </w:r>
            <w:r w:rsidR="00EE6D35">
              <w:rPr>
                <w:rFonts w:cs="Arial"/>
                <w:lang w:eastAsia="en-AU"/>
              </w:rPr>
              <w:t xml:space="preserve"> </w:t>
            </w:r>
            <w:r w:rsidRPr="009C4376">
              <w:rPr>
                <w:rFonts w:cs="Arial"/>
                <w:lang w:eastAsia="en-AU"/>
              </w:rPr>
              <w:t>gathering</w:t>
            </w:r>
            <w:r w:rsidR="00EE6D35">
              <w:rPr>
                <w:rFonts w:cs="Arial"/>
                <w:lang w:eastAsia="en-AU"/>
              </w:rPr>
              <w:t xml:space="preserve"> </w:t>
            </w:r>
            <w:r w:rsidRPr="009C4376">
              <w:rPr>
                <w:rFonts w:cs="Arial"/>
                <w:lang w:eastAsia="en-AU"/>
              </w:rPr>
              <w:t>in</w:t>
            </w:r>
            <w:r w:rsidR="00EE6D35">
              <w:rPr>
                <w:rFonts w:cs="Arial"/>
                <w:lang w:eastAsia="en-AU"/>
              </w:rPr>
              <w:t xml:space="preserve"> </w:t>
            </w:r>
            <w:r w:rsidRPr="009C4376">
              <w:rPr>
                <w:rFonts w:cs="Arial"/>
                <w:lang w:eastAsia="en-AU"/>
              </w:rPr>
              <w:t>relation</w:t>
            </w:r>
            <w:r w:rsidR="00EE6D35">
              <w:rPr>
                <w:rFonts w:cs="Arial"/>
                <w:lang w:eastAsia="en-AU"/>
              </w:rPr>
              <w:t xml:space="preserve"> </w:t>
            </w:r>
            <w:r w:rsidRPr="009C4376">
              <w:rPr>
                <w:rFonts w:cs="Arial"/>
                <w:lang w:eastAsia="en-AU"/>
              </w:rPr>
              <w:t>to</w:t>
            </w:r>
            <w:r w:rsidR="00EE6D35">
              <w:rPr>
                <w:rFonts w:cs="Arial"/>
                <w:lang w:eastAsia="en-AU"/>
              </w:rPr>
              <w:t xml:space="preserve"> </w:t>
            </w:r>
            <w:r w:rsidRPr="009C4376">
              <w:rPr>
                <w:rFonts w:cs="Arial"/>
                <w:lang w:eastAsia="en-AU"/>
              </w:rPr>
              <w:t>the</w:t>
            </w:r>
            <w:r w:rsidR="00EE6D35">
              <w:rPr>
                <w:rFonts w:cs="Arial"/>
                <w:lang w:eastAsia="en-AU"/>
              </w:rPr>
              <w:t xml:space="preserve"> </w:t>
            </w:r>
            <w:r w:rsidRPr="009C4376">
              <w:rPr>
                <w:rFonts w:cs="Arial"/>
                <w:lang w:eastAsia="en-AU"/>
              </w:rPr>
              <w:t>young</w:t>
            </w:r>
            <w:r w:rsidR="00EE6D35">
              <w:rPr>
                <w:rFonts w:cs="Arial"/>
                <w:lang w:eastAsia="en-AU"/>
              </w:rPr>
              <w:t xml:space="preserve"> </w:t>
            </w:r>
            <w:r w:rsidRPr="009C4376">
              <w:rPr>
                <w:rFonts w:cs="Arial"/>
                <w:lang w:eastAsia="en-AU"/>
              </w:rPr>
              <w:t>person’s</w:t>
            </w:r>
            <w:r w:rsidR="00EE6D35">
              <w:rPr>
                <w:rFonts w:cs="Arial"/>
                <w:lang w:eastAsia="en-AU"/>
              </w:rPr>
              <w:t xml:space="preserve"> </w:t>
            </w:r>
            <w:r w:rsidRPr="009C4376">
              <w:rPr>
                <w:rFonts w:cs="Arial"/>
                <w:lang w:eastAsia="en-AU"/>
              </w:rPr>
              <w:t>goals</w:t>
            </w:r>
            <w:r w:rsidR="00EE6D35">
              <w:rPr>
                <w:rFonts w:cs="Arial"/>
                <w:lang w:eastAsia="en-AU"/>
              </w:rPr>
              <w:t xml:space="preserve"> </w:t>
            </w:r>
          </w:p>
        </w:tc>
        <w:tc>
          <w:tcPr>
            <w:tcW w:w="2977" w:type="dxa"/>
            <w:vAlign w:val="bottom"/>
          </w:tcPr>
          <w:p w14:paraId="7CE657AB" w14:textId="26807F11" w:rsidR="001B20B3" w:rsidRPr="009C4376" w:rsidRDefault="001B20B3" w:rsidP="001B20B3">
            <w:pPr>
              <w:pStyle w:val="Tabletext"/>
              <w:rPr>
                <w:lang w:eastAsia="en-AU"/>
              </w:rPr>
            </w:pPr>
            <w:r w:rsidRPr="009C4376">
              <w:rPr>
                <w:rFonts w:cs="Arial"/>
                <w:lang w:eastAsia="en-AU"/>
              </w:rPr>
              <w:t>30</w:t>
            </w:r>
            <w:r w:rsidR="00EE6D35">
              <w:rPr>
                <w:rFonts w:cs="Arial"/>
                <w:lang w:eastAsia="en-AU"/>
              </w:rPr>
              <w:t xml:space="preserve"> </w:t>
            </w:r>
            <w:r w:rsidRPr="009C4376">
              <w:rPr>
                <w:rFonts w:cs="Arial"/>
                <w:lang w:eastAsia="en-AU"/>
              </w:rPr>
              <w:t>minutes</w:t>
            </w:r>
            <w:r w:rsidR="00EE6D35">
              <w:rPr>
                <w:rFonts w:cs="Arial"/>
                <w:lang w:eastAsia="en-AU"/>
              </w:rPr>
              <w:t xml:space="preserve"> </w:t>
            </w:r>
          </w:p>
        </w:tc>
      </w:tr>
      <w:tr w:rsidR="001B20B3" w14:paraId="0998BE69" w14:textId="77777777" w:rsidTr="00EE6D35">
        <w:tc>
          <w:tcPr>
            <w:tcW w:w="7083" w:type="dxa"/>
            <w:vAlign w:val="bottom"/>
          </w:tcPr>
          <w:p w14:paraId="3B8975D0" w14:textId="0EB53E5E" w:rsidR="001B20B3" w:rsidRPr="009C4376" w:rsidRDefault="001B20B3" w:rsidP="001B20B3">
            <w:pPr>
              <w:pStyle w:val="Tabletext"/>
              <w:rPr>
                <w:lang w:eastAsia="en-AU"/>
              </w:rPr>
            </w:pPr>
            <w:r w:rsidRPr="009C4376">
              <w:rPr>
                <w:rFonts w:cs="Arial"/>
                <w:lang w:eastAsia="en-AU"/>
              </w:rPr>
              <w:t>Referrals</w:t>
            </w:r>
            <w:r w:rsidR="00410C81">
              <w:rPr>
                <w:rFonts w:cs="Arial"/>
                <w:lang w:eastAsia="en-AU"/>
              </w:rPr>
              <w:t xml:space="preserve"> </w:t>
            </w:r>
          </w:p>
        </w:tc>
        <w:tc>
          <w:tcPr>
            <w:tcW w:w="2977" w:type="dxa"/>
            <w:vAlign w:val="bottom"/>
          </w:tcPr>
          <w:p w14:paraId="23799012" w14:textId="1A61D3DF" w:rsidR="001B20B3" w:rsidRPr="009C4376" w:rsidRDefault="001B20B3" w:rsidP="001B20B3">
            <w:pPr>
              <w:pStyle w:val="Tabletext"/>
              <w:rPr>
                <w:lang w:eastAsia="en-AU"/>
              </w:rPr>
            </w:pPr>
            <w:r w:rsidRPr="009C4376">
              <w:rPr>
                <w:rFonts w:cs="Arial"/>
                <w:lang w:eastAsia="en-AU"/>
              </w:rPr>
              <w:t>30</w:t>
            </w:r>
            <w:r w:rsidR="00EE6D35">
              <w:rPr>
                <w:rFonts w:cs="Arial"/>
                <w:lang w:eastAsia="en-AU"/>
              </w:rPr>
              <w:t xml:space="preserve"> </w:t>
            </w:r>
            <w:r w:rsidRPr="009C4376">
              <w:rPr>
                <w:rFonts w:cs="Arial"/>
                <w:lang w:eastAsia="en-AU"/>
              </w:rPr>
              <w:t>minutes</w:t>
            </w:r>
            <w:r w:rsidR="00EE6D35">
              <w:rPr>
                <w:rFonts w:cs="Arial"/>
                <w:lang w:eastAsia="en-AU"/>
              </w:rPr>
              <w:t xml:space="preserve"> </w:t>
            </w:r>
          </w:p>
        </w:tc>
      </w:tr>
      <w:tr w:rsidR="001B20B3" w14:paraId="7B0B0063" w14:textId="77777777" w:rsidTr="00EE6D35">
        <w:tc>
          <w:tcPr>
            <w:tcW w:w="7083" w:type="dxa"/>
            <w:vAlign w:val="bottom"/>
          </w:tcPr>
          <w:p w14:paraId="43CD7AA4" w14:textId="162C041F" w:rsidR="001B20B3" w:rsidRPr="009C4376" w:rsidRDefault="001B20B3" w:rsidP="001B20B3">
            <w:pPr>
              <w:pStyle w:val="Tabletext"/>
              <w:rPr>
                <w:rFonts w:cs="Arial"/>
                <w:lang w:eastAsia="en-AU"/>
              </w:rPr>
            </w:pPr>
            <w:r w:rsidRPr="009C4376">
              <w:rPr>
                <w:rFonts w:cs="Arial"/>
                <w:lang w:eastAsia="en-AU"/>
              </w:rPr>
              <w:t>Writing</w:t>
            </w:r>
            <w:r w:rsidR="00EE6D35">
              <w:rPr>
                <w:rFonts w:cs="Arial"/>
                <w:lang w:eastAsia="en-AU"/>
              </w:rPr>
              <w:t xml:space="preserve"> </w:t>
            </w:r>
            <w:r w:rsidRPr="009C4376">
              <w:rPr>
                <w:rFonts w:cs="Arial"/>
                <w:lang w:eastAsia="en-AU"/>
              </w:rPr>
              <w:t>assessments,</w:t>
            </w:r>
            <w:r w:rsidR="00EE6D35">
              <w:rPr>
                <w:rFonts w:cs="Arial"/>
                <w:lang w:eastAsia="en-AU"/>
              </w:rPr>
              <w:t xml:space="preserve"> </w:t>
            </w:r>
            <w:r w:rsidRPr="009C4376">
              <w:rPr>
                <w:rFonts w:cs="Arial"/>
                <w:lang w:eastAsia="en-AU"/>
              </w:rPr>
              <w:t>case</w:t>
            </w:r>
            <w:r w:rsidR="00EE6D35">
              <w:rPr>
                <w:rFonts w:cs="Arial"/>
                <w:lang w:eastAsia="en-AU"/>
              </w:rPr>
              <w:t xml:space="preserve"> </w:t>
            </w:r>
            <w:r w:rsidRPr="009C4376">
              <w:rPr>
                <w:rFonts w:cs="Arial"/>
                <w:lang w:eastAsia="en-AU"/>
              </w:rPr>
              <w:t>notes,</w:t>
            </w:r>
            <w:r w:rsidR="00EE6D35">
              <w:rPr>
                <w:rFonts w:cs="Arial"/>
                <w:lang w:eastAsia="en-AU"/>
              </w:rPr>
              <w:t xml:space="preserve"> </w:t>
            </w:r>
            <w:r w:rsidRPr="009C4376">
              <w:rPr>
                <w:rFonts w:cs="Arial"/>
                <w:lang w:eastAsia="en-AU"/>
              </w:rPr>
              <w:t>support</w:t>
            </w:r>
            <w:r w:rsidR="00EE6D35">
              <w:rPr>
                <w:rFonts w:cs="Arial"/>
                <w:lang w:eastAsia="en-AU"/>
              </w:rPr>
              <w:t xml:space="preserve"> </w:t>
            </w:r>
            <w:r w:rsidRPr="009C4376">
              <w:rPr>
                <w:rFonts w:cs="Arial"/>
                <w:lang w:eastAsia="en-AU"/>
              </w:rPr>
              <w:t>plans</w:t>
            </w:r>
            <w:r w:rsidR="00EE6D35">
              <w:rPr>
                <w:rFonts w:cs="Arial"/>
                <w:lang w:eastAsia="en-AU"/>
              </w:rPr>
              <w:t xml:space="preserve"> </w:t>
            </w:r>
            <w:r w:rsidRPr="009C4376">
              <w:rPr>
                <w:rFonts w:cs="Arial"/>
                <w:lang w:eastAsia="en-AU"/>
              </w:rPr>
              <w:t>etc</w:t>
            </w:r>
            <w:r w:rsidR="00EE6D35">
              <w:rPr>
                <w:rFonts w:cs="Arial"/>
                <w:lang w:eastAsia="en-AU"/>
              </w:rPr>
              <w:t xml:space="preserve"> </w:t>
            </w:r>
          </w:p>
        </w:tc>
        <w:tc>
          <w:tcPr>
            <w:tcW w:w="2977" w:type="dxa"/>
            <w:vAlign w:val="bottom"/>
          </w:tcPr>
          <w:p w14:paraId="3CE6BDC5" w14:textId="4B47AC37" w:rsidR="001B20B3" w:rsidRPr="009C4376" w:rsidRDefault="001B20B3" w:rsidP="001B20B3">
            <w:pPr>
              <w:pStyle w:val="Tabletext"/>
              <w:rPr>
                <w:rFonts w:cs="Arial"/>
                <w:lang w:eastAsia="en-AU"/>
              </w:rPr>
            </w:pPr>
            <w:r w:rsidRPr="009C4376">
              <w:rPr>
                <w:rFonts w:cs="Arial"/>
                <w:lang w:eastAsia="en-AU"/>
              </w:rPr>
              <w:t>10</w:t>
            </w:r>
            <w:r w:rsidR="00EE6D35">
              <w:rPr>
                <w:rFonts w:cs="Arial"/>
                <w:lang w:eastAsia="en-AU"/>
              </w:rPr>
              <w:t xml:space="preserve"> </w:t>
            </w:r>
            <w:r w:rsidRPr="009C4376">
              <w:rPr>
                <w:rFonts w:cs="Arial"/>
                <w:lang w:eastAsia="en-AU"/>
              </w:rPr>
              <w:t>minutes</w:t>
            </w:r>
            <w:r w:rsidR="00EE6D35">
              <w:rPr>
                <w:rFonts w:cs="Arial"/>
                <w:lang w:eastAsia="en-AU"/>
              </w:rPr>
              <w:t xml:space="preserve"> </w:t>
            </w:r>
          </w:p>
        </w:tc>
      </w:tr>
      <w:tr w:rsidR="001B20B3" w14:paraId="48CAFFE1" w14:textId="77777777" w:rsidTr="00EE6D35">
        <w:tc>
          <w:tcPr>
            <w:tcW w:w="7083" w:type="dxa"/>
            <w:vAlign w:val="bottom"/>
          </w:tcPr>
          <w:p w14:paraId="701ABD4A" w14:textId="130F5F57" w:rsidR="001B20B3" w:rsidRPr="009C4376" w:rsidRDefault="001B20B3" w:rsidP="001B20B3">
            <w:pPr>
              <w:pStyle w:val="Tabletext"/>
              <w:rPr>
                <w:rFonts w:cs="Arial"/>
                <w:lang w:eastAsia="en-AU"/>
              </w:rPr>
            </w:pPr>
            <w:r w:rsidRPr="009C4376">
              <w:rPr>
                <w:rFonts w:cs="Arial"/>
                <w:lang w:eastAsia="en-AU"/>
              </w:rPr>
              <w:t>Attending</w:t>
            </w:r>
            <w:r w:rsidR="00EE6D35">
              <w:rPr>
                <w:rFonts w:cs="Arial"/>
                <w:lang w:eastAsia="en-AU"/>
              </w:rPr>
              <w:t xml:space="preserve"> </w:t>
            </w:r>
            <w:r w:rsidRPr="009C4376">
              <w:rPr>
                <w:rFonts w:cs="Arial"/>
                <w:lang w:eastAsia="en-AU"/>
              </w:rPr>
              <w:t>meetings,</w:t>
            </w:r>
            <w:r w:rsidR="00EE6D35">
              <w:rPr>
                <w:rFonts w:cs="Arial"/>
                <w:lang w:eastAsia="en-AU"/>
              </w:rPr>
              <w:t xml:space="preserve"> </w:t>
            </w:r>
            <w:r w:rsidRPr="009C4376">
              <w:rPr>
                <w:rFonts w:cs="Arial"/>
                <w:lang w:eastAsia="en-AU"/>
              </w:rPr>
              <w:t>events,</w:t>
            </w:r>
            <w:r w:rsidR="00EE6D35">
              <w:rPr>
                <w:rFonts w:cs="Arial"/>
                <w:lang w:eastAsia="en-AU"/>
              </w:rPr>
              <w:t xml:space="preserve"> </w:t>
            </w:r>
            <w:r w:rsidRPr="009C4376">
              <w:rPr>
                <w:rFonts w:cs="Arial"/>
                <w:lang w:eastAsia="en-AU"/>
              </w:rPr>
              <w:t>appointments</w:t>
            </w:r>
            <w:r w:rsidR="00EE6D35">
              <w:rPr>
                <w:rFonts w:cs="Arial"/>
                <w:lang w:eastAsia="en-AU"/>
              </w:rPr>
              <w:t xml:space="preserve"> </w:t>
            </w:r>
            <w:r w:rsidRPr="009C4376">
              <w:rPr>
                <w:rFonts w:cs="Arial"/>
                <w:lang w:eastAsia="en-AU"/>
              </w:rPr>
              <w:t>etc</w:t>
            </w:r>
            <w:r w:rsidR="00EE6D35">
              <w:rPr>
                <w:rFonts w:cs="Arial"/>
                <w:lang w:eastAsia="en-AU"/>
              </w:rPr>
              <w:t xml:space="preserve"> </w:t>
            </w:r>
            <w:r w:rsidRPr="009C4376">
              <w:rPr>
                <w:rFonts w:cs="Arial"/>
                <w:lang w:eastAsia="en-AU"/>
              </w:rPr>
              <w:t>with</w:t>
            </w:r>
            <w:r w:rsidR="00EE6D35">
              <w:rPr>
                <w:rFonts w:cs="Arial"/>
                <w:lang w:eastAsia="en-AU"/>
              </w:rPr>
              <w:t xml:space="preserve"> </w:t>
            </w:r>
            <w:r w:rsidRPr="009C4376">
              <w:rPr>
                <w:rFonts w:cs="Arial"/>
                <w:lang w:eastAsia="en-AU"/>
              </w:rPr>
              <w:t>or</w:t>
            </w:r>
            <w:r w:rsidR="00EE6D35">
              <w:rPr>
                <w:rFonts w:cs="Arial"/>
                <w:lang w:eastAsia="en-AU"/>
              </w:rPr>
              <w:t xml:space="preserve"> </w:t>
            </w:r>
            <w:r w:rsidRPr="009C4376">
              <w:rPr>
                <w:rFonts w:cs="Arial"/>
                <w:lang w:eastAsia="en-AU"/>
              </w:rPr>
              <w:t>on</w:t>
            </w:r>
            <w:r w:rsidR="00EE6D35">
              <w:rPr>
                <w:rFonts w:cs="Arial"/>
                <w:lang w:eastAsia="en-AU"/>
              </w:rPr>
              <w:t xml:space="preserve"> </w:t>
            </w:r>
            <w:r w:rsidRPr="009C4376">
              <w:rPr>
                <w:rFonts w:cs="Arial"/>
                <w:lang w:eastAsia="en-AU"/>
              </w:rPr>
              <w:t>behalf</w:t>
            </w:r>
            <w:r w:rsidR="00EE6D35">
              <w:rPr>
                <w:rFonts w:cs="Arial"/>
                <w:lang w:eastAsia="en-AU"/>
              </w:rPr>
              <w:t xml:space="preserve"> </w:t>
            </w:r>
            <w:r w:rsidRPr="009C4376">
              <w:rPr>
                <w:rFonts w:cs="Arial"/>
                <w:lang w:eastAsia="en-AU"/>
              </w:rPr>
              <w:t>of</w:t>
            </w:r>
            <w:r w:rsidR="00EE6D35">
              <w:rPr>
                <w:rFonts w:cs="Arial"/>
                <w:lang w:eastAsia="en-AU"/>
              </w:rPr>
              <w:t xml:space="preserve"> </w:t>
            </w:r>
            <w:r w:rsidRPr="009C4376">
              <w:rPr>
                <w:rFonts w:cs="Arial"/>
                <w:lang w:eastAsia="en-AU"/>
              </w:rPr>
              <w:t>the</w:t>
            </w:r>
            <w:r w:rsidR="00EE6D35">
              <w:rPr>
                <w:rFonts w:cs="Arial"/>
                <w:lang w:eastAsia="en-AU"/>
              </w:rPr>
              <w:t xml:space="preserve"> </w:t>
            </w:r>
            <w:r w:rsidRPr="009C4376">
              <w:rPr>
                <w:rFonts w:cs="Arial"/>
                <w:lang w:eastAsia="en-AU"/>
              </w:rPr>
              <w:t>young</w:t>
            </w:r>
            <w:r w:rsidR="00EE6D35">
              <w:rPr>
                <w:rFonts w:cs="Arial"/>
                <w:lang w:eastAsia="en-AU"/>
              </w:rPr>
              <w:t xml:space="preserve"> </w:t>
            </w:r>
            <w:r w:rsidRPr="009C4376">
              <w:rPr>
                <w:rFonts w:cs="Arial"/>
                <w:lang w:eastAsia="en-AU"/>
              </w:rPr>
              <w:t>person</w:t>
            </w:r>
            <w:r w:rsidR="00EE6D35">
              <w:rPr>
                <w:rFonts w:cs="Arial"/>
                <w:lang w:eastAsia="en-AU"/>
              </w:rPr>
              <w:t xml:space="preserve"> </w:t>
            </w:r>
          </w:p>
        </w:tc>
        <w:tc>
          <w:tcPr>
            <w:tcW w:w="2977" w:type="dxa"/>
            <w:vAlign w:val="bottom"/>
          </w:tcPr>
          <w:p w14:paraId="4CDCAC4E" w14:textId="79EAF1EC" w:rsidR="001B20B3" w:rsidRPr="009C4376" w:rsidRDefault="001B20B3" w:rsidP="001B20B3">
            <w:pPr>
              <w:pStyle w:val="Tabletext"/>
              <w:rPr>
                <w:rFonts w:cs="Arial"/>
                <w:lang w:eastAsia="en-AU"/>
              </w:rPr>
            </w:pPr>
            <w:r w:rsidRPr="009C4376">
              <w:rPr>
                <w:rFonts w:cs="Arial"/>
                <w:lang w:eastAsia="en-AU"/>
              </w:rPr>
              <w:t>1hr</w:t>
            </w:r>
            <w:r w:rsidR="00EE6D35">
              <w:rPr>
                <w:rFonts w:cs="Arial"/>
                <w:lang w:eastAsia="en-AU"/>
              </w:rPr>
              <w:t xml:space="preserve"> </w:t>
            </w:r>
          </w:p>
        </w:tc>
      </w:tr>
    </w:tbl>
    <w:p w14:paraId="6DBDA928" w14:textId="77777777" w:rsidR="001579AD" w:rsidRDefault="001579AD" w:rsidP="001579AD">
      <w:pPr>
        <w:pStyle w:val="DHHSbody"/>
      </w:pPr>
      <w:bookmarkStart w:id="31" w:name="_Toc89733728"/>
      <w:bookmarkStart w:id="32" w:name="_Hlk37240926"/>
      <w:bookmarkEnd w:id="2"/>
    </w:p>
    <w:p w14:paraId="04A0CC9A" w14:textId="77777777" w:rsidR="001579AD" w:rsidRPr="001579AD" w:rsidRDefault="001579AD" w:rsidP="001579AD">
      <w:pPr>
        <w:pStyle w:val="DHHSbody"/>
      </w:pPr>
      <w:r w:rsidRPr="001579AD">
        <w:br w:type="page"/>
      </w:r>
    </w:p>
    <w:p w14:paraId="73A1F755" w14:textId="200F4397" w:rsidR="001B20B3" w:rsidRPr="00EE6D35" w:rsidRDefault="001B20B3" w:rsidP="00EE6D35">
      <w:pPr>
        <w:pStyle w:val="Heading1"/>
      </w:pPr>
      <w:bookmarkStart w:id="33" w:name="_Toc91146874"/>
      <w:r w:rsidRPr="00EE6D35">
        <w:lastRenderedPageBreak/>
        <w:t>Additional</w:t>
      </w:r>
      <w:r w:rsidR="00EE6D35">
        <w:t xml:space="preserve"> </w:t>
      </w:r>
      <w:r w:rsidRPr="00EE6D35">
        <w:t>Information</w:t>
      </w:r>
      <w:bookmarkEnd w:id="31"/>
      <w:bookmarkEnd w:id="33"/>
    </w:p>
    <w:p w14:paraId="279A693F" w14:textId="79992B7D" w:rsidR="001B20B3" w:rsidRDefault="001B20B3" w:rsidP="001B20B3">
      <w:pPr>
        <w:pStyle w:val="DHHSbullet2lastline"/>
        <w:ind w:left="283"/>
      </w:pPr>
      <w:r>
        <w:t>Supporting</w:t>
      </w:r>
      <w:r w:rsidR="00EE6D35">
        <w:t xml:space="preserve"> </w:t>
      </w:r>
      <w:r>
        <w:t>documentation</w:t>
      </w:r>
      <w:r w:rsidR="00EE6D35">
        <w:t xml:space="preserve"> </w:t>
      </w:r>
      <w:r>
        <w:t>and</w:t>
      </w:r>
      <w:r w:rsidR="00EE6D35">
        <w:t xml:space="preserve"> </w:t>
      </w:r>
      <w:r>
        <w:t>publications</w:t>
      </w:r>
      <w:r w:rsidR="00EE6D35">
        <w:t xml:space="preserve"> </w:t>
      </w:r>
      <w:r w:rsidRPr="00620C4A">
        <w:rPr>
          <w:rFonts w:cs="Arial"/>
          <w:lang w:eastAsia="ko-KR"/>
        </w:rPr>
        <w:t>may</w:t>
      </w:r>
      <w:r w:rsidR="00EE6D35">
        <w:rPr>
          <w:rFonts w:cs="Arial"/>
          <w:lang w:eastAsia="ko-KR"/>
        </w:rPr>
        <w:t xml:space="preserve"> </w:t>
      </w:r>
      <w:r w:rsidRPr="00620C4A">
        <w:rPr>
          <w:rFonts w:cs="Arial"/>
          <w:lang w:eastAsia="ko-KR"/>
        </w:rPr>
        <w:t>be</w:t>
      </w:r>
      <w:r w:rsidR="00EE6D35">
        <w:rPr>
          <w:rFonts w:cs="Arial"/>
          <w:lang w:eastAsia="ko-KR"/>
        </w:rPr>
        <w:t xml:space="preserve"> </w:t>
      </w:r>
      <w:r w:rsidRPr="00620C4A">
        <w:rPr>
          <w:rFonts w:cs="Arial"/>
          <w:lang w:eastAsia="ko-KR"/>
        </w:rPr>
        <w:t>accessed</w:t>
      </w:r>
      <w:r w:rsidR="00EE6D35">
        <w:rPr>
          <w:rFonts w:cs="Arial"/>
          <w:lang w:eastAsia="ko-KR"/>
        </w:rPr>
        <w:t xml:space="preserve"> </w:t>
      </w:r>
      <w:r>
        <w:rPr>
          <w:rFonts w:cs="Arial"/>
          <w:lang w:eastAsia="ko-KR"/>
        </w:rPr>
        <w:t>via</w:t>
      </w:r>
      <w:r w:rsidR="00EE6D35">
        <w:rPr>
          <w:rFonts w:cs="Arial"/>
          <w:lang w:eastAsia="ko-KR"/>
        </w:rPr>
        <w:t xml:space="preserve"> </w:t>
      </w:r>
      <w:r>
        <w:rPr>
          <w:rFonts w:cs="Arial"/>
          <w:lang w:eastAsia="ko-KR"/>
        </w:rPr>
        <w:t>the</w:t>
      </w:r>
      <w:r w:rsidR="00EE6D35">
        <w:rPr>
          <w:rFonts w:cs="Arial"/>
          <w:lang w:eastAsia="ko-KR"/>
        </w:rPr>
        <w:t xml:space="preserve"> </w:t>
      </w:r>
      <w:r>
        <w:rPr>
          <w:rFonts w:cs="Arial"/>
          <w:lang w:eastAsia="ko-KR"/>
        </w:rPr>
        <w:t>DFFH</w:t>
      </w:r>
      <w:r w:rsidR="00EE6D35">
        <w:rPr>
          <w:rFonts w:cs="Arial"/>
          <w:lang w:eastAsia="ko-KR"/>
        </w:rPr>
        <w:t xml:space="preserve"> </w:t>
      </w:r>
      <w:r>
        <w:rPr>
          <w:rFonts w:cs="Arial"/>
          <w:lang w:eastAsia="ko-KR"/>
        </w:rPr>
        <w:t>website</w:t>
      </w:r>
      <w:r>
        <w:t>:</w:t>
      </w:r>
    </w:p>
    <w:bookmarkStart w:id="34" w:name="_Hlk91146073"/>
    <w:bookmarkStart w:id="35" w:name="_Hlk91079549"/>
    <w:p w14:paraId="69C468FB" w14:textId="4E272E17" w:rsidR="001B20B3" w:rsidRDefault="001B20B3" w:rsidP="001B20B3">
      <w:pPr>
        <w:pStyle w:val="DHHSbody"/>
      </w:pPr>
      <w:r>
        <w:fldChar w:fldCharType="begin"/>
      </w:r>
      <w:r>
        <w:instrText>HYPERLINK "https://providers.dffh.vic.gov.au/better-futures"</w:instrText>
      </w:r>
      <w:r>
        <w:fldChar w:fldCharType="separate"/>
      </w:r>
      <w:r>
        <w:rPr>
          <w:rStyle w:val="Hyperlink"/>
        </w:rPr>
        <w:t>providers.dffh.vic.gov.au/better-futures</w:t>
      </w:r>
      <w:r>
        <w:rPr>
          <w:rStyle w:val="Hyperlink"/>
        </w:rPr>
        <w:fldChar w:fldCharType="end"/>
      </w:r>
      <w:r w:rsidR="00EE6D35">
        <w:t xml:space="preserve"> </w:t>
      </w:r>
      <w:r>
        <w:t>&lt;h</w:t>
      </w:r>
      <w:r w:rsidRPr="009A7151">
        <w:t>ttps://providers.dffh.vic.gov.au/better-futures</w:t>
      </w:r>
      <w:r>
        <w:t>&gt;</w:t>
      </w:r>
    </w:p>
    <w:p w14:paraId="2EFC4FE2" w14:textId="7737A760" w:rsidR="001B20B3" w:rsidRDefault="00582F0E" w:rsidP="001B20B3">
      <w:pPr>
        <w:pStyle w:val="DHHSbody"/>
      </w:pPr>
      <w:hyperlink r:id="rId25" w:history="1">
        <w:r w:rsidR="001B20B3" w:rsidRPr="009A7151">
          <w:rPr>
            <w:rStyle w:val="Hyperlink"/>
          </w:rPr>
          <w:t>providers.dffh.vic.gov.au/home-stretch</w:t>
        </w:r>
      </w:hyperlink>
      <w:r w:rsidR="00EE6D35">
        <w:t xml:space="preserve"> </w:t>
      </w:r>
      <w:r w:rsidR="001B20B3">
        <w:t>&lt;h</w:t>
      </w:r>
      <w:r w:rsidR="001B20B3" w:rsidRPr="009A7151">
        <w:t>ttps://providers.dffh.vic.gov.au/home-stretch</w:t>
      </w:r>
      <w:r w:rsidR="001B20B3">
        <w:t>&gt;</w:t>
      </w:r>
    </w:p>
    <w:p w14:paraId="20915DC1" w14:textId="0E2AB7E0" w:rsidR="001B20B3" w:rsidRPr="00C5000B" w:rsidRDefault="00582F0E" w:rsidP="001B20B3">
      <w:pPr>
        <w:pStyle w:val="DHHSbody"/>
      </w:pPr>
      <w:hyperlink r:id="rId26" w:history="1">
        <w:r w:rsidR="001B20B3">
          <w:rPr>
            <w:rStyle w:val="Hyperlink"/>
          </w:rPr>
          <w:t>providers.dffh.vic.gov.au/leaving-care</w:t>
        </w:r>
      </w:hyperlink>
      <w:r w:rsidR="00410C81">
        <w:rPr>
          <w:rStyle w:val="Hyperlink"/>
          <w:color w:val="auto"/>
          <w:u w:val="none"/>
        </w:rPr>
        <w:t xml:space="preserve"> </w:t>
      </w:r>
      <w:r w:rsidR="001B20B3">
        <w:rPr>
          <w:rStyle w:val="Hyperlink"/>
          <w:color w:val="auto"/>
          <w:u w:val="none"/>
        </w:rPr>
        <w:t>&lt;</w:t>
      </w:r>
      <w:r w:rsidR="001B20B3" w:rsidRPr="00C5000B">
        <w:rPr>
          <w:rStyle w:val="Hyperlink"/>
          <w:color w:val="auto"/>
          <w:u w:val="none"/>
        </w:rPr>
        <w:t>https://providers.dffh.vic.gov.au/leaving-care&gt;</w:t>
      </w:r>
    </w:p>
    <w:p w14:paraId="03C687FD" w14:textId="08BC16C3" w:rsidR="001B20B3" w:rsidRDefault="00582F0E" w:rsidP="001B20B3">
      <w:pPr>
        <w:pStyle w:val="DHHSbody"/>
      </w:pPr>
      <w:hyperlink r:id="rId27" w:history="1">
        <w:r w:rsidR="001B20B3">
          <w:rPr>
            <w:rStyle w:val="Hyperlink"/>
          </w:rPr>
          <w:t>services.dffh.vic.gov.au/leaving-care</w:t>
        </w:r>
      </w:hyperlink>
      <w:r w:rsidR="00410C81">
        <w:t xml:space="preserve"> </w:t>
      </w:r>
      <w:r w:rsidR="001B20B3">
        <w:t>&lt;https</w:t>
      </w:r>
      <w:r w:rsidR="001B20B3" w:rsidRPr="009A7151">
        <w:t>://services.dffh.vic.gov.au/leaving-care</w:t>
      </w:r>
      <w:r w:rsidR="001B20B3">
        <w:rPr>
          <w:rStyle w:val="Hyperlink"/>
        </w:rPr>
        <w:t>&gt;</w:t>
      </w:r>
    </w:p>
    <w:bookmarkEnd w:id="34"/>
    <w:p w14:paraId="725BA456" w14:textId="7369F4D2" w:rsidR="001B20B3" w:rsidRDefault="00E47463" w:rsidP="001B20B3">
      <w:pPr>
        <w:pStyle w:val="DHHSbody"/>
      </w:pPr>
      <w:r>
        <w:fldChar w:fldCharType="begin"/>
      </w:r>
      <w:r>
        <w:instrText xml:space="preserve"> HYPERLINK "https://fac.dhhs.vic.gov.au" </w:instrText>
      </w:r>
      <w:r>
        <w:fldChar w:fldCharType="separate"/>
      </w:r>
      <w:r w:rsidR="001B20B3" w:rsidRPr="00B915C6">
        <w:rPr>
          <w:rStyle w:val="Hyperlink"/>
        </w:rPr>
        <w:t>Funded</w:t>
      </w:r>
      <w:r w:rsidR="00EE6D35">
        <w:rPr>
          <w:rStyle w:val="Hyperlink"/>
        </w:rPr>
        <w:t xml:space="preserve"> </w:t>
      </w:r>
      <w:r w:rsidR="001B20B3" w:rsidRPr="00B915C6">
        <w:rPr>
          <w:rStyle w:val="Hyperlink"/>
        </w:rPr>
        <w:t>Agency</w:t>
      </w:r>
      <w:r w:rsidR="00EE6D35">
        <w:rPr>
          <w:rStyle w:val="Hyperlink"/>
        </w:rPr>
        <w:t xml:space="preserve"> </w:t>
      </w:r>
      <w:r w:rsidR="001B20B3" w:rsidRPr="00B915C6">
        <w:rPr>
          <w:rStyle w:val="Hyperlink"/>
        </w:rPr>
        <w:t>Channel</w:t>
      </w:r>
      <w:r>
        <w:rPr>
          <w:rStyle w:val="Hyperlink"/>
        </w:rPr>
        <w:fldChar w:fldCharType="end"/>
      </w:r>
      <w:r w:rsidR="00EE6D35">
        <w:t xml:space="preserve"> </w:t>
      </w:r>
      <w:r w:rsidR="001B20B3">
        <w:t>&lt;</w:t>
      </w:r>
      <w:hyperlink r:id="rId28" w:history="1">
        <w:r w:rsidR="001B20B3" w:rsidRPr="006727F6">
          <w:t>https://fac.dhhs.vic.gov.au</w:t>
        </w:r>
      </w:hyperlink>
      <w:r w:rsidR="001B20B3">
        <w:t>&gt;</w:t>
      </w:r>
    </w:p>
    <w:p w14:paraId="40BC769F" w14:textId="1AF3CC66" w:rsidR="001B20B3" w:rsidRDefault="001B20B3" w:rsidP="00410C81">
      <w:pPr>
        <w:pStyle w:val="DHHSbullet2lastline"/>
        <w:spacing w:after="240"/>
        <w:ind w:left="0" w:firstLine="0"/>
      </w:pPr>
      <w:bookmarkStart w:id="36" w:name="_Hlk55486282"/>
      <w:bookmarkEnd w:id="35"/>
      <w:r>
        <w:rPr>
          <w:rFonts w:eastAsia="Calibri"/>
        </w:rPr>
        <w:t>Funded</w:t>
      </w:r>
      <w:r w:rsidR="00EE6D35">
        <w:rPr>
          <w:rFonts w:eastAsia="Calibri"/>
        </w:rPr>
        <w:t xml:space="preserve"> </w:t>
      </w:r>
      <w:r>
        <w:rPr>
          <w:rFonts w:eastAsia="Calibri"/>
        </w:rPr>
        <w:t>activity</w:t>
      </w:r>
      <w:r w:rsidR="00EE6D35">
        <w:rPr>
          <w:rFonts w:eastAsia="Calibri"/>
        </w:rPr>
        <w:t xml:space="preserve"> </w:t>
      </w:r>
      <w:r>
        <w:rPr>
          <w:rFonts w:eastAsia="Calibri"/>
        </w:rPr>
        <w:t>descriptors</w:t>
      </w:r>
      <w:r w:rsidR="00EE6D35">
        <w:rPr>
          <w:rFonts w:eastAsia="Calibri"/>
        </w:rPr>
        <w:t xml:space="preserve"> </w:t>
      </w:r>
      <w:r>
        <w:rPr>
          <w:rFonts w:eastAsia="Calibri"/>
        </w:rPr>
        <w:t>are</w:t>
      </w:r>
      <w:r w:rsidR="00EE6D35">
        <w:rPr>
          <w:rFonts w:eastAsia="Calibri"/>
        </w:rPr>
        <w:t xml:space="preserve"> </w:t>
      </w:r>
      <w:r>
        <w:rPr>
          <w:rFonts w:eastAsia="Calibri"/>
        </w:rPr>
        <w:t>accessible</w:t>
      </w:r>
      <w:r w:rsidR="00EE6D35">
        <w:rPr>
          <w:rFonts w:eastAsia="Calibri"/>
        </w:rPr>
        <w:t xml:space="preserve"> </w:t>
      </w:r>
      <w:r>
        <w:rPr>
          <w:rFonts w:eastAsia="Calibri"/>
        </w:rPr>
        <w:t>via</w:t>
      </w:r>
      <w:r w:rsidR="00EE6D35">
        <w:rPr>
          <w:rFonts w:eastAsia="Calibri"/>
        </w:rPr>
        <w:t xml:space="preserve"> </w:t>
      </w:r>
      <w:r>
        <w:rPr>
          <w:rFonts w:eastAsia="Calibri"/>
        </w:rPr>
        <w:t>the</w:t>
      </w:r>
      <w:r w:rsidR="00EE6D35">
        <w:rPr>
          <w:rFonts w:eastAsia="Calibri"/>
        </w:rPr>
        <w:t xml:space="preserve"> </w:t>
      </w:r>
      <w:hyperlink r:id="rId29" w:history="1">
        <w:r>
          <w:rPr>
            <w:rStyle w:val="Hyperlink"/>
            <w:rFonts w:eastAsia="Calibri"/>
          </w:rPr>
          <w:t>providers.dffh.vic.gov.au/families-fairness-housing-health-activity-search</w:t>
        </w:r>
      </w:hyperlink>
      <w:r w:rsidR="00EE6D35">
        <w:t xml:space="preserve"> </w:t>
      </w:r>
      <w:r>
        <w:t>&lt;</w:t>
      </w:r>
      <w:r w:rsidRPr="00AD463C">
        <w:t>https://providers.dffh.vic.gov.au/families-fairness-housing-health-activity-search</w:t>
      </w:r>
      <w:r>
        <w:t>&gt;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256"/>
        <w:gridCol w:w="6945"/>
      </w:tblGrid>
      <w:tr w:rsidR="001B20B3" w14:paraId="5AAE440A" w14:textId="77777777" w:rsidTr="4BF70214">
        <w:tc>
          <w:tcPr>
            <w:tcW w:w="3256" w:type="dxa"/>
          </w:tcPr>
          <w:bookmarkEnd w:id="36"/>
          <w:p w14:paraId="4EF70A1E" w14:textId="77777777" w:rsidR="001B20B3" w:rsidRDefault="001B20B3" w:rsidP="00EE6D35">
            <w:pPr>
              <w:pStyle w:val="Tablecolhead"/>
            </w:pPr>
            <w:r>
              <w:t>Subject</w:t>
            </w:r>
          </w:p>
        </w:tc>
        <w:tc>
          <w:tcPr>
            <w:tcW w:w="6945" w:type="dxa"/>
          </w:tcPr>
          <w:p w14:paraId="764BF2CB" w14:textId="77777777" w:rsidR="001B20B3" w:rsidRDefault="001B20B3" w:rsidP="00EE6D35">
            <w:pPr>
              <w:pStyle w:val="Tablecolhead"/>
            </w:pPr>
            <w:r>
              <w:t>Details</w:t>
            </w:r>
          </w:p>
        </w:tc>
      </w:tr>
      <w:tr w:rsidR="001B20B3" w14:paraId="5E918454" w14:textId="77777777" w:rsidTr="4BF70214">
        <w:tc>
          <w:tcPr>
            <w:tcW w:w="3256" w:type="dxa"/>
          </w:tcPr>
          <w:p w14:paraId="6A751BDB" w14:textId="790270D2" w:rsidR="001B20B3" w:rsidRDefault="001B20B3" w:rsidP="00EE6D35">
            <w:pPr>
              <w:pStyle w:val="Tabletext"/>
            </w:pPr>
            <w:r>
              <w:t>Guide</w:t>
            </w:r>
            <w:r w:rsidR="00EE6D35">
              <w:t xml:space="preserve"> </w:t>
            </w:r>
            <w:r>
              <w:t>author</w:t>
            </w:r>
          </w:p>
        </w:tc>
        <w:tc>
          <w:tcPr>
            <w:tcW w:w="6945" w:type="dxa"/>
          </w:tcPr>
          <w:p w14:paraId="29BA93CD" w14:textId="29B856F3" w:rsidR="001B20B3" w:rsidRDefault="001B20B3" w:rsidP="00EE6D35">
            <w:pPr>
              <w:pStyle w:val="Tabletext"/>
              <w:rPr>
                <w:rFonts w:cs="Arial"/>
                <w:color w:val="000000"/>
                <w:lang w:eastAsia="en-AU"/>
              </w:rPr>
            </w:pPr>
            <w:r>
              <w:rPr>
                <w:rFonts w:cs="Arial"/>
                <w:color w:val="000000"/>
                <w:lang w:eastAsia="en-AU"/>
              </w:rPr>
              <w:t>Transitions</w:t>
            </w:r>
            <w:r w:rsidR="00EE6D35">
              <w:rPr>
                <w:rFonts w:cs="Arial"/>
                <w:color w:val="000000"/>
                <w:lang w:eastAsia="en-AU"/>
              </w:rPr>
              <w:t xml:space="preserve"> </w:t>
            </w:r>
            <w:r>
              <w:rPr>
                <w:rFonts w:cs="Arial"/>
                <w:color w:val="000000"/>
                <w:lang w:eastAsia="en-AU"/>
              </w:rPr>
              <w:t>from</w:t>
            </w:r>
            <w:r w:rsidR="00EE6D35">
              <w:rPr>
                <w:rFonts w:cs="Arial"/>
                <w:color w:val="000000"/>
                <w:lang w:eastAsia="en-AU"/>
              </w:rPr>
              <w:t xml:space="preserve"> </w:t>
            </w:r>
            <w:r>
              <w:rPr>
                <w:rFonts w:cs="Arial"/>
                <w:color w:val="000000"/>
                <w:lang w:eastAsia="en-AU"/>
              </w:rPr>
              <w:t>Care</w:t>
            </w:r>
            <w:r w:rsidR="00EE6D35">
              <w:rPr>
                <w:rFonts w:cs="Arial"/>
                <w:color w:val="000000"/>
                <w:lang w:eastAsia="en-AU"/>
              </w:rPr>
              <w:t xml:space="preserve"> </w:t>
            </w:r>
            <w:r>
              <w:rPr>
                <w:rFonts w:cs="Arial"/>
                <w:color w:val="000000"/>
                <w:lang w:eastAsia="en-AU"/>
              </w:rPr>
              <w:t>Team</w:t>
            </w:r>
            <w:r>
              <w:rPr>
                <w:rFonts w:cs="Arial"/>
                <w:color w:val="000000"/>
              </w:rPr>
              <w:t>,</w:t>
            </w:r>
            <w:r w:rsidR="00EE6D35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  <w:lang w:eastAsia="en-AU"/>
              </w:rPr>
              <w:t>Care</w:t>
            </w:r>
            <w:r w:rsidR="00EE6D35">
              <w:rPr>
                <w:rFonts w:cs="Arial"/>
                <w:color w:val="000000"/>
                <w:lang w:eastAsia="en-AU"/>
              </w:rPr>
              <w:t xml:space="preserve"> </w:t>
            </w:r>
            <w:r>
              <w:rPr>
                <w:rFonts w:cs="Arial"/>
                <w:color w:val="000000"/>
                <w:lang w:eastAsia="en-AU"/>
              </w:rPr>
              <w:t>Services</w:t>
            </w:r>
          </w:p>
          <w:p w14:paraId="1CF42DE6" w14:textId="08934F5C" w:rsidR="001B20B3" w:rsidRPr="00223D8A" w:rsidRDefault="2351662C" w:rsidP="00EE6D35">
            <w:pPr>
              <w:pStyle w:val="Tabletext"/>
              <w:rPr>
                <w:rFonts w:cs="Arial"/>
                <w:color w:val="000000"/>
              </w:rPr>
            </w:pPr>
            <w:r w:rsidRPr="4BF70214">
              <w:rPr>
                <w:rFonts w:cs="Arial"/>
                <w:color w:val="000000" w:themeColor="text1"/>
                <w:lang w:eastAsia="en-AU"/>
              </w:rPr>
              <w:t>Children and Families Division</w:t>
            </w:r>
            <w:r w:rsidR="00D15B07">
              <w:br/>
            </w:r>
            <w:r w:rsidR="001B20B3" w:rsidRPr="4BF70214">
              <w:rPr>
                <w:rFonts w:cs="Arial"/>
                <w:color w:val="000000" w:themeColor="text1"/>
                <w:lang w:eastAsia="en-AU"/>
              </w:rPr>
              <w:t>Department</w:t>
            </w:r>
            <w:r w:rsidR="00EE6D35" w:rsidRPr="4BF70214">
              <w:rPr>
                <w:rFonts w:cs="Arial"/>
                <w:color w:val="000000" w:themeColor="text1"/>
                <w:lang w:eastAsia="en-AU"/>
              </w:rPr>
              <w:t xml:space="preserve"> </w:t>
            </w:r>
            <w:r w:rsidR="001B20B3" w:rsidRPr="4BF70214">
              <w:rPr>
                <w:rFonts w:cs="Arial"/>
                <w:color w:val="000000" w:themeColor="text1"/>
                <w:lang w:eastAsia="en-AU"/>
              </w:rPr>
              <w:t>of</w:t>
            </w:r>
            <w:r w:rsidR="00EE6D35" w:rsidRPr="4BF70214">
              <w:rPr>
                <w:rFonts w:cs="Arial"/>
                <w:color w:val="000000" w:themeColor="text1"/>
                <w:lang w:eastAsia="en-AU"/>
              </w:rPr>
              <w:t xml:space="preserve"> </w:t>
            </w:r>
            <w:r w:rsidR="001B20B3" w:rsidRPr="4BF70214">
              <w:rPr>
                <w:rFonts w:cs="Arial"/>
                <w:color w:val="000000" w:themeColor="text1"/>
                <w:lang w:eastAsia="en-AU"/>
              </w:rPr>
              <w:t>Families</w:t>
            </w:r>
            <w:r w:rsidR="00EE6D35" w:rsidRPr="4BF70214">
              <w:rPr>
                <w:rFonts w:cs="Arial"/>
                <w:color w:val="000000" w:themeColor="text1"/>
                <w:lang w:eastAsia="en-AU"/>
              </w:rPr>
              <w:t xml:space="preserve"> </w:t>
            </w:r>
            <w:r w:rsidR="001B20B3" w:rsidRPr="4BF70214">
              <w:rPr>
                <w:rFonts w:cs="Arial"/>
                <w:color w:val="000000" w:themeColor="text1"/>
                <w:lang w:eastAsia="en-AU"/>
              </w:rPr>
              <w:t>Fairness</w:t>
            </w:r>
            <w:r w:rsidR="00EE6D35" w:rsidRPr="4BF70214">
              <w:rPr>
                <w:rFonts w:cs="Arial"/>
                <w:color w:val="000000" w:themeColor="text1"/>
                <w:lang w:eastAsia="en-AU"/>
              </w:rPr>
              <w:t xml:space="preserve"> </w:t>
            </w:r>
            <w:r w:rsidR="001B20B3" w:rsidRPr="4BF70214">
              <w:rPr>
                <w:rFonts w:cs="Arial"/>
                <w:color w:val="000000" w:themeColor="text1"/>
                <w:lang w:eastAsia="en-AU"/>
              </w:rPr>
              <w:t>and</w:t>
            </w:r>
            <w:r w:rsidR="00EE6D35" w:rsidRPr="4BF70214">
              <w:rPr>
                <w:rFonts w:cs="Arial"/>
                <w:color w:val="000000" w:themeColor="text1"/>
                <w:lang w:eastAsia="en-AU"/>
              </w:rPr>
              <w:t xml:space="preserve"> </w:t>
            </w:r>
            <w:r w:rsidR="001B20B3" w:rsidRPr="4BF70214">
              <w:rPr>
                <w:rFonts w:cs="Arial"/>
                <w:color w:val="000000" w:themeColor="text1"/>
                <w:lang w:eastAsia="en-AU"/>
              </w:rPr>
              <w:t>Housing</w:t>
            </w:r>
          </w:p>
        </w:tc>
      </w:tr>
      <w:tr w:rsidR="001B20B3" w14:paraId="40C3AEB5" w14:textId="77777777" w:rsidTr="4BF70214">
        <w:tc>
          <w:tcPr>
            <w:tcW w:w="3256" w:type="dxa"/>
          </w:tcPr>
          <w:p w14:paraId="0F8E7810" w14:textId="3BC8709A" w:rsidR="001B20B3" w:rsidRDefault="001B20B3" w:rsidP="00EE6D35">
            <w:pPr>
              <w:pStyle w:val="Tabletext"/>
            </w:pPr>
            <w:r>
              <w:t>Authorised</w:t>
            </w:r>
            <w:r w:rsidR="00EE6D35">
              <w:t xml:space="preserve"> </w:t>
            </w:r>
            <w:r>
              <w:t>by</w:t>
            </w:r>
            <w:r w:rsidR="00EE6D35">
              <w:t xml:space="preserve"> </w:t>
            </w:r>
          </w:p>
        </w:tc>
        <w:tc>
          <w:tcPr>
            <w:tcW w:w="6945" w:type="dxa"/>
          </w:tcPr>
          <w:p w14:paraId="67A0C6B7" w14:textId="170B4025" w:rsidR="001B20B3" w:rsidRDefault="001B20B3" w:rsidP="00EE6D35">
            <w:pPr>
              <w:pStyle w:val="Tabletext"/>
              <w:rPr>
                <w:rFonts w:cs="Arial"/>
                <w:color w:val="000000"/>
                <w:lang w:eastAsia="en-AU"/>
              </w:rPr>
            </w:pPr>
            <w:r>
              <w:rPr>
                <w:rFonts w:cs="Arial"/>
                <w:color w:val="000000"/>
                <w:lang w:eastAsia="en-AU"/>
              </w:rPr>
              <w:t>Transitions</w:t>
            </w:r>
            <w:r w:rsidR="00EE6D35">
              <w:rPr>
                <w:rFonts w:cs="Arial"/>
                <w:color w:val="000000"/>
                <w:lang w:eastAsia="en-AU"/>
              </w:rPr>
              <w:t xml:space="preserve"> </w:t>
            </w:r>
            <w:r>
              <w:rPr>
                <w:rFonts w:cs="Arial"/>
                <w:color w:val="000000"/>
                <w:lang w:eastAsia="en-AU"/>
              </w:rPr>
              <w:t>from</w:t>
            </w:r>
            <w:r w:rsidR="00EE6D35">
              <w:rPr>
                <w:rFonts w:cs="Arial"/>
                <w:color w:val="000000"/>
                <w:lang w:eastAsia="en-AU"/>
              </w:rPr>
              <w:t xml:space="preserve"> </w:t>
            </w:r>
            <w:r>
              <w:rPr>
                <w:rFonts w:cs="Arial"/>
                <w:color w:val="000000"/>
                <w:lang w:eastAsia="en-AU"/>
              </w:rPr>
              <w:t>Care</w:t>
            </w:r>
            <w:r w:rsidR="00EE6D35">
              <w:rPr>
                <w:rFonts w:cs="Arial"/>
                <w:color w:val="000000"/>
                <w:lang w:eastAsia="en-AU"/>
              </w:rPr>
              <w:t xml:space="preserve"> </w:t>
            </w:r>
            <w:r>
              <w:rPr>
                <w:rFonts w:cs="Arial"/>
                <w:color w:val="000000"/>
                <w:lang w:eastAsia="en-AU"/>
              </w:rPr>
              <w:t>Team</w:t>
            </w:r>
            <w:r>
              <w:rPr>
                <w:rFonts w:cs="Arial"/>
                <w:color w:val="000000"/>
              </w:rPr>
              <w:t>,</w:t>
            </w:r>
            <w:r w:rsidR="00EE6D35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  <w:lang w:eastAsia="en-AU"/>
              </w:rPr>
              <w:t>Care</w:t>
            </w:r>
            <w:r w:rsidR="00EE6D35">
              <w:rPr>
                <w:rFonts w:cs="Arial"/>
                <w:color w:val="000000"/>
                <w:lang w:eastAsia="en-AU"/>
              </w:rPr>
              <w:t xml:space="preserve"> </w:t>
            </w:r>
            <w:r>
              <w:rPr>
                <w:rFonts w:cs="Arial"/>
                <w:color w:val="000000"/>
                <w:lang w:eastAsia="en-AU"/>
              </w:rPr>
              <w:t>Services</w:t>
            </w:r>
          </w:p>
          <w:p w14:paraId="1DF45092" w14:textId="2CBCFD97" w:rsidR="001B20B3" w:rsidRPr="00D61D81" w:rsidRDefault="2351662C" w:rsidP="00EE6D35">
            <w:pPr>
              <w:pStyle w:val="Tabletext"/>
              <w:rPr>
                <w:rFonts w:cs="Arial"/>
                <w:color w:val="000000"/>
                <w:lang w:eastAsia="en-AU"/>
              </w:rPr>
            </w:pPr>
            <w:r w:rsidRPr="4BF70214">
              <w:rPr>
                <w:rFonts w:cs="Arial"/>
                <w:color w:val="000000" w:themeColor="text1"/>
                <w:lang w:eastAsia="en-AU"/>
              </w:rPr>
              <w:t>Children and Families Division</w:t>
            </w:r>
            <w:r w:rsidR="2D83192C" w:rsidRPr="4BF70214">
              <w:rPr>
                <w:rFonts w:cs="Arial"/>
                <w:color w:val="000000" w:themeColor="text1"/>
                <w:lang w:eastAsia="en-AU"/>
              </w:rPr>
              <w:t xml:space="preserve"> </w:t>
            </w:r>
          </w:p>
        </w:tc>
      </w:tr>
      <w:tr w:rsidR="001B20B3" w14:paraId="7BDD2DC0" w14:textId="77777777" w:rsidTr="4BF70214">
        <w:tc>
          <w:tcPr>
            <w:tcW w:w="3256" w:type="dxa"/>
          </w:tcPr>
          <w:p w14:paraId="2E121C0A" w14:textId="7C7AB604" w:rsidR="001B20B3" w:rsidRDefault="001B20B3" w:rsidP="00EE6D35">
            <w:pPr>
              <w:pStyle w:val="Tabletext"/>
            </w:pPr>
            <w:r>
              <w:t>Guide</w:t>
            </w:r>
            <w:r w:rsidR="00EE6D35">
              <w:t xml:space="preserve"> </w:t>
            </w:r>
            <w:r>
              <w:t>created/last</w:t>
            </w:r>
            <w:r w:rsidR="00EE6D35">
              <w:t xml:space="preserve"> </w:t>
            </w:r>
            <w:r>
              <w:t>reviewed</w:t>
            </w:r>
          </w:p>
        </w:tc>
        <w:tc>
          <w:tcPr>
            <w:tcW w:w="6945" w:type="dxa"/>
          </w:tcPr>
          <w:p w14:paraId="07CA6DA6" w14:textId="4F12F1DE" w:rsidR="001B20B3" w:rsidRDefault="2D83192C" w:rsidP="00EE6D35">
            <w:pPr>
              <w:pStyle w:val="Tabletext"/>
            </w:pPr>
            <w:r>
              <w:t>June 2024</w:t>
            </w:r>
          </w:p>
        </w:tc>
      </w:tr>
      <w:tr w:rsidR="001B20B3" w14:paraId="00364E18" w14:textId="77777777" w:rsidTr="4BF70214">
        <w:tc>
          <w:tcPr>
            <w:tcW w:w="3256" w:type="dxa"/>
          </w:tcPr>
          <w:p w14:paraId="6F3124A5" w14:textId="7B130148" w:rsidR="001B20B3" w:rsidRDefault="001B20B3" w:rsidP="00EE6D35">
            <w:pPr>
              <w:pStyle w:val="Tabletext"/>
            </w:pPr>
            <w:r>
              <w:t>Version</w:t>
            </w:r>
            <w:r w:rsidR="00EE6D35">
              <w:t xml:space="preserve"> </w:t>
            </w:r>
            <w:r>
              <w:t>number</w:t>
            </w:r>
            <w:r w:rsidR="00EE6D35">
              <w:t xml:space="preserve"> </w:t>
            </w:r>
          </w:p>
        </w:tc>
        <w:tc>
          <w:tcPr>
            <w:tcW w:w="6945" w:type="dxa"/>
          </w:tcPr>
          <w:p w14:paraId="4B57BE8F" w14:textId="3EB74E16" w:rsidR="001B20B3" w:rsidRDefault="001B20B3" w:rsidP="00EE6D35">
            <w:pPr>
              <w:pStyle w:val="Tabletext"/>
            </w:pPr>
            <w:r>
              <w:t>V</w:t>
            </w:r>
            <w:r w:rsidR="2D83192C">
              <w:t>3</w:t>
            </w:r>
          </w:p>
        </w:tc>
      </w:tr>
    </w:tbl>
    <w:p w14:paraId="3E5E8F8A" w14:textId="77777777" w:rsidR="001B20B3" w:rsidRPr="003B1BDC" w:rsidRDefault="001B20B3" w:rsidP="001B20B3">
      <w:pPr>
        <w:pStyle w:val="Body"/>
      </w:pPr>
    </w:p>
    <w:bookmarkEnd w:id="32"/>
    <w:p w14:paraId="04461F98" w14:textId="77777777" w:rsidR="001B20B3" w:rsidRDefault="001B20B3" w:rsidP="001B20B3">
      <w:pPr>
        <w:rPr>
          <w:sz w:val="20"/>
        </w:rPr>
      </w:pPr>
    </w:p>
    <w:sectPr w:rsidR="001B20B3" w:rsidSect="00B04489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34764" w14:textId="77777777" w:rsidR="007422EB" w:rsidRDefault="007422EB">
      <w:r>
        <w:separator/>
      </w:r>
    </w:p>
    <w:p w14:paraId="00069149" w14:textId="77777777" w:rsidR="007422EB" w:rsidRDefault="007422EB"/>
  </w:endnote>
  <w:endnote w:type="continuationSeparator" w:id="0">
    <w:p w14:paraId="03CB25D2" w14:textId="77777777" w:rsidR="007422EB" w:rsidRDefault="007422EB">
      <w:r>
        <w:continuationSeparator/>
      </w:r>
    </w:p>
    <w:p w14:paraId="23769C1C" w14:textId="77777777" w:rsidR="007422EB" w:rsidRDefault="007422EB"/>
  </w:endnote>
  <w:endnote w:type="continuationNotice" w:id="1">
    <w:p w14:paraId="45063834" w14:textId="77777777" w:rsidR="007422EB" w:rsidRDefault="007422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C6EAD" w14:textId="77777777" w:rsidR="00582F0E" w:rsidRDefault="00582F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5C391" w14:textId="0F57AA50" w:rsidR="00E47463" w:rsidRPr="00F65AA9" w:rsidRDefault="00E47463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2D6ABF" wp14:editId="7DCAE75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622b4e74bcf8bc713e97deb3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6E5898" w14:textId="2804A622" w:rsidR="00E47463" w:rsidRPr="004B050F" w:rsidRDefault="00E47463" w:rsidP="004B050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B050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2D6ABF" id="_x0000_t202" coordsize="21600,21600" o:spt="202" path="m,l,21600r21600,l21600,xe">
              <v:stroke joinstyle="miter"/>
              <v:path gradientshapeok="t" o:connecttype="rect"/>
            </v:shapetype>
            <v:shape id="MSIPCM622b4e74bcf8bc713e97deb3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5A6E5898" w14:textId="2804A622" w:rsidR="00E47463" w:rsidRPr="004B050F" w:rsidRDefault="00E47463" w:rsidP="004B050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B050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5168" behindDoc="1" locked="1" layoutInCell="1" allowOverlap="1" wp14:anchorId="01639AEB" wp14:editId="653AD1C1">
          <wp:simplePos x="539750" y="9290050"/>
          <wp:positionH relativeFrom="page">
            <wp:align>right</wp:align>
          </wp:positionH>
          <wp:positionV relativeFrom="page">
            <wp:align>bottom</wp:align>
          </wp:positionV>
          <wp:extent cx="7560000" cy="1008000"/>
          <wp:effectExtent l="0" t="0" r="3175" b="1905"/>
          <wp:wrapNone/>
          <wp:docPr id="9" name="Picture 9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C3380" w14:textId="0097FB94" w:rsidR="00E47463" w:rsidRDefault="00E474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3360" behindDoc="0" locked="0" layoutInCell="0" allowOverlap="1" wp14:anchorId="619B1C74" wp14:editId="0BEFE96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750648d2a05f776fd5e57d5e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A98B31" w14:textId="728C6EA7" w:rsidR="00E47463" w:rsidRPr="004B050F" w:rsidRDefault="00E47463" w:rsidP="004B050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B050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B1C74" id="_x0000_t202" coordsize="21600,21600" o:spt="202" path="m,l,21600r21600,l21600,xe">
              <v:stroke joinstyle="miter"/>
              <v:path gradientshapeok="t" o:connecttype="rect"/>
            </v:shapetype>
            <v:shape id="MSIPCM750648d2a05f776fd5e57d5e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7EA98B31" w14:textId="728C6EA7" w:rsidR="00E47463" w:rsidRPr="004B050F" w:rsidRDefault="00E47463" w:rsidP="004B050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B050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75E80" w14:textId="77777777" w:rsidR="007422EB" w:rsidRDefault="007422EB" w:rsidP="00207717">
      <w:pPr>
        <w:spacing w:before="120"/>
      </w:pPr>
      <w:r>
        <w:separator/>
      </w:r>
    </w:p>
  </w:footnote>
  <w:footnote w:type="continuationSeparator" w:id="0">
    <w:p w14:paraId="59126F22" w14:textId="77777777" w:rsidR="007422EB" w:rsidRDefault="007422EB">
      <w:r>
        <w:continuationSeparator/>
      </w:r>
    </w:p>
    <w:p w14:paraId="333E5D52" w14:textId="77777777" w:rsidR="007422EB" w:rsidRDefault="007422EB"/>
  </w:footnote>
  <w:footnote w:type="continuationNotice" w:id="1">
    <w:p w14:paraId="53EE3E24" w14:textId="77777777" w:rsidR="007422EB" w:rsidRDefault="007422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4A1B5" w14:textId="77777777" w:rsidR="00582F0E" w:rsidRDefault="00582F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18297" w14:textId="6F1E97C8" w:rsidR="00E47463" w:rsidRDefault="005129C5" w:rsidP="00EF2C72">
    <w:pPr>
      <w:pStyle w:val="Header"/>
      <w:spacing w:after="0"/>
    </w:pPr>
    <w:r>
      <w:rPr>
        <w:noProof/>
      </w:rPr>
      <w:drawing>
        <wp:anchor distT="0" distB="0" distL="114300" distR="114300" simplePos="0" relativeHeight="251665408" behindDoc="1" locked="1" layoutInCell="1" allowOverlap="1" wp14:anchorId="03B1BAD6" wp14:editId="2915C037">
          <wp:simplePos x="0" y="0"/>
          <wp:positionH relativeFrom="page">
            <wp:posOffset>0</wp:posOffset>
          </wp:positionH>
          <wp:positionV relativeFrom="page">
            <wp:posOffset>-15240</wp:posOffset>
          </wp:positionV>
          <wp:extent cx="8098155" cy="10706100"/>
          <wp:effectExtent l="0" t="0" r="0" b="0"/>
          <wp:wrapNone/>
          <wp:docPr id="2" name="Picture 2" descr="Victoria State Government Families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Victoria State Government Families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8155" cy="1070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29B81" w14:textId="77777777" w:rsidR="00582F0E" w:rsidRDefault="00582F0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83C00" w14:textId="6E084836" w:rsidR="00E47463" w:rsidRPr="0051568D" w:rsidRDefault="00E47463" w:rsidP="0017674D">
    <w:pPr>
      <w:pStyle w:val="Header"/>
    </w:pPr>
    <w:r w:rsidRPr="001B20B3">
      <w:t xml:space="preserve"> </w:t>
    </w:r>
    <w:r>
      <w:t>Better Futures performance and reporting practice advice</w:t>
    </w:r>
    <w:r w:rsidR="00762474">
      <w:rPr>
        <w:noProof/>
      </w:rPr>
      <w:drawing>
        <wp:anchor distT="0" distB="0" distL="114300" distR="114300" simplePos="0" relativeHeight="251667456" behindDoc="1" locked="1" layoutInCell="1" allowOverlap="1" wp14:anchorId="4EC73DE0" wp14:editId="292D4103">
          <wp:simplePos x="0" y="0"/>
          <wp:positionH relativeFrom="page">
            <wp:posOffset>635</wp:posOffset>
          </wp:positionH>
          <wp:positionV relativeFrom="page">
            <wp:posOffset>11430</wp:posOffset>
          </wp:positionV>
          <wp:extent cx="7559675" cy="269875"/>
          <wp:effectExtent l="0" t="0" r="3175" b="0"/>
          <wp:wrapNone/>
          <wp:docPr id="16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right" w:leader="none"/>
    </w:r>
    <w:r w:rsidRPr="00DE6C85">
      <w:rPr>
        <w:b/>
        <w:bCs/>
      </w:rPr>
      <w:fldChar w:fldCharType="begin"/>
    </w:r>
    <w:r w:rsidRPr="00DE6C85">
      <w:rPr>
        <w:b/>
        <w:bCs/>
      </w:rPr>
      <w:instrText xml:space="preserve"> PAGE </w:instrText>
    </w:r>
    <w:r w:rsidRPr="00DE6C85">
      <w:rPr>
        <w:b/>
        <w:bCs/>
      </w:rPr>
      <w:fldChar w:fldCharType="separate"/>
    </w:r>
    <w:r w:rsidRPr="00DE6C85">
      <w:rPr>
        <w:b/>
        <w:bCs/>
      </w:rPr>
      <w:t>2</w:t>
    </w:r>
    <w:r w:rsidRPr="00DE6C85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5890EA66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38C22CC"/>
    <w:multiLevelType w:val="hybridMultilevel"/>
    <w:tmpl w:val="2424E4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F0ECC"/>
    <w:multiLevelType w:val="hybridMultilevel"/>
    <w:tmpl w:val="FFFFFFFF"/>
    <w:lvl w:ilvl="0" w:tplc="B7A6D2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926A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342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9C1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C62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021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143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69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E6D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602989"/>
    <w:multiLevelType w:val="hybridMultilevel"/>
    <w:tmpl w:val="4E102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014EF9"/>
    <w:multiLevelType w:val="hybridMultilevel"/>
    <w:tmpl w:val="FBB04F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6C68D4"/>
    <w:multiLevelType w:val="multilevel"/>
    <w:tmpl w:val="5890EA66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F856BB"/>
    <w:multiLevelType w:val="hybridMultilevel"/>
    <w:tmpl w:val="04B4C3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2932EFE"/>
    <w:multiLevelType w:val="hybridMultilevel"/>
    <w:tmpl w:val="E37495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7130132">
    <w:abstractNumId w:val="17"/>
  </w:num>
  <w:num w:numId="2" w16cid:durableId="448474182">
    <w:abstractNumId w:val="10"/>
  </w:num>
  <w:num w:numId="3" w16cid:durableId="1444960340">
    <w:abstractNumId w:val="21"/>
  </w:num>
  <w:num w:numId="4" w16cid:durableId="20777735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31767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75895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05010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1115267">
    <w:abstractNumId w:val="25"/>
  </w:num>
  <w:num w:numId="9" w16cid:durableId="117260373">
    <w:abstractNumId w:val="20"/>
  </w:num>
  <w:num w:numId="10" w16cid:durableId="990520923">
    <w:abstractNumId w:val="24"/>
  </w:num>
  <w:num w:numId="11" w16cid:durableId="1055865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194069">
    <w:abstractNumId w:val="26"/>
  </w:num>
  <w:num w:numId="13" w16cid:durableId="3399406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1701159">
    <w:abstractNumId w:val="22"/>
  </w:num>
  <w:num w:numId="15" w16cid:durableId="13287087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37328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02753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364179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65891404">
    <w:abstractNumId w:val="29"/>
  </w:num>
  <w:num w:numId="20" w16cid:durableId="1346812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13619662">
    <w:abstractNumId w:val="14"/>
  </w:num>
  <w:num w:numId="22" w16cid:durableId="1751346163">
    <w:abstractNumId w:val="12"/>
  </w:num>
  <w:num w:numId="23" w16cid:durableId="5313842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40942101">
    <w:abstractNumId w:val="16"/>
  </w:num>
  <w:num w:numId="25" w16cid:durableId="1198618247">
    <w:abstractNumId w:val="31"/>
  </w:num>
  <w:num w:numId="26" w16cid:durableId="321811263">
    <w:abstractNumId w:val="27"/>
  </w:num>
  <w:num w:numId="27" w16cid:durableId="427504782">
    <w:abstractNumId w:val="23"/>
  </w:num>
  <w:num w:numId="28" w16cid:durableId="1701277206">
    <w:abstractNumId w:val="11"/>
  </w:num>
  <w:num w:numId="29" w16cid:durableId="694841164">
    <w:abstractNumId w:val="32"/>
  </w:num>
  <w:num w:numId="30" w16cid:durableId="703599424">
    <w:abstractNumId w:val="9"/>
  </w:num>
  <w:num w:numId="31" w16cid:durableId="230238394">
    <w:abstractNumId w:val="7"/>
  </w:num>
  <w:num w:numId="32" w16cid:durableId="144930600">
    <w:abstractNumId w:val="6"/>
  </w:num>
  <w:num w:numId="33" w16cid:durableId="582766504">
    <w:abstractNumId w:val="5"/>
  </w:num>
  <w:num w:numId="34" w16cid:durableId="1379403017">
    <w:abstractNumId w:val="4"/>
  </w:num>
  <w:num w:numId="35" w16cid:durableId="40250366">
    <w:abstractNumId w:val="8"/>
  </w:num>
  <w:num w:numId="36" w16cid:durableId="1844709956">
    <w:abstractNumId w:val="3"/>
  </w:num>
  <w:num w:numId="37" w16cid:durableId="2124300247">
    <w:abstractNumId w:val="2"/>
  </w:num>
  <w:num w:numId="38" w16cid:durableId="51317723">
    <w:abstractNumId w:val="1"/>
  </w:num>
  <w:num w:numId="39" w16cid:durableId="481584623">
    <w:abstractNumId w:val="0"/>
  </w:num>
  <w:num w:numId="40" w16cid:durableId="3387796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55182085">
    <w:abstractNumId w:val="15"/>
  </w:num>
  <w:num w:numId="42" w16cid:durableId="1902712449">
    <w:abstractNumId w:val="30"/>
  </w:num>
  <w:num w:numId="43" w16cid:durableId="1745838214">
    <w:abstractNumId w:val="28"/>
  </w:num>
  <w:num w:numId="44" w16cid:durableId="66464912">
    <w:abstractNumId w:val="19"/>
  </w:num>
  <w:num w:numId="45" w16cid:durableId="1323193185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ED"/>
    <w:rsid w:val="00000719"/>
    <w:rsid w:val="00002D68"/>
    <w:rsid w:val="00003403"/>
    <w:rsid w:val="00005347"/>
    <w:rsid w:val="000072B6"/>
    <w:rsid w:val="000076A5"/>
    <w:rsid w:val="0001021B"/>
    <w:rsid w:val="00011D89"/>
    <w:rsid w:val="000154FD"/>
    <w:rsid w:val="000214A6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579AD"/>
    <w:rsid w:val="00161939"/>
    <w:rsid w:val="00161AA0"/>
    <w:rsid w:val="00161D2E"/>
    <w:rsid w:val="00161F3E"/>
    <w:rsid w:val="00162093"/>
    <w:rsid w:val="00162CA9"/>
    <w:rsid w:val="00165459"/>
    <w:rsid w:val="00165A57"/>
    <w:rsid w:val="001675AF"/>
    <w:rsid w:val="001712C2"/>
    <w:rsid w:val="00172BAF"/>
    <w:rsid w:val="0017674D"/>
    <w:rsid w:val="001771DD"/>
    <w:rsid w:val="00177995"/>
    <w:rsid w:val="00177A8C"/>
    <w:rsid w:val="0018210B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255C"/>
    <w:rsid w:val="001A3ACE"/>
    <w:rsid w:val="001B058F"/>
    <w:rsid w:val="001B20B3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2503"/>
    <w:rsid w:val="002536A4"/>
    <w:rsid w:val="00254F58"/>
    <w:rsid w:val="00257C94"/>
    <w:rsid w:val="00261795"/>
    <w:rsid w:val="002620BC"/>
    <w:rsid w:val="00262802"/>
    <w:rsid w:val="00263A90"/>
    <w:rsid w:val="0026408B"/>
    <w:rsid w:val="00265825"/>
    <w:rsid w:val="00267C3E"/>
    <w:rsid w:val="002709BB"/>
    <w:rsid w:val="0027131C"/>
    <w:rsid w:val="00273079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5A6"/>
    <w:rsid w:val="002A0A9C"/>
    <w:rsid w:val="002A483C"/>
    <w:rsid w:val="002B0C7C"/>
    <w:rsid w:val="002B1729"/>
    <w:rsid w:val="002B36C7"/>
    <w:rsid w:val="002B4DD4"/>
    <w:rsid w:val="002B5277"/>
    <w:rsid w:val="002B5375"/>
    <w:rsid w:val="002B669B"/>
    <w:rsid w:val="002B77C1"/>
    <w:rsid w:val="002C0ED7"/>
    <w:rsid w:val="002C2728"/>
    <w:rsid w:val="002D09FC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2F7977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7870"/>
    <w:rsid w:val="0033259D"/>
    <w:rsid w:val="003333D2"/>
    <w:rsid w:val="003352ED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65B"/>
    <w:rsid w:val="003F0CF0"/>
    <w:rsid w:val="003F14B1"/>
    <w:rsid w:val="003F2B20"/>
    <w:rsid w:val="003F3289"/>
    <w:rsid w:val="003F3C62"/>
    <w:rsid w:val="003F5CB9"/>
    <w:rsid w:val="004013C7"/>
    <w:rsid w:val="00401FCF"/>
    <w:rsid w:val="00406285"/>
    <w:rsid w:val="00410151"/>
    <w:rsid w:val="00410C81"/>
    <w:rsid w:val="004148F9"/>
    <w:rsid w:val="0042084E"/>
    <w:rsid w:val="00421EEF"/>
    <w:rsid w:val="00424D65"/>
    <w:rsid w:val="00426B43"/>
    <w:rsid w:val="00430393"/>
    <w:rsid w:val="00431806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683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0FE"/>
    <w:rsid w:val="004A3E81"/>
    <w:rsid w:val="004A4195"/>
    <w:rsid w:val="004A5C62"/>
    <w:rsid w:val="004A5CE5"/>
    <w:rsid w:val="004A707D"/>
    <w:rsid w:val="004B050F"/>
    <w:rsid w:val="004B23D3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0F5E"/>
    <w:rsid w:val="005126D0"/>
    <w:rsid w:val="005129C5"/>
    <w:rsid w:val="00514667"/>
    <w:rsid w:val="0051568D"/>
    <w:rsid w:val="00526AC7"/>
    <w:rsid w:val="00526C15"/>
    <w:rsid w:val="00536499"/>
    <w:rsid w:val="00542A03"/>
    <w:rsid w:val="00543903"/>
    <w:rsid w:val="00543F11"/>
    <w:rsid w:val="00545B5E"/>
    <w:rsid w:val="0054600B"/>
    <w:rsid w:val="00546305"/>
    <w:rsid w:val="00547A95"/>
    <w:rsid w:val="0055119B"/>
    <w:rsid w:val="00552C04"/>
    <w:rsid w:val="00561202"/>
    <w:rsid w:val="00572031"/>
    <w:rsid w:val="00572282"/>
    <w:rsid w:val="00573CE3"/>
    <w:rsid w:val="00576E84"/>
    <w:rsid w:val="00580394"/>
    <w:rsid w:val="005809CD"/>
    <w:rsid w:val="00582B8C"/>
    <w:rsid w:val="00582F0E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2E2A"/>
    <w:rsid w:val="005D3341"/>
    <w:rsid w:val="005D6597"/>
    <w:rsid w:val="005E14E7"/>
    <w:rsid w:val="005E26A3"/>
    <w:rsid w:val="005E2ECB"/>
    <w:rsid w:val="005E447E"/>
    <w:rsid w:val="005E4FD1"/>
    <w:rsid w:val="005F0775"/>
    <w:rsid w:val="005F0CF5"/>
    <w:rsid w:val="005F0EF4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3ADC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0B32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E29AF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CF0"/>
    <w:rsid w:val="00741F1A"/>
    <w:rsid w:val="007422EB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2474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6705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34F1"/>
    <w:rsid w:val="00884B62"/>
    <w:rsid w:val="0088529C"/>
    <w:rsid w:val="00887903"/>
    <w:rsid w:val="0089270A"/>
    <w:rsid w:val="00893AF6"/>
    <w:rsid w:val="00894BC4"/>
    <w:rsid w:val="008A28A8"/>
    <w:rsid w:val="008A5B32"/>
    <w:rsid w:val="008B0E64"/>
    <w:rsid w:val="008B2029"/>
    <w:rsid w:val="008B2EE4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2278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FEA"/>
    <w:rsid w:val="00924AE1"/>
    <w:rsid w:val="009257ED"/>
    <w:rsid w:val="009269B1"/>
    <w:rsid w:val="0092724D"/>
    <w:rsid w:val="009272B3"/>
    <w:rsid w:val="0092774D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1191"/>
    <w:rsid w:val="00A012DF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0176"/>
    <w:rsid w:val="00A32577"/>
    <w:rsid w:val="00A330BB"/>
    <w:rsid w:val="00A34ACD"/>
    <w:rsid w:val="00A44882"/>
    <w:rsid w:val="00A45125"/>
    <w:rsid w:val="00A54715"/>
    <w:rsid w:val="00A6061C"/>
    <w:rsid w:val="00A62D44"/>
    <w:rsid w:val="00A67263"/>
    <w:rsid w:val="00A710FD"/>
    <w:rsid w:val="00A7161C"/>
    <w:rsid w:val="00A73844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0D07"/>
    <w:rsid w:val="00B326B7"/>
    <w:rsid w:val="00B32B8C"/>
    <w:rsid w:val="00B3588E"/>
    <w:rsid w:val="00B40DCB"/>
    <w:rsid w:val="00B4198F"/>
    <w:rsid w:val="00B41F3D"/>
    <w:rsid w:val="00B431E8"/>
    <w:rsid w:val="00B45141"/>
    <w:rsid w:val="00B45150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5646"/>
    <w:rsid w:val="00B7629E"/>
    <w:rsid w:val="00B84C24"/>
    <w:rsid w:val="00B90729"/>
    <w:rsid w:val="00B907DA"/>
    <w:rsid w:val="00B950BC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015A"/>
    <w:rsid w:val="00BD2850"/>
    <w:rsid w:val="00BD553E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57AB2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E225F"/>
    <w:rsid w:val="00CF2F50"/>
    <w:rsid w:val="00CF4148"/>
    <w:rsid w:val="00CF60DF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5B07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5005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69BE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2289"/>
    <w:rsid w:val="00E33237"/>
    <w:rsid w:val="00E40181"/>
    <w:rsid w:val="00E47463"/>
    <w:rsid w:val="00E53D2F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9F3"/>
    <w:rsid w:val="00EA2F6A"/>
    <w:rsid w:val="00EB00E0"/>
    <w:rsid w:val="00EB05D5"/>
    <w:rsid w:val="00EB1931"/>
    <w:rsid w:val="00EB42BF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E6D35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3C63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B3501"/>
    <w:rsid w:val="00FB4769"/>
    <w:rsid w:val="00FB4CDA"/>
    <w:rsid w:val="00FB61C2"/>
    <w:rsid w:val="00FB6481"/>
    <w:rsid w:val="00FB6D36"/>
    <w:rsid w:val="00FC0965"/>
    <w:rsid w:val="00FC0F81"/>
    <w:rsid w:val="00FC252F"/>
    <w:rsid w:val="00FC395C"/>
    <w:rsid w:val="00FC496A"/>
    <w:rsid w:val="00FC5E8E"/>
    <w:rsid w:val="00FD3766"/>
    <w:rsid w:val="00FD47C4"/>
    <w:rsid w:val="00FE2DCF"/>
    <w:rsid w:val="00FE3FA7"/>
    <w:rsid w:val="00FE6D49"/>
    <w:rsid w:val="00FF2A4E"/>
    <w:rsid w:val="00FF2FCE"/>
    <w:rsid w:val="00FF4F7D"/>
    <w:rsid w:val="00FF6D9D"/>
    <w:rsid w:val="00FF7DD5"/>
    <w:rsid w:val="011837E5"/>
    <w:rsid w:val="092FC2D9"/>
    <w:rsid w:val="129BB088"/>
    <w:rsid w:val="1593E917"/>
    <w:rsid w:val="1B947451"/>
    <w:rsid w:val="2351662C"/>
    <w:rsid w:val="26D78693"/>
    <w:rsid w:val="2D83192C"/>
    <w:rsid w:val="344024AB"/>
    <w:rsid w:val="354BE750"/>
    <w:rsid w:val="35FABB81"/>
    <w:rsid w:val="37E3BC2D"/>
    <w:rsid w:val="423A3F7D"/>
    <w:rsid w:val="4AD583B0"/>
    <w:rsid w:val="4BF12110"/>
    <w:rsid w:val="4BF70214"/>
    <w:rsid w:val="6A763E70"/>
    <w:rsid w:val="6DBCD0F1"/>
    <w:rsid w:val="73196CA2"/>
    <w:rsid w:val="75131AA1"/>
    <w:rsid w:val="78BB8C5A"/>
    <w:rsid w:val="7ACC47FE"/>
    <w:rsid w:val="7AF0D919"/>
    <w:rsid w:val="7C7B0BFC"/>
    <w:rsid w:val="7EB1B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527965"/>
  <w15:docId w15:val="{DD62CA03-A950-4782-A529-03AA3D76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04489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B14B5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14B5F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9E7A69"/>
    <w:pPr>
      <w:keepNext/>
      <w:keepLines/>
      <w:spacing w:before="280" w:after="120" w:line="310" w:lineRule="atLeast"/>
      <w:outlineLvl w:val="2"/>
    </w:pPr>
    <w:rPr>
      <w:rFonts w:ascii="Arial" w:eastAsia="MS Gothic" w:hAnsi="Arial"/>
      <w:b/>
      <w:bCs/>
      <w:color w:val="201547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9E7A69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17674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14B5F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14B5F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9E7A69"/>
    <w:rPr>
      <w:rFonts w:ascii="Arial" w:eastAsia="MS Gothic" w:hAnsi="Arial"/>
      <w:b/>
      <w:bCs/>
      <w:color w:val="201547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9E7A69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A01191"/>
    <w:pPr>
      <w:spacing w:after="300"/>
    </w:pPr>
    <w:rPr>
      <w:rFonts w:ascii="Arial" w:hAnsi="Arial" w:cs="Arial"/>
      <w:color w:val="201547"/>
      <w:sz w:val="18"/>
      <w:szCs w:val="18"/>
      <w:lang w:eastAsia="en-US"/>
    </w:rPr>
  </w:style>
  <w:style w:type="paragraph" w:styleId="Footer">
    <w:name w:val="footer"/>
    <w:uiPriority w:val="8"/>
    <w:rsid w:val="00EF2C72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8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6E1867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CF4148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8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10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10"/>
      </w:numPr>
    </w:pPr>
  </w:style>
  <w:style w:type="numbering" w:customStyle="1" w:styleId="ZZTablebullets">
    <w:name w:val="ZZ Table bullets"/>
    <w:basedOn w:val="NoList"/>
    <w:rsid w:val="00337339"/>
    <w:pPr>
      <w:numPr>
        <w:numId w:val="10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37339"/>
    <w:pPr>
      <w:numPr>
        <w:ilvl w:val="2"/>
        <w:numId w:val="4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CF4148"/>
    <w:pPr>
      <w:spacing w:after="100"/>
    </w:pPr>
    <w:rPr>
      <w:rFonts w:ascii="Arial" w:hAnsi="Arial"/>
      <w:color w:val="201547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8"/>
      </w:numPr>
    </w:pPr>
  </w:style>
  <w:style w:type="numbering" w:customStyle="1" w:styleId="ZZNumbersdigit">
    <w:name w:val="ZZ Numbers digit"/>
    <w:rsid w:val="00337339"/>
    <w:pPr>
      <w:numPr>
        <w:numId w:val="3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2"/>
      </w:numPr>
    </w:pPr>
  </w:style>
  <w:style w:type="paragraph" w:customStyle="1" w:styleId="Numberdigit">
    <w:name w:val="Number digit"/>
    <w:basedOn w:val="Body"/>
    <w:uiPriority w:val="2"/>
    <w:rsid w:val="00337339"/>
    <w:pPr>
      <w:numPr>
        <w:numId w:val="4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3"/>
      </w:numPr>
    </w:pPr>
  </w:style>
  <w:style w:type="paragraph" w:customStyle="1" w:styleId="Numberdigitindent">
    <w:name w:val="Number digit indent"/>
    <w:basedOn w:val="Numberloweralphaindent"/>
    <w:uiPriority w:val="3"/>
    <w:rsid w:val="00337339"/>
    <w:pPr>
      <w:numPr>
        <w:numId w:val="4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3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4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4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37339"/>
    <w:pPr>
      <w:numPr>
        <w:ilvl w:val="3"/>
        <w:numId w:val="4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4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1"/>
      </w:numPr>
    </w:pPr>
  </w:style>
  <w:style w:type="paragraph" w:customStyle="1" w:styleId="Quotebullet1">
    <w:name w:val="Quote bullet 1"/>
    <w:basedOn w:val="Quotetext"/>
    <w:rsid w:val="00337339"/>
    <w:pPr>
      <w:numPr>
        <w:numId w:val="12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2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DHHSaccessibilitypara">
    <w:name w:val="DHHS accessibility para"/>
    <w:uiPriority w:val="8"/>
    <w:rsid w:val="001B20B3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tabletext">
    <w:name w:val="DHHS table text"/>
    <w:uiPriority w:val="3"/>
    <w:qFormat/>
    <w:rsid w:val="001B20B3"/>
    <w:pPr>
      <w:spacing w:before="80" w:after="60"/>
    </w:pPr>
    <w:rPr>
      <w:rFonts w:ascii="Arial" w:hAnsi="Arial"/>
      <w:lang w:eastAsia="en-US"/>
    </w:rPr>
  </w:style>
  <w:style w:type="paragraph" w:customStyle="1" w:styleId="DHHSbody">
    <w:name w:val="DHHS body"/>
    <w:link w:val="DHHSbodyChar"/>
    <w:qFormat/>
    <w:rsid w:val="001B20B3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link w:val="DHHSbody"/>
    <w:locked/>
    <w:rsid w:val="001B20B3"/>
    <w:rPr>
      <w:rFonts w:ascii="Arial" w:eastAsia="Times" w:hAnsi="Arial"/>
      <w:lang w:eastAsia="en-US"/>
    </w:rPr>
  </w:style>
  <w:style w:type="paragraph" w:customStyle="1" w:styleId="DHHSbullet2lastline">
    <w:name w:val="DHHS bullet 2 last line"/>
    <w:basedOn w:val="Normal"/>
    <w:qFormat/>
    <w:rsid w:val="001B20B3"/>
    <w:pPr>
      <w:spacing w:line="270" w:lineRule="atLeast"/>
      <w:ind w:left="567" w:hanging="283"/>
    </w:pPr>
    <w:rPr>
      <w:rFonts w:eastAsia="Times"/>
      <w:sz w:val="20"/>
    </w:rPr>
  </w:style>
  <w:style w:type="paragraph" w:customStyle="1" w:styleId="DHHSbullet1">
    <w:name w:val="DHHS bullet 1"/>
    <w:basedOn w:val="DHHSbody"/>
    <w:qFormat/>
    <w:rsid w:val="001B20B3"/>
    <w:pPr>
      <w:spacing w:after="40"/>
      <w:ind w:left="284" w:hanging="284"/>
    </w:pPr>
  </w:style>
  <w:style w:type="character" w:customStyle="1" w:styleId="normaltextrun">
    <w:name w:val="normaltextrun"/>
    <w:basedOn w:val="DefaultParagraphFont"/>
    <w:rsid w:val="001B20B3"/>
  </w:style>
  <w:style w:type="character" w:customStyle="1" w:styleId="eop">
    <w:name w:val="eop"/>
    <w:basedOn w:val="DefaultParagraphFont"/>
    <w:rsid w:val="001B20B3"/>
  </w:style>
  <w:style w:type="paragraph" w:customStyle="1" w:styleId="paragraph">
    <w:name w:val="paragraph"/>
    <w:basedOn w:val="Normal"/>
    <w:rsid w:val="00A710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604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85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6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06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06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1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2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1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9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84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73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73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1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1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8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providers.dffh.vic.gov.au/better-futures" TargetMode="External"/><Relationship Id="rId26" Type="http://schemas.openxmlformats.org/officeDocument/2006/relationships/hyperlink" Target="https://providers.dffh.vic.gov.au/leaving-car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hhsvicgovau.sharepoint.com/sites/ChildrenYouthFamilies-DHHS-GRP/Shared%20Documents/CRIS%20CRISSP%20for%20Better%20Futures/Information%20Sheets/Better%20Futures%20website%20Published%20docs%20edited/HS%20Sent%20to%20Karen%20for%20approval/DFFH%20website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betterfutrescentral@s@dffh.vic.gov.au" TargetMode="External"/><Relationship Id="rId25" Type="http://schemas.openxmlformats.org/officeDocument/2006/relationships/hyperlink" Target="https://providers.dffh.vic.gov.au/home-stretch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file:///C:/Users/cspo2506/Downloads/providers.dffh.vic.gov.au/better-futures" TargetMode="External"/><Relationship Id="rId29" Type="http://schemas.openxmlformats.org/officeDocument/2006/relationships/hyperlink" Target="https://providers.dffh.vic.gov.au/families-fairness-housing-health-activity-searc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fac.dffh.vic.gov.au/service-delivery-trackin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providers.dffh.vic.gov.au/families-fairness-housing-health-activity-search" TargetMode="External"/><Relationship Id="rId28" Type="http://schemas.openxmlformats.org/officeDocument/2006/relationships/hyperlink" Target="https://fac.dhhs.vic.gov.au" TargetMode="Externa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fac.dffh.vic.gov.au/service-agreement-requirements" TargetMode="External"/><Relationship Id="rId27" Type="http://schemas.openxmlformats.org/officeDocument/2006/relationships/hyperlink" Target="https://services.dffh.vic.gov.au/leaving-care" TargetMode="Externa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SharedWithUsers xmlns="51ef5222-d273-4e86-adbf-8aa3d9e99a84">
      <UserInfo>
        <DisplayName/>
        <AccountId xsi:nil="true"/>
        <AccountType/>
      </UserInfo>
    </SharedWithUsers>
    <MediaLengthInSeconds xmlns="06badf41-c0a1-41a6-983a-efd542c2c878" xsi:nil="true"/>
    <Caption xmlns="06badf41-c0a1-41a6-983a-efd542c2c87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F1E6C4-013D-46E3-80CB-5FD7641787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399089-DC85-40BB-98A6-8A70EB11B6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94D947-FC3C-4913-9AA7-C142E8F2ACC9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b75816e7-0a6d-4b29-8737-3e580fa44d07"/>
    <ds:schemaRef ds:uri="http://schemas.openxmlformats.org/package/2006/metadata/core-properties"/>
    <ds:schemaRef ds:uri="1b12f4df-a58c-4772-ad03-b6a65e63833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B7E325D-C4F6-4386-9A51-1B59670FD1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13</Pages>
  <Words>3693</Words>
  <Characters>21054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Better Futures performance and reporting practice advice</vt:lpstr>
    </vt:vector>
  </TitlesOfParts>
  <Manager/>
  <Company>Department of Families Fairness and Housing</Company>
  <LinksUpToDate>false</LinksUpToDate>
  <CharactersWithSpaces>24698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Futures performance and reporting practice advice</dc:title>
  <dc:subject>Better Futures performance and reporting practice advice</dc:subject>
  <dc:creator>Children and Families Branch</dc:creator>
  <cp:keywords>Better Futures and Home Stretch</cp:keywords>
  <dcterms:created xsi:type="dcterms:W3CDTF">2024-06-18T01:50:00Z</dcterms:created>
  <dcterms:modified xsi:type="dcterms:W3CDTF">2024-07-03T23:35:00Z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0x0101009F0C4347C5C6D34BA8C9FCC4F57D19B6</vt:lpwstr>
  </property>
  <property fmtid="{D5CDD505-2E9C-101B-9397-08002B2CF9AE}" pid="3" name="MediaServiceImageTags">
    <vt:lpwstr/>
  </property>
  <property fmtid="{D5CDD505-2E9C-101B-9397-08002B2CF9AE}" pid="4" name="Order">
    <vt:r8>568700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MSIP_Label_43e64453-338c-4f93-8a4d-0039a0a41f2a_Enabled">
    <vt:lpwstr>true</vt:lpwstr>
  </property>
  <property fmtid="{D5CDD505-2E9C-101B-9397-08002B2CF9AE}" pid="11" name="MSIP_Label_43e64453-338c-4f93-8a4d-0039a0a41f2a_SetDate">
    <vt:lpwstr>2024-07-03T23:35:34Z</vt:lpwstr>
  </property>
  <property fmtid="{D5CDD505-2E9C-101B-9397-08002B2CF9AE}" pid="12" name="MSIP_Label_43e64453-338c-4f93-8a4d-0039a0a41f2a_Method">
    <vt:lpwstr>Privileged</vt:lpwstr>
  </property>
  <property fmtid="{D5CDD505-2E9C-101B-9397-08002B2CF9AE}" pid="13" name="MSIP_Label_43e64453-338c-4f93-8a4d-0039a0a41f2a_Name">
    <vt:lpwstr>43e64453-338c-4f93-8a4d-0039a0a41f2a</vt:lpwstr>
  </property>
  <property fmtid="{D5CDD505-2E9C-101B-9397-08002B2CF9AE}" pid="14" name="MSIP_Label_43e64453-338c-4f93-8a4d-0039a0a41f2a_SiteId">
    <vt:lpwstr>c0e0601f-0fac-449c-9c88-a104c4eb9f28</vt:lpwstr>
  </property>
  <property fmtid="{D5CDD505-2E9C-101B-9397-08002B2CF9AE}" pid="15" name="MSIP_Label_43e64453-338c-4f93-8a4d-0039a0a41f2a_ActionId">
    <vt:lpwstr>f72343ff-10fc-4a4e-8272-2505f3325c13</vt:lpwstr>
  </property>
  <property fmtid="{D5CDD505-2E9C-101B-9397-08002B2CF9AE}" pid="16" name="MSIP_Label_43e64453-338c-4f93-8a4d-0039a0a41f2a_ContentBits">
    <vt:lpwstr>2</vt:lpwstr>
  </property>
</Properties>
</file>