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Behaviour Intervention Services 17026</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s://www.dhhs.vic.gov.au/publications/authorised-program-officer-practice-advice" TargetMode="External"/>
<Relationship Id="rId15" Type="http://schemas.openxmlformats.org/officeDocument/2006/relationships/hyperlink" Target="https://providers.dffh.vic.gov.au/behaviour-support-planning-toolkit-section-4-useful-assessment-tools-and-forms-word" TargetMode="External"/>
<Relationship Id="rId16" Type="http://schemas.openxmlformats.org/officeDocument/2006/relationships/hyperlink" Target="https://www.dhhs.vic.gov.au/publications/senior-practitioner-disability-independent-person-toolkit" TargetMode="External"/>
<Relationship Id="rId17" Type="http://schemas.openxmlformats.org/officeDocument/2006/relationships/hyperlink" Target="http://www.dhs.vic.gov.au/about-the-department/documents-and-resources/reports-publications/positive-practice-framework-ppf" TargetMode="External"/>
<Relationship Id="rId18" Type="http://schemas.openxmlformats.org/officeDocument/2006/relationships/hyperlink" Target="http://providers.dffh.vic.gov.au/families-fairness-housing-health-activity-search" TargetMode="External"/>
<Relationship Id="rId19"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Behaviour Intervention Services</w:t>
            </w:r>
          </w:p>
          <w:p>
            <w:pPr>
              <w:spacing w:line="560" w:lineRule="atLeast"/>
              <w:rPr>
                <w:rFonts w:ascii="Arial" w:hAnsi="Arial" w:eastAsia="Arial" w:cs="Arial"/>
                <w:color w:val="201547"/>
                <w:sz w:val="44"/>
              </w:rPr>
            </w:pPr>
            <w:r>
              <w:rPr>
                <w:rFonts w:ascii="Arial" w:hAnsi="Arial" w:eastAsia="Arial" w:cs="Arial"/>
                <w:color w:val="201547"/>
                <w:sz w:val="44"/>
              </w:rPr>
              <w:t>17026</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Disability Services</w:t>
            </w:r>
          </w:p>
          <w:p>
            <w:pPr>
              <w:spacing w:after="120"/>
              <w:rPr>
                <w:rFonts w:ascii="Arial" w:hAnsi="Arial" w:eastAsia="Arial" w:cs="Arial"/>
                <w:color w:val="201547"/>
                <w:sz w:val="28"/>
              </w:rPr>
            </w:pPr>
            <w:r>
              <w:rPr>
                <w:rFonts w:ascii="Arial" w:hAnsi="Arial" w:eastAsia="Arial" w:cs="Arial"/>
                <w:color w:val="201547"/>
                <w:sz w:val="28"/>
              </w:rPr>
              <w:t>Output: Client Services And Capacity</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Behaviour intervention services aim to improve the quality of life of people with disabilities by reducing behaviours of concern and the use of restrictive interventions.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Funding for this activity is being withdrawn progressively as clients transition to the National Disability Insurance Scheme (NDIS).</w:t>
      </w:r>
      <w:r>
        <w:br/>
      </w:r>
      <w:r>
        <w:rPr>
          <w:rFonts w:ascii="Arial" w:hAnsi="Arial" w:eastAsia="Arial" w:cs="Arial"/>
          <w:color w:val="000000"/>
          <w:sz w:val="20"/>
        </w:rPr>
        <w:t>Behaviour intervention services manage and prevent behaviours of concern through the development and implementation of evidence-based interventions that promote and maintain positive behaviour.</w:t>
      </w:r>
      <w:r>
        <w:br/>
      </w:r>
      <w:r>
        <w:rPr>
          <w:rFonts w:ascii="Arial" w:hAnsi="Arial" w:eastAsia="Arial" w:cs="Arial"/>
          <w:color w:val="000000"/>
          <w:sz w:val="20"/>
        </w:rPr>
        <w:t>Behaviour intervention services broadly include the following:</w:t>
      </w:r>
      <w:r>
        <w:br/>
      </w:r>
      <w:r>
        <w:rPr>
          <w:rFonts w:ascii="Arial" w:hAnsi="Arial" w:eastAsia="Arial" w:cs="Arial"/>
          <w:color w:val="000000"/>
          <w:sz w:val="20"/>
        </w:rPr>
        <w:t>•	an intervention that is provided directly with the person, or via carers or staff. This form of service delivery requires comprehensive assessment, intervention and support strategies relative to the person’s presenting needs and circumstances. Strategies may be delivered simultaneously rather than sequentially.</w:t>
      </w:r>
      <w:r>
        <w:br/>
      </w:r>
      <w:r>
        <w:rPr>
          <w:rFonts w:ascii="Arial" w:hAnsi="Arial" w:eastAsia="Arial" w:cs="Arial"/>
          <w:color w:val="000000"/>
          <w:sz w:val="20"/>
        </w:rPr>
        <w:t>•	consultation and skills building that is designed to build systemic capacity. This form of service delivery involves training and consultation to staff and carers who provide direct support to people with disability.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this activity is targeted at is adults and young people who meet the criteria for disability service provision under the Disability Act 2006 and display behaviours that are a barrier to participation and pose a risk to the health and safety of a person and those with whom they live or work. These behaviours of concern may include aggressive, self-injurious, or dangerous behaviour.</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Senior Practitioner – Authorised Program Officer practice advice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&lt;https://www.dhhs.vic.gov.au/publications/authorised-program-officer-practice-advice&gt;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Senior Practitioner - Behaviour support planning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&lt;https://providers.dffh.vic.gov.au/behaviour-support-planning-toolkit-section-4-useful-assessment-tools-and-forms-word&gt;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Senior Practitioner - Independent Person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&lt;https://www.dhhs.vic.gov.au/publications/senior-practitioner-disability-independent-person-toolkit&gt;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The Positive Practice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&lt;http://www.dhs.vic.gov.au/about-the-department/documents-and-resources/reports-publications/positive-practice-framework-ppf&gt;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clients who received behaviour intervention services during the reporting period. On 1 July of each financial year count all clients receiving support as 'new clients' and thereafter from August to June each year, count only new clients.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Standard intervention</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clients who received behaviour intervention services during the reporting period. On 1 July of each financial year count all clients receiving support as 'new clients' and thereafter from August to June each year, count only new clients.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complex Intervention</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clients who received behaviour intervention services during the reporting period. On 1 July of each financial year count all clients receiving support as 'new clients' and thereafter from August to June each year, count only new clients.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 Data Collection (QDC)</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Quarterly data collection – minimum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8"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Disability Services 17026 Behaviour Intervention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