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numbering" Target="numbering.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providers.dffh.vic.gov.au/families-fairness-housing-health-activity-search" TargetMode="Externa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autismcrc.com.au/access/national-guideline" TargetMode="External"/><Relationship Id="rId5" Type="http://schemas.openxmlformats.org/officeDocument/2006/relationships/theme" Target="theme/theme1.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fontTable" Target="fontTable.xml"/><Relationship Id="rId9" Type="http://schemas.openxmlformats.org/officeDocument/2006/relationships/footer" Target="footer2.xml"/><Relationship Id="rId1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2CA7054-5BB9-4F80-8449-F6F5F7A4424C}"/>
</file>

<file path=customXml/itemProps2.xml><?xml version="1.0" encoding="utf-8"?>
<ds:datastoreItem xmlns:ds="http://schemas.openxmlformats.org/officeDocument/2006/customXml" ds:itemID="{F445B333-DA30-4614-BFA2-7F2CB319EA73}"/>
</file>

<file path=customXml/itemProps3.xml><?xml version="1.0" encoding="utf-8"?>
<ds:datastoreItem xmlns:ds="http://schemas.openxmlformats.org/officeDocument/2006/customXml" ds:itemID="{569EDF77-E05F-43BE-B484-8223688CB22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Autism assessment and diagnosis services 28096</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Autism assessment and diagnosis services</w:t>
            </w:r>
          </w:p>
          <w:p>
            <w:pPr>
              <w:spacing w:line="560" w:lineRule="atLeast"/>
              <w:rPr>
                <w:rFonts w:ascii="Arial" w:hAnsi="Arial" w:eastAsia="Arial" w:cs="Arial"/>
                <w:color w:val="201547"/>
                <w:sz w:val="44"/>
              </w:rPr>
            </w:pPr>
            <w:r>
              <w:rPr>
                <w:rFonts w:ascii="Arial" w:hAnsi="Arial" w:eastAsia="Arial" w:cs="Arial"/>
                <w:color w:val="201547"/>
                <w:sz w:val="44"/>
              </w:rPr>
              <w:t>28096</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Primary, Community and Dental Health</w:t>
            </w:r>
          </w:p>
          <w:p>
            <w:pPr>
              <w:spacing w:after="120"/>
              <w:rPr>
                <w:rFonts w:ascii="Arial" w:hAnsi="Arial" w:eastAsia="Arial" w:cs="Arial"/>
                <w:color w:val="201547"/>
                <w:sz w:val="28"/>
              </w:rPr>
            </w:pPr>
            <w:r>
              <w:rPr>
                <w:rFonts w:ascii="Arial" w:hAnsi="Arial" w:eastAsia="Arial" w:cs="Arial"/>
                <w:color w:val="201547"/>
                <w:sz w:val="28"/>
              </w:rPr>
              <w:t>Output: Community Health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provision of an autism assessment in a community health service.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A comprehensive needs assessment and diagnostic evaluation to determine whether a client meets the defined criteria for Autism Spectrum Disorder. Also identifies strengths and support needs. May be a single clinician or multidisciplinary team assessment as per the needs of the child and aligned with the Autism CRC National Guideline for the Assessment and Diagnosis of Autism Spectrum Disorders in Australia.  The assessment is performed in a community health service.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Client Facing</w:t>
      </w:r>
      <w:r>
        <w:br/>
      </w:r>
      <w:r>
        <w:rPr>
          <w:rFonts w:ascii="Arial" w:hAnsi="Arial" w:eastAsia="Arial" w:cs="Arial"/>
          <w:color w:val="000000"/>
          <w:sz w:val="20"/>
        </w:rPr>
        <w:t>The client group this activity is targeted at is children</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Autism CRC National Guideline for the Assessment and Diagnosis of Autism Spectrum Disorders in Australia.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&lt;https://www.autismcrc.com.au/access/national-guideline&gt;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assessments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key performance measure provides information about the number of autism assessments undertaken in a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key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Number of Autism Assessment Services with a service end date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Community Health minimum dataset (CHMDS)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An autism assessment for the purpose of this key performance measure is a comprehensive needs assessment and diagnostic evaluation to determine whether a client meets the defined criteria for Autism Spectrum Disorder. Also identifies strengths and support needs. May be a single clinician or multidisciplinary team assessment as per the needs of the child and aligned with the Autism CRC National Guideline for the Assessment and Diagnosis of Autism Spectrum Disorders in Australia.</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Community Health minimum dataset (CHMDS)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January 2023</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2"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Primary, Community and Dental Health 28096 Autism assessment and diagnosis services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