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034" w:rsidRPr="00023034" w:rsidRDefault="00023034" w:rsidP="00761D08">
      <w:pPr>
        <w:tabs>
          <w:tab w:val="left" w:pos="3080"/>
        </w:tabs>
        <w:rPr>
          <w:color w:val="006666"/>
          <w:sz w:val="16"/>
          <w:szCs w:val="16"/>
        </w:rPr>
      </w:pPr>
      <w:bookmarkStart w:id="0" w:name="_GoBack"/>
      <w:bookmarkEnd w:id="0"/>
    </w:p>
    <w:p w:rsidR="00761D08" w:rsidRPr="00023034" w:rsidRDefault="00761D08" w:rsidP="00023034">
      <w:pPr>
        <w:tabs>
          <w:tab w:val="left" w:pos="3080"/>
        </w:tabs>
        <w:spacing w:after="60"/>
        <w:rPr>
          <w:color w:val="006666"/>
          <w:sz w:val="24"/>
          <w:szCs w:val="24"/>
        </w:rPr>
      </w:pPr>
      <w:r w:rsidRPr="00023034">
        <w:rPr>
          <w:color w:val="006666"/>
          <w:sz w:val="24"/>
          <w:szCs w:val="24"/>
        </w:rPr>
        <w:t>About the Protocol</w:t>
      </w:r>
    </w:p>
    <w:p w:rsidR="00761D08" w:rsidRPr="006B6746" w:rsidRDefault="00761D08" w:rsidP="00761D08">
      <w:pPr>
        <w:tabs>
          <w:tab w:val="left" w:pos="3080"/>
        </w:tabs>
        <w:rPr>
          <w:sz w:val="18"/>
          <w:szCs w:val="18"/>
        </w:rPr>
      </w:pPr>
      <w:r w:rsidRPr="006B6746">
        <w:rPr>
          <w:sz w:val="18"/>
          <w:szCs w:val="18"/>
        </w:rPr>
        <w:t xml:space="preserve">When a younger person with a disability is at risk of entering a residential aged care facility, the Aged Care Assessment Service (ACAS) and Disability Services have a joint responsibility to determine the best way their support needs can be met.  The </w:t>
      </w:r>
      <w:r w:rsidRPr="006B6746">
        <w:rPr>
          <w:i/>
          <w:sz w:val="18"/>
          <w:szCs w:val="18"/>
        </w:rPr>
        <w:t>Disability Services – Aged Care Assessment Services Protocol</w:t>
      </w:r>
      <w:r w:rsidRPr="006B6746">
        <w:rPr>
          <w:sz w:val="18"/>
          <w:szCs w:val="18"/>
        </w:rPr>
        <w:t xml:space="preserve"> aims to facilitate collaboration between the program areas by:</w:t>
      </w:r>
    </w:p>
    <w:p w:rsidR="00761D08" w:rsidRPr="006B6746" w:rsidRDefault="00761D08" w:rsidP="00761D08">
      <w:pPr>
        <w:tabs>
          <w:tab w:val="left" w:pos="3080"/>
        </w:tabs>
        <w:rPr>
          <w:sz w:val="18"/>
          <w:szCs w:val="18"/>
        </w:rPr>
      </w:pPr>
    </w:p>
    <w:p w:rsidR="00761D08" w:rsidRPr="006B6746" w:rsidRDefault="00761D08" w:rsidP="00761D08">
      <w:pPr>
        <w:numPr>
          <w:ilvl w:val="0"/>
          <w:numId w:val="3"/>
        </w:numPr>
        <w:tabs>
          <w:tab w:val="left" w:pos="3080"/>
        </w:tabs>
        <w:rPr>
          <w:sz w:val="18"/>
          <w:szCs w:val="18"/>
        </w:rPr>
      </w:pPr>
      <w:r w:rsidRPr="006B6746">
        <w:rPr>
          <w:sz w:val="18"/>
          <w:szCs w:val="18"/>
        </w:rPr>
        <w:t>improving understanding of the ACAS and Disability Services program areas</w:t>
      </w:r>
    </w:p>
    <w:p w:rsidR="00761D08" w:rsidRPr="008C0C3A" w:rsidRDefault="00761D08" w:rsidP="00761D08">
      <w:pPr>
        <w:numPr>
          <w:ilvl w:val="0"/>
          <w:numId w:val="3"/>
        </w:numPr>
        <w:tabs>
          <w:tab w:val="left" w:pos="3080"/>
        </w:tabs>
        <w:rPr>
          <w:sz w:val="18"/>
          <w:szCs w:val="18"/>
        </w:rPr>
      </w:pPr>
      <w:r w:rsidRPr="006B6746">
        <w:rPr>
          <w:sz w:val="18"/>
          <w:szCs w:val="18"/>
        </w:rPr>
        <w:t>identifying clear processes between Disability Services</w:t>
      </w:r>
      <w:r w:rsidRPr="008C0C3A">
        <w:rPr>
          <w:sz w:val="18"/>
          <w:szCs w:val="18"/>
        </w:rPr>
        <w:t xml:space="preserve"> and ACAS, including referral processes</w:t>
      </w:r>
    </w:p>
    <w:p w:rsidR="00761D08" w:rsidRPr="008C0C3A" w:rsidRDefault="00761D08" w:rsidP="00761D08">
      <w:pPr>
        <w:numPr>
          <w:ilvl w:val="0"/>
          <w:numId w:val="3"/>
        </w:numPr>
        <w:tabs>
          <w:tab w:val="left" w:pos="3080"/>
        </w:tabs>
        <w:rPr>
          <w:sz w:val="18"/>
          <w:szCs w:val="18"/>
        </w:rPr>
      </w:pPr>
      <w:r w:rsidRPr="008C0C3A">
        <w:rPr>
          <w:sz w:val="18"/>
          <w:szCs w:val="18"/>
        </w:rPr>
        <w:t>fostering collaborative working relationships</w:t>
      </w:r>
      <w:r>
        <w:rPr>
          <w:sz w:val="18"/>
          <w:szCs w:val="18"/>
        </w:rPr>
        <w:t xml:space="preserve"> to ensure optimal outcomes for clients</w:t>
      </w:r>
      <w:r w:rsidRPr="008C0C3A">
        <w:rPr>
          <w:sz w:val="18"/>
          <w:szCs w:val="18"/>
        </w:rPr>
        <w:t>.</w:t>
      </w:r>
    </w:p>
    <w:p w:rsidR="00761D08" w:rsidRDefault="00761D08" w:rsidP="00761D08">
      <w:pPr>
        <w:tabs>
          <w:tab w:val="left" w:pos="3080"/>
        </w:tabs>
        <w:rPr>
          <w:sz w:val="18"/>
          <w:szCs w:val="18"/>
        </w:rPr>
      </w:pPr>
    </w:p>
    <w:p w:rsidR="00761D08" w:rsidRPr="00EE01A3" w:rsidRDefault="00761D08" w:rsidP="00761D08">
      <w:pPr>
        <w:tabs>
          <w:tab w:val="left" w:pos="3080"/>
        </w:tabs>
        <w:rPr>
          <w:sz w:val="18"/>
          <w:szCs w:val="18"/>
        </w:rPr>
      </w:pPr>
      <w:r w:rsidRPr="00EE01A3">
        <w:rPr>
          <w:sz w:val="18"/>
        </w:rPr>
        <w:t xml:space="preserve">The protocol has recently been updated. Revisions include legislative and policy changes that have occurred in Disability Services since the development of the original protocol.  ACAS and </w:t>
      </w:r>
      <w:r w:rsidRPr="00EE01A3">
        <w:rPr>
          <w:sz w:val="18"/>
          <w:szCs w:val="18"/>
        </w:rPr>
        <w:t xml:space="preserve">Disability Services staff should familiarise themselves with the protocol to ensure a good understanding of </w:t>
      </w:r>
      <w:r w:rsidR="00E05E7C">
        <w:rPr>
          <w:sz w:val="18"/>
          <w:szCs w:val="18"/>
        </w:rPr>
        <w:t>the agreed statewide processes.</w:t>
      </w:r>
      <w:r w:rsidRPr="00EE01A3">
        <w:rPr>
          <w:sz w:val="18"/>
          <w:szCs w:val="18"/>
        </w:rPr>
        <w:t xml:space="preserve"> The fu</w:t>
      </w:r>
      <w:r w:rsidR="00EC4453">
        <w:rPr>
          <w:sz w:val="18"/>
          <w:szCs w:val="18"/>
        </w:rPr>
        <w:t xml:space="preserve">ll protocol is available at </w:t>
      </w:r>
      <w:hyperlink r:id="rId8" w:history="1">
        <w:r w:rsidR="00EC4453" w:rsidRPr="00156ED3">
          <w:rPr>
            <w:rStyle w:val="Hyperlink"/>
          </w:rPr>
          <w:t>www.dhs.vic.gov.au/disability</w:t>
        </w:r>
      </w:hyperlink>
      <w:r w:rsidR="004F7631">
        <w:t>.</w:t>
      </w:r>
    </w:p>
    <w:p w:rsidR="00761D08" w:rsidRPr="00EE01A3" w:rsidRDefault="00761D08" w:rsidP="00761D08">
      <w:pPr>
        <w:tabs>
          <w:tab w:val="left" w:pos="3080"/>
        </w:tabs>
        <w:rPr>
          <w:sz w:val="18"/>
          <w:szCs w:val="18"/>
        </w:rPr>
      </w:pPr>
    </w:p>
    <w:p w:rsidR="00761D08" w:rsidRPr="00023034" w:rsidRDefault="00761D08" w:rsidP="00023034">
      <w:pPr>
        <w:tabs>
          <w:tab w:val="left" w:pos="3080"/>
        </w:tabs>
        <w:spacing w:after="60"/>
        <w:rPr>
          <w:color w:val="006666"/>
          <w:sz w:val="24"/>
          <w:szCs w:val="24"/>
        </w:rPr>
      </w:pPr>
      <w:r w:rsidRPr="00023034">
        <w:rPr>
          <w:color w:val="006666"/>
          <w:sz w:val="24"/>
          <w:szCs w:val="24"/>
        </w:rPr>
        <w:t>Focus of the Protocol</w:t>
      </w:r>
    </w:p>
    <w:p w:rsidR="00761D08" w:rsidRPr="008C0C3A" w:rsidRDefault="00761D08" w:rsidP="00761D08">
      <w:pPr>
        <w:tabs>
          <w:tab w:val="left" w:pos="3080"/>
        </w:tabs>
        <w:rPr>
          <w:sz w:val="18"/>
          <w:szCs w:val="18"/>
        </w:rPr>
      </w:pPr>
      <w:r w:rsidRPr="006B6746">
        <w:rPr>
          <w:sz w:val="18"/>
          <w:szCs w:val="18"/>
        </w:rPr>
        <w:t xml:space="preserve">The focus of the protocol is people with a disability under the age of 65 years who are within target group for Disability Services (as defined by the </w:t>
      </w:r>
      <w:r w:rsidRPr="006B6746">
        <w:rPr>
          <w:i/>
          <w:sz w:val="18"/>
          <w:szCs w:val="18"/>
        </w:rPr>
        <w:t>Disability Act 2006</w:t>
      </w:r>
      <w:r w:rsidRPr="006B6746">
        <w:rPr>
          <w:sz w:val="18"/>
          <w:szCs w:val="18"/>
        </w:rPr>
        <w:t>) and</w:t>
      </w:r>
      <w:r w:rsidRPr="008C0C3A">
        <w:rPr>
          <w:sz w:val="18"/>
          <w:szCs w:val="18"/>
        </w:rPr>
        <w:t xml:space="preserve"> who, because of high support needs, may require admission to a Commonwealth funded residential aged care facility. </w:t>
      </w:r>
    </w:p>
    <w:p w:rsidR="00761D08" w:rsidRDefault="00761D08" w:rsidP="00761D08">
      <w:pPr>
        <w:tabs>
          <w:tab w:val="left" w:pos="3080"/>
        </w:tabs>
      </w:pPr>
    </w:p>
    <w:p w:rsidR="00761D08" w:rsidRDefault="00761D08" w:rsidP="00023034">
      <w:pPr>
        <w:tabs>
          <w:tab w:val="left" w:pos="3080"/>
        </w:tabs>
        <w:spacing w:after="60"/>
        <w:rPr>
          <w:color w:val="006666"/>
          <w:sz w:val="24"/>
          <w:szCs w:val="24"/>
        </w:rPr>
      </w:pPr>
      <w:r w:rsidRPr="00023034">
        <w:rPr>
          <w:color w:val="006666"/>
          <w:sz w:val="24"/>
          <w:szCs w:val="24"/>
        </w:rPr>
        <w:t>Shared principles</w:t>
      </w:r>
    </w:p>
    <w:p w:rsidR="00761D08" w:rsidRPr="006B6746" w:rsidRDefault="00761D08" w:rsidP="00761D08">
      <w:pPr>
        <w:tabs>
          <w:tab w:val="left" w:pos="3080"/>
        </w:tabs>
        <w:rPr>
          <w:sz w:val="18"/>
          <w:szCs w:val="18"/>
        </w:rPr>
      </w:pPr>
      <w:r w:rsidRPr="006B6746">
        <w:rPr>
          <w:sz w:val="18"/>
          <w:szCs w:val="18"/>
        </w:rPr>
        <w:t>To ensure best outcomes for younger people with a disability:</w:t>
      </w:r>
    </w:p>
    <w:p w:rsidR="00761D08" w:rsidRPr="008C0C3A" w:rsidRDefault="00761D08" w:rsidP="00761D08">
      <w:pPr>
        <w:numPr>
          <w:ilvl w:val="0"/>
          <w:numId w:val="4"/>
        </w:numPr>
        <w:tabs>
          <w:tab w:val="left" w:pos="3080"/>
        </w:tabs>
        <w:rPr>
          <w:sz w:val="18"/>
          <w:szCs w:val="18"/>
        </w:rPr>
      </w:pPr>
      <w:r w:rsidRPr="006B6746">
        <w:rPr>
          <w:sz w:val="18"/>
          <w:szCs w:val="18"/>
        </w:rPr>
        <w:t>Disability Service and ACAS will work together proactively to achieve the</w:t>
      </w:r>
      <w:r w:rsidRPr="008C0C3A">
        <w:rPr>
          <w:sz w:val="18"/>
          <w:szCs w:val="18"/>
        </w:rPr>
        <w:t xml:space="preserve"> best outcomes for the person with a disability and their family.</w:t>
      </w:r>
    </w:p>
    <w:p w:rsidR="00761D08" w:rsidRPr="008C0C3A" w:rsidRDefault="00761D08" w:rsidP="00761D08">
      <w:pPr>
        <w:numPr>
          <w:ilvl w:val="0"/>
          <w:numId w:val="4"/>
        </w:numPr>
        <w:tabs>
          <w:tab w:val="left" w:pos="3080"/>
        </w:tabs>
        <w:rPr>
          <w:sz w:val="18"/>
          <w:szCs w:val="18"/>
        </w:rPr>
      </w:pPr>
      <w:r w:rsidRPr="008C0C3A">
        <w:rPr>
          <w:sz w:val="18"/>
          <w:szCs w:val="18"/>
        </w:rPr>
        <w:t>Disability Services and ACAS deliver client focused services and supports, and respond to individual needs in a timely fashion acknowledging that demand for service often</w:t>
      </w:r>
      <w:r w:rsidR="004F7631">
        <w:rPr>
          <w:sz w:val="18"/>
          <w:szCs w:val="18"/>
        </w:rPr>
        <w:t xml:space="preserve"> outweighs available resources.</w:t>
      </w:r>
    </w:p>
    <w:p w:rsidR="00761D08" w:rsidRDefault="00761D08" w:rsidP="00761D08">
      <w:pPr>
        <w:numPr>
          <w:ilvl w:val="0"/>
          <w:numId w:val="4"/>
        </w:numPr>
        <w:tabs>
          <w:tab w:val="left" w:pos="3080"/>
        </w:tabs>
        <w:rPr>
          <w:sz w:val="18"/>
          <w:szCs w:val="18"/>
        </w:rPr>
      </w:pPr>
      <w:r w:rsidRPr="008C0C3A">
        <w:rPr>
          <w:sz w:val="18"/>
          <w:szCs w:val="18"/>
        </w:rPr>
        <w:t xml:space="preserve">In situations where there is a high level of risk/urgency, </w:t>
      </w:r>
      <w:r>
        <w:rPr>
          <w:sz w:val="18"/>
          <w:szCs w:val="18"/>
        </w:rPr>
        <w:t>and an obvious and clear need for</w:t>
      </w:r>
      <w:r w:rsidRPr="008C0C3A">
        <w:rPr>
          <w:sz w:val="18"/>
          <w:szCs w:val="18"/>
        </w:rPr>
        <w:t xml:space="preserve"> residential aged care, access to an ACAS assessment is not to be delayed. </w:t>
      </w:r>
    </w:p>
    <w:p w:rsidR="00023034" w:rsidRPr="00023034" w:rsidRDefault="00023034" w:rsidP="00023034">
      <w:pPr>
        <w:tabs>
          <w:tab w:val="left" w:pos="3080"/>
        </w:tabs>
        <w:rPr>
          <w:sz w:val="16"/>
          <w:szCs w:val="16"/>
        </w:rPr>
      </w:pPr>
    </w:p>
    <w:p w:rsidR="00761D08" w:rsidRPr="00023034" w:rsidRDefault="00761D08" w:rsidP="00023034">
      <w:pPr>
        <w:tabs>
          <w:tab w:val="left" w:pos="3080"/>
        </w:tabs>
        <w:spacing w:after="60"/>
        <w:rPr>
          <w:color w:val="006666"/>
          <w:sz w:val="24"/>
          <w:szCs w:val="24"/>
        </w:rPr>
      </w:pPr>
      <w:r w:rsidRPr="00023034">
        <w:rPr>
          <w:color w:val="006666"/>
          <w:sz w:val="24"/>
          <w:szCs w:val="24"/>
        </w:rPr>
        <w:t>Roles and responsibilities</w:t>
      </w:r>
    </w:p>
    <w:tbl>
      <w:tblPr>
        <w:tblStyle w:val="TableGrid"/>
        <w:tblW w:w="0" w:type="auto"/>
        <w:jc w:val="center"/>
        <w:tblLook w:val="01E0" w:firstRow="1" w:lastRow="1" w:firstColumn="1" w:lastColumn="1" w:noHBand="0" w:noVBand="0"/>
      </w:tblPr>
      <w:tblGrid>
        <w:gridCol w:w="1987"/>
        <w:gridCol w:w="3913"/>
        <w:gridCol w:w="3954"/>
      </w:tblGrid>
      <w:tr w:rsidR="00761D08" w:rsidTr="006B27F3">
        <w:trPr>
          <w:jc w:val="center"/>
        </w:trPr>
        <w:tc>
          <w:tcPr>
            <w:tcW w:w="1987" w:type="dxa"/>
            <w:shd w:val="clear" w:color="auto" w:fill="auto"/>
          </w:tcPr>
          <w:p w:rsidR="00761D08" w:rsidRPr="00DD2135" w:rsidRDefault="00761D08" w:rsidP="004C21DA">
            <w:pPr>
              <w:tabs>
                <w:tab w:val="left" w:pos="3080"/>
              </w:tabs>
              <w:jc w:val="both"/>
            </w:pPr>
          </w:p>
        </w:tc>
        <w:tc>
          <w:tcPr>
            <w:tcW w:w="3913" w:type="dxa"/>
            <w:shd w:val="clear" w:color="auto" w:fill="auto"/>
          </w:tcPr>
          <w:p w:rsidR="00761D08" w:rsidRPr="009F1F05" w:rsidRDefault="00761D08" w:rsidP="004C21DA">
            <w:pPr>
              <w:tabs>
                <w:tab w:val="left" w:pos="3080"/>
              </w:tabs>
              <w:jc w:val="both"/>
              <w:rPr>
                <w:b/>
              </w:rPr>
            </w:pPr>
            <w:r w:rsidRPr="009F1F05">
              <w:rPr>
                <w:b/>
              </w:rPr>
              <w:t>Disability Services</w:t>
            </w:r>
          </w:p>
        </w:tc>
        <w:tc>
          <w:tcPr>
            <w:tcW w:w="3954" w:type="dxa"/>
            <w:shd w:val="clear" w:color="auto" w:fill="auto"/>
          </w:tcPr>
          <w:p w:rsidR="00761D08" w:rsidRPr="009F1F05" w:rsidRDefault="00761D08" w:rsidP="004C21DA">
            <w:pPr>
              <w:tabs>
                <w:tab w:val="left" w:pos="3080"/>
              </w:tabs>
              <w:jc w:val="both"/>
              <w:rPr>
                <w:b/>
              </w:rPr>
            </w:pPr>
            <w:r w:rsidRPr="009F1F05">
              <w:rPr>
                <w:b/>
              </w:rPr>
              <w:t>Aged Care Assessment Services</w:t>
            </w:r>
          </w:p>
        </w:tc>
      </w:tr>
      <w:tr w:rsidR="00761D08" w:rsidTr="006B27F3">
        <w:trPr>
          <w:jc w:val="center"/>
        </w:trPr>
        <w:tc>
          <w:tcPr>
            <w:tcW w:w="1987" w:type="dxa"/>
            <w:shd w:val="clear" w:color="auto" w:fill="auto"/>
          </w:tcPr>
          <w:p w:rsidR="00761D08" w:rsidRPr="009F1F05" w:rsidRDefault="00761D08" w:rsidP="004C21DA">
            <w:pPr>
              <w:tabs>
                <w:tab w:val="left" w:pos="3080"/>
              </w:tabs>
              <w:jc w:val="both"/>
              <w:rPr>
                <w:b/>
              </w:rPr>
            </w:pPr>
            <w:r w:rsidRPr="009F1F05">
              <w:rPr>
                <w:b/>
              </w:rPr>
              <w:t>Overview</w:t>
            </w:r>
          </w:p>
        </w:tc>
        <w:tc>
          <w:tcPr>
            <w:tcW w:w="3913" w:type="dxa"/>
            <w:shd w:val="clear" w:color="auto" w:fill="auto"/>
          </w:tcPr>
          <w:p w:rsidR="00761D08" w:rsidRPr="00DD2135" w:rsidRDefault="00761D08" w:rsidP="004C21DA">
            <w:pPr>
              <w:tabs>
                <w:tab w:val="left" w:pos="3080"/>
              </w:tabs>
              <w:rPr>
                <w:i/>
                <w:sz w:val="16"/>
                <w:szCs w:val="16"/>
              </w:rPr>
            </w:pPr>
            <w:r w:rsidRPr="00DD2135">
              <w:rPr>
                <w:sz w:val="16"/>
                <w:szCs w:val="16"/>
              </w:rPr>
              <w:t>Disability Services Division is part of the Department of Human Services and aims to improve the quality of life of Victorians with a disability through supports that enhance independence, choice and community inclusion.</w:t>
            </w:r>
          </w:p>
        </w:tc>
        <w:tc>
          <w:tcPr>
            <w:tcW w:w="3954" w:type="dxa"/>
            <w:shd w:val="clear" w:color="auto" w:fill="auto"/>
          </w:tcPr>
          <w:p w:rsidR="00761D08" w:rsidRPr="00DD2135" w:rsidRDefault="00761D08" w:rsidP="004C21DA">
            <w:pPr>
              <w:tabs>
                <w:tab w:val="left" w:pos="3080"/>
              </w:tabs>
              <w:rPr>
                <w:sz w:val="16"/>
                <w:szCs w:val="16"/>
              </w:rPr>
            </w:pPr>
            <w:r w:rsidRPr="00DD2135">
              <w:rPr>
                <w:sz w:val="16"/>
                <w:szCs w:val="16"/>
              </w:rPr>
              <w:t xml:space="preserve">The Aged Care Assessment Program (ACAP) is a national program funded by the Commonwealth Dept of Health and Ageing, with voluntary contributions from states and territories. There are 18 Aged Care Assessment Services (ACAS) in </w:t>
            </w:r>
            <w:smartTag w:uri="urn:schemas-microsoft-com:office:smarttags" w:element="place">
              <w:smartTag w:uri="urn:schemas-microsoft-com:office:smarttags" w:element="State">
                <w:r w:rsidRPr="00DD2135">
                  <w:rPr>
                    <w:sz w:val="16"/>
                    <w:szCs w:val="16"/>
                  </w:rPr>
                  <w:t>Victoria</w:t>
                </w:r>
              </w:smartTag>
            </w:smartTag>
            <w:r w:rsidRPr="00DD2135">
              <w:rPr>
                <w:sz w:val="16"/>
                <w:szCs w:val="16"/>
              </w:rPr>
              <w:t>.</w:t>
            </w:r>
          </w:p>
        </w:tc>
      </w:tr>
      <w:tr w:rsidR="00761D08" w:rsidTr="006B27F3">
        <w:trPr>
          <w:jc w:val="center"/>
        </w:trPr>
        <w:tc>
          <w:tcPr>
            <w:tcW w:w="1987" w:type="dxa"/>
            <w:shd w:val="clear" w:color="auto" w:fill="auto"/>
          </w:tcPr>
          <w:p w:rsidR="00761D08" w:rsidRPr="009F1F05" w:rsidRDefault="00761D08" w:rsidP="004C21DA">
            <w:pPr>
              <w:tabs>
                <w:tab w:val="left" w:pos="3080"/>
              </w:tabs>
              <w:jc w:val="both"/>
              <w:rPr>
                <w:b/>
              </w:rPr>
            </w:pPr>
            <w:r w:rsidRPr="009F1F05">
              <w:rPr>
                <w:b/>
              </w:rPr>
              <w:t>Principles</w:t>
            </w:r>
          </w:p>
        </w:tc>
        <w:tc>
          <w:tcPr>
            <w:tcW w:w="3913" w:type="dxa"/>
            <w:shd w:val="clear" w:color="auto" w:fill="auto"/>
          </w:tcPr>
          <w:p w:rsidR="00761D08" w:rsidRPr="00DD2135" w:rsidRDefault="00761D08" w:rsidP="00D30996">
            <w:pPr>
              <w:tabs>
                <w:tab w:val="left" w:pos="3080"/>
              </w:tabs>
              <w:rPr>
                <w:sz w:val="16"/>
                <w:szCs w:val="16"/>
              </w:rPr>
            </w:pPr>
            <w:r w:rsidRPr="00DD2135">
              <w:rPr>
                <w:sz w:val="16"/>
                <w:szCs w:val="16"/>
              </w:rPr>
              <w:t>Disability Services support aims to:</w:t>
            </w:r>
          </w:p>
          <w:p w:rsidR="00761D08" w:rsidRPr="00DD2135" w:rsidRDefault="00761D08" w:rsidP="00D30996">
            <w:pPr>
              <w:numPr>
                <w:ilvl w:val="0"/>
                <w:numId w:val="6"/>
              </w:numPr>
              <w:tabs>
                <w:tab w:val="left" w:pos="3080"/>
              </w:tabs>
              <w:rPr>
                <w:sz w:val="16"/>
                <w:szCs w:val="16"/>
              </w:rPr>
            </w:pPr>
            <w:r w:rsidRPr="00DD2135">
              <w:rPr>
                <w:sz w:val="16"/>
                <w:szCs w:val="16"/>
              </w:rPr>
              <w:t>support people with a disability to pursue their own lifestyles within the community</w:t>
            </w:r>
          </w:p>
          <w:p w:rsidR="00761D08" w:rsidRPr="00DD2135" w:rsidRDefault="00761D08" w:rsidP="00D30996">
            <w:pPr>
              <w:numPr>
                <w:ilvl w:val="0"/>
                <w:numId w:val="6"/>
              </w:numPr>
              <w:tabs>
                <w:tab w:val="left" w:pos="3080"/>
              </w:tabs>
              <w:rPr>
                <w:sz w:val="16"/>
                <w:szCs w:val="16"/>
              </w:rPr>
            </w:pPr>
            <w:r w:rsidRPr="00DD2135">
              <w:rPr>
                <w:sz w:val="16"/>
                <w:szCs w:val="16"/>
              </w:rPr>
              <w:t>facilitate access to generic services that are the same as other members of the community</w:t>
            </w:r>
          </w:p>
          <w:p w:rsidR="00761D08" w:rsidRPr="00DD2135" w:rsidRDefault="00761D08" w:rsidP="00D30996">
            <w:pPr>
              <w:numPr>
                <w:ilvl w:val="0"/>
                <w:numId w:val="6"/>
              </w:numPr>
              <w:tabs>
                <w:tab w:val="left" w:pos="3080"/>
              </w:tabs>
              <w:rPr>
                <w:sz w:val="16"/>
                <w:szCs w:val="16"/>
              </w:rPr>
            </w:pPr>
            <w:r w:rsidRPr="00DD2135">
              <w:rPr>
                <w:sz w:val="16"/>
                <w:szCs w:val="16"/>
              </w:rPr>
              <w:t>strengthen informal support networks.</w:t>
            </w:r>
          </w:p>
        </w:tc>
        <w:tc>
          <w:tcPr>
            <w:tcW w:w="3954" w:type="dxa"/>
            <w:shd w:val="clear" w:color="auto" w:fill="auto"/>
          </w:tcPr>
          <w:p w:rsidR="00761D08" w:rsidRPr="00DD2135" w:rsidRDefault="00761D08" w:rsidP="004C21DA">
            <w:pPr>
              <w:tabs>
                <w:tab w:val="left" w:pos="3080"/>
              </w:tabs>
              <w:rPr>
                <w:sz w:val="16"/>
                <w:szCs w:val="16"/>
              </w:rPr>
            </w:pPr>
            <w:r w:rsidRPr="00DD2135">
              <w:rPr>
                <w:sz w:val="16"/>
                <w:szCs w:val="16"/>
              </w:rPr>
              <w:t>The operating principles underlying ACAS assessments are that they are:</w:t>
            </w:r>
          </w:p>
          <w:p w:rsidR="00761D08" w:rsidRPr="00DD2135" w:rsidRDefault="00761D08" w:rsidP="004C21DA">
            <w:pPr>
              <w:numPr>
                <w:ilvl w:val="0"/>
                <w:numId w:val="5"/>
              </w:numPr>
              <w:tabs>
                <w:tab w:val="left" w:pos="3080"/>
              </w:tabs>
              <w:rPr>
                <w:sz w:val="16"/>
                <w:szCs w:val="16"/>
              </w:rPr>
            </w:pPr>
            <w:r w:rsidRPr="00DD2135">
              <w:rPr>
                <w:sz w:val="16"/>
                <w:szCs w:val="16"/>
              </w:rPr>
              <w:t>comprehensive and holistic</w:t>
            </w:r>
          </w:p>
          <w:p w:rsidR="00761D08" w:rsidRPr="00DD2135" w:rsidRDefault="00761D08" w:rsidP="004C21DA">
            <w:pPr>
              <w:numPr>
                <w:ilvl w:val="0"/>
                <w:numId w:val="5"/>
              </w:numPr>
              <w:tabs>
                <w:tab w:val="left" w:pos="3080"/>
              </w:tabs>
              <w:rPr>
                <w:sz w:val="16"/>
                <w:szCs w:val="16"/>
              </w:rPr>
            </w:pPr>
            <w:r w:rsidRPr="00DD2135">
              <w:rPr>
                <w:sz w:val="16"/>
                <w:szCs w:val="16"/>
              </w:rPr>
              <w:t>independent</w:t>
            </w:r>
          </w:p>
          <w:p w:rsidR="00761D08" w:rsidRPr="00DD2135" w:rsidRDefault="00761D08" w:rsidP="004C21DA">
            <w:pPr>
              <w:numPr>
                <w:ilvl w:val="0"/>
                <w:numId w:val="5"/>
              </w:numPr>
              <w:tabs>
                <w:tab w:val="left" w:pos="3080"/>
              </w:tabs>
              <w:rPr>
                <w:sz w:val="16"/>
                <w:szCs w:val="16"/>
              </w:rPr>
            </w:pPr>
            <w:r w:rsidRPr="00DD2135">
              <w:rPr>
                <w:sz w:val="16"/>
                <w:szCs w:val="16"/>
              </w:rPr>
              <w:t>multidisciplinary and multidimensional, and</w:t>
            </w:r>
          </w:p>
          <w:p w:rsidR="00761D08" w:rsidRPr="00DD2135" w:rsidRDefault="00761D08" w:rsidP="004C21DA">
            <w:pPr>
              <w:numPr>
                <w:ilvl w:val="0"/>
                <w:numId w:val="5"/>
              </w:numPr>
              <w:tabs>
                <w:tab w:val="left" w:pos="3080"/>
              </w:tabs>
              <w:rPr>
                <w:sz w:val="16"/>
                <w:szCs w:val="16"/>
              </w:rPr>
            </w:pPr>
            <w:r w:rsidRPr="00DD2135">
              <w:rPr>
                <w:sz w:val="16"/>
                <w:szCs w:val="16"/>
              </w:rPr>
              <w:t>client focused.</w:t>
            </w:r>
          </w:p>
        </w:tc>
      </w:tr>
      <w:tr w:rsidR="00761D08" w:rsidTr="006B27F3">
        <w:trPr>
          <w:jc w:val="center"/>
        </w:trPr>
        <w:tc>
          <w:tcPr>
            <w:tcW w:w="1987" w:type="dxa"/>
            <w:shd w:val="clear" w:color="auto" w:fill="auto"/>
          </w:tcPr>
          <w:p w:rsidR="00761D08" w:rsidRPr="009F1F05" w:rsidRDefault="00761D08" w:rsidP="004C21DA">
            <w:pPr>
              <w:tabs>
                <w:tab w:val="left" w:pos="3080"/>
              </w:tabs>
              <w:jc w:val="both"/>
              <w:rPr>
                <w:b/>
              </w:rPr>
            </w:pPr>
            <w:r w:rsidRPr="009F1F05">
              <w:rPr>
                <w:b/>
              </w:rPr>
              <w:t>Target group</w:t>
            </w:r>
          </w:p>
        </w:tc>
        <w:tc>
          <w:tcPr>
            <w:tcW w:w="3913" w:type="dxa"/>
            <w:shd w:val="clear" w:color="auto" w:fill="auto"/>
          </w:tcPr>
          <w:p w:rsidR="00761D08" w:rsidRPr="00DD2135" w:rsidRDefault="00761D08" w:rsidP="00D30996">
            <w:pPr>
              <w:tabs>
                <w:tab w:val="left" w:pos="3080"/>
              </w:tabs>
              <w:rPr>
                <w:sz w:val="16"/>
                <w:szCs w:val="16"/>
              </w:rPr>
            </w:pPr>
            <w:r w:rsidRPr="00DD2135">
              <w:rPr>
                <w:sz w:val="16"/>
                <w:szCs w:val="16"/>
              </w:rPr>
              <w:t xml:space="preserve">To access Disability Services, a person must </w:t>
            </w:r>
          </w:p>
          <w:p w:rsidR="00761D08" w:rsidRPr="00DD2135" w:rsidRDefault="00761D08" w:rsidP="00D30996">
            <w:pPr>
              <w:numPr>
                <w:ilvl w:val="0"/>
                <w:numId w:val="7"/>
              </w:numPr>
              <w:tabs>
                <w:tab w:val="left" w:pos="3080"/>
              </w:tabs>
              <w:rPr>
                <w:sz w:val="16"/>
                <w:szCs w:val="16"/>
              </w:rPr>
            </w:pPr>
            <w:r w:rsidRPr="00DD2135">
              <w:rPr>
                <w:sz w:val="16"/>
                <w:szCs w:val="16"/>
              </w:rPr>
              <w:t>require supports from the disability service system</w:t>
            </w:r>
          </w:p>
          <w:p w:rsidR="00761D08" w:rsidRPr="00DD2135" w:rsidRDefault="00761D08" w:rsidP="00D30996">
            <w:pPr>
              <w:numPr>
                <w:ilvl w:val="0"/>
                <w:numId w:val="7"/>
              </w:numPr>
              <w:tabs>
                <w:tab w:val="left" w:pos="3080"/>
              </w:tabs>
              <w:rPr>
                <w:sz w:val="16"/>
                <w:szCs w:val="16"/>
              </w:rPr>
            </w:pPr>
            <w:r w:rsidRPr="00DD2135">
              <w:rPr>
                <w:sz w:val="16"/>
                <w:szCs w:val="16"/>
              </w:rPr>
              <w:t xml:space="preserve">be within target group as defined in the </w:t>
            </w:r>
            <w:r w:rsidRPr="00DD2135">
              <w:rPr>
                <w:i/>
                <w:sz w:val="16"/>
                <w:szCs w:val="16"/>
              </w:rPr>
              <w:t xml:space="preserve">Disability Act 2006, </w:t>
            </w:r>
            <w:r w:rsidRPr="00DD2135">
              <w:rPr>
                <w:sz w:val="16"/>
                <w:szCs w:val="16"/>
              </w:rPr>
              <w:t>and</w:t>
            </w:r>
          </w:p>
          <w:p w:rsidR="00761D08" w:rsidRPr="00DD2135" w:rsidRDefault="00761D08" w:rsidP="00D30996">
            <w:pPr>
              <w:numPr>
                <w:ilvl w:val="0"/>
                <w:numId w:val="7"/>
              </w:numPr>
              <w:tabs>
                <w:tab w:val="left" w:pos="3080"/>
              </w:tabs>
              <w:rPr>
                <w:sz w:val="16"/>
                <w:szCs w:val="16"/>
              </w:rPr>
            </w:pPr>
            <w:r w:rsidRPr="00DD2135">
              <w:rPr>
                <w:sz w:val="16"/>
                <w:szCs w:val="16"/>
              </w:rPr>
              <w:t>be considered a priority for access.</w:t>
            </w:r>
          </w:p>
        </w:tc>
        <w:tc>
          <w:tcPr>
            <w:tcW w:w="3954" w:type="dxa"/>
            <w:shd w:val="clear" w:color="auto" w:fill="auto"/>
          </w:tcPr>
          <w:p w:rsidR="00761D08" w:rsidRPr="00DD2135" w:rsidRDefault="00761D08" w:rsidP="004C21DA">
            <w:pPr>
              <w:tabs>
                <w:tab w:val="left" w:pos="3080"/>
              </w:tabs>
              <w:rPr>
                <w:sz w:val="16"/>
                <w:szCs w:val="16"/>
              </w:rPr>
            </w:pPr>
            <w:r w:rsidRPr="00DD2135">
              <w:rPr>
                <w:sz w:val="16"/>
                <w:szCs w:val="16"/>
              </w:rPr>
              <w:t>The ACAS target group is frail older people</w:t>
            </w:r>
            <w:r>
              <w:rPr>
                <w:sz w:val="16"/>
                <w:szCs w:val="16"/>
              </w:rPr>
              <w:t>, that is people over 70. Indigenous people are included in the target group from age 50</w:t>
            </w:r>
            <w:r w:rsidR="00E2633D">
              <w:rPr>
                <w:sz w:val="16"/>
                <w:szCs w:val="16"/>
              </w:rPr>
              <w:t xml:space="preserve">. </w:t>
            </w:r>
            <w:r w:rsidRPr="00DD2135">
              <w:rPr>
                <w:sz w:val="16"/>
                <w:szCs w:val="16"/>
              </w:rPr>
              <w:t xml:space="preserve">Younger people with disabilities are assessed by ACAS when no other more age appropriate services are available. </w:t>
            </w:r>
          </w:p>
        </w:tc>
      </w:tr>
      <w:tr w:rsidR="00761D08" w:rsidTr="006B27F3">
        <w:trPr>
          <w:jc w:val="center"/>
        </w:trPr>
        <w:tc>
          <w:tcPr>
            <w:tcW w:w="1987" w:type="dxa"/>
            <w:shd w:val="clear" w:color="auto" w:fill="auto"/>
          </w:tcPr>
          <w:p w:rsidR="00761D08" w:rsidRPr="009F1F05" w:rsidRDefault="00761D08" w:rsidP="004C21DA">
            <w:pPr>
              <w:tabs>
                <w:tab w:val="left" w:pos="3080"/>
              </w:tabs>
              <w:jc w:val="both"/>
              <w:rPr>
                <w:b/>
              </w:rPr>
            </w:pPr>
            <w:r w:rsidRPr="009F1F05">
              <w:rPr>
                <w:b/>
              </w:rPr>
              <w:t>Responsibilities</w:t>
            </w:r>
          </w:p>
        </w:tc>
        <w:tc>
          <w:tcPr>
            <w:tcW w:w="3913" w:type="dxa"/>
            <w:shd w:val="clear" w:color="auto" w:fill="auto"/>
          </w:tcPr>
          <w:p w:rsidR="00761D08" w:rsidRPr="00DD2135" w:rsidRDefault="00761D08" w:rsidP="004C21DA">
            <w:pPr>
              <w:tabs>
                <w:tab w:val="left" w:pos="3080"/>
              </w:tabs>
              <w:rPr>
                <w:sz w:val="16"/>
                <w:szCs w:val="16"/>
              </w:rPr>
            </w:pPr>
            <w:r w:rsidRPr="00DD2135">
              <w:rPr>
                <w:sz w:val="16"/>
                <w:szCs w:val="16"/>
              </w:rPr>
              <w:t xml:space="preserve">Disability Services works in partnership with people with a disability, their families, carers, DHS regional staff and community service organisations to plan and fund a range of supports. These include individual support packages, planning, case management, day services, accommodation and respite. </w:t>
            </w:r>
          </w:p>
        </w:tc>
        <w:tc>
          <w:tcPr>
            <w:tcW w:w="3954" w:type="dxa"/>
            <w:shd w:val="clear" w:color="auto" w:fill="auto"/>
          </w:tcPr>
          <w:p w:rsidR="00761D08" w:rsidRPr="00DD2135" w:rsidRDefault="00761D08" w:rsidP="004C21DA">
            <w:pPr>
              <w:tabs>
                <w:tab w:val="left" w:pos="3080"/>
              </w:tabs>
              <w:rPr>
                <w:sz w:val="16"/>
                <w:szCs w:val="16"/>
              </w:rPr>
            </w:pPr>
            <w:r w:rsidRPr="00DD2135">
              <w:rPr>
                <w:sz w:val="16"/>
                <w:szCs w:val="16"/>
              </w:rPr>
              <w:t>The core objective of the ACAS is to comprehensively assess the needs of frail older people and facilitate access to available care services appropriate to their needs.</w:t>
            </w:r>
          </w:p>
        </w:tc>
      </w:tr>
    </w:tbl>
    <w:p w:rsidR="00023034" w:rsidRDefault="00761D08" w:rsidP="006B27F3">
      <w:pPr>
        <w:tabs>
          <w:tab w:val="left" w:pos="3080"/>
        </w:tabs>
        <w:spacing w:after="60"/>
        <w:rPr>
          <w:color w:val="006666"/>
          <w:sz w:val="24"/>
          <w:szCs w:val="24"/>
        </w:rPr>
      </w:pPr>
      <w:r w:rsidRPr="00023034">
        <w:rPr>
          <w:color w:val="006666"/>
          <w:sz w:val="24"/>
          <w:szCs w:val="24"/>
        </w:rPr>
        <w:lastRenderedPageBreak/>
        <w:t>Making a request for service (referral) to Disability Services</w:t>
      </w:r>
    </w:p>
    <w:p w:rsidR="00761D08" w:rsidRPr="00A83918" w:rsidRDefault="00761D08" w:rsidP="00023034">
      <w:pPr>
        <w:tabs>
          <w:tab w:val="left" w:pos="3080"/>
        </w:tabs>
        <w:rPr>
          <w:sz w:val="18"/>
          <w:szCs w:val="18"/>
        </w:rPr>
      </w:pPr>
      <w:r w:rsidRPr="00A83918">
        <w:rPr>
          <w:sz w:val="18"/>
          <w:szCs w:val="18"/>
        </w:rPr>
        <w:t xml:space="preserve">Regional Intake and Response Teams are the first point of contact for requests for Disability Services. </w:t>
      </w:r>
    </w:p>
    <w:p w:rsidR="00761D08" w:rsidRPr="00A83918" w:rsidRDefault="00761D08" w:rsidP="00761D08">
      <w:pPr>
        <w:rPr>
          <w:sz w:val="18"/>
          <w:szCs w:val="18"/>
        </w:rPr>
      </w:pPr>
      <w:r w:rsidRPr="00A83918">
        <w:rPr>
          <w:sz w:val="18"/>
          <w:szCs w:val="18"/>
        </w:rPr>
        <w:t xml:space="preserve">Following a request for services, Disability Services are required to determine whether the person has a disability (as defined in the </w:t>
      </w:r>
      <w:r w:rsidRPr="00A83918">
        <w:rPr>
          <w:i/>
          <w:sz w:val="18"/>
          <w:szCs w:val="18"/>
        </w:rPr>
        <w:t xml:space="preserve">Disability Act 2006) </w:t>
      </w:r>
      <w:r w:rsidRPr="00A83918">
        <w:rPr>
          <w:sz w:val="18"/>
          <w:szCs w:val="18"/>
        </w:rPr>
        <w:t xml:space="preserve">and communicate this decision within six weeks, if this has not occurred previously.  The six week time frame should be considered a guide and regions should work to accelerate the decision making process where appropriate. (Section 2.2) </w:t>
      </w:r>
    </w:p>
    <w:p w:rsidR="00023034" w:rsidRPr="00023034" w:rsidRDefault="00023034" w:rsidP="00761D08">
      <w:pPr>
        <w:rPr>
          <w:sz w:val="16"/>
          <w:szCs w:val="16"/>
        </w:rPr>
      </w:pPr>
    </w:p>
    <w:p w:rsidR="00761D08" w:rsidRDefault="00761D08" w:rsidP="00023034">
      <w:pPr>
        <w:tabs>
          <w:tab w:val="left" w:pos="3080"/>
        </w:tabs>
        <w:spacing w:after="60"/>
        <w:rPr>
          <w:color w:val="006666"/>
          <w:sz w:val="24"/>
          <w:szCs w:val="24"/>
        </w:rPr>
      </w:pPr>
      <w:r w:rsidRPr="00023034">
        <w:rPr>
          <w:color w:val="006666"/>
          <w:sz w:val="24"/>
          <w:szCs w:val="24"/>
        </w:rPr>
        <w:t>Referring to ACAS</w:t>
      </w:r>
    </w:p>
    <w:p w:rsidR="00761D08" w:rsidRDefault="00761D08" w:rsidP="00761D08">
      <w:pPr>
        <w:pStyle w:val="BodyText"/>
        <w:rPr>
          <w:szCs w:val="18"/>
        </w:rPr>
      </w:pPr>
      <w:r>
        <w:rPr>
          <w:szCs w:val="18"/>
        </w:rPr>
        <w:t>The process by which referrals to ACAS are made is determined by the support the person may be receiving, if any, at the time of referral. If the person is receiving services from Disability Services, then all</w:t>
      </w:r>
      <w:r w:rsidRPr="009B67D6">
        <w:rPr>
          <w:szCs w:val="18"/>
        </w:rPr>
        <w:t xml:space="preserve"> referrals to ACAS are to be made via either Disability Client Services or Disability Accommodation Services.  </w:t>
      </w:r>
      <w:r>
        <w:rPr>
          <w:szCs w:val="18"/>
        </w:rPr>
        <w:t>If the referral is from another source such as self-referral, a community service organisations or via a hospital as part of discharge planning, ACAS will request that  Disability Services be contacted as part of the process of determining the most appropriate r</w:t>
      </w:r>
      <w:r w:rsidR="00C824FC">
        <w:rPr>
          <w:szCs w:val="18"/>
        </w:rPr>
        <w:t xml:space="preserve">esponse to the person’s needs. </w:t>
      </w:r>
    </w:p>
    <w:p w:rsidR="00761D08" w:rsidRPr="00023034" w:rsidRDefault="00761D08" w:rsidP="00761D08">
      <w:pPr>
        <w:pStyle w:val="BodyText"/>
        <w:rPr>
          <w:sz w:val="16"/>
          <w:szCs w:val="16"/>
        </w:rPr>
      </w:pPr>
    </w:p>
    <w:p w:rsidR="00761D08" w:rsidRDefault="00761D08" w:rsidP="00761D08">
      <w:pPr>
        <w:pStyle w:val="BodyText"/>
      </w:pPr>
      <w:r>
        <w:rPr>
          <w:b/>
          <w:szCs w:val="18"/>
        </w:rPr>
        <w:t>In all instances, early planning is essential to support optimal outcomes for younger people who are at risk of requiring care from an aged care residential facility.</w:t>
      </w:r>
    </w:p>
    <w:p w:rsidR="00761D08" w:rsidRPr="00023034" w:rsidRDefault="00761D08" w:rsidP="00761D08">
      <w:pPr>
        <w:pStyle w:val="BodyText"/>
        <w:rPr>
          <w:sz w:val="16"/>
          <w:szCs w:val="16"/>
        </w:rPr>
      </w:pPr>
    </w:p>
    <w:p w:rsidR="00761D08" w:rsidRDefault="00761D08" w:rsidP="00761D08">
      <w:pPr>
        <w:pStyle w:val="BodyText"/>
        <w:rPr>
          <w:szCs w:val="18"/>
        </w:rPr>
      </w:pPr>
      <w:r>
        <w:rPr>
          <w:szCs w:val="18"/>
        </w:rPr>
        <w:t xml:space="preserve">Prior to making a referral to ACAS, </w:t>
      </w:r>
      <w:r w:rsidRPr="00BF3778">
        <w:t xml:space="preserve">Disability Services </w:t>
      </w:r>
      <w:r>
        <w:t>will need to advise ACAS in writing of t</w:t>
      </w:r>
      <w:r w:rsidRPr="00BF3778">
        <w:t>he reasons why there is a need to refe</w:t>
      </w:r>
      <w:r>
        <w:t>r to ACAS. The letter should identify the c</w:t>
      </w:r>
      <w:r w:rsidRPr="00BF3778">
        <w:t>are options</w:t>
      </w:r>
      <w:r>
        <w:t>,</w:t>
      </w:r>
      <w:r w:rsidRPr="00BF3778">
        <w:t xml:space="preserve"> other than </w:t>
      </w:r>
      <w:r>
        <w:t xml:space="preserve">through </w:t>
      </w:r>
      <w:r w:rsidRPr="00BF3778">
        <w:t>aged care system</w:t>
      </w:r>
      <w:r>
        <w:t>,</w:t>
      </w:r>
      <w:r w:rsidRPr="00BF3778">
        <w:t xml:space="preserve"> that have been explored and rea</w:t>
      </w:r>
      <w:r>
        <w:t>sons why these are not suitable. This is a revision to the protocol. (</w:t>
      </w:r>
      <w:r>
        <w:rPr>
          <w:szCs w:val="18"/>
        </w:rPr>
        <w:t>Section 3)</w:t>
      </w:r>
    </w:p>
    <w:p w:rsidR="00023034" w:rsidRPr="00023034" w:rsidRDefault="00023034" w:rsidP="00761D08">
      <w:pPr>
        <w:pStyle w:val="BodyText"/>
        <w:rPr>
          <w:sz w:val="16"/>
          <w:szCs w:val="16"/>
        </w:rPr>
      </w:pPr>
    </w:p>
    <w:p w:rsidR="00761D08" w:rsidRPr="00023034" w:rsidRDefault="00761D08" w:rsidP="00023034">
      <w:pPr>
        <w:pStyle w:val="BodyText"/>
        <w:spacing w:after="60"/>
        <w:rPr>
          <w:color w:val="006666"/>
          <w:sz w:val="24"/>
          <w:szCs w:val="24"/>
        </w:rPr>
      </w:pPr>
      <w:r w:rsidRPr="00023034">
        <w:rPr>
          <w:color w:val="006666"/>
          <w:sz w:val="24"/>
          <w:szCs w:val="24"/>
        </w:rPr>
        <w:t>Assessment</w:t>
      </w:r>
    </w:p>
    <w:p w:rsidR="00761D08" w:rsidRDefault="00761D08" w:rsidP="00761D08">
      <w:pPr>
        <w:pStyle w:val="BodyText"/>
        <w:rPr>
          <w:szCs w:val="18"/>
        </w:rPr>
      </w:pPr>
      <w:r w:rsidRPr="00355CCC">
        <w:rPr>
          <w:szCs w:val="18"/>
        </w:rPr>
        <w:t xml:space="preserve">Once the processes outlined above have been completed, ACAS may accept the referral for assessment. This acceptance suggests that it is likely that the person may need care in a residential aged care facility, at least in the short term, as no other care options are currently available to meet the person’s current type and level of need. Disability Services, </w:t>
      </w:r>
      <w:r>
        <w:rPr>
          <w:szCs w:val="18"/>
        </w:rPr>
        <w:t>community service organisation</w:t>
      </w:r>
      <w:r w:rsidRPr="00355CCC">
        <w:rPr>
          <w:szCs w:val="18"/>
        </w:rPr>
        <w:t xml:space="preserve">s and ACAS </w:t>
      </w:r>
      <w:r>
        <w:rPr>
          <w:szCs w:val="18"/>
        </w:rPr>
        <w:t xml:space="preserve">will </w:t>
      </w:r>
      <w:r w:rsidRPr="00355CCC">
        <w:rPr>
          <w:szCs w:val="18"/>
        </w:rPr>
        <w:t xml:space="preserve">need to determine the most appropriate approach to the assessment in order to reduce duplication and streamline processes for the person. </w:t>
      </w:r>
      <w:r>
        <w:rPr>
          <w:szCs w:val="18"/>
        </w:rPr>
        <w:t>(Section 4)</w:t>
      </w:r>
    </w:p>
    <w:p w:rsidR="00023034" w:rsidRPr="00023034" w:rsidRDefault="00023034" w:rsidP="00023034">
      <w:pPr>
        <w:pStyle w:val="BodyText"/>
        <w:spacing w:after="60"/>
        <w:rPr>
          <w:sz w:val="16"/>
          <w:szCs w:val="16"/>
        </w:rPr>
      </w:pPr>
    </w:p>
    <w:p w:rsidR="00761D08" w:rsidRPr="00023034" w:rsidRDefault="00761D08" w:rsidP="00023034">
      <w:pPr>
        <w:pStyle w:val="BodyText2"/>
        <w:spacing w:after="60"/>
        <w:rPr>
          <w:i w:val="0"/>
          <w:color w:val="006666"/>
          <w:sz w:val="24"/>
        </w:rPr>
      </w:pPr>
      <w:r w:rsidRPr="00023034">
        <w:rPr>
          <w:i w:val="0"/>
          <w:color w:val="006666"/>
          <w:sz w:val="24"/>
        </w:rPr>
        <w:t>Planning and review of support needs in a residential aged care facility</w:t>
      </w:r>
    </w:p>
    <w:p w:rsidR="00761D08" w:rsidRPr="00C824FC" w:rsidRDefault="00761D08" w:rsidP="00761D08">
      <w:pPr>
        <w:tabs>
          <w:tab w:val="left" w:pos="362"/>
        </w:tabs>
        <w:rPr>
          <w:sz w:val="18"/>
          <w:szCs w:val="18"/>
        </w:rPr>
      </w:pPr>
      <w:r w:rsidRPr="00C824FC">
        <w:rPr>
          <w:sz w:val="18"/>
          <w:szCs w:val="18"/>
        </w:rPr>
        <w:t>Consideration of additional support for younger person being cared for in a residential aged care facility as well as regular review of their support needs and options for their care is an important aspect of planning for their care.   (Section 5)</w:t>
      </w:r>
    </w:p>
    <w:p w:rsidR="00023034" w:rsidRPr="00C824FC" w:rsidRDefault="00023034" w:rsidP="00761D08">
      <w:pPr>
        <w:tabs>
          <w:tab w:val="left" w:pos="362"/>
        </w:tabs>
        <w:rPr>
          <w:sz w:val="16"/>
          <w:szCs w:val="16"/>
        </w:rPr>
      </w:pPr>
    </w:p>
    <w:p w:rsidR="00761D08" w:rsidRPr="00023034" w:rsidRDefault="00761D08" w:rsidP="006B27F3">
      <w:pPr>
        <w:tabs>
          <w:tab w:val="left" w:pos="362"/>
        </w:tabs>
        <w:spacing w:after="60"/>
        <w:rPr>
          <w:color w:val="006666"/>
          <w:sz w:val="24"/>
          <w:szCs w:val="24"/>
        </w:rPr>
      </w:pPr>
      <w:r w:rsidRPr="00023034">
        <w:rPr>
          <w:color w:val="006666"/>
          <w:sz w:val="24"/>
          <w:szCs w:val="24"/>
        </w:rPr>
        <w:t>Contact information</w:t>
      </w:r>
    </w:p>
    <w:tbl>
      <w:tblPr>
        <w:tblStyle w:val="TableGrid"/>
        <w:tblW w:w="0" w:type="auto"/>
        <w:jc w:val="center"/>
        <w:tblLook w:val="01E0" w:firstRow="1" w:lastRow="1" w:firstColumn="1" w:lastColumn="1" w:noHBand="0" w:noVBand="0"/>
      </w:tblPr>
      <w:tblGrid>
        <w:gridCol w:w="1918"/>
        <w:gridCol w:w="1366"/>
        <w:gridCol w:w="2254"/>
        <w:gridCol w:w="1400"/>
        <w:gridCol w:w="1858"/>
        <w:gridCol w:w="1165"/>
      </w:tblGrid>
      <w:tr w:rsidR="00761D08" w:rsidTr="0026342C">
        <w:trPr>
          <w:trHeight w:val="305"/>
          <w:tblHeader/>
          <w:jc w:val="center"/>
        </w:trPr>
        <w:tc>
          <w:tcPr>
            <w:tcW w:w="3284" w:type="dxa"/>
            <w:gridSpan w:val="2"/>
          </w:tcPr>
          <w:p w:rsidR="00761D08" w:rsidRPr="003D3CF0" w:rsidRDefault="00761D08" w:rsidP="004C21DA">
            <w:pPr>
              <w:tabs>
                <w:tab w:val="left" w:pos="362"/>
              </w:tabs>
              <w:rPr>
                <w:b/>
                <w:sz w:val="18"/>
                <w:szCs w:val="18"/>
              </w:rPr>
            </w:pPr>
            <w:r w:rsidRPr="003D3CF0">
              <w:rPr>
                <w:b/>
                <w:sz w:val="18"/>
                <w:szCs w:val="18"/>
              </w:rPr>
              <w:t>Disability Services</w:t>
            </w:r>
          </w:p>
        </w:tc>
        <w:tc>
          <w:tcPr>
            <w:tcW w:w="6677" w:type="dxa"/>
            <w:gridSpan w:val="4"/>
          </w:tcPr>
          <w:p w:rsidR="00761D08" w:rsidRPr="003D3CF0" w:rsidRDefault="00761D08" w:rsidP="004C21DA">
            <w:pPr>
              <w:tabs>
                <w:tab w:val="left" w:pos="362"/>
              </w:tabs>
              <w:rPr>
                <w:b/>
                <w:sz w:val="18"/>
                <w:szCs w:val="18"/>
              </w:rPr>
            </w:pPr>
            <w:r w:rsidRPr="003D3CF0">
              <w:rPr>
                <w:b/>
                <w:sz w:val="18"/>
                <w:szCs w:val="18"/>
              </w:rPr>
              <w:t>Aged Care Assessment Services</w:t>
            </w:r>
          </w:p>
        </w:tc>
      </w:tr>
      <w:tr w:rsidR="00761D08" w:rsidTr="001F4BE2">
        <w:trPr>
          <w:jc w:val="center"/>
        </w:trPr>
        <w:tc>
          <w:tcPr>
            <w:tcW w:w="1918" w:type="dxa"/>
          </w:tcPr>
          <w:p w:rsidR="00761D08" w:rsidRDefault="00761D08" w:rsidP="004C21DA">
            <w:pPr>
              <w:tabs>
                <w:tab w:val="left" w:pos="362"/>
              </w:tabs>
              <w:rPr>
                <w:sz w:val="16"/>
                <w:szCs w:val="16"/>
              </w:rPr>
            </w:pPr>
            <w:r>
              <w:rPr>
                <w:sz w:val="16"/>
                <w:szCs w:val="16"/>
              </w:rPr>
              <w:t>Statewide</w:t>
            </w:r>
          </w:p>
          <w:p w:rsidR="00761D08" w:rsidRPr="0012065E" w:rsidRDefault="00761D08" w:rsidP="004C21DA">
            <w:pPr>
              <w:tabs>
                <w:tab w:val="left" w:pos="362"/>
              </w:tabs>
              <w:rPr>
                <w:sz w:val="16"/>
                <w:szCs w:val="16"/>
              </w:rPr>
            </w:pPr>
            <w:r>
              <w:rPr>
                <w:sz w:val="16"/>
                <w:szCs w:val="16"/>
              </w:rPr>
              <w:t>TTY</w:t>
            </w:r>
          </w:p>
        </w:tc>
        <w:tc>
          <w:tcPr>
            <w:tcW w:w="1366" w:type="dxa"/>
          </w:tcPr>
          <w:p w:rsidR="00761D08" w:rsidRDefault="00761D08" w:rsidP="004C21DA">
            <w:pPr>
              <w:tabs>
                <w:tab w:val="left" w:pos="362"/>
              </w:tabs>
              <w:rPr>
                <w:sz w:val="16"/>
                <w:szCs w:val="16"/>
              </w:rPr>
            </w:pPr>
            <w:r>
              <w:rPr>
                <w:sz w:val="16"/>
                <w:szCs w:val="16"/>
              </w:rPr>
              <w:t>1800 783 783</w:t>
            </w:r>
          </w:p>
          <w:p w:rsidR="00761D08" w:rsidRPr="0012065E" w:rsidRDefault="00761D08" w:rsidP="004C21DA">
            <w:pPr>
              <w:tabs>
                <w:tab w:val="left" w:pos="362"/>
              </w:tabs>
              <w:rPr>
                <w:sz w:val="16"/>
                <w:szCs w:val="16"/>
              </w:rPr>
            </w:pPr>
            <w:r>
              <w:rPr>
                <w:sz w:val="16"/>
                <w:szCs w:val="16"/>
              </w:rPr>
              <w:t>1800 008 149</w:t>
            </w:r>
          </w:p>
        </w:tc>
        <w:tc>
          <w:tcPr>
            <w:tcW w:w="2254" w:type="dxa"/>
          </w:tcPr>
          <w:p w:rsidR="00761D08" w:rsidRPr="0012065E" w:rsidRDefault="00761D08" w:rsidP="004C21DA">
            <w:pPr>
              <w:tabs>
                <w:tab w:val="left" w:pos="362"/>
              </w:tabs>
              <w:rPr>
                <w:sz w:val="16"/>
                <w:szCs w:val="16"/>
              </w:rPr>
            </w:pPr>
            <w:r>
              <w:rPr>
                <w:sz w:val="16"/>
                <w:szCs w:val="16"/>
              </w:rPr>
              <w:t xml:space="preserve">Barwon South West Region - </w:t>
            </w:r>
            <w:smartTag w:uri="urn:schemas-microsoft-com:office:smarttags" w:element="place">
              <w:smartTag w:uri="urn:schemas-microsoft-com:office:smarttags" w:element="City">
                <w:r>
                  <w:rPr>
                    <w:sz w:val="16"/>
                    <w:szCs w:val="16"/>
                  </w:rPr>
                  <w:t>Geelong</w:t>
                </w:r>
              </w:smartTag>
            </w:smartTag>
          </w:p>
        </w:tc>
        <w:tc>
          <w:tcPr>
            <w:tcW w:w="1400" w:type="dxa"/>
          </w:tcPr>
          <w:p w:rsidR="00761D08" w:rsidRPr="0012065E" w:rsidRDefault="00761D08" w:rsidP="004C21DA">
            <w:pPr>
              <w:tabs>
                <w:tab w:val="left" w:pos="362"/>
              </w:tabs>
              <w:rPr>
                <w:sz w:val="16"/>
                <w:szCs w:val="16"/>
              </w:rPr>
            </w:pPr>
            <w:r>
              <w:rPr>
                <w:sz w:val="16"/>
                <w:szCs w:val="16"/>
              </w:rPr>
              <w:t>5279 2246</w:t>
            </w:r>
          </w:p>
        </w:tc>
        <w:tc>
          <w:tcPr>
            <w:tcW w:w="1858" w:type="dxa"/>
          </w:tcPr>
          <w:p w:rsidR="00761D08" w:rsidRPr="0012065E" w:rsidRDefault="00761D08" w:rsidP="004C21DA">
            <w:pPr>
              <w:tabs>
                <w:tab w:val="left" w:pos="362"/>
              </w:tabs>
              <w:rPr>
                <w:sz w:val="16"/>
                <w:szCs w:val="16"/>
              </w:rPr>
            </w:pPr>
            <w:r>
              <w:rPr>
                <w:sz w:val="16"/>
                <w:szCs w:val="16"/>
              </w:rPr>
              <w:t>Barwon South West Region - Warrnambool</w:t>
            </w:r>
          </w:p>
        </w:tc>
        <w:tc>
          <w:tcPr>
            <w:tcW w:w="1165" w:type="dxa"/>
          </w:tcPr>
          <w:p w:rsidR="00761D08" w:rsidRPr="0012065E" w:rsidRDefault="00761D08" w:rsidP="004C21DA">
            <w:pPr>
              <w:tabs>
                <w:tab w:val="left" w:pos="362"/>
              </w:tabs>
              <w:rPr>
                <w:sz w:val="16"/>
                <w:szCs w:val="16"/>
              </w:rPr>
            </w:pPr>
            <w:r>
              <w:rPr>
                <w:sz w:val="16"/>
                <w:szCs w:val="16"/>
              </w:rPr>
              <w:t>5561 9351</w:t>
            </w:r>
          </w:p>
        </w:tc>
      </w:tr>
      <w:tr w:rsidR="00761D08" w:rsidTr="001F4BE2">
        <w:trPr>
          <w:jc w:val="center"/>
        </w:trPr>
        <w:tc>
          <w:tcPr>
            <w:tcW w:w="1918" w:type="dxa"/>
          </w:tcPr>
          <w:p w:rsidR="00761D08" w:rsidRDefault="00761D08" w:rsidP="004C21DA">
            <w:pPr>
              <w:tabs>
                <w:tab w:val="left" w:pos="362"/>
              </w:tabs>
              <w:rPr>
                <w:sz w:val="16"/>
                <w:szCs w:val="16"/>
              </w:rPr>
            </w:pPr>
            <w:r>
              <w:rPr>
                <w:sz w:val="16"/>
                <w:szCs w:val="16"/>
              </w:rPr>
              <w:t>Eastern Metropolitan Region</w:t>
            </w:r>
          </w:p>
          <w:p w:rsidR="00761D08" w:rsidRPr="0012065E" w:rsidRDefault="00761D08" w:rsidP="004C21DA">
            <w:pPr>
              <w:tabs>
                <w:tab w:val="left" w:pos="362"/>
              </w:tabs>
              <w:rPr>
                <w:sz w:val="16"/>
                <w:szCs w:val="16"/>
              </w:rPr>
            </w:pPr>
            <w:r>
              <w:rPr>
                <w:sz w:val="16"/>
                <w:szCs w:val="16"/>
              </w:rPr>
              <w:t>TTY</w:t>
            </w:r>
          </w:p>
        </w:tc>
        <w:tc>
          <w:tcPr>
            <w:tcW w:w="1366" w:type="dxa"/>
          </w:tcPr>
          <w:p w:rsidR="00761D08" w:rsidRDefault="00761D08" w:rsidP="004C21DA">
            <w:pPr>
              <w:tabs>
                <w:tab w:val="left" w:pos="362"/>
              </w:tabs>
              <w:rPr>
                <w:sz w:val="16"/>
                <w:szCs w:val="16"/>
              </w:rPr>
            </w:pPr>
            <w:r>
              <w:rPr>
                <w:sz w:val="16"/>
                <w:szCs w:val="16"/>
              </w:rPr>
              <w:t>9843 6312</w:t>
            </w:r>
          </w:p>
          <w:p w:rsidR="00761D08" w:rsidRDefault="00761D08" w:rsidP="004C21DA">
            <w:pPr>
              <w:tabs>
                <w:tab w:val="left" w:pos="362"/>
              </w:tabs>
              <w:rPr>
                <w:sz w:val="16"/>
                <w:szCs w:val="16"/>
              </w:rPr>
            </w:pPr>
          </w:p>
          <w:p w:rsidR="00761D08" w:rsidRPr="0012065E" w:rsidRDefault="00761D08" w:rsidP="004C21DA">
            <w:pPr>
              <w:tabs>
                <w:tab w:val="left" w:pos="362"/>
              </w:tabs>
              <w:rPr>
                <w:sz w:val="16"/>
                <w:szCs w:val="16"/>
              </w:rPr>
            </w:pPr>
            <w:r>
              <w:rPr>
                <w:sz w:val="16"/>
                <w:szCs w:val="16"/>
              </w:rPr>
              <w:t>9843 6638</w:t>
            </w:r>
          </w:p>
        </w:tc>
        <w:tc>
          <w:tcPr>
            <w:tcW w:w="2254" w:type="dxa"/>
          </w:tcPr>
          <w:p w:rsidR="00761D08" w:rsidRPr="0012065E" w:rsidRDefault="00761D08" w:rsidP="004C21DA">
            <w:pPr>
              <w:tabs>
                <w:tab w:val="left" w:pos="362"/>
              </w:tabs>
              <w:rPr>
                <w:sz w:val="16"/>
                <w:szCs w:val="16"/>
              </w:rPr>
            </w:pPr>
            <w:r>
              <w:rPr>
                <w:sz w:val="16"/>
                <w:szCs w:val="16"/>
              </w:rPr>
              <w:t>Eastern Metropolitan Region – Eastern</w:t>
            </w:r>
          </w:p>
        </w:tc>
        <w:tc>
          <w:tcPr>
            <w:tcW w:w="1400" w:type="dxa"/>
          </w:tcPr>
          <w:p w:rsidR="00761D08" w:rsidRPr="0012065E" w:rsidRDefault="00761D08" w:rsidP="004C21DA">
            <w:pPr>
              <w:tabs>
                <w:tab w:val="left" w:pos="362"/>
              </w:tabs>
              <w:rPr>
                <w:sz w:val="16"/>
                <w:szCs w:val="16"/>
              </w:rPr>
            </w:pPr>
            <w:r>
              <w:rPr>
                <w:sz w:val="16"/>
                <w:szCs w:val="16"/>
              </w:rPr>
              <w:t>9881 1875</w:t>
            </w:r>
          </w:p>
        </w:tc>
        <w:tc>
          <w:tcPr>
            <w:tcW w:w="1858" w:type="dxa"/>
          </w:tcPr>
          <w:p w:rsidR="00761D08" w:rsidRPr="0012065E" w:rsidRDefault="00761D08" w:rsidP="004C21DA">
            <w:pPr>
              <w:tabs>
                <w:tab w:val="left" w:pos="362"/>
              </w:tabs>
              <w:rPr>
                <w:sz w:val="16"/>
                <w:szCs w:val="16"/>
              </w:rPr>
            </w:pPr>
            <w:r>
              <w:rPr>
                <w:sz w:val="16"/>
                <w:szCs w:val="16"/>
              </w:rPr>
              <w:t>Eastern Metropolitan Region – Eastern Outer</w:t>
            </w:r>
          </w:p>
        </w:tc>
        <w:tc>
          <w:tcPr>
            <w:tcW w:w="1165" w:type="dxa"/>
          </w:tcPr>
          <w:p w:rsidR="00761D08" w:rsidRPr="0012065E" w:rsidRDefault="00761D08" w:rsidP="004C21DA">
            <w:pPr>
              <w:tabs>
                <w:tab w:val="left" w:pos="362"/>
              </w:tabs>
              <w:rPr>
                <w:sz w:val="16"/>
                <w:szCs w:val="16"/>
              </w:rPr>
            </w:pPr>
            <w:r>
              <w:rPr>
                <w:sz w:val="16"/>
                <w:szCs w:val="16"/>
              </w:rPr>
              <w:t>9764 6390</w:t>
            </w:r>
          </w:p>
        </w:tc>
      </w:tr>
      <w:tr w:rsidR="00761D08" w:rsidTr="001F4BE2">
        <w:trPr>
          <w:jc w:val="center"/>
        </w:trPr>
        <w:tc>
          <w:tcPr>
            <w:tcW w:w="1918" w:type="dxa"/>
          </w:tcPr>
          <w:p w:rsidR="00761D08" w:rsidRDefault="00761D08" w:rsidP="004C21DA">
            <w:pPr>
              <w:tabs>
                <w:tab w:val="left" w:pos="362"/>
              </w:tabs>
              <w:rPr>
                <w:sz w:val="16"/>
                <w:szCs w:val="16"/>
              </w:rPr>
            </w:pPr>
            <w:r>
              <w:rPr>
                <w:sz w:val="16"/>
                <w:szCs w:val="16"/>
              </w:rPr>
              <w:t>Southern Metropolitan Region</w:t>
            </w:r>
          </w:p>
          <w:p w:rsidR="00761D08" w:rsidRPr="0012065E" w:rsidRDefault="00761D08" w:rsidP="004C21DA">
            <w:pPr>
              <w:tabs>
                <w:tab w:val="left" w:pos="362"/>
              </w:tabs>
              <w:rPr>
                <w:sz w:val="16"/>
                <w:szCs w:val="16"/>
              </w:rPr>
            </w:pPr>
            <w:r>
              <w:rPr>
                <w:sz w:val="16"/>
                <w:szCs w:val="16"/>
              </w:rPr>
              <w:t>TTY</w:t>
            </w:r>
          </w:p>
        </w:tc>
        <w:tc>
          <w:tcPr>
            <w:tcW w:w="1366" w:type="dxa"/>
          </w:tcPr>
          <w:p w:rsidR="00761D08" w:rsidRDefault="00761D08" w:rsidP="004C21DA">
            <w:pPr>
              <w:tabs>
                <w:tab w:val="left" w:pos="362"/>
              </w:tabs>
              <w:rPr>
                <w:sz w:val="16"/>
                <w:szCs w:val="16"/>
              </w:rPr>
            </w:pPr>
            <w:r>
              <w:rPr>
                <w:sz w:val="16"/>
                <w:szCs w:val="16"/>
              </w:rPr>
              <w:t>1300 131 079</w:t>
            </w:r>
          </w:p>
          <w:p w:rsidR="00761D08" w:rsidRDefault="00761D08" w:rsidP="004C21DA">
            <w:pPr>
              <w:tabs>
                <w:tab w:val="left" w:pos="362"/>
              </w:tabs>
              <w:rPr>
                <w:sz w:val="16"/>
                <w:szCs w:val="16"/>
              </w:rPr>
            </w:pPr>
          </w:p>
          <w:p w:rsidR="00761D08" w:rsidRPr="0012065E" w:rsidRDefault="00761D08" w:rsidP="004C21DA">
            <w:pPr>
              <w:tabs>
                <w:tab w:val="left" w:pos="362"/>
              </w:tabs>
              <w:rPr>
                <w:sz w:val="16"/>
                <w:szCs w:val="16"/>
              </w:rPr>
            </w:pPr>
            <w:r>
              <w:rPr>
                <w:sz w:val="16"/>
                <w:szCs w:val="16"/>
              </w:rPr>
              <w:t>1800 008 149</w:t>
            </w:r>
          </w:p>
        </w:tc>
        <w:tc>
          <w:tcPr>
            <w:tcW w:w="2254" w:type="dxa"/>
          </w:tcPr>
          <w:p w:rsidR="00761D08" w:rsidRPr="0012065E" w:rsidRDefault="00761D08" w:rsidP="004C21DA">
            <w:pPr>
              <w:tabs>
                <w:tab w:val="left" w:pos="362"/>
              </w:tabs>
              <w:rPr>
                <w:sz w:val="16"/>
                <w:szCs w:val="16"/>
              </w:rPr>
            </w:pPr>
            <w:r>
              <w:rPr>
                <w:sz w:val="16"/>
                <w:szCs w:val="16"/>
              </w:rPr>
              <w:t>Gippsland</w:t>
            </w:r>
          </w:p>
        </w:tc>
        <w:tc>
          <w:tcPr>
            <w:tcW w:w="1400" w:type="dxa"/>
          </w:tcPr>
          <w:p w:rsidR="00761D08" w:rsidRPr="0012065E" w:rsidRDefault="00761D08" w:rsidP="004C21DA">
            <w:pPr>
              <w:tabs>
                <w:tab w:val="left" w:pos="362"/>
              </w:tabs>
              <w:rPr>
                <w:sz w:val="16"/>
                <w:szCs w:val="16"/>
              </w:rPr>
            </w:pPr>
            <w:r>
              <w:rPr>
                <w:sz w:val="16"/>
                <w:szCs w:val="16"/>
              </w:rPr>
              <w:t>5172 2820</w:t>
            </w:r>
          </w:p>
        </w:tc>
        <w:tc>
          <w:tcPr>
            <w:tcW w:w="1858" w:type="dxa"/>
          </w:tcPr>
          <w:p w:rsidR="00761D08" w:rsidRPr="0012065E" w:rsidRDefault="00761D08" w:rsidP="004C21DA">
            <w:pPr>
              <w:tabs>
                <w:tab w:val="left" w:pos="362"/>
              </w:tabs>
              <w:rPr>
                <w:sz w:val="16"/>
                <w:szCs w:val="16"/>
              </w:rPr>
            </w:pPr>
            <w:r>
              <w:rPr>
                <w:sz w:val="16"/>
                <w:szCs w:val="16"/>
              </w:rPr>
              <w:t>Grampians - Ballarat</w:t>
            </w:r>
          </w:p>
        </w:tc>
        <w:tc>
          <w:tcPr>
            <w:tcW w:w="1165" w:type="dxa"/>
          </w:tcPr>
          <w:p w:rsidR="00761D08" w:rsidRPr="0012065E" w:rsidRDefault="00761D08" w:rsidP="004C21DA">
            <w:pPr>
              <w:tabs>
                <w:tab w:val="left" w:pos="362"/>
              </w:tabs>
              <w:rPr>
                <w:sz w:val="16"/>
                <w:szCs w:val="16"/>
              </w:rPr>
            </w:pPr>
            <w:r>
              <w:rPr>
                <w:sz w:val="16"/>
                <w:szCs w:val="16"/>
              </w:rPr>
              <w:t>5320 3740</w:t>
            </w:r>
          </w:p>
        </w:tc>
      </w:tr>
      <w:tr w:rsidR="00761D08" w:rsidTr="001F4BE2">
        <w:trPr>
          <w:jc w:val="center"/>
        </w:trPr>
        <w:tc>
          <w:tcPr>
            <w:tcW w:w="1918" w:type="dxa"/>
          </w:tcPr>
          <w:p w:rsidR="00761D08" w:rsidRDefault="00761D08" w:rsidP="004C21DA">
            <w:pPr>
              <w:tabs>
                <w:tab w:val="left" w:pos="362"/>
              </w:tabs>
              <w:rPr>
                <w:sz w:val="16"/>
                <w:szCs w:val="16"/>
              </w:rPr>
            </w:pPr>
            <w:r>
              <w:rPr>
                <w:sz w:val="16"/>
                <w:szCs w:val="16"/>
              </w:rPr>
              <w:t>North and West Metropolitan Region</w:t>
            </w:r>
          </w:p>
          <w:p w:rsidR="00761D08" w:rsidRPr="0012065E" w:rsidRDefault="00761D08" w:rsidP="004C21DA">
            <w:pPr>
              <w:tabs>
                <w:tab w:val="left" w:pos="362"/>
              </w:tabs>
              <w:rPr>
                <w:sz w:val="16"/>
                <w:szCs w:val="16"/>
              </w:rPr>
            </w:pPr>
            <w:r>
              <w:rPr>
                <w:sz w:val="16"/>
                <w:szCs w:val="16"/>
              </w:rPr>
              <w:t>TTY</w:t>
            </w:r>
          </w:p>
        </w:tc>
        <w:tc>
          <w:tcPr>
            <w:tcW w:w="1366" w:type="dxa"/>
          </w:tcPr>
          <w:p w:rsidR="00761D08" w:rsidRDefault="00761D08" w:rsidP="004C21DA">
            <w:pPr>
              <w:tabs>
                <w:tab w:val="left" w:pos="362"/>
              </w:tabs>
              <w:rPr>
                <w:sz w:val="16"/>
                <w:szCs w:val="16"/>
              </w:rPr>
            </w:pPr>
            <w:r>
              <w:rPr>
                <w:sz w:val="16"/>
                <w:szCs w:val="16"/>
              </w:rPr>
              <w:t>9412 2741</w:t>
            </w:r>
          </w:p>
          <w:p w:rsidR="00761D08" w:rsidRDefault="00761D08" w:rsidP="004C21DA">
            <w:pPr>
              <w:tabs>
                <w:tab w:val="left" w:pos="362"/>
              </w:tabs>
              <w:rPr>
                <w:sz w:val="16"/>
                <w:szCs w:val="16"/>
              </w:rPr>
            </w:pPr>
          </w:p>
          <w:p w:rsidR="00761D08" w:rsidRPr="0012065E" w:rsidRDefault="00761D08" w:rsidP="004C21DA">
            <w:pPr>
              <w:tabs>
                <w:tab w:val="left" w:pos="362"/>
              </w:tabs>
              <w:rPr>
                <w:sz w:val="16"/>
                <w:szCs w:val="16"/>
              </w:rPr>
            </w:pPr>
            <w:r>
              <w:rPr>
                <w:sz w:val="16"/>
                <w:szCs w:val="16"/>
              </w:rPr>
              <w:t>9412 2647</w:t>
            </w:r>
          </w:p>
        </w:tc>
        <w:tc>
          <w:tcPr>
            <w:tcW w:w="2254" w:type="dxa"/>
          </w:tcPr>
          <w:p w:rsidR="00761D08" w:rsidRPr="0012065E" w:rsidRDefault="00761D08" w:rsidP="004C21DA">
            <w:pPr>
              <w:tabs>
                <w:tab w:val="left" w:pos="362"/>
              </w:tabs>
              <w:rPr>
                <w:sz w:val="16"/>
                <w:szCs w:val="16"/>
              </w:rPr>
            </w:pPr>
            <w:r>
              <w:rPr>
                <w:sz w:val="16"/>
                <w:szCs w:val="16"/>
              </w:rPr>
              <w:t>Hume – Shepparton</w:t>
            </w:r>
          </w:p>
        </w:tc>
        <w:tc>
          <w:tcPr>
            <w:tcW w:w="1400" w:type="dxa"/>
          </w:tcPr>
          <w:p w:rsidR="00761D08" w:rsidRPr="0012065E" w:rsidRDefault="00761D08" w:rsidP="004C21DA">
            <w:pPr>
              <w:tabs>
                <w:tab w:val="left" w:pos="362"/>
              </w:tabs>
              <w:rPr>
                <w:sz w:val="16"/>
                <w:szCs w:val="16"/>
              </w:rPr>
            </w:pPr>
            <w:r>
              <w:rPr>
                <w:sz w:val="16"/>
                <w:szCs w:val="16"/>
              </w:rPr>
              <w:t>5823 6000</w:t>
            </w:r>
          </w:p>
        </w:tc>
        <w:tc>
          <w:tcPr>
            <w:tcW w:w="1858" w:type="dxa"/>
          </w:tcPr>
          <w:p w:rsidR="00761D08" w:rsidRPr="0012065E" w:rsidRDefault="00761D08" w:rsidP="004C21DA">
            <w:pPr>
              <w:tabs>
                <w:tab w:val="left" w:pos="362"/>
              </w:tabs>
              <w:rPr>
                <w:sz w:val="16"/>
                <w:szCs w:val="16"/>
              </w:rPr>
            </w:pPr>
            <w:r>
              <w:rPr>
                <w:sz w:val="16"/>
                <w:szCs w:val="16"/>
              </w:rPr>
              <w:t>Hume – Wangaratta</w:t>
            </w:r>
          </w:p>
        </w:tc>
        <w:tc>
          <w:tcPr>
            <w:tcW w:w="1165" w:type="dxa"/>
          </w:tcPr>
          <w:p w:rsidR="00761D08" w:rsidRPr="0012065E" w:rsidRDefault="00761D08" w:rsidP="004C21DA">
            <w:pPr>
              <w:tabs>
                <w:tab w:val="left" w:pos="362"/>
              </w:tabs>
              <w:rPr>
                <w:sz w:val="16"/>
                <w:szCs w:val="16"/>
              </w:rPr>
            </w:pPr>
            <w:r>
              <w:rPr>
                <w:sz w:val="16"/>
                <w:szCs w:val="16"/>
              </w:rPr>
              <w:t>5722 2000</w:t>
            </w:r>
          </w:p>
        </w:tc>
      </w:tr>
      <w:tr w:rsidR="00761D08" w:rsidTr="001F4BE2">
        <w:trPr>
          <w:jc w:val="center"/>
        </w:trPr>
        <w:tc>
          <w:tcPr>
            <w:tcW w:w="1918" w:type="dxa"/>
          </w:tcPr>
          <w:p w:rsidR="00761D08" w:rsidRDefault="00761D08" w:rsidP="004C21DA">
            <w:pPr>
              <w:tabs>
                <w:tab w:val="left" w:pos="362"/>
              </w:tabs>
              <w:rPr>
                <w:sz w:val="16"/>
                <w:szCs w:val="16"/>
              </w:rPr>
            </w:pPr>
            <w:r>
              <w:rPr>
                <w:sz w:val="16"/>
                <w:szCs w:val="16"/>
              </w:rPr>
              <w:t>Barwon South West Region</w:t>
            </w:r>
          </w:p>
          <w:p w:rsidR="00761D08" w:rsidRPr="0012065E" w:rsidRDefault="00761D08" w:rsidP="004C21DA">
            <w:pPr>
              <w:tabs>
                <w:tab w:val="left" w:pos="362"/>
              </w:tabs>
              <w:rPr>
                <w:sz w:val="16"/>
                <w:szCs w:val="16"/>
              </w:rPr>
            </w:pPr>
            <w:r>
              <w:rPr>
                <w:sz w:val="16"/>
                <w:szCs w:val="16"/>
              </w:rPr>
              <w:t>TTY</w:t>
            </w:r>
          </w:p>
        </w:tc>
        <w:tc>
          <w:tcPr>
            <w:tcW w:w="1366" w:type="dxa"/>
          </w:tcPr>
          <w:p w:rsidR="00761D08" w:rsidRDefault="00761D08" w:rsidP="004C21DA">
            <w:pPr>
              <w:tabs>
                <w:tab w:val="left" w:pos="362"/>
              </w:tabs>
              <w:rPr>
                <w:sz w:val="16"/>
                <w:szCs w:val="16"/>
              </w:rPr>
            </w:pPr>
            <w:r>
              <w:rPr>
                <w:sz w:val="16"/>
                <w:szCs w:val="16"/>
              </w:rPr>
              <w:t>1800 675 132</w:t>
            </w:r>
          </w:p>
          <w:p w:rsidR="00761D08" w:rsidRDefault="00761D08" w:rsidP="004C21DA">
            <w:pPr>
              <w:tabs>
                <w:tab w:val="left" w:pos="362"/>
              </w:tabs>
              <w:rPr>
                <w:sz w:val="16"/>
                <w:szCs w:val="16"/>
              </w:rPr>
            </w:pPr>
          </w:p>
          <w:p w:rsidR="00761D08" w:rsidRPr="0012065E" w:rsidRDefault="00761D08" w:rsidP="004C21DA">
            <w:pPr>
              <w:tabs>
                <w:tab w:val="left" w:pos="362"/>
              </w:tabs>
              <w:rPr>
                <w:sz w:val="16"/>
                <w:szCs w:val="16"/>
              </w:rPr>
            </w:pPr>
            <w:r>
              <w:rPr>
                <w:sz w:val="16"/>
                <w:szCs w:val="16"/>
              </w:rPr>
              <w:t>5226 4062</w:t>
            </w:r>
          </w:p>
        </w:tc>
        <w:tc>
          <w:tcPr>
            <w:tcW w:w="2254" w:type="dxa"/>
          </w:tcPr>
          <w:p w:rsidR="00761D08" w:rsidRPr="0012065E" w:rsidRDefault="00761D08" w:rsidP="004C21DA">
            <w:pPr>
              <w:tabs>
                <w:tab w:val="left" w:pos="362"/>
              </w:tabs>
              <w:rPr>
                <w:sz w:val="16"/>
                <w:szCs w:val="16"/>
              </w:rPr>
            </w:pPr>
            <w:r>
              <w:rPr>
                <w:sz w:val="16"/>
                <w:szCs w:val="16"/>
              </w:rPr>
              <w:t>Loddon Mallee – Mildura</w:t>
            </w:r>
          </w:p>
        </w:tc>
        <w:tc>
          <w:tcPr>
            <w:tcW w:w="1400" w:type="dxa"/>
          </w:tcPr>
          <w:p w:rsidR="00761D08" w:rsidRPr="0012065E" w:rsidRDefault="00761D08" w:rsidP="004C21DA">
            <w:pPr>
              <w:tabs>
                <w:tab w:val="left" w:pos="362"/>
              </w:tabs>
              <w:rPr>
                <w:sz w:val="16"/>
                <w:szCs w:val="16"/>
              </w:rPr>
            </w:pPr>
            <w:r>
              <w:rPr>
                <w:sz w:val="16"/>
                <w:szCs w:val="16"/>
              </w:rPr>
              <w:t>5023 9022</w:t>
            </w:r>
          </w:p>
        </w:tc>
        <w:tc>
          <w:tcPr>
            <w:tcW w:w="1858" w:type="dxa"/>
          </w:tcPr>
          <w:p w:rsidR="00761D08" w:rsidRPr="0012065E" w:rsidRDefault="00761D08" w:rsidP="004C21DA">
            <w:pPr>
              <w:tabs>
                <w:tab w:val="left" w:pos="362"/>
              </w:tabs>
              <w:rPr>
                <w:sz w:val="16"/>
                <w:szCs w:val="16"/>
              </w:rPr>
            </w:pPr>
            <w:r>
              <w:rPr>
                <w:sz w:val="16"/>
                <w:szCs w:val="16"/>
              </w:rPr>
              <w:t xml:space="preserve">Loddon Mallee - </w:t>
            </w:r>
            <w:smartTag w:uri="urn:schemas-microsoft-com:office:smarttags" w:element="place">
              <w:smartTag w:uri="urn:schemas-microsoft-com:office:smarttags" w:element="City">
                <w:r>
                  <w:rPr>
                    <w:sz w:val="16"/>
                    <w:szCs w:val="16"/>
                  </w:rPr>
                  <w:t>Bendigo</w:t>
                </w:r>
              </w:smartTag>
            </w:smartTag>
          </w:p>
        </w:tc>
        <w:tc>
          <w:tcPr>
            <w:tcW w:w="1165" w:type="dxa"/>
          </w:tcPr>
          <w:p w:rsidR="00761D08" w:rsidRPr="0012065E" w:rsidRDefault="00761D08" w:rsidP="004C21DA">
            <w:pPr>
              <w:tabs>
                <w:tab w:val="left" w:pos="362"/>
              </w:tabs>
              <w:rPr>
                <w:sz w:val="16"/>
                <w:szCs w:val="16"/>
              </w:rPr>
            </w:pPr>
            <w:r>
              <w:rPr>
                <w:sz w:val="16"/>
                <w:szCs w:val="16"/>
              </w:rPr>
              <w:t>5454 7588</w:t>
            </w:r>
          </w:p>
        </w:tc>
      </w:tr>
      <w:tr w:rsidR="00761D08" w:rsidTr="001F4BE2">
        <w:trPr>
          <w:jc w:val="center"/>
        </w:trPr>
        <w:tc>
          <w:tcPr>
            <w:tcW w:w="1918" w:type="dxa"/>
          </w:tcPr>
          <w:p w:rsidR="00761D08" w:rsidRDefault="00761D08" w:rsidP="004C21DA">
            <w:pPr>
              <w:tabs>
                <w:tab w:val="left" w:pos="362"/>
              </w:tabs>
              <w:rPr>
                <w:sz w:val="16"/>
                <w:szCs w:val="16"/>
              </w:rPr>
            </w:pPr>
            <w:r>
              <w:rPr>
                <w:sz w:val="16"/>
                <w:szCs w:val="16"/>
              </w:rPr>
              <w:t>Grampians Region</w:t>
            </w:r>
          </w:p>
          <w:p w:rsidR="00761D08" w:rsidRPr="0012065E" w:rsidRDefault="00761D08" w:rsidP="004C21DA">
            <w:pPr>
              <w:tabs>
                <w:tab w:val="left" w:pos="362"/>
              </w:tabs>
              <w:rPr>
                <w:sz w:val="16"/>
                <w:szCs w:val="16"/>
              </w:rPr>
            </w:pPr>
            <w:r>
              <w:rPr>
                <w:sz w:val="16"/>
                <w:szCs w:val="16"/>
              </w:rPr>
              <w:t>TTY</w:t>
            </w:r>
          </w:p>
        </w:tc>
        <w:tc>
          <w:tcPr>
            <w:tcW w:w="1366" w:type="dxa"/>
          </w:tcPr>
          <w:p w:rsidR="00761D08" w:rsidRDefault="00761D08" w:rsidP="004C21DA">
            <w:pPr>
              <w:tabs>
                <w:tab w:val="left" w:pos="362"/>
              </w:tabs>
              <w:rPr>
                <w:sz w:val="16"/>
                <w:szCs w:val="16"/>
              </w:rPr>
            </w:pPr>
            <w:r>
              <w:rPr>
                <w:sz w:val="16"/>
                <w:szCs w:val="16"/>
              </w:rPr>
              <w:t>1800 670 143</w:t>
            </w:r>
          </w:p>
          <w:p w:rsidR="00761D08" w:rsidRPr="0012065E" w:rsidRDefault="00761D08" w:rsidP="004C21DA">
            <w:pPr>
              <w:tabs>
                <w:tab w:val="left" w:pos="362"/>
              </w:tabs>
              <w:rPr>
                <w:sz w:val="16"/>
                <w:szCs w:val="16"/>
              </w:rPr>
            </w:pPr>
            <w:r>
              <w:rPr>
                <w:sz w:val="16"/>
                <w:szCs w:val="16"/>
              </w:rPr>
              <w:t>5333 6815</w:t>
            </w:r>
          </w:p>
        </w:tc>
        <w:tc>
          <w:tcPr>
            <w:tcW w:w="2254" w:type="dxa"/>
          </w:tcPr>
          <w:p w:rsidR="00761D08" w:rsidRPr="0012065E" w:rsidRDefault="00761D08" w:rsidP="004C21DA">
            <w:pPr>
              <w:tabs>
                <w:tab w:val="left" w:pos="362"/>
              </w:tabs>
              <w:rPr>
                <w:sz w:val="16"/>
                <w:szCs w:val="16"/>
              </w:rPr>
            </w:pPr>
            <w:r>
              <w:rPr>
                <w:sz w:val="16"/>
                <w:szCs w:val="16"/>
              </w:rPr>
              <w:t>Northern Metropolitan - Bundoora</w:t>
            </w:r>
          </w:p>
        </w:tc>
        <w:tc>
          <w:tcPr>
            <w:tcW w:w="1400" w:type="dxa"/>
          </w:tcPr>
          <w:p w:rsidR="00761D08" w:rsidRPr="0012065E" w:rsidRDefault="00761D08" w:rsidP="004C21DA">
            <w:pPr>
              <w:tabs>
                <w:tab w:val="left" w:pos="362"/>
              </w:tabs>
              <w:rPr>
                <w:sz w:val="16"/>
                <w:szCs w:val="16"/>
              </w:rPr>
            </w:pPr>
            <w:r>
              <w:rPr>
                <w:sz w:val="16"/>
                <w:szCs w:val="16"/>
              </w:rPr>
              <w:t>9495 3109</w:t>
            </w:r>
          </w:p>
        </w:tc>
        <w:tc>
          <w:tcPr>
            <w:tcW w:w="1858" w:type="dxa"/>
          </w:tcPr>
          <w:p w:rsidR="00761D08" w:rsidRPr="0012065E" w:rsidRDefault="00761D08" w:rsidP="004C21DA">
            <w:pPr>
              <w:tabs>
                <w:tab w:val="left" w:pos="362"/>
              </w:tabs>
              <w:rPr>
                <w:sz w:val="16"/>
                <w:szCs w:val="16"/>
              </w:rPr>
            </w:pPr>
            <w:r>
              <w:rPr>
                <w:sz w:val="16"/>
                <w:szCs w:val="16"/>
              </w:rPr>
              <w:t xml:space="preserve">Northern Metropolitan – </w:t>
            </w:r>
            <w:smartTag w:uri="urn:schemas-microsoft-com:office:smarttags" w:element="place">
              <w:smartTag w:uri="urn:schemas-microsoft-com:office:smarttags" w:element="City">
                <w:r>
                  <w:rPr>
                    <w:sz w:val="16"/>
                    <w:szCs w:val="16"/>
                  </w:rPr>
                  <w:t>Heidelberg</w:t>
                </w:r>
              </w:smartTag>
            </w:smartTag>
          </w:p>
        </w:tc>
        <w:tc>
          <w:tcPr>
            <w:tcW w:w="1165" w:type="dxa"/>
          </w:tcPr>
          <w:p w:rsidR="00761D08" w:rsidRPr="0012065E" w:rsidRDefault="00761D08" w:rsidP="004C21DA">
            <w:pPr>
              <w:tabs>
                <w:tab w:val="left" w:pos="362"/>
              </w:tabs>
              <w:rPr>
                <w:sz w:val="16"/>
                <w:szCs w:val="16"/>
              </w:rPr>
            </w:pPr>
            <w:r>
              <w:rPr>
                <w:sz w:val="16"/>
                <w:szCs w:val="16"/>
              </w:rPr>
              <w:t>9496 2489</w:t>
            </w:r>
          </w:p>
        </w:tc>
      </w:tr>
      <w:tr w:rsidR="00761D08" w:rsidTr="001F4BE2">
        <w:trPr>
          <w:jc w:val="center"/>
        </w:trPr>
        <w:tc>
          <w:tcPr>
            <w:tcW w:w="1918" w:type="dxa"/>
          </w:tcPr>
          <w:p w:rsidR="00761D08" w:rsidRDefault="00761D08" w:rsidP="004C21DA">
            <w:pPr>
              <w:tabs>
                <w:tab w:val="left" w:pos="362"/>
              </w:tabs>
              <w:rPr>
                <w:sz w:val="16"/>
                <w:szCs w:val="16"/>
              </w:rPr>
            </w:pPr>
            <w:r>
              <w:rPr>
                <w:sz w:val="16"/>
                <w:szCs w:val="16"/>
              </w:rPr>
              <w:t>Hume Region</w:t>
            </w:r>
          </w:p>
          <w:p w:rsidR="00761D08" w:rsidRPr="0012065E" w:rsidRDefault="00761D08" w:rsidP="004C21DA">
            <w:pPr>
              <w:tabs>
                <w:tab w:val="left" w:pos="362"/>
              </w:tabs>
              <w:rPr>
                <w:sz w:val="16"/>
                <w:szCs w:val="16"/>
              </w:rPr>
            </w:pPr>
            <w:r>
              <w:rPr>
                <w:sz w:val="16"/>
                <w:szCs w:val="16"/>
              </w:rPr>
              <w:t>TTY</w:t>
            </w:r>
          </w:p>
        </w:tc>
        <w:tc>
          <w:tcPr>
            <w:tcW w:w="1366" w:type="dxa"/>
          </w:tcPr>
          <w:p w:rsidR="00761D08" w:rsidRDefault="00761D08" w:rsidP="004C21DA">
            <w:pPr>
              <w:tabs>
                <w:tab w:val="left" w:pos="362"/>
              </w:tabs>
              <w:rPr>
                <w:sz w:val="16"/>
                <w:szCs w:val="16"/>
              </w:rPr>
            </w:pPr>
            <w:r>
              <w:rPr>
                <w:sz w:val="16"/>
                <w:szCs w:val="16"/>
              </w:rPr>
              <w:t>1300 650 152</w:t>
            </w:r>
          </w:p>
          <w:p w:rsidR="00761D08" w:rsidRPr="0012065E" w:rsidRDefault="00761D08" w:rsidP="004C21DA">
            <w:pPr>
              <w:tabs>
                <w:tab w:val="left" w:pos="362"/>
              </w:tabs>
              <w:rPr>
                <w:sz w:val="16"/>
                <w:szCs w:val="16"/>
              </w:rPr>
            </w:pPr>
            <w:r>
              <w:rPr>
                <w:sz w:val="16"/>
                <w:szCs w:val="16"/>
              </w:rPr>
              <w:t>5722 0623</w:t>
            </w:r>
          </w:p>
        </w:tc>
        <w:tc>
          <w:tcPr>
            <w:tcW w:w="2254" w:type="dxa"/>
          </w:tcPr>
          <w:p w:rsidR="00761D08" w:rsidRPr="0012065E" w:rsidRDefault="00761D08" w:rsidP="004C21DA">
            <w:pPr>
              <w:tabs>
                <w:tab w:val="left" w:pos="362"/>
              </w:tabs>
              <w:rPr>
                <w:sz w:val="16"/>
                <w:szCs w:val="16"/>
              </w:rPr>
            </w:pPr>
            <w:r>
              <w:rPr>
                <w:sz w:val="16"/>
                <w:szCs w:val="16"/>
              </w:rPr>
              <w:t>Northern Metropolitan – St Vincents</w:t>
            </w:r>
          </w:p>
        </w:tc>
        <w:tc>
          <w:tcPr>
            <w:tcW w:w="1400" w:type="dxa"/>
          </w:tcPr>
          <w:p w:rsidR="00761D08" w:rsidRPr="0012065E" w:rsidRDefault="00761D08" w:rsidP="004C21DA">
            <w:pPr>
              <w:tabs>
                <w:tab w:val="left" w:pos="362"/>
              </w:tabs>
              <w:rPr>
                <w:sz w:val="16"/>
                <w:szCs w:val="16"/>
              </w:rPr>
            </w:pPr>
            <w:r>
              <w:rPr>
                <w:sz w:val="16"/>
                <w:szCs w:val="16"/>
              </w:rPr>
              <w:t>9816 0566</w:t>
            </w:r>
          </w:p>
        </w:tc>
        <w:tc>
          <w:tcPr>
            <w:tcW w:w="1858" w:type="dxa"/>
          </w:tcPr>
          <w:p w:rsidR="00761D08" w:rsidRPr="0012065E" w:rsidRDefault="00761D08" w:rsidP="004C21DA">
            <w:pPr>
              <w:tabs>
                <w:tab w:val="left" w:pos="362"/>
              </w:tabs>
              <w:rPr>
                <w:sz w:val="16"/>
                <w:szCs w:val="16"/>
              </w:rPr>
            </w:pPr>
            <w:r>
              <w:rPr>
                <w:sz w:val="16"/>
                <w:szCs w:val="16"/>
              </w:rPr>
              <w:t>Southern Metropolitan – Caulfield</w:t>
            </w:r>
          </w:p>
        </w:tc>
        <w:tc>
          <w:tcPr>
            <w:tcW w:w="1165" w:type="dxa"/>
          </w:tcPr>
          <w:p w:rsidR="00761D08" w:rsidRPr="0012065E" w:rsidRDefault="00761D08" w:rsidP="004C21DA">
            <w:pPr>
              <w:tabs>
                <w:tab w:val="left" w:pos="362"/>
              </w:tabs>
              <w:rPr>
                <w:sz w:val="16"/>
                <w:szCs w:val="16"/>
              </w:rPr>
            </w:pPr>
            <w:r>
              <w:rPr>
                <w:sz w:val="16"/>
                <w:szCs w:val="16"/>
              </w:rPr>
              <w:t>9276 6314</w:t>
            </w:r>
          </w:p>
        </w:tc>
      </w:tr>
      <w:tr w:rsidR="00761D08" w:rsidTr="001F4BE2">
        <w:trPr>
          <w:jc w:val="center"/>
        </w:trPr>
        <w:tc>
          <w:tcPr>
            <w:tcW w:w="1918" w:type="dxa"/>
          </w:tcPr>
          <w:p w:rsidR="00761D08" w:rsidRDefault="00761D08" w:rsidP="004C21DA">
            <w:pPr>
              <w:tabs>
                <w:tab w:val="left" w:pos="362"/>
              </w:tabs>
              <w:rPr>
                <w:sz w:val="16"/>
                <w:szCs w:val="16"/>
              </w:rPr>
            </w:pPr>
            <w:r>
              <w:rPr>
                <w:sz w:val="16"/>
                <w:szCs w:val="16"/>
              </w:rPr>
              <w:t>Loddon Mallee Region</w:t>
            </w:r>
          </w:p>
          <w:p w:rsidR="00761D08" w:rsidRPr="0012065E" w:rsidRDefault="00761D08" w:rsidP="004C21DA">
            <w:pPr>
              <w:tabs>
                <w:tab w:val="left" w:pos="362"/>
              </w:tabs>
              <w:rPr>
                <w:sz w:val="16"/>
                <w:szCs w:val="16"/>
              </w:rPr>
            </w:pPr>
            <w:r>
              <w:rPr>
                <w:sz w:val="16"/>
                <w:szCs w:val="16"/>
              </w:rPr>
              <w:t>TTY</w:t>
            </w:r>
          </w:p>
        </w:tc>
        <w:tc>
          <w:tcPr>
            <w:tcW w:w="1366" w:type="dxa"/>
          </w:tcPr>
          <w:p w:rsidR="00761D08" w:rsidRDefault="00761D08" w:rsidP="004C21DA">
            <w:pPr>
              <w:tabs>
                <w:tab w:val="left" w:pos="362"/>
              </w:tabs>
              <w:rPr>
                <w:sz w:val="16"/>
                <w:szCs w:val="16"/>
              </w:rPr>
            </w:pPr>
            <w:r>
              <w:rPr>
                <w:sz w:val="16"/>
                <w:szCs w:val="16"/>
              </w:rPr>
              <w:t>5434 5888</w:t>
            </w:r>
          </w:p>
          <w:p w:rsidR="00761D08" w:rsidRDefault="00761D08" w:rsidP="004C21DA">
            <w:pPr>
              <w:tabs>
                <w:tab w:val="left" w:pos="362"/>
              </w:tabs>
              <w:rPr>
                <w:sz w:val="16"/>
                <w:szCs w:val="16"/>
              </w:rPr>
            </w:pPr>
          </w:p>
          <w:p w:rsidR="00761D08" w:rsidRPr="0012065E" w:rsidRDefault="00761D08" w:rsidP="004C21DA">
            <w:pPr>
              <w:tabs>
                <w:tab w:val="left" w:pos="362"/>
              </w:tabs>
              <w:rPr>
                <w:sz w:val="16"/>
                <w:szCs w:val="16"/>
              </w:rPr>
            </w:pPr>
            <w:r>
              <w:rPr>
                <w:sz w:val="16"/>
                <w:szCs w:val="16"/>
              </w:rPr>
              <w:t>5434 5669</w:t>
            </w:r>
          </w:p>
        </w:tc>
        <w:tc>
          <w:tcPr>
            <w:tcW w:w="2254" w:type="dxa"/>
          </w:tcPr>
          <w:p w:rsidR="00761D08" w:rsidRPr="0012065E" w:rsidRDefault="00761D08" w:rsidP="004C21DA">
            <w:pPr>
              <w:tabs>
                <w:tab w:val="left" w:pos="362"/>
              </w:tabs>
              <w:rPr>
                <w:sz w:val="16"/>
                <w:szCs w:val="16"/>
              </w:rPr>
            </w:pPr>
            <w:r>
              <w:rPr>
                <w:sz w:val="16"/>
                <w:szCs w:val="16"/>
              </w:rPr>
              <w:t xml:space="preserve">Southern Metropolitan – </w:t>
            </w:r>
            <w:smartTag w:uri="urn:schemas-microsoft-com:office:smarttags" w:element="place">
              <w:smartTag w:uri="urn:schemas-microsoft-com:office:smarttags" w:element="City">
                <w:r>
                  <w:rPr>
                    <w:sz w:val="16"/>
                    <w:szCs w:val="16"/>
                  </w:rPr>
                  <w:t>Kingston</w:t>
                </w:r>
              </w:smartTag>
            </w:smartTag>
          </w:p>
        </w:tc>
        <w:tc>
          <w:tcPr>
            <w:tcW w:w="1400" w:type="dxa"/>
          </w:tcPr>
          <w:p w:rsidR="00761D08" w:rsidRPr="0012065E" w:rsidRDefault="00761D08" w:rsidP="004C21DA">
            <w:pPr>
              <w:tabs>
                <w:tab w:val="left" w:pos="362"/>
              </w:tabs>
              <w:rPr>
                <w:sz w:val="16"/>
                <w:szCs w:val="16"/>
              </w:rPr>
            </w:pPr>
            <w:r>
              <w:rPr>
                <w:sz w:val="16"/>
                <w:szCs w:val="16"/>
              </w:rPr>
              <w:t>8587 010</w:t>
            </w:r>
          </w:p>
        </w:tc>
        <w:tc>
          <w:tcPr>
            <w:tcW w:w="1858" w:type="dxa"/>
          </w:tcPr>
          <w:p w:rsidR="00761D08" w:rsidRPr="0012065E" w:rsidRDefault="00761D08" w:rsidP="004C21DA">
            <w:pPr>
              <w:tabs>
                <w:tab w:val="left" w:pos="362"/>
              </w:tabs>
              <w:rPr>
                <w:sz w:val="16"/>
                <w:szCs w:val="16"/>
              </w:rPr>
            </w:pPr>
            <w:r>
              <w:rPr>
                <w:sz w:val="16"/>
                <w:szCs w:val="16"/>
              </w:rPr>
              <w:t>Southern Metropolitan – Mt Eliza</w:t>
            </w:r>
          </w:p>
        </w:tc>
        <w:tc>
          <w:tcPr>
            <w:tcW w:w="1165" w:type="dxa"/>
          </w:tcPr>
          <w:p w:rsidR="00761D08" w:rsidRPr="0012065E" w:rsidRDefault="00761D08" w:rsidP="004C21DA">
            <w:pPr>
              <w:tabs>
                <w:tab w:val="left" w:pos="362"/>
              </w:tabs>
              <w:rPr>
                <w:sz w:val="16"/>
                <w:szCs w:val="16"/>
              </w:rPr>
            </w:pPr>
            <w:r>
              <w:rPr>
                <w:sz w:val="16"/>
                <w:szCs w:val="16"/>
              </w:rPr>
              <w:t>9788 1276</w:t>
            </w:r>
          </w:p>
        </w:tc>
      </w:tr>
      <w:tr w:rsidR="00761D08" w:rsidTr="001F4BE2">
        <w:trPr>
          <w:jc w:val="center"/>
        </w:trPr>
        <w:tc>
          <w:tcPr>
            <w:tcW w:w="1918" w:type="dxa"/>
          </w:tcPr>
          <w:p w:rsidR="00023034" w:rsidRDefault="00761D08" w:rsidP="004C21DA">
            <w:pPr>
              <w:tabs>
                <w:tab w:val="left" w:pos="362"/>
              </w:tabs>
              <w:rPr>
                <w:sz w:val="16"/>
                <w:szCs w:val="16"/>
              </w:rPr>
            </w:pPr>
            <w:r>
              <w:rPr>
                <w:sz w:val="16"/>
                <w:szCs w:val="16"/>
              </w:rPr>
              <w:t>Gippsland Region</w:t>
            </w:r>
          </w:p>
          <w:p w:rsidR="00761D08" w:rsidRPr="0012065E" w:rsidRDefault="00761D08" w:rsidP="004C21DA">
            <w:pPr>
              <w:tabs>
                <w:tab w:val="left" w:pos="362"/>
              </w:tabs>
              <w:rPr>
                <w:sz w:val="16"/>
                <w:szCs w:val="16"/>
              </w:rPr>
            </w:pPr>
            <w:r>
              <w:rPr>
                <w:sz w:val="16"/>
                <w:szCs w:val="16"/>
              </w:rPr>
              <w:t>TTY</w:t>
            </w:r>
          </w:p>
        </w:tc>
        <w:tc>
          <w:tcPr>
            <w:tcW w:w="1366" w:type="dxa"/>
          </w:tcPr>
          <w:p w:rsidR="00761D08" w:rsidRDefault="00761D08" w:rsidP="004C21DA">
            <w:pPr>
              <w:tabs>
                <w:tab w:val="left" w:pos="362"/>
              </w:tabs>
              <w:rPr>
                <w:sz w:val="16"/>
                <w:szCs w:val="16"/>
              </w:rPr>
            </w:pPr>
            <w:r>
              <w:rPr>
                <w:sz w:val="16"/>
                <w:szCs w:val="16"/>
              </w:rPr>
              <w:t>5136 2474</w:t>
            </w:r>
          </w:p>
          <w:p w:rsidR="00761D08" w:rsidRPr="0012065E" w:rsidRDefault="00761D08" w:rsidP="004C21DA">
            <w:pPr>
              <w:tabs>
                <w:tab w:val="left" w:pos="362"/>
              </w:tabs>
              <w:rPr>
                <w:sz w:val="16"/>
                <w:szCs w:val="16"/>
              </w:rPr>
            </w:pPr>
            <w:r>
              <w:rPr>
                <w:sz w:val="16"/>
                <w:szCs w:val="16"/>
              </w:rPr>
              <w:t>5136 2494</w:t>
            </w:r>
          </w:p>
        </w:tc>
        <w:tc>
          <w:tcPr>
            <w:tcW w:w="2254" w:type="dxa"/>
          </w:tcPr>
          <w:p w:rsidR="00761D08" w:rsidRPr="0012065E" w:rsidRDefault="00761D08" w:rsidP="004C21DA">
            <w:pPr>
              <w:tabs>
                <w:tab w:val="left" w:pos="362"/>
              </w:tabs>
              <w:rPr>
                <w:sz w:val="16"/>
                <w:szCs w:val="16"/>
              </w:rPr>
            </w:pPr>
            <w:r>
              <w:rPr>
                <w:sz w:val="16"/>
                <w:szCs w:val="16"/>
              </w:rPr>
              <w:t xml:space="preserve">Western Metropolitan – </w:t>
            </w:r>
            <w:smartTag w:uri="urn:schemas-microsoft-com:office:smarttags" w:element="place">
              <w:smartTag w:uri="urn:schemas-microsoft-com:office:smarttags" w:element="State">
                <w:r>
                  <w:rPr>
                    <w:sz w:val="16"/>
                    <w:szCs w:val="16"/>
                  </w:rPr>
                  <w:t>North West</w:t>
                </w:r>
              </w:smartTag>
            </w:smartTag>
          </w:p>
        </w:tc>
        <w:tc>
          <w:tcPr>
            <w:tcW w:w="1400" w:type="dxa"/>
          </w:tcPr>
          <w:p w:rsidR="00761D08" w:rsidRPr="0012065E" w:rsidRDefault="00761D08" w:rsidP="004C21DA">
            <w:pPr>
              <w:tabs>
                <w:tab w:val="left" w:pos="362"/>
              </w:tabs>
              <w:rPr>
                <w:sz w:val="16"/>
                <w:szCs w:val="16"/>
              </w:rPr>
            </w:pPr>
            <w:r>
              <w:rPr>
                <w:sz w:val="16"/>
                <w:szCs w:val="16"/>
              </w:rPr>
              <w:t>8387 2129</w:t>
            </w:r>
          </w:p>
        </w:tc>
        <w:tc>
          <w:tcPr>
            <w:tcW w:w="1858" w:type="dxa"/>
          </w:tcPr>
          <w:p w:rsidR="00761D08" w:rsidRPr="0012065E" w:rsidRDefault="00761D08" w:rsidP="004C21DA">
            <w:pPr>
              <w:tabs>
                <w:tab w:val="left" w:pos="362"/>
              </w:tabs>
              <w:rPr>
                <w:sz w:val="16"/>
                <w:szCs w:val="16"/>
              </w:rPr>
            </w:pPr>
            <w:r>
              <w:rPr>
                <w:sz w:val="16"/>
                <w:szCs w:val="16"/>
              </w:rPr>
              <w:t>Western Metropolitan – Western</w:t>
            </w:r>
          </w:p>
        </w:tc>
        <w:tc>
          <w:tcPr>
            <w:tcW w:w="1165" w:type="dxa"/>
          </w:tcPr>
          <w:p w:rsidR="00761D08" w:rsidRPr="0012065E" w:rsidRDefault="00761D08" w:rsidP="004C21DA">
            <w:pPr>
              <w:tabs>
                <w:tab w:val="left" w:pos="362"/>
              </w:tabs>
              <w:rPr>
                <w:sz w:val="16"/>
                <w:szCs w:val="16"/>
              </w:rPr>
            </w:pPr>
            <w:r>
              <w:rPr>
                <w:sz w:val="16"/>
                <w:szCs w:val="16"/>
              </w:rPr>
              <w:t>8345 1246</w:t>
            </w:r>
          </w:p>
        </w:tc>
      </w:tr>
    </w:tbl>
    <w:p w:rsidR="00761D08" w:rsidRDefault="00761D08" w:rsidP="00023034">
      <w:pPr>
        <w:tabs>
          <w:tab w:val="left" w:pos="362"/>
        </w:tabs>
      </w:pPr>
    </w:p>
    <w:sectPr w:rsidR="00761D08" w:rsidSect="00023034">
      <w:headerReference w:type="first" r:id="rId9"/>
      <w:footerReference w:type="first" r:id="rId10"/>
      <w:pgSz w:w="11906" w:h="16838"/>
      <w:pgMar w:top="851" w:right="851" w:bottom="1267" w:left="851"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879" w:rsidRDefault="00113879">
      <w:r>
        <w:separator/>
      </w:r>
    </w:p>
  </w:endnote>
  <w:endnote w:type="continuationSeparator" w:id="0">
    <w:p w:rsidR="00113879" w:rsidRDefault="0011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5" w:type="dxa"/>
      <w:tblLook w:val="0000" w:firstRow="0" w:lastRow="0" w:firstColumn="0" w:lastColumn="0" w:noHBand="0" w:noVBand="0"/>
    </w:tblPr>
    <w:tblGrid>
      <w:gridCol w:w="9099"/>
      <w:gridCol w:w="1326"/>
    </w:tblGrid>
    <w:tr w:rsidR="004C21DA">
      <w:tc>
        <w:tcPr>
          <w:tcW w:w="9116" w:type="dxa"/>
          <w:vAlign w:val="bottom"/>
        </w:tcPr>
        <w:p w:rsidR="004C21DA" w:rsidRDefault="004C21DA">
          <w:pPr>
            <w:pStyle w:val="Footer"/>
            <w:rPr>
              <w:color w:val="1C7DA9"/>
              <w:sz w:val="18"/>
            </w:rPr>
          </w:pPr>
          <w:r>
            <w:rPr>
              <w:color w:val="1C7DA9"/>
              <w:sz w:val="18"/>
            </w:rPr>
            <w:t>Department of Human Services</w:t>
          </w:r>
        </w:p>
      </w:tc>
      <w:tc>
        <w:tcPr>
          <w:tcW w:w="1309" w:type="dxa"/>
        </w:tcPr>
        <w:p w:rsidR="004C21DA" w:rsidRDefault="007C3C1A">
          <w:pPr>
            <w:pStyle w:val="Footer"/>
          </w:pPr>
          <w:r>
            <w:rPr>
              <w:i/>
              <w:noProof/>
              <w:sz w:val="16"/>
              <w:lang w:eastAsia="en-AU"/>
            </w:rPr>
            <w:drawing>
              <wp:inline distT="0" distB="0" distL="0" distR="0">
                <wp:extent cx="695325" cy="504825"/>
                <wp:effectExtent l="0" t="0" r="9525" b="9525"/>
                <wp:docPr id="2" name="Picture 2" descr="small_viclogo_pms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_viclogo_pms6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504825"/>
                        </a:xfrm>
                        <a:prstGeom prst="rect">
                          <a:avLst/>
                        </a:prstGeom>
                        <a:noFill/>
                        <a:ln>
                          <a:noFill/>
                        </a:ln>
                      </pic:spPr>
                    </pic:pic>
                  </a:graphicData>
                </a:graphic>
              </wp:inline>
            </w:drawing>
          </w:r>
        </w:p>
      </w:tc>
    </w:tr>
  </w:tbl>
  <w:p w:rsidR="004C21DA" w:rsidRDefault="004C2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879" w:rsidRDefault="00113879">
      <w:r>
        <w:separator/>
      </w:r>
    </w:p>
  </w:footnote>
  <w:footnote w:type="continuationSeparator" w:id="0">
    <w:p w:rsidR="00113879" w:rsidRDefault="00113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DA" w:rsidRDefault="007C3C1A">
    <w:pPr>
      <w:pStyle w:val="Header"/>
      <w:jc w:val="right"/>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205105</wp:posOffset>
              </wp:positionV>
              <wp:extent cx="6091555" cy="1034415"/>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D65" w:rsidRDefault="006D6602" w:rsidP="002D1CCC">
                          <w:pPr>
                            <w:autoSpaceDE w:val="0"/>
                            <w:autoSpaceDN w:val="0"/>
                            <w:adjustRightInd w:val="0"/>
                            <w:spacing w:line="288" w:lineRule="auto"/>
                            <w:rPr>
                              <w:rFonts w:ascii="Helv" w:hAnsi="Helv" w:cs="Helv"/>
                              <w:sz w:val="40"/>
                              <w:szCs w:val="40"/>
                              <w:lang w:eastAsia="en-AU"/>
                            </w:rPr>
                          </w:pPr>
                          <w:r w:rsidRPr="0095585B">
                            <w:rPr>
                              <w:rFonts w:cs="Verdana"/>
                              <w:sz w:val="40"/>
                              <w:szCs w:val="40"/>
                              <w:lang w:eastAsia="en-AU"/>
                            </w:rPr>
                            <w:t>Disability Services – Aged Care Assessment Services Protocol</w:t>
                          </w:r>
                          <w:r w:rsidR="00023034">
                            <w:rPr>
                              <w:rFonts w:ascii="Helv" w:hAnsi="Helv" w:cs="Helv"/>
                              <w:sz w:val="40"/>
                              <w:szCs w:val="40"/>
                              <w:lang w:eastAsia="en-AU"/>
                            </w:rPr>
                            <w:t>:  An Overview</w:t>
                          </w:r>
                        </w:p>
                        <w:p w:rsidR="00C83393" w:rsidRPr="00C83393" w:rsidRDefault="009B125C" w:rsidP="00793F79">
                          <w:pPr>
                            <w:autoSpaceDE w:val="0"/>
                            <w:autoSpaceDN w:val="0"/>
                            <w:adjustRightInd w:val="0"/>
                            <w:spacing w:line="288" w:lineRule="auto"/>
                            <w:jc w:val="right"/>
                            <w:rPr>
                              <w:rFonts w:cs="Helv"/>
                              <w:lang w:eastAsia="en-AU"/>
                            </w:rPr>
                          </w:pPr>
                          <w:r>
                            <w:rPr>
                              <w:rFonts w:cs="Helv"/>
                              <w:lang w:eastAsia="en-AU"/>
                            </w:rPr>
                            <w:t>May</w:t>
                          </w:r>
                          <w:r w:rsidR="00C83393">
                            <w:rPr>
                              <w:rFonts w:cs="Helv"/>
                              <w:lang w:eastAsia="en-AU"/>
                            </w:rPr>
                            <w:t xml:space="preserve">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6.15pt;width:479.6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NFtgIAALo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" filled="f" stroked="f">
              <v:textbox>
                <w:txbxContent>
                  <w:p w:rsidR="00E36D65" w:rsidRDefault="006D6602" w:rsidP="002D1CCC">
                    <w:pPr>
                      <w:autoSpaceDE w:val="0"/>
                      <w:autoSpaceDN w:val="0"/>
                      <w:adjustRightInd w:val="0"/>
                      <w:spacing w:line="288" w:lineRule="auto"/>
                      <w:rPr>
                        <w:rFonts w:ascii="Helv" w:hAnsi="Helv" w:cs="Helv"/>
                        <w:sz w:val="40"/>
                        <w:szCs w:val="40"/>
                        <w:lang w:eastAsia="en-AU"/>
                      </w:rPr>
                    </w:pPr>
                    <w:r w:rsidRPr="0095585B">
                      <w:rPr>
                        <w:rFonts w:cs="Verdana"/>
                        <w:sz w:val="40"/>
                        <w:szCs w:val="40"/>
                        <w:lang w:eastAsia="en-AU"/>
                      </w:rPr>
                      <w:t>Disability Services – Aged Care Assessment Services Protocol</w:t>
                    </w:r>
                    <w:r w:rsidR="00023034">
                      <w:rPr>
                        <w:rFonts w:ascii="Helv" w:hAnsi="Helv" w:cs="Helv"/>
                        <w:sz w:val="40"/>
                        <w:szCs w:val="40"/>
                        <w:lang w:eastAsia="en-AU"/>
                      </w:rPr>
                      <w:t>:  An Overview</w:t>
                    </w:r>
                  </w:p>
                  <w:p w:rsidR="00C83393" w:rsidRPr="00C83393" w:rsidRDefault="009B125C" w:rsidP="00793F79">
                    <w:pPr>
                      <w:autoSpaceDE w:val="0"/>
                      <w:autoSpaceDN w:val="0"/>
                      <w:adjustRightInd w:val="0"/>
                      <w:spacing w:line="288" w:lineRule="auto"/>
                      <w:jc w:val="right"/>
                      <w:rPr>
                        <w:rFonts w:cs="Helv"/>
                        <w:lang w:eastAsia="en-AU"/>
                      </w:rPr>
                    </w:pPr>
                    <w:r>
                      <w:rPr>
                        <w:rFonts w:cs="Helv"/>
                        <w:lang w:eastAsia="en-AU"/>
                      </w:rPr>
                      <w:t>May</w:t>
                    </w:r>
                    <w:r w:rsidR="00C83393">
                      <w:rPr>
                        <w:rFonts w:cs="Helv"/>
                        <w:lang w:eastAsia="en-AU"/>
                      </w:rPr>
                      <w:t xml:space="preserve"> 2009</w:t>
                    </w:r>
                  </w:p>
                </w:txbxContent>
              </v:textbox>
            </v:shape>
          </w:pict>
        </mc:Fallback>
      </mc:AlternateContent>
    </w:r>
    <w:r>
      <w:rPr>
        <w:noProof/>
        <w:lang w:eastAsia="en-AU"/>
      </w:rPr>
      <w:drawing>
        <wp:inline distT="0" distB="0" distL="0" distR="0">
          <wp:extent cx="6515100" cy="1238250"/>
          <wp:effectExtent l="0" t="0" r="0" b="0"/>
          <wp:docPr id="1" name="Picture 1" descr="633banne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3bannerweb"/>
                  <pic:cNvPicPr>
                    <a:picLocks noChangeAspect="1" noChangeArrowheads="1"/>
                  </pic:cNvPicPr>
                </pic:nvPicPr>
                <pic:blipFill>
                  <a:blip r:embed="rId1">
                    <a:extLst>
                      <a:ext uri="{28A0092B-C50C-407E-A947-70E740481C1C}">
                        <a14:useLocalDpi xmlns:a14="http://schemas.microsoft.com/office/drawing/2010/main" val="0"/>
                      </a:ext>
                    </a:extLst>
                  </a:blip>
                  <a:srcRect r="33592"/>
                  <a:stretch>
                    <a:fillRect/>
                  </a:stretch>
                </pic:blipFill>
                <pic:spPr bwMode="auto">
                  <a:xfrm>
                    <a:off x="0" y="0"/>
                    <a:ext cx="6515100"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C5CC5"/>
    <w:multiLevelType w:val="hybridMultilevel"/>
    <w:tmpl w:val="67F457CA"/>
    <w:lvl w:ilvl="0" w:tplc="6D3AE4D0">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45DC5D7D"/>
    <w:multiLevelType w:val="hybridMultilevel"/>
    <w:tmpl w:val="E5FED512"/>
    <w:lvl w:ilvl="0" w:tplc="6CEAE4AC">
      <w:start w:val="1"/>
      <w:numFmt w:val="bullet"/>
      <w:pStyle w:val="DHSBulletText"/>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D358B4"/>
    <w:multiLevelType w:val="hybridMultilevel"/>
    <w:tmpl w:val="9320DA14"/>
    <w:lvl w:ilvl="0" w:tplc="6D3AE4D0">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C2C07BE"/>
    <w:multiLevelType w:val="hybridMultilevel"/>
    <w:tmpl w:val="69CE986E"/>
    <w:lvl w:ilvl="0" w:tplc="6D3AE4D0">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D8402F7"/>
    <w:multiLevelType w:val="hybridMultilevel"/>
    <w:tmpl w:val="B9C43B88"/>
    <w:lvl w:ilvl="0" w:tplc="6D3AE4D0">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5307723F"/>
    <w:multiLevelType w:val="hybridMultilevel"/>
    <w:tmpl w:val="584CD5F2"/>
    <w:lvl w:ilvl="0" w:tplc="6D3AE4D0">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8B31838"/>
    <w:multiLevelType w:val="multilevel"/>
    <w:tmpl w:val="A196A26C"/>
    <w:lvl w:ilvl="0">
      <w:start w:val="1"/>
      <w:numFmt w:val="decimal"/>
      <w:pStyle w:val="DHSNumberingOutline"/>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num w:numId="1">
    <w:abstractNumId w:val="1"/>
  </w:num>
  <w:num w:numId="2">
    <w:abstractNumId w:val="6"/>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08"/>
    <w:rsid w:val="0000421E"/>
    <w:rsid w:val="00023034"/>
    <w:rsid w:val="00045080"/>
    <w:rsid w:val="000D2E78"/>
    <w:rsid w:val="00113879"/>
    <w:rsid w:val="00123F1B"/>
    <w:rsid w:val="001F4BE2"/>
    <w:rsid w:val="0026342C"/>
    <w:rsid w:val="002D1CCC"/>
    <w:rsid w:val="00437B90"/>
    <w:rsid w:val="004C21DA"/>
    <w:rsid w:val="004F7631"/>
    <w:rsid w:val="0053594E"/>
    <w:rsid w:val="005C4972"/>
    <w:rsid w:val="005E74EC"/>
    <w:rsid w:val="006232D5"/>
    <w:rsid w:val="00675380"/>
    <w:rsid w:val="006B27F3"/>
    <w:rsid w:val="006D6346"/>
    <w:rsid w:val="006D6602"/>
    <w:rsid w:val="0070452F"/>
    <w:rsid w:val="00761D08"/>
    <w:rsid w:val="00793F79"/>
    <w:rsid w:val="007C3C1A"/>
    <w:rsid w:val="007E0B73"/>
    <w:rsid w:val="008764AA"/>
    <w:rsid w:val="00922407"/>
    <w:rsid w:val="009460A1"/>
    <w:rsid w:val="0095585B"/>
    <w:rsid w:val="009B125C"/>
    <w:rsid w:val="00A83918"/>
    <w:rsid w:val="00C824FC"/>
    <w:rsid w:val="00C83393"/>
    <w:rsid w:val="00CA7EAE"/>
    <w:rsid w:val="00D30996"/>
    <w:rsid w:val="00D369A4"/>
    <w:rsid w:val="00E05E7C"/>
    <w:rsid w:val="00E2633D"/>
    <w:rsid w:val="00E36D65"/>
    <w:rsid w:val="00EC4453"/>
    <w:rsid w:val="00F111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D08"/>
    <w:rPr>
      <w:rFonts w:ascii="Verdana" w:hAnsi="Verdana"/>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18"/>
    </w:rPr>
  </w:style>
  <w:style w:type="paragraph" w:customStyle="1" w:styleId="DHSBodyText">
    <w:name w:val="DHS Body Text"/>
    <w:basedOn w:val="Normal"/>
    <w:pPr>
      <w:spacing w:line="240" w:lineRule="exact"/>
    </w:pPr>
    <w:rPr>
      <w:sz w:val="18"/>
    </w:rPr>
  </w:style>
  <w:style w:type="paragraph" w:customStyle="1" w:styleId="DHSBulletText">
    <w:name w:val="DHS Bullet Text"/>
    <w:basedOn w:val="Normal"/>
    <w:next w:val="Normal"/>
    <w:pPr>
      <w:widowControl w:val="0"/>
      <w:numPr>
        <w:numId w:val="1"/>
      </w:numPr>
      <w:tabs>
        <w:tab w:val="clear" w:pos="360"/>
      </w:tabs>
      <w:overflowPunct w:val="0"/>
      <w:autoSpaceDE w:val="0"/>
      <w:autoSpaceDN w:val="0"/>
      <w:adjustRightInd w:val="0"/>
      <w:spacing w:after="120"/>
      <w:textAlignment w:val="baseline"/>
    </w:pPr>
    <w:rPr>
      <w:sz w:val="18"/>
    </w:rPr>
  </w:style>
  <w:style w:type="paragraph" w:customStyle="1" w:styleId="DHSHeading">
    <w:name w:val="DHS Heading"/>
    <w:rPr>
      <w:b/>
      <w:color w:val="000080"/>
      <w:kern w:val="4"/>
      <w:sz w:val="38"/>
      <w:lang w:eastAsia="en-US"/>
    </w:rPr>
  </w:style>
  <w:style w:type="paragraph" w:customStyle="1" w:styleId="DHSHeading1">
    <w:name w:val="DHS Heading 1"/>
    <w:basedOn w:val="Normal"/>
    <w:next w:val="Normal"/>
    <w:pPr>
      <w:widowControl w:val="0"/>
      <w:overflowPunct w:val="0"/>
      <w:autoSpaceDE w:val="0"/>
      <w:autoSpaceDN w:val="0"/>
      <w:adjustRightInd w:val="0"/>
      <w:spacing w:after="120" w:line="280" w:lineRule="exact"/>
      <w:textAlignment w:val="baseline"/>
    </w:pPr>
    <w:rPr>
      <w:b/>
    </w:rPr>
  </w:style>
  <w:style w:type="paragraph" w:customStyle="1" w:styleId="DHSHeading2">
    <w:name w:val="DHS Heading 2"/>
    <w:basedOn w:val="DHSHeading1"/>
    <w:next w:val="Normal"/>
    <w:pPr>
      <w:spacing w:line="240" w:lineRule="exact"/>
    </w:pPr>
    <w:rPr>
      <w:sz w:val="18"/>
    </w:rPr>
  </w:style>
  <w:style w:type="paragraph" w:customStyle="1" w:styleId="DHSHeading3">
    <w:name w:val="DHS Heading 3"/>
    <w:basedOn w:val="Normal"/>
    <w:next w:val="Normal"/>
    <w:pPr>
      <w:widowControl w:val="0"/>
      <w:overflowPunct w:val="0"/>
      <w:autoSpaceDE w:val="0"/>
      <w:autoSpaceDN w:val="0"/>
      <w:adjustRightInd w:val="0"/>
      <w:textAlignment w:val="baseline"/>
    </w:pPr>
    <w:rPr>
      <w:sz w:val="48"/>
    </w:rPr>
  </w:style>
  <w:style w:type="paragraph" w:customStyle="1" w:styleId="DHSNumberingOutline">
    <w:name w:val="DHS Numbering Outline"/>
    <w:basedOn w:val="Normal"/>
    <w:next w:val="Normal"/>
    <w:pPr>
      <w:widowControl w:val="0"/>
      <w:numPr>
        <w:numId w:val="2"/>
      </w:numPr>
      <w:overflowPunct w:val="0"/>
      <w:autoSpaceDE w:val="0"/>
      <w:autoSpaceDN w:val="0"/>
      <w:adjustRightInd w:val="0"/>
      <w:textAlignment w:val="baseline"/>
    </w:pPr>
  </w:style>
  <w:style w:type="paragraph" w:customStyle="1" w:styleId="DHSReportHd1">
    <w:name w:val="DHS Report Hd 1"/>
    <w:basedOn w:val="Normal"/>
    <w:next w:val="Normal"/>
    <w:pPr>
      <w:spacing w:line="360" w:lineRule="exact"/>
    </w:pPr>
    <w:rPr>
      <w:sz w:val="28"/>
    </w:rPr>
  </w:style>
  <w:style w:type="paragraph" w:customStyle="1" w:styleId="DHSReportHd2">
    <w:name w:val="DHS Report Hd 2"/>
    <w:basedOn w:val="Normal"/>
    <w:next w:val="Normal"/>
    <w:rPr>
      <w:b/>
      <w:sz w:val="24"/>
    </w:rPr>
  </w:style>
  <w:style w:type="paragraph" w:customStyle="1" w:styleId="DHSReportHd3">
    <w:name w:val="DHS Report Hd 3"/>
    <w:basedOn w:val="Normal"/>
    <w:next w:val="Normal"/>
    <w:rPr>
      <w:b/>
      <w:sz w:val="22"/>
    </w:rPr>
  </w:style>
  <w:style w:type="paragraph" w:customStyle="1" w:styleId="DHSReportHd4">
    <w:name w:val="DHS Report Hd 4"/>
    <w:basedOn w:val="Normal"/>
    <w:next w:val="Normal"/>
    <w:rPr>
      <w:b/>
      <w:sz w:val="18"/>
    </w:rPr>
  </w:style>
  <w:style w:type="paragraph" w:customStyle="1" w:styleId="DHSReportSubTitle">
    <w:name w:val="DHS Report Sub Title"/>
    <w:basedOn w:val="Normal"/>
    <w:next w:val="Normal"/>
    <w:pPr>
      <w:spacing w:after="120"/>
    </w:pPr>
    <w:rPr>
      <w:sz w:val="28"/>
    </w:rPr>
  </w:style>
  <w:style w:type="paragraph" w:customStyle="1" w:styleId="DHSReportTitle">
    <w:name w:val="DHS Report Title"/>
    <w:basedOn w:val="Normal"/>
    <w:next w:val="DHSReportSubTitle"/>
    <w:pPr>
      <w:spacing w:before="120" w:after="120" w:line="240" w:lineRule="exact"/>
    </w:pPr>
    <w:rPr>
      <w:sz w:val="40"/>
      <w:szCs w:val="24"/>
    </w:rPr>
  </w:style>
  <w:style w:type="paragraph" w:customStyle="1" w:styleId="DHSSubHeading">
    <w:name w:val="DHS Sub Heading"/>
    <w:basedOn w:val="Normal"/>
    <w:next w:val="Normal"/>
    <w:pPr>
      <w:widowControl w:val="0"/>
      <w:overflowPunct w:val="0"/>
      <w:autoSpaceDE w:val="0"/>
      <w:autoSpaceDN w:val="0"/>
      <w:adjustRightInd w:val="0"/>
      <w:spacing w:after="120"/>
      <w:textAlignment w:val="baseline"/>
    </w:pPr>
    <w:rPr>
      <w:b/>
      <w:sz w:val="28"/>
    </w:rPr>
  </w:style>
  <w:style w:type="paragraph" w:customStyle="1" w:styleId="DHSSubHeading2">
    <w:name w:val="DHS Sub Heading 2"/>
    <w:basedOn w:val="Normal"/>
    <w:next w:val="Normal"/>
    <w:pPr>
      <w:widowControl w:val="0"/>
      <w:overflowPunct w:val="0"/>
      <w:autoSpaceDE w:val="0"/>
      <w:autoSpaceDN w:val="0"/>
      <w:adjustRightInd w:val="0"/>
      <w:textAlignment w:val="baseline"/>
    </w:pPr>
    <w:rPr>
      <w:b/>
    </w:rPr>
  </w:style>
  <w:style w:type="paragraph" w:customStyle="1" w:styleId="DHSSubTitle">
    <w:name w:val="DHS Sub Title"/>
    <w:basedOn w:val="Normal"/>
    <w:next w:val="Normal"/>
    <w:pPr>
      <w:widowControl w:val="0"/>
      <w:overflowPunct w:val="0"/>
      <w:autoSpaceDE w:val="0"/>
      <w:autoSpaceDN w:val="0"/>
      <w:adjustRightInd w:val="0"/>
      <w:spacing w:after="120"/>
      <w:textAlignment w:val="baseline"/>
    </w:pPr>
    <w:rPr>
      <w:sz w:val="28"/>
      <w:szCs w:val="18"/>
    </w:rPr>
  </w:style>
  <w:style w:type="paragraph" w:customStyle="1" w:styleId="DHSTableHeader">
    <w:name w:val="DHS Table Header"/>
    <w:basedOn w:val="Normal"/>
    <w:pPr>
      <w:pBdr>
        <w:bottom w:val="single" w:sz="8" w:space="1" w:color="FFFFFF"/>
      </w:pBdr>
      <w:spacing w:before="120" w:after="120"/>
    </w:pPr>
    <w:rPr>
      <w:sz w:val="18"/>
    </w:rPr>
  </w:style>
  <w:style w:type="paragraph" w:customStyle="1" w:styleId="DHSTableSubHeader">
    <w:name w:val="DHS Table Sub Header"/>
    <w:basedOn w:val="Normal"/>
    <w:rPr>
      <w:sz w:val="18"/>
    </w:rPr>
  </w:style>
  <w:style w:type="paragraph" w:customStyle="1" w:styleId="DHSTableText">
    <w:name w:val="DHS Table Text"/>
    <w:basedOn w:val="Normal"/>
    <w:pPr>
      <w:widowControl w:val="0"/>
      <w:shd w:val="clear" w:color="auto" w:fill="E0E0E0"/>
      <w:overflowPunct w:val="0"/>
      <w:autoSpaceDE w:val="0"/>
      <w:autoSpaceDN w:val="0"/>
      <w:adjustRightInd w:val="0"/>
      <w:textAlignment w:val="baseline"/>
    </w:pPr>
    <w:rPr>
      <w:sz w:val="18"/>
    </w:rPr>
  </w:style>
  <w:style w:type="table" w:styleId="TableGrid">
    <w:name w:val="Table Grid"/>
    <w:basedOn w:val="TableNormal"/>
    <w:rsid w:val="00761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61D08"/>
    <w:rPr>
      <w:i/>
      <w:iCs/>
      <w:szCs w:val="24"/>
    </w:rPr>
  </w:style>
  <w:style w:type="character" w:styleId="Hyperlink">
    <w:name w:val="Hyperlink"/>
    <w:basedOn w:val="DefaultParagraphFont"/>
    <w:rsid w:val="00EC4453"/>
    <w:rPr>
      <w:color w:val="0000FF"/>
      <w:u w:val="single"/>
    </w:rPr>
  </w:style>
  <w:style w:type="paragraph" w:styleId="BalloonText">
    <w:name w:val="Balloon Text"/>
    <w:basedOn w:val="Normal"/>
    <w:link w:val="BalloonTextChar"/>
    <w:rsid w:val="00045080"/>
    <w:rPr>
      <w:rFonts w:ascii="Tahoma" w:hAnsi="Tahoma" w:cs="Tahoma"/>
      <w:sz w:val="16"/>
      <w:szCs w:val="16"/>
    </w:rPr>
  </w:style>
  <w:style w:type="character" w:customStyle="1" w:styleId="BalloonTextChar">
    <w:name w:val="Balloon Text Char"/>
    <w:basedOn w:val="DefaultParagraphFont"/>
    <w:link w:val="BalloonText"/>
    <w:rsid w:val="0004508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D08"/>
    <w:rPr>
      <w:rFonts w:ascii="Verdana" w:hAnsi="Verdana"/>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18"/>
    </w:rPr>
  </w:style>
  <w:style w:type="paragraph" w:customStyle="1" w:styleId="DHSBodyText">
    <w:name w:val="DHS Body Text"/>
    <w:basedOn w:val="Normal"/>
    <w:pPr>
      <w:spacing w:line="240" w:lineRule="exact"/>
    </w:pPr>
    <w:rPr>
      <w:sz w:val="18"/>
    </w:rPr>
  </w:style>
  <w:style w:type="paragraph" w:customStyle="1" w:styleId="DHSBulletText">
    <w:name w:val="DHS Bullet Text"/>
    <w:basedOn w:val="Normal"/>
    <w:next w:val="Normal"/>
    <w:pPr>
      <w:widowControl w:val="0"/>
      <w:numPr>
        <w:numId w:val="1"/>
      </w:numPr>
      <w:tabs>
        <w:tab w:val="clear" w:pos="360"/>
      </w:tabs>
      <w:overflowPunct w:val="0"/>
      <w:autoSpaceDE w:val="0"/>
      <w:autoSpaceDN w:val="0"/>
      <w:adjustRightInd w:val="0"/>
      <w:spacing w:after="120"/>
      <w:textAlignment w:val="baseline"/>
    </w:pPr>
    <w:rPr>
      <w:sz w:val="18"/>
    </w:rPr>
  </w:style>
  <w:style w:type="paragraph" w:customStyle="1" w:styleId="DHSHeading">
    <w:name w:val="DHS Heading"/>
    <w:rPr>
      <w:b/>
      <w:color w:val="000080"/>
      <w:kern w:val="4"/>
      <w:sz w:val="38"/>
      <w:lang w:eastAsia="en-US"/>
    </w:rPr>
  </w:style>
  <w:style w:type="paragraph" w:customStyle="1" w:styleId="DHSHeading1">
    <w:name w:val="DHS Heading 1"/>
    <w:basedOn w:val="Normal"/>
    <w:next w:val="Normal"/>
    <w:pPr>
      <w:widowControl w:val="0"/>
      <w:overflowPunct w:val="0"/>
      <w:autoSpaceDE w:val="0"/>
      <w:autoSpaceDN w:val="0"/>
      <w:adjustRightInd w:val="0"/>
      <w:spacing w:after="120" w:line="280" w:lineRule="exact"/>
      <w:textAlignment w:val="baseline"/>
    </w:pPr>
    <w:rPr>
      <w:b/>
    </w:rPr>
  </w:style>
  <w:style w:type="paragraph" w:customStyle="1" w:styleId="DHSHeading2">
    <w:name w:val="DHS Heading 2"/>
    <w:basedOn w:val="DHSHeading1"/>
    <w:next w:val="Normal"/>
    <w:pPr>
      <w:spacing w:line="240" w:lineRule="exact"/>
    </w:pPr>
    <w:rPr>
      <w:sz w:val="18"/>
    </w:rPr>
  </w:style>
  <w:style w:type="paragraph" w:customStyle="1" w:styleId="DHSHeading3">
    <w:name w:val="DHS Heading 3"/>
    <w:basedOn w:val="Normal"/>
    <w:next w:val="Normal"/>
    <w:pPr>
      <w:widowControl w:val="0"/>
      <w:overflowPunct w:val="0"/>
      <w:autoSpaceDE w:val="0"/>
      <w:autoSpaceDN w:val="0"/>
      <w:adjustRightInd w:val="0"/>
      <w:textAlignment w:val="baseline"/>
    </w:pPr>
    <w:rPr>
      <w:sz w:val="48"/>
    </w:rPr>
  </w:style>
  <w:style w:type="paragraph" w:customStyle="1" w:styleId="DHSNumberingOutline">
    <w:name w:val="DHS Numbering Outline"/>
    <w:basedOn w:val="Normal"/>
    <w:next w:val="Normal"/>
    <w:pPr>
      <w:widowControl w:val="0"/>
      <w:numPr>
        <w:numId w:val="2"/>
      </w:numPr>
      <w:overflowPunct w:val="0"/>
      <w:autoSpaceDE w:val="0"/>
      <w:autoSpaceDN w:val="0"/>
      <w:adjustRightInd w:val="0"/>
      <w:textAlignment w:val="baseline"/>
    </w:pPr>
  </w:style>
  <w:style w:type="paragraph" w:customStyle="1" w:styleId="DHSReportHd1">
    <w:name w:val="DHS Report Hd 1"/>
    <w:basedOn w:val="Normal"/>
    <w:next w:val="Normal"/>
    <w:pPr>
      <w:spacing w:line="360" w:lineRule="exact"/>
    </w:pPr>
    <w:rPr>
      <w:sz w:val="28"/>
    </w:rPr>
  </w:style>
  <w:style w:type="paragraph" w:customStyle="1" w:styleId="DHSReportHd2">
    <w:name w:val="DHS Report Hd 2"/>
    <w:basedOn w:val="Normal"/>
    <w:next w:val="Normal"/>
    <w:rPr>
      <w:b/>
      <w:sz w:val="24"/>
    </w:rPr>
  </w:style>
  <w:style w:type="paragraph" w:customStyle="1" w:styleId="DHSReportHd3">
    <w:name w:val="DHS Report Hd 3"/>
    <w:basedOn w:val="Normal"/>
    <w:next w:val="Normal"/>
    <w:rPr>
      <w:b/>
      <w:sz w:val="22"/>
    </w:rPr>
  </w:style>
  <w:style w:type="paragraph" w:customStyle="1" w:styleId="DHSReportHd4">
    <w:name w:val="DHS Report Hd 4"/>
    <w:basedOn w:val="Normal"/>
    <w:next w:val="Normal"/>
    <w:rPr>
      <w:b/>
      <w:sz w:val="18"/>
    </w:rPr>
  </w:style>
  <w:style w:type="paragraph" w:customStyle="1" w:styleId="DHSReportSubTitle">
    <w:name w:val="DHS Report Sub Title"/>
    <w:basedOn w:val="Normal"/>
    <w:next w:val="Normal"/>
    <w:pPr>
      <w:spacing w:after="120"/>
    </w:pPr>
    <w:rPr>
      <w:sz w:val="28"/>
    </w:rPr>
  </w:style>
  <w:style w:type="paragraph" w:customStyle="1" w:styleId="DHSReportTitle">
    <w:name w:val="DHS Report Title"/>
    <w:basedOn w:val="Normal"/>
    <w:next w:val="DHSReportSubTitle"/>
    <w:pPr>
      <w:spacing w:before="120" w:after="120" w:line="240" w:lineRule="exact"/>
    </w:pPr>
    <w:rPr>
      <w:sz w:val="40"/>
      <w:szCs w:val="24"/>
    </w:rPr>
  </w:style>
  <w:style w:type="paragraph" w:customStyle="1" w:styleId="DHSSubHeading">
    <w:name w:val="DHS Sub Heading"/>
    <w:basedOn w:val="Normal"/>
    <w:next w:val="Normal"/>
    <w:pPr>
      <w:widowControl w:val="0"/>
      <w:overflowPunct w:val="0"/>
      <w:autoSpaceDE w:val="0"/>
      <w:autoSpaceDN w:val="0"/>
      <w:adjustRightInd w:val="0"/>
      <w:spacing w:after="120"/>
      <w:textAlignment w:val="baseline"/>
    </w:pPr>
    <w:rPr>
      <w:b/>
      <w:sz w:val="28"/>
    </w:rPr>
  </w:style>
  <w:style w:type="paragraph" w:customStyle="1" w:styleId="DHSSubHeading2">
    <w:name w:val="DHS Sub Heading 2"/>
    <w:basedOn w:val="Normal"/>
    <w:next w:val="Normal"/>
    <w:pPr>
      <w:widowControl w:val="0"/>
      <w:overflowPunct w:val="0"/>
      <w:autoSpaceDE w:val="0"/>
      <w:autoSpaceDN w:val="0"/>
      <w:adjustRightInd w:val="0"/>
      <w:textAlignment w:val="baseline"/>
    </w:pPr>
    <w:rPr>
      <w:b/>
    </w:rPr>
  </w:style>
  <w:style w:type="paragraph" w:customStyle="1" w:styleId="DHSSubTitle">
    <w:name w:val="DHS Sub Title"/>
    <w:basedOn w:val="Normal"/>
    <w:next w:val="Normal"/>
    <w:pPr>
      <w:widowControl w:val="0"/>
      <w:overflowPunct w:val="0"/>
      <w:autoSpaceDE w:val="0"/>
      <w:autoSpaceDN w:val="0"/>
      <w:adjustRightInd w:val="0"/>
      <w:spacing w:after="120"/>
      <w:textAlignment w:val="baseline"/>
    </w:pPr>
    <w:rPr>
      <w:sz w:val="28"/>
      <w:szCs w:val="18"/>
    </w:rPr>
  </w:style>
  <w:style w:type="paragraph" w:customStyle="1" w:styleId="DHSTableHeader">
    <w:name w:val="DHS Table Header"/>
    <w:basedOn w:val="Normal"/>
    <w:pPr>
      <w:pBdr>
        <w:bottom w:val="single" w:sz="8" w:space="1" w:color="FFFFFF"/>
      </w:pBdr>
      <w:spacing w:before="120" w:after="120"/>
    </w:pPr>
    <w:rPr>
      <w:sz w:val="18"/>
    </w:rPr>
  </w:style>
  <w:style w:type="paragraph" w:customStyle="1" w:styleId="DHSTableSubHeader">
    <w:name w:val="DHS Table Sub Header"/>
    <w:basedOn w:val="Normal"/>
    <w:rPr>
      <w:sz w:val="18"/>
    </w:rPr>
  </w:style>
  <w:style w:type="paragraph" w:customStyle="1" w:styleId="DHSTableText">
    <w:name w:val="DHS Table Text"/>
    <w:basedOn w:val="Normal"/>
    <w:pPr>
      <w:widowControl w:val="0"/>
      <w:shd w:val="clear" w:color="auto" w:fill="E0E0E0"/>
      <w:overflowPunct w:val="0"/>
      <w:autoSpaceDE w:val="0"/>
      <w:autoSpaceDN w:val="0"/>
      <w:adjustRightInd w:val="0"/>
      <w:textAlignment w:val="baseline"/>
    </w:pPr>
    <w:rPr>
      <w:sz w:val="18"/>
    </w:rPr>
  </w:style>
  <w:style w:type="table" w:styleId="TableGrid">
    <w:name w:val="Table Grid"/>
    <w:basedOn w:val="TableNormal"/>
    <w:rsid w:val="00761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61D08"/>
    <w:rPr>
      <w:i/>
      <w:iCs/>
      <w:szCs w:val="24"/>
    </w:rPr>
  </w:style>
  <w:style w:type="character" w:styleId="Hyperlink">
    <w:name w:val="Hyperlink"/>
    <w:basedOn w:val="DefaultParagraphFont"/>
    <w:rsid w:val="00EC4453"/>
    <w:rPr>
      <w:color w:val="0000FF"/>
      <w:u w:val="single"/>
    </w:rPr>
  </w:style>
  <w:style w:type="paragraph" w:styleId="BalloonText">
    <w:name w:val="Balloon Text"/>
    <w:basedOn w:val="Normal"/>
    <w:link w:val="BalloonTextChar"/>
    <w:rsid w:val="00045080"/>
    <w:rPr>
      <w:rFonts w:ascii="Tahoma" w:hAnsi="Tahoma" w:cs="Tahoma"/>
      <w:sz w:val="16"/>
      <w:szCs w:val="16"/>
    </w:rPr>
  </w:style>
  <w:style w:type="character" w:customStyle="1" w:styleId="BalloonTextChar">
    <w:name w:val="Balloon Text Char"/>
    <w:basedOn w:val="DefaultParagraphFont"/>
    <w:link w:val="BalloonText"/>
    <w:rsid w:val="0004508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hs.vic.gov.au/disability"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DHS%20Specific\A4Plainbann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D69F98-B33C-4FA1-BF40-D86A76DD501F}"/>
</file>

<file path=customXml/itemProps2.xml><?xml version="1.0" encoding="utf-8"?>
<ds:datastoreItem xmlns:ds="http://schemas.openxmlformats.org/officeDocument/2006/customXml" ds:itemID="{149BFF11-E499-4955-B18C-3095DDA59F07}"/>
</file>

<file path=customXml/itemProps3.xml><?xml version="1.0" encoding="utf-8"?>
<ds:datastoreItem xmlns:ds="http://schemas.openxmlformats.org/officeDocument/2006/customXml" ds:itemID="{203AF6C2-B835-4EA0-AF12-2923909BD312}"/>
</file>

<file path=docProps/app.xml><?xml version="1.0" encoding="utf-8"?>
<Properties xmlns="http://schemas.openxmlformats.org/officeDocument/2006/extended-properties" xmlns:vt="http://schemas.openxmlformats.org/officeDocument/2006/docPropsVTypes">
  <Template>A4Plainbanner.dot</Template>
  <TotalTime>3</TotalTime>
  <Pages>2</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Disability Services – Aged Care Assessment Services Protocol:  An Overview</vt:lpstr>
    </vt:vector>
  </TitlesOfParts>
  <Company>Department of Health and Human Services</Company>
  <LinksUpToDate>false</LinksUpToDate>
  <CharactersWithSpaces>7754</CharactersWithSpaces>
  <SharedDoc>false</SharedDoc>
  <HLinks>
    <vt:vector size="6" baseType="variant">
      <vt:variant>
        <vt:i4>458760</vt:i4>
      </vt:variant>
      <vt:variant>
        <vt:i4>0</vt:i4>
      </vt:variant>
      <vt:variant>
        <vt:i4>0</vt:i4>
      </vt:variant>
      <vt:variant>
        <vt:i4>5</vt:i4>
      </vt:variant>
      <vt:variant>
        <vt:lpwstr>http://www.dhs.vic.gov.au/disability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Services – Aged Care Assessment Services Protocol:  An Overview</dc:title>
  <dc:subject>Disability Services – Aged Care Assessment Services Protocol:  An Overview</dc:subject>
  <dc:creator>Department of Health and Human Services</dc:creator>
  <cp:keywords>ACAS, principles, protocol, </cp:keywords>
  <cp:lastModifiedBy>Julianne Van Veenendaal</cp:lastModifiedBy>
  <cp:revision>3</cp:revision>
  <cp:lastPrinted>1601-01-01T00:00:00Z</cp:lastPrinted>
  <dcterms:created xsi:type="dcterms:W3CDTF">2017-06-22T03:48:00Z</dcterms:created>
  <dcterms:modified xsi:type="dcterms:W3CDTF">2017-06-22T03:49:00Z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