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 Emergency Response - Client Support 94842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hhs.vic.gov.au/victorian-housing-register" TargetMode="External"/>
<Relationship Id="rId15" Type="http://schemas.openxmlformats.org/officeDocument/2006/relationships/hyperlink" Target="https://providers.dffh.vic.gov.au/homelessness" TargetMode="External"/>
<Relationship Id="rId16" Type="http://schemas.openxmlformats.org/officeDocument/2006/relationships/hyperlink" Target="https://providers.dffh.vic.gov.au/homelessness" TargetMode="External"/>
<Relationship Id="rId17" Type="http://schemas.openxmlformats.org/officeDocument/2006/relationships/hyperlink" Target="https://vahhf.org.au/wp-content/uploads/2023/09/victorian-aboriginal-housing-and-homelessness-framework_complete_26_02_20-2.pdf" TargetMode="External"/>
<Relationship Id="rId18" Type="http://schemas.openxmlformats.org/officeDocument/2006/relationships/hyperlink" Target="https://vahhf.org.au/wp-content/uploads/2023/09/Blueprint.pdf" TargetMode="External"/>
<Relationship Id="rId19" Type="http://schemas.openxmlformats.org/officeDocument/2006/relationships/hyperlink" Target="https://chp.org.au/wp-content/uploads/2022/04/Aboriginal-Homelessness-An-Aboriginal-Cultural-Safety-Framework-for-the-Specialist-Homelessness-Sector-4th-draft-with-hi-res-pic-attribution.pdf" TargetMode="External"/>
<Relationship Id="rId20" Type="http://schemas.openxmlformats.org/officeDocument/2006/relationships/hyperlink" Target="https://fac.dffh.vic.gov.au/sites/default/files/2020-07/11_VHR_Homeless_with_Support_operational_guideline%20June%202020.docx"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 Emergency Response - Client Support</w:t>
            </w:r>
          </w:p>
          <w:p>
            <w:pPr>
              <w:spacing w:line="560" w:lineRule="atLeast"/>
              <w:rPr>
                <w:rFonts w:ascii="Arial" w:hAnsi="Arial" w:eastAsia="Arial" w:cs="Arial"/>
                <w:color w:val="201547"/>
                <w:sz w:val="44"/>
              </w:rPr>
            </w:pPr>
            <w:r>
              <w:rPr>
                <w:rFonts w:ascii="Arial" w:hAnsi="Arial" w:eastAsia="Arial" w:cs="Arial"/>
                <w:color w:val="201547"/>
                <w:sz w:val="44"/>
              </w:rPr>
              <w:t>94842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Homelessness - Emergency Response - Client Support aims to achieve long-term housing, employment, education, health and wellbeing outcomes for people who are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Client support provides a case management response which can also include::</w:t>
      </w:r>
      <w:r>
        <w:br/>
      </w:r>
      <w:r>
        <w:rPr>
          <w:rFonts w:ascii="Arial" w:hAnsi="Arial" w:eastAsia="Arial" w:cs="Arial"/>
          <w:color w:val="000000"/>
          <w:sz w:val="20"/>
        </w:rPr>
        <w:t xml:space="preserve">• Assessment &amp; referral </w:t>
      </w:r>
      <w:r>
        <w:br/>
      </w:r>
      <w:r>
        <w:rPr>
          <w:rFonts w:ascii="Arial" w:hAnsi="Arial" w:eastAsia="Arial" w:cs="Arial"/>
          <w:color w:val="000000"/>
          <w:sz w:val="20"/>
        </w:rPr>
        <w:t>• care coordination</w:t>
      </w:r>
      <w:r>
        <w:br/>
      </w:r>
      <w:r>
        <w:rPr>
          <w:rFonts w:ascii="Arial" w:hAnsi="Arial" w:eastAsia="Arial" w:cs="Arial"/>
          <w:color w:val="000000"/>
          <w:sz w:val="20"/>
        </w:rPr>
        <w:t xml:space="preserve">• counselling, crisis resolution, </w:t>
      </w:r>
      <w:r>
        <w:br/>
      </w:r>
      <w:r>
        <w:rPr>
          <w:rFonts w:ascii="Arial" w:hAnsi="Arial" w:eastAsia="Arial" w:cs="Arial"/>
          <w:color w:val="000000"/>
          <w:sz w:val="20"/>
        </w:rPr>
        <w:t>• personal care, life skills training, training and employment opportunities</w:t>
      </w:r>
      <w:r>
        <w:br/>
      </w:r>
      <w:r>
        <w:rPr>
          <w:rFonts w:ascii="Arial" w:hAnsi="Arial" w:eastAsia="Arial" w:cs="Arial"/>
          <w:color w:val="000000"/>
          <w:sz w:val="20"/>
        </w:rPr>
        <w:t xml:space="preserve">• information and advocacy  </w:t>
      </w:r>
      <w:r>
        <w:br/>
      </w:r>
      <w:r>
        <w:rPr>
          <w:rFonts w:ascii="Arial" w:hAnsi="Arial" w:eastAsia="Arial" w:cs="Arial"/>
          <w:color w:val="000000"/>
          <w:sz w:val="20"/>
        </w:rPr>
        <w:t xml:space="preserve">• assistance with accessing appropriate housing </w:t>
      </w:r>
      <w:r>
        <w:br/>
      </w:r>
      <w:r>
        <w:br/>
      </w:r>
      <w:r>
        <w:rPr>
          <w:rFonts w:ascii="Arial" w:hAnsi="Arial" w:eastAsia="Arial" w:cs="Arial"/>
          <w:color w:val="000000"/>
          <w:sz w:val="20"/>
        </w:rPr>
        <w:t xml:space="preserve">Case workers also provide direct support, which typically includes assistance to meet the goals and outcomes identified in a person’s case plan.  Support can be provided, irrespective of a person’s existing living arrangement for example in rooming houses, transitional housing, squats and informal arrangements. </w:t>
      </w:r>
      <w:r>
        <w:br/>
      </w:r>
      <w:r>
        <w:rPr>
          <w:rFonts w:ascii="Arial" w:hAnsi="Arial" w:eastAsia="Arial" w:cs="Arial"/>
          <w:color w:val="000000"/>
          <w:sz w:val="20"/>
        </w:rPr>
        <w:t xml:space="preserve">The From Homelessness to a Home (H2H) program commenced in 2021 to provide stable medium- and long-term housing and support packages to people experiencing homelessness who are residing in emergency accommodation due to the coronavirus (COVID-19) pandemic prior to 6 December 2020. </w:t>
      </w:r>
      <w:r>
        <w:br/>
      </w:r>
      <w:r>
        <w:br/>
      </w:r>
      <w:r>
        <w:br/>
      </w:r>
      <w:r>
        <w:rPr>
          <w:rFonts w:ascii="Arial" w:hAnsi="Arial" w:eastAsia="Arial" w:cs="Arial"/>
          <w:color w:val="000000"/>
          <w:sz w:val="20"/>
        </w:rPr>
        <w:t>The Homes for Families (H4F) program was subsequently introduced in November 2021 to support eligible Families remaining in emergency accommodation due to the coronavirus (COVID-19) pandemic. H4F will provide access to stable medium- and long-term housing and support packages and promote the safety, health and wellbeing of the whole family. H4F is an integrated model, with the guidelines developed for both Housing and Family Service providers.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Client facing. The client group this activity is targeted at is people who are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 (January 2018)</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From Homelessness to a Home (H2H) program guidelines - DHHS Service Providers (dffh.vic.gov.au)</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Homes For Families (H4F) program guidelines - DHHS Service Providers (dffh.vic.gov.au)</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clients supported - H4F</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families supported, to address and prevent homelessness in the H4F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(households)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family that has an open support period during the reporting period, both new clients and those who were already receiving support in previous reporting periods.  </w:t>
            </w:r>
            <w:r>
              <w:br/>
            </w:r>
            <w:r>
              <w:rPr>
                <w:rFonts w:ascii="Arial" w:hAnsi="Arial" w:eastAsia="Arial" w:cs="Arial"/>
                <w:color w:val="000000"/>
                <w:sz w:val="20"/>
              </w:rPr>
              <w:t>A family is in receipt of a homelessness service and counted in this measure if they are receiving a direct service from an SHS organisation and have an open support period with a homelessness service funded under this activity.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H4F funding reconciliation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H4F client data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For the purposes of this program, a family is a household with dependent children. Family is primarily defined by the client family. </w:t>
            </w:r>
            <w:r>
              <w:br/>
            </w:r>
            <w:r>
              <w:rPr>
                <w:rFonts w:ascii="Arial" w:hAnsi="Arial" w:eastAsia="Arial" w:cs="Arial"/>
                <w:color w:val="000000"/>
                <w:sz w:val="20"/>
              </w:rPr>
              <w:t xml:space="preserve">A household is a unit of measure comprised of one or more individual clients residing in the same accommodation, who receives a direct service from an SHS organisation. </w:t>
            </w:r>
            <w:r>
              <w:br/>
            </w:r>
            <w:r>
              <w:rPr>
                <w:rFonts w:ascii="Arial" w:hAnsi="Arial" w:eastAsia="Arial" w:cs="Arial"/>
                <w:color w:val="000000"/>
                <w:sz w:val="20"/>
              </w:rPr>
              <w:t xml:space="preserve">A family is counted on the day the client first receives a service from an SHS organisation. </w:t>
            </w:r>
            <w:r>
              <w:br/>
            </w:r>
            <w:r>
              <w:rPr>
                <w:rFonts w:ascii="Arial" w:hAnsi="Arial" w:eastAsia="Arial" w:cs="Arial"/>
                <w:color w:val="000000"/>
                <w:sz w:val="20"/>
              </w:rPr>
              <w:t xml:space="preserve">A support period ends when: </w:t>
            </w:r>
            <w:r>
              <w:br/>
            </w:r>
            <w:r>
              <w:rPr>
                <w:rFonts w:ascii="Arial" w:hAnsi="Arial" w:eastAsia="Arial" w:cs="Arial"/>
                <w:color w:val="000000"/>
                <w:sz w:val="20"/>
              </w:rPr>
              <w:t xml:space="preserve">• the relationship with the family and the SHS organisation ends </w:t>
            </w:r>
            <w:r>
              <w:br/>
            </w:r>
            <w:r>
              <w:rPr>
                <w:rFonts w:ascii="Arial" w:hAnsi="Arial" w:eastAsia="Arial" w:cs="Arial"/>
                <w:color w:val="000000"/>
                <w:sz w:val="20"/>
              </w:rPr>
              <w:t xml:space="preserve">• the family has received the maximum support the SHS organisation can offer </w:t>
            </w:r>
            <w:r>
              <w:br/>
            </w:r>
            <w:r>
              <w:rPr>
                <w:rFonts w:ascii="Arial" w:hAnsi="Arial" w:eastAsia="Arial" w:cs="Arial"/>
                <w:color w:val="000000"/>
                <w:sz w:val="20"/>
              </w:rPr>
              <w:t xml:space="preserve">• a family has not received any service from the SHS organisation for a whole calendar month and there is no ongoing relationship. </w:t>
            </w:r>
            <w:r>
              <w:br/>
            </w:r>
            <w:r>
              <w:rPr>
                <w:rFonts w:ascii="Arial" w:hAnsi="Arial" w:eastAsia="Arial" w:cs="Arial"/>
                <w:color w:val="000000"/>
                <w:sz w:val="20"/>
              </w:rPr>
              <w:t xml:space="preserve">In Victoria, a service comprises episodes of support that are defined in line with the SHSC data collection definition of a support period. </w:t>
            </w:r>
            <w:r>
              <w:br/>
            </w:r>
            <w:r>
              <w:rPr>
                <w:rFonts w:ascii="Arial" w:hAnsi="Arial" w:eastAsia="Arial" w:cs="Arial"/>
                <w:color w:val="000000"/>
                <w:sz w:val="20"/>
              </w:rPr>
              <w:t>Detailed information is contained in the Specialist homelessness services collection manual.</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clients supported - H2H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clients (identified as both individuals and households) supported, to address and prevent homelessness in the H2H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(clients)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individual that has an open support period during the reporting period, both new clients and those who were already receiving support in previous reporting periods.   </w:t>
            </w:r>
            <w:r>
              <w:br/>
            </w:r>
            <w:r>
              <w:rPr>
                <w:rFonts w:ascii="Arial" w:hAnsi="Arial" w:eastAsia="Arial" w:cs="Arial"/>
                <w:color w:val="000000"/>
                <w:sz w:val="20"/>
              </w:rPr>
              <w:t>A client is in receipt of a homelessness service and counted in this measure if they are receiving a direct service from an SHS organisation and have an open support period with a homelessness service funded under this activity.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Homelessness Data Collection (HDC)</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H2H funding reconciliation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H2H client data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 individual client is a person who receives a direct service from an SHS organisation. Accompanying children who receive direct services are an individual client.  </w:t>
            </w:r>
            <w:r>
              <w:br/>
            </w:r>
            <w:r>
              <w:rPr>
                <w:rFonts w:ascii="Arial" w:hAnsi="Arial" w:eastAsia="Arial" w:cs="Arial"/>
                <w:color w:val="000000"/>
                <w:sz w:val="20"/>
              </w:rPr>
              <w:t xml:space="preserve">A client is counted on the day the client first receives a service from an SHS organisation. </w:t>
            </w:r>
            <w:r>
              <w:br/>
            </w:r>
            <w:r>
              <w:rPr>
                <w:rFonts w:ascii="Arial" w:hAnsi="Arial" w:eastAsia="Arial" w:cs="Arial"/>
                <w:color w:val="000000"/>
                <w:sz w:val="20"/>
              </w:rPr>
              <w:t xml:space="preserve">A support period ends when: </w:t>
            </w:r>
            <w:r>
              <w:br/>
            </w:r>
            <w:r>
              <w:rPr>
                <w:rFonts w:ascii="Arial" w:hAnsi="Arial" w:eastAsia="Arial" w:cs="Arial"/>
                <w:color w:val="000000"/>
                <w:sz w:val="20"/>
              </w:rPr>
              <w:t xml:space="preserve">• the relationship with the client and the SHS organisation ends </w:t>
            </w:r>
            <w:r>
              <w:br/>
            </w:r>
            <w:r>
              <w:rPr>
                <w:rFonts w:ascii="Arial" w:hAnsi="Arial" w:eastAsia="Arial" w:cs="Arial"/>
                <w:color w:val="000000"/>
                <w:sz w:val="20"/>
              </w:rPr>
              <w:t xml:space="preserve">• the client has received the maximum support and the SHS organisation can offer </w:t>
            </w:r>
            <w:r>
              <w:br/>
            </w:r>
            <w:r>
              <w:rPr>
                <w:rFonts w:ascii="Arial" w:hAnsi="Arial" w:eastAsia="Arial" w:cs="Arial"/>
                <w:color w:val="000000"/>
                <w:sz w:val="20"/>
              </w:rPr>
              <w:t xml:space="preserve">• a client has not received any service from the SHS organisation for a whole calendar month and there is no ongoing relationship. </w:t>
            </w:r>
            <w:r>
              <w:br/>
            </w:r>
            <w:r>
              <w:rPr>
                <w:rFonts w:ascii="Arial" w:hAnsi="Arial" w:eastAsia="Arial" w:cs="Arial"/>
                <w:color w:val="000000"/>
                <w:sz w:val="20"/>
              </w:rPr>
              <w:t xml:space="preserve">In Victoria, a service comprises episodes of support which are defined in line with the SHSC data collection definition of a support period. </w:t>
            </w:r>
            <w:r>
              <w:br/>
            </w:r>
            <w:r>
              <w:rPr>
                <w:rFonts w:ascii="Arial" w:hAnsi="Arial" w:eastAsia="Arial" w:cs="Arial"/>
                <w:color w:val="000000"/>
                <w:sz w:val="20"/>
              </w:rPr>
              <w:t>Detailed information is contained in the Specialist homelessness services collection manual.</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Proportion of services provided or referred - H2H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access/ referral to services based on client’s needs. It is applicable for funded programs which have a specialised intervention component for H2H.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70 per cent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At the end of each program monitoring period, calculate the proportion of services which have been provided and/or referred, based on the total services needs identified for all clients. </w:t>
            </w:r>
            <w:r>
              <w:br/>
            </w:r>
            <w:r>
              <w:rPr>
                <w:rFonts w:ascii="Arial" w:hAnsi="Arial" w:eastAsia="Arial" w:cs="Arial"/>
                <w:color w:val="000000"/>
                <w:sz w:val="20"/>
              </w:rPr>
              <w:t xml:space="preserve">The proportion is calculated for clients with an open support period, based on the total of services provided and/or referred in relation to the total of services needed across the Specialist Homelessness Services Collection category ‘Specialised services’. </w:t>
            </w:r>
            <w:r>
              <w:br/>
            </w:r>
            <w:r>
              <w:rPr>
                <w:rFonts w:ascii="Arial" w:hAnsi="Arial" w:eastAsia="Arial" w:cs="Arial"/>
                <w:color w:val="000000"/>
                <w:sz w:val="20"/>
              </w:rPr>
              <w:t>Clients with a closed support period should not be counted.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Homelessness Data Collection (HDC)</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When client seeks assistance from a SHS organisation, the organisation assesses which services the client needs.  </w:t>
            </w:r>
            <w:r>
              <w:br/>
            </w:r>
            <w:r>
              <w:rPr>
                <w:rFonts w:ascii="Arial" w:hAnsi="Arial" w:eastAsia="Arial" w:cs="Arial"/>
                <w:color w:val="000000"/>
                <w:sz w:val="20"/>
              </w:rPr>
              <w:t xml:space="preserve">An organisation may then provide the client with this service or may refer the client to another organisation. On some occasions, a client may need a service but may not be either provided with the service or referred to another organisation. </w:t>
            </w:r>
            <w:r>
              <w:br/>
            </w:r>
            <w:r>
              <w:rPr>
                <w:rFonts w:ascii="Arial" w:hAnsi="Arial" w:eastAsia="Arial" w:cs="Arial"/>
                <w:color w:val="000000"/>
                <w:sz w:val="20"/>
              </w:rPr>
              <w:t xml:space="preserve">Specialised services include child protection services, parenting skills education, child-specific counselling services; psychological services; psychiatric services; mental health services; pregnancy assistance; family planning assistance; physical disability services; intellectual disability services; health/ medical services; professional legal services; financial advice and counselling; counselling for problem gambling; drug/ alcohol counselling; specialist counselling services; interpreter services; assistance with immigration services; culturally-specific services; assistance to connect culturally; and other specialist services. </w:t>
            </w:r>
            <w:r>
              <w:br/>
            </w:r>
            <w:r>
              <w:rPr>
                <w:rFonts w:ascii="Arial" w:hAnsi="Arial" w:eastAsia="Arial" w:cs="Arial"/>
                <w:color w:val="000000"/>
                <w:sz w:val="20"/>
              </w:rPr>
              <w:t>Detailed information is contained in the Specialist homelessness services collection manual.</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Proportion of clients with an open support period - H2H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proportion of clients receiving a support package who remain in accommodation or housing in the H2H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90 per cent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At the end of the reporting period, calculate the proportion of clients with an open support period that are in accommodation or housing. </w:t>
            </w:r>
            <w:r>
              <w:br/>
            </w:r>
            <w:r>
              <w:rPr>
                <w:rFonts w:ascii="Arial" w:hAnsi="Arial" w:eastAsia="Arial" w:cs="Arial"/>
                <w:color w:val="000000"/>
                <w:sz w:val="20"/>
              </w:rPr>
              <w:t xml:space="preserve">The proportion is calculated as the number of clients who are living in accommodation or housing when undertaking reporting for the reporting period, divided by the total number of clients receiving a support service as per Key Performance Measure 1 for this activity. </w:t>
            </w:r>
            <w:r>
              <w:br/>
            </w:r>
            <w:r>
              <w:rPr>
                <w:rFonts w:ascii="Arial" w:hAnsi="Arial" w:eastAsia="Arial" w:cs="Arial"/>
                <w:color w:val="000000"/>
                <w:sz w:val="20"/>
              </w:rPr>
              <w:t>Clients with a closed support period should not be counted.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Homelessness Data Collection (HDC)</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Accommodation can be Crisis/ Emergency/ Temporary accommodation – short-term in nature and includes support from homelessness and specialist services. The client may stay in this type of accommodation while waiting for stable and suitable housing. </w:t>
            </w:r>
            <w:r>
              <w:br/>
            </w:r>
            <w:r>
              <w:rPr>
                <w:rFonts w:ascii="Arial" w:hAnsi="Arial" w:eastAsia="Arial" w:cs="Arial"/>
                <w:color w:val="000000"/>
                <w:sz w:val="20"/>
              </w:rPr>
              <w:t xml:space="preserve">Housing is: </w:t>
            </w:r>
            <w:r>
              <w:br/>
            </w:r>
            <w:r>
              <w:rPr>
                <w:rFonts w:ascii="Arial" w:hAnsi="Arial" w:eastAsia="Arial" w:cs="Arial"/>
                <w:color w:val="000000"/>
                <w:sz w:val="20"/>
              </w:rPr>
              <w:t xml:space="preserve">• Stable and suitable housing – long-term in nature and includes support from appropriate homelessness and specialist services, based on the client’s needs. It includes housing types such as private rental and public and social housing. </w:t>
            </w:r>
            <w:r>
              <w:br/>
            </w:r>
            <w:r>
              <w:rPr>
                <w:rFonts w:ascii="Arial" w:hAnsi="Arial" w:eastAsia="Arial" w:cs="Arial"/>
                <w:color w:val="000000"/>
                <w:sz w:val="20"/>
              </w:rPr>
              <w:t xml:space="preserve">• Independent housing – long-term in nature and does not include support (onsite or outreach) from homelessness services. It includes housing types such as private rental and public and social housing. </w:t>
            </w:r>
            <w:r>
              <w:br/>
            </w:r>
            <w:r>
              <w:rPr>
                <w:rFonts w:ascii="Arial" w:hAnsi="Arial" w:eastAsia="Arial" w:cs="Arial"/>
                <w:color w:val="000000"/>
                <w:sz w:val="20"/>
              </w:rPr>
              <w:t>Disengagement from services – a client who withdraws or rejects contact with services for consecutive 4 weeks.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Homelessness Data Collection (HDC)</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(SHSC) provided to the Dept Families, Fairness &amp; Housing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H2H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H2H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H2H client data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H2H client data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client data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client data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94842 Homelessness - Emergency Response - Client Support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